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48AC0">
      <w:pPr>
        <w:adjustRightInd/>
        <w:spacing w:line="360" w:lineRule="auto"/>
        <w:jc w:val="center"/>
        <w:rPr>
          <w:rFonts w:ascii="宋体" w:hAnsi="宋体" w:cs="宋体"/>
          <w:b/>
          <w:color w:val="auto"/>
          <w:sz w:val="48"/>
          <w:szCs w:val="48"/>
          <w:highlight w:val="none"/>
        </w:rPr>
      </w:pPr>
    </w:p>
    <w:p w14:paraId="5FCB41F8">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48"/>
          <w:szCs w:val="48"/>
          <w:highlight w:val="none"/>
          <w:lang w:eastAsia="zh-CN"/>
        </w:rPr>
        <w:t>上城区天东桥（东风港路）维修加固工程</w:t>
      </w:r>
    </w:p>
    <w:p w14:paraId="43CD043F">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（电子交易）</w:t>
      </w:r>
    </w:p>
    <w:p w14:paraId="6755EBFE">
      <w:pPr>
        <w:adjustRightInd/>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编号:</w:t>
      </w:r>
      <w:r>
        <w:rPr>
          <w:rFonts w:hint="eastAsia" w:ascii="宋体" w:hAnsi="宋体" w:cs="宋体"/>
          <w:color w:val="auto"/>
          <w:sz w:val="40"/>
          <w:szCs w:val="40"/>
          <w:highlight w:val="none"/>
          <w:lang w:eastAsia="zh-CN"/>
        </w:rPr>
        <w:t>JGZX-HZGS-2025001</w:t>
      </w:r>
      <w:r>
        <w:rPr>
          <w:rFonts w:hint="eastAsia" w:ascii="宋体" w:hAnsi="宋体" w:cs="宋体"/>
          <w:color w:val="auto"/>
          <w:sz w:val="40"/>
          <w:szCs w:val="40"/>
          <w:highlight w:val="none"/>
        </w:rPr>
        <w:t xml:space="preserve"> </w:t>
      </w:r>
    </w:p>
    <w:p w14:paraId="63720DBB">
      <w:pPr>
        <w:adjustRightInd/>
        <w:spacing w:line="360" w:lineRule="auto"/>
        <w:jc w:val="center"/>
        <w:rPr>
          <w:rFonts w:hint="eastAsia" w:ascii="宋体" w:hAnsi="宋体" w:cs="宋体"/>
          <w:color w:val="auto"/>
          <w:sz w:val="48"/>
          <w:szCs w:val="48"/>
          <w:highlight w:val="none"/>
        </w:rPr>
      </w:pPr>
    </w:p>
    <w:p w14:paraId="7762FEC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w:t>
      </w:r>
    </w:p>
    <w:p w14:paraId="09F281F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争</w:t>
      </w:r>
    </w:p>
    <w:p w14:paraId="16E8B2C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性</w:t>
      </w:r>
    </w:p>
    <w:p w14:paraId="29A39C8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磋</w:t>
      </w:r>
    </w:p>
    <w:p w14:paraId="79DA303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商</w:t>
      </w:r>
    </w:p>
    <w:p w14:paraId="6003F9D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文</w:t>
      </w:r>
    </w:p>
    <w:p w14:paraId="6177BBE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件</w:t>
      </w:r>
    </w:p>
    <w:p w14:paraId="2813FB8A">
      <w:pPr>
        <w:pStyle w:val="79"/>
        <w:rPr>
          <w:rFonts w:hint="eastAsia" w:ascii="宋体" w:hAnsi="宋体" w:cs="宋体"/>
          <w:color w:val="auto"/>
          <w:sz w:val="48"/>
          <w:szCs w:val="48"/>
          <w:highlight w:val="none"/>
        </w:rPr>
      </w:pPr>
    </w:p>
    <w:p w14:paraId="635C6448">
      <w:pPr>
        <w:pStyle w:val="79"/>
        <w:rPr>
          <w:rFonts w:hint="eastAsia" w:ascii="宋体" w:hAnsi="宋体" w:cs="宋体"/>
          <w:color w:val="auto"/>
          <w:sz w:val="48"/>
          <w:szCs w:val="48"/>
          <w:highlight w:val="none"/>
        </w:rPr>
      </w:pPr>
    </w:p>
    <w:p w14:paraId="477B848B">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杭州市上城区基础设施改善中心</w:t>
      </w:r>
    </w:p>
    <w:p w14:paraId="3CEC253A">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杭州广厦建筑咨询有限公司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24</w:t>
      </w:r>
      <w:r>
        <w:rPr>
          <w:rFonts w:hint="eastAsia" w:ascii="宋体" w:hAnsi="宋体" w:cs="宋体"/>
          <w:bCs/>
          <w:color w:val="auto"/>
          <w:sz w:val="32"/>
          <w:szCs w:val="32"/>
          <w:highlight w:val="none"/>
        </w:rPr>
        <w:t>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bookmarkEnd w:id="2"/>
    <w:p w14:paraId="2DD87CE2">
      <w:pPr>
        <w:adjustRightInd/>
        <w:spacing w:line="360" w:lineRule="auto"/>
        <w:jc w:val="center"/>
        <w:outlineLvl w:val="0"/>
        <w:rPr>
          <w:rFonts w:hint="eastAsia" w:ascii="宋体" w:hAnsi="宋体" w:cs="宋体"/>
          <w:b/>
          <w:color w:val="auto"/>
          <w:sz w:val="36"/>
          <w:szCs w:val="20"/>
          <w:highlight w:val="none"/>
        </w:rPr>
        <w:sectPr>
          <w:headerReference r:id="rId4" w:type="first"/>
          <w:headerReference r:id="rId3" w:type="default"/>
          <w:footerReference r:id="rId5" w:type="even"/>
          <w:pgSz w:w="11906" w:h="16838"/>
          <w:pgMar w:top="1440" w:right="1080" w:bottom="1440" w:left="1080" w:header="851" w:footer="992" w:gutter="0"/>
          <w:pgNumType w:fmt="decimal"/>
          <w:cols w:space="720" w:num="1"/>
          <w:titlePg/>
          <w:docGrid w:linePitch="312" w:charSpace="0"/>
        </w:sect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14:paraId="3B8DF4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上城区天东桥（东风港路）维修加固工程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项目编号：</w:t>
      </w:r>
      <w:r>
        <w:rPr>
          <w:rFonts w:hint="eastAsia" w:ascii="宋体" w:hAnsi="宋体" w:cs="宋体"/>
          <w:b w:val="0"/>
          <w:bCs/>
          <w:color w:val="auto"/>
          <w:sz w:val="24"/>
          <w:highlight w:val="none"/>
          <w:lang w:eastAsia="zh-CN"/>
        </w:rPr>
        <w:t>JGZX-HZGS-2025001</w:t>
      </w:r>
    </w:p>
    <w:p w14:paraId="5CFE6294">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项目名称：</w:t>
      </w:r>
      <w:r>
        <w:rPr>
          <w:rFonts w:hint="eastAsia" w:ascii="宋体" w:hAnsi="宋体" w:cs="宋体"/>
          <w:b w:val="0"/>
          <w:bCs/>
          <w:color w:val="auto"/>
          <w:sz w:val="24"/>
          <w:highlight w:val="none"/>
          <w:lang w:eastAsia="zh-CN"/>
        </w:rPr>
        <w:t>上城区天东桥（东风港路）维修加固工程</w:t>
      </w:r>
    </w:p>
    <w:p w14:paraId="2B322989">
      <w:pPr>
        <w:snapToGrid w:val="0"/>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预算金额（元）： </w:t>
      </w:r>
      <w:r>
        <w:rPr>
          <w:rFonts w:hint="eastAsia" w:ascii="宋体" w:hAnsi="宋体" w:cs="宋体"/>
          <w:b w:val="0"/>
          <w:bCs/>
          <w:color w:val="auto"/>
          <w:sz w:val="24"/>
          <w:highlight w:val="none"/>
          <w:lang w:eastAsia="zh-CN"/>
        </w:rPr>
        <w:t>920121</w:t>
      </w:r>
    </w:p>
    <w:p w14:paraId="24363695">
      <w:pPr>
        <w:snapToGrid w:val="0"/>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最高限价（元）： </w:t>
      </w:r>
      <w:r>
        <w:rPr>
          <w:rFonts w:hint="eastAsia" w:ascii="宋体" w:hAnsi="宋体" w:cs="宋体"/>
          <w:b w:val="0"/>
          <w:bCs/>
          <w:color w:val="auto"/>
          <w:sz w:val="24"/>
          <w:highlight w:val="none"/>
          <w:lang w:eastAsia="zh-CN"/>
        </w:rPr>
        <w:t>920121</w:t>
      </w:r>
    </w:p>
    <w:p w14:paraId="74C14250">
      <w:pPr>
        <w:pStyle w:val="15"/>
        <w:spacing w:line="360" w:lineRule="auto"/>
        <w:ind w:firstLine="482" w:firstLineChars="200"/>
        <w:rPr>
          <w:rFonts w:hAnsi="宋体" w:cs="宋体"/>
          <w:b/>
          <w:bCs w:val="0"/>
          <w:snapToGrid/>
          <w:color w:val="auto"/>
          <w:kern w:val="2"/>
          <w:sz w:val="24"/>
          <w:szCs w:val="24"/>
          <w:highlight w:val="none"/>
        </w:rPr>
      </w:pPr>
      <w:r>
        <w:rPr>
          <w:rFonts w:hint="eastAsia" w:hAnsi="宋体" w:cs="宋体"/>
          <w:b/>
          <w:bCs w:val="0"/>
          <w:color w:val="auto"/>
          <w:sz w:val="24"/>
          <w:highlight w:val="none"/>
        </w:rPr>
        <w:t>采购需求：</w:t>
      </w:r>
      <w:r>
        <w:rPr>
          <w:rFonts w:hint="eastAsia" w:hAnsi="宋体" w:cs="宋体"/>
          <w:b/>
          <w:bCs w:val="0"/>
          <w:color w:val="auto"/>
          <w:sz w:val="24"/>
          <w:highlight w:val="none"/>
          <w:lang w:eastAsia="zh-CN"/>
        </w:rPr>
        <w:t>上城区天东桥（东风港路）维修加固工程</w:t>
      </w:r>
      <w:r>
        <w:rPr>
          <w:rFonts w:hint="eastAsia" w:hAnsi="宋体" w:cs="宋体"/>
          <w:b/>
          <w:bCs w:val="0"/>
          <w:snapToGrid/>
          <w:color w:val="auto"/>
          <w:kern w:val="2"/>
          <w:sz w:val="24"/>
          <w:szCs w:val="24"/>
          <w:highlight w:val="none"/>
        </w:rPr>
        <w:t>主要内容：包括原有栏杆拆除、不锈钢栏杆制作安装、支座除锈刷漆、桥梁伸缩缝更换等</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具体详见</w:t>
      </w:r>
      <w:r>
        <w:rPr>
          <w:rFonts w:hint="eastAsia" w:ascii="宋体" w:hAnsi="宋体" w:eastAsia="宋体" w:cs="宋体"/>
          <w:b/>
          <w:bCs w:val="0"/>
          <w:color w:val="auto"/>
          <w:spacing w:val="0"/>
          <w:sz w:val="24"/>
          <w:szCs w:val="24"/>
          <w:highlight w:val="none"/>
          <w:lang w:val="en-US" w:eastAsia="zh-CN"/>
        </w:rPr>
        <w:t>施工图纸及工程量清单</w:t>
      </w:r>
      <w:r>
        <w:rPr>
          <w:rFonts w:hint="eastAsia" w:hAnsi="宋体" w:cs="宋体"/>
          <w:b/>
          <w:bCs w:val="0"/>
          <w:snapToGrid/>
          <w:color w:val="auto"/>
          <w:kern w:val="2"/>
          <w:sz w:val="24"/>
          <w:szCs w:val="24"/>
          <w:highlight w:val="none"/>
        </w:rPr>
        <w:t>。</w:t>
      </w:r>
    </w:p>
    <w:p w14:paraId="01233AD2">
      <w:pPr>
        <w:pStyle w:val="131"/>
        <w:snapToGrid w:val="0"/>
        <w:spacing w:before="0"/>
        <w:ind w:firstLine="482"/>
        <w:outlineLvl w:val="2"/>
        <w:rPr>
          <w:rFonts w:hint="default" w:ascii="宋体" w:hAnsi="宋体" w:eastAsia="宋体" w:cs="宋体"/>
          <w:b w:val="0"/>
          <w:bCs/>
          <w:color w:val="auto"/>
          <w:highlight w:val="none"/>
          <w:lang w:val="en-US" w:eastAsia="zh-CN"/>
        </w:rPr>
      </w:pPr>
      <w:r>
        <w:rPr>
          <w:rFonts w:hint="eastAsia" w:ascii="宋体" w:hAnsi="宋体" w:cs="宋体"/>
          <w:b w:val="0"/>
          <w:bCs/>
          <w:color w:val="auto"/>
          <w:highlight w:val="none"/>
        </w:rPr>
        <w:t>合同履约期限：</w:t>
      </w:r>
      <w:r>
        <w:rPr>
          <w:rFonts w:hint="eastAsia" w:ascii="宋体" w:hAnsi="宋体" w:cs="宋体"/>
          <w:b w:val="0"/>
          <w:bCs/>
          <w:color w:val="auto"/>
          <w:highlight w:val="none"/>
          <w:lang w:val="en-US" w:eastAsia="zh-CN"/>
        </w:rPr>
        <w:t>工期为60日历天。</w:t>
      </w:r>
    </w:p>
    <w:p w14:paraId="1313D475">
      <w:pPr>
        <w:pStyle w:val="15"/>
        <w:spacing w:line="360" w:lineRule="auto"/>
        <w:ind w:firstLine="480" w:firstLineChars="200"/>
        <w:rPr>
          <w:rFonts w:hAnsi="宋体" w:cs="宋体"/>
          <w:b w:val="0"/>
          <w:bCs/>
          <w:color w:val="auto"/>
          <w:sz w:val="24"/>
          <w:highlight w:val="none"/>
        </w:rPr>
      </w:pPr>
      <w:r>
        <w:rPr>
          <w:rFonts w:hint="eastAsia" w:hAnsi="宋体" w:cs="宋体"/>
          <w:b w:val="0"/>
          <w:bCs/>
          <w:color w:val="auto"/>
          <w:sz w:val="24"/>
          <w:highlight w:val="none"/>
        </w:rPr>
        <w:t>本项目接受联合体：</w:t>
      </w:r>
    </w:p>
    <w:p w14:paraId="508A3C73">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92B61B">
      <w:pPr>
        <w:rPr>
          <w:rFonts w:ascii="宋体" w:hAnsi="宋体" w:cs="宋体"/>
          <w:color w:val="auto"/>
          <w:sz w:val="24"/>
          <w:highlight w:val="non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14:paraId="5E3F6773">
      <w:pPr>
        <w:rPr>
          <w:rFonts w:ascii="宋体" w:hAnsi="宋体" w:cs="宋体"/>
          <w:color w:val="auto"/>
          <w:sz w:val="24"/>
          <w:highlight w:val="none"/>
        </w:rPr>
      </w:pPr>
      <w:r>
        <w:rPr>
          <w:rFonts w:ascii="宋体" w:hAnsi="宋体" w:cs="宋体"/>
          <w:color w:val="auto"/>
          <w:sz w:val="24"/>
          <w:highlight w:val="none"/>
        </w:rPr>
        <w:br w:type="page"/>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0901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具有市政公用工程施工总承包三级及以上施工资质</w:t>
      </w:r>
      <w:r>
        <w:rPr>
          <w:rFonts w:hint="eastAsia" w:ascii="宋体" w:hAnsi="宋体" w:cs="宋体"/>
          <w:color w:val="auto"/>
          <w:sz w:val="24"/>
          <w:highlight w:val="none"/>
        </w:rPr>
        <w:t>；</w:t>
      </w:r>
    </w:p>
    <w:p w14:paraId="5BAAED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）具有有效期内的《安全生产许可证》；</w:t>
      </w:r>
    </w:p>
    <w:p w14:paraId="29C3C7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）项目负责人具有注册在投标单位的市政工程贰级及以上建造师注册证书；</w:t>
      </w:r>
    </w:p>
    <w:p w14:paraId="119243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）拟派现场安全生产专职管理人员具有“三类人员”有效C类证书；</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杭州市上城区基础设施改善中心</w:t>
      </w:r>
      <w:r>
        <w:rPr>
          <w:rFonts w:hint="eastAsia" w:ascii="宋体" w:hAnsi="宋体" w:cs="宋体"/>
          <w:color w:val="auto"/>
          <w:sz w:val="24"/>
          <w:highlight w:val="none"/>
        </w:rPr>
        <w:t xml:space="preserve"> </w:t>
      </w:r>
    </w:p>
    <w:p w14:paraId="4815C7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杭州市上城区环站东路358号邻居中心B座603</w:t>
      </w:r>
      <w:r>
        <w:rPr>
          <w:rFonts w:hint="eastAsia" w:ascii="宋体" w:hAnsi="宋体" w:cs="宋体"/>
          <w:color w:val="auto"/>
          <w:sz w:val="24"/>
          <w:highlight w:val="none"/>
        </w:rPr>
        <w:t xml:space="preserve">      </w:t>
      </w:r>
    </w:p>
    <w:p w14:paraId="719B9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郦工</w:t>
      </w:r>
    </w:p>
    <w:p w14:paraId="4EE0E28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56560095</w:t>
      </w:r>
    </w:p>
    <w:p w14:paraId="14B4917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陈工</w:t>
      </w:r>
      <w:r>
        <w:rPr>
          <w:rFonts w:hint="eastAsia" w:ascii="宋体" w:hAnsi="宋体" w:cs="宋体"/>
          <w:color w:val="auto"/>
          <w:sz w:val="24"/>
          <w:highlight w:val="none"/>
        </w:rPr>
        <w:t xml:space="preserve"> </w:t>
      </w:r>
    </w:p>
    <w:p w14:paraId="0B6768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56560095</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称：杭州广厦建筑咨询有限公司</w:t>
      </w:r>
    </w:p>
    <w:p w14:paraId="2605F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址：杭州市秋涛北路332号佰富时代中心2幢10楼      </w:t>
      </w:r>
    </w:p>
    <w:p w14:paraId="5F34E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何懿冉</w:t>
      </w:r>
      <w:r>
        <w:rPr>
          <w:rFonts w:hint="eastAsia" w:ascii="宋体" w:hAnsi="宋体" w:cs="宋体"/>
          <w:color w:val="auto"/>
          <w:sz w:val="24"/>
          <w:highlight w:val="none"/>
        </w:rPr>
        <w:t xml:space="preserve">       </w:t>
      </w:r>
    </w:p>
    <w:p w14:paraId="764DDB95">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18329196300</w:t>
      </w:r>
    </w:p>
    <w:p w14:paraId="37BA6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蒋炜玮</w:t>
      </w:r>
      <w:r>
        <w:rPr>
          <w:rFonts w:hint="eastAsia" w:ascii="宋体" w:hAnsi="宋体" w:cs="宋体"/>
          <w:color w:val="auto"/>
          <w:sz w:val="24"/>
          <w:highlight w:val="none"/>
        </w:rPr>
        <w:t xml:space="preserve">              </w:t>
      </w:r>
    </w:p>
    <w:p w14:paraId="16AB9C4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15706871603</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DF9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1D5BE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042B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3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2FDF917A">
      <w:pPr>
        <w:snapToGrid w:val="0"/>
        <w:spacing w:line="360" w:lineRule="auto"/>
        <w:ind w:firstLine="480" w:firstLineChars="200"/>
        <w:rPr>
          <w:rFonts w:ascii="宋体" w:hAnsi="宋体" w:cs="宋体"/>
          <w:color w:val="auto"/>
          <w:sz w:val="24"/>
          <w:highlight w:val="none"/>
        </w:rPr>
        <w:sectPr>
          <w:footerReference r:id="rId7" w:type="first"/>
          <w:footerReference r:id="rId6" w:type="default"/>
          <w:pgSz w:w="11906" w:h="16838"/>
          <w:pgMar w:top="1440" w:right="1080" w:bottom="1440" w:left="1080" w:header="851" w:footer="992" w:gutter="0"/>
          <w:pgNumType w:fmt="decimal" w:start="1"/>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7"/>
      <w:r>
        <w:rPr>
          <w:rFonts w:hint="eastAsia" w:hAnsi="宋体" w:cs="宋体"/>
          <w:b/>
          <w:snapToGrid/>
          <w:color w:val="auto"/>
          <w:sz w:val="36"/>
          <w:szCs w:val="20"/>
          <w:highlight w:val="none"/>
        </w:rPr>
        <w:t xml:space="preserve"> 供应商须知</w:t>
      </w:r>
      <w:bookmarkEnd w:id="8"/>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上城区天东桥（东风港路）维修加固工程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9C855E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81BB1C7">
            <w:pPr>
              <w:pStyle w:val="79"/>
              <w:ind w:firstLine="0" w:firstLineChars="0"/>
              <w:rPr>
                <w:color w:val="auto"/>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34265B8">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要求提供</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5450C96">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7E097CB9">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4235191C">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杭州市秋涛北路332号佰富时代中心2幢10楼</w:t>
            </w:r>
            <w:r>
              <w:rPr>
                <w:rFonts w:hint="eastAsia" w:hAnsi="宋体" w:cs="宋体"/>
                <w:color w:val="auto"/>
                <w:kern w:val="28"/>
                <w:sz w:val="24"/>
                <w:szCs w:val="24"/>
                <w:highlight w:val="none"/>
                <w:u w:val="single"/>
                <w:lang w:val="en-US" w:eastAsia="zh-CN"/>
              </w:rPr>
              <w:t>1010</w:t>
            </w:r>
            <w:r>
              <w:rPr>
                <w:rFonts w:hint="eastAsia" w:hAnsi="宋体" w:cs="宋体"/>
                <w:color w:val="auto"/>
                <w:kern w:val="28"/>
                <w:sz w:val="24"/>
                <w:szCs w:val="24"/>
                <w:highlight w:val="none"/>
              </w:rPr>
              <w:t>；</w:t>
            </w:r>
          </w:p>
          <w:p w14:paraId="5088C7A8">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ascii="宋体" w:hAnsi="宋体" w:cs="Arial"/>
                <w:color w:val="auto"/>
                <w:highlight w:val="none"/>
                <w:u w:val="single"/>
                <w:lang w:val="en-US" w:eastAsia="zh-CN"/>
              </w:rPr>
              <w:t>18329196300</w:t>
            </w:r>
            <w:r>
              <w:rPr>
                <w:rFonts w:hint="eastAsia" w:hAnsi="宋体" w:cs="宋体"/>
                <w:color w:val="auto"/>
                <w:sz w:val="24"/>
                <w:szCs w:val="24"/>
                <w:highlight w:val="none"/>
              </w:rPr>
              <w:t>。</w:t>
            </w:r>
          </w:p>
          <w:p w14:paraId="339F717B">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6CD41A6">
            <w:pPr>
              <w:adjustRightInd w:val="0"/>
              <w:snapToGrid w:val="0"/>
              <w:spacing w:line="300" w:lineRule="exact"/>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本项目代理费用由采购人支付：</w:t>
            </w:r>
          </w:p>
          <w:p w14:paraId="17EC5295">
            <w:pPr>
              <w:adjustRightInd w:val="0"/>
              <w:snapToGrid w:val="0"/>
              <w:spacing w:line="300" w:lineRule="exact"/>
              <w:rPr>
                <w:rFonts w:hint="eastAsia"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napToGrid w:val="0"/>
                <w:kern w:val="0"/>
                <w:szCs w:val="21"/>
                <w:lang w:eastAsia="zh-CN"/>
              </w:rPr>
              <w:t>、</w:t>
            </w:r>
            <w:r>
              <w:rPr>
                <w:rFonts w:hint="eastAsia" w:ascii="宋体" w:hAnsi="宋体" w:cs="宋体"/>
                <w:snapToGrid w:val="0"/>
                <w:kern w:val="0"/>
                <w:szCs w:val="21"/>
              </w:rPr>
              <w:t>招标代理服务费根据双方友好协商决定，收费参照如下标准计取收费：代理的单个标段中标价作为收费基数乘以折扣率计算，若实际结算价低于6000元的，按6000元计取。</w:t>
            </w:r>
          </w:p>
          <w:p w14:paraId="372F9193">
            <w:pPr>
              <w:adjustRightInd w:val="0"/>
              <w:snapToGrid w:val="0"/>
              <w:spacing w:line="300" w:lineRule="exact"/>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kern w:val="0"/>
                <w:szCs w:val="21"/>
              </w:rPr>
              <w:t>2</w:t>
            </w:r>
            <w:r>
              <w:rPr>
                <w:rFonts w:hint="eastAsia" w:ascii="宋体" w:hAnsi="宋体" w:cs="宋体"/>
                <w:snapToGrid w:val="0"/>
                <w:kern w:val="0"/>
                <w:szCs w:val="21"/>
                <w:lang w:eastAsia="zh-CN"/>
              </w:rPr>
              <w:t>、</w:t>
            </w:r>
            <w:r>
              <w:rPr>
                <w:rFonts w:hint="eastAsia" w:ascii="宋体" w:hAnsi="宋体" w:cs="宋体"/>
                <w:snapToGrid w:val="0"/>
                <w:kern w:val="0"/>
                <w:szCs w:val="21"/>
              </w:rPr>
              <w:t>工程造价咨询费（工程量清单、招标控制价的编制）以代理的单个标段控制价作为收费基数的收费标准乘以折扣率计算，若实际结算价低于2000元的，按2000元计取。</w:t>
            </w:r>
          </w:p>
        </w:tc>
      </w:tr>
      <w:bookmarkEnd w:id="9"/>
    </w:tbl>
    <w:p w14:paraId="5BFEF9FF">
      <w:pPr>
        <w:widowControl/>
        <w:adjustRightInd/>
        <w:jc w:val="left"/>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AA85B4">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color w:val="auto"/>
          <w:sz w:val="18"/>
          <w:szCs w:val="18"/>
          <w:highlight w:val="none"/>
        </w:rPr>
      </w:pPr>
      <w:r>
        <w:rPr>
          <w:rFonts w:hint="eastAsia"/>
          <w:color w:val="auto"/>
          <w:highlight w:val="none"/>
        </w:rPr>
        <w:t>投诉书范本及制作说明详见附件3。</w:t>
      </w: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B379D83">
      <w:pPr>
        <w:pStyle w:val="131"/>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4813BFC">
      <w:pPr>
        <w:pStyle w:val="131"/>
        <w:snapToGrid w:val="0"/>
        <w:spacing w:before="0"/>
        <w:ind w:firstLine="480"/>
        <w:rPr>
          <w:rFonts w:ascii="宋体" w:hAnsi="宋体" w:cs="宋体"/>
          <w:b/>
          <w:color w:val="auto"/>
          <w:szCs w:val="24"/>
          <w:highlight w:val="none"/>
        </w:rPr>
      </w:pPr>
      <w:r>
        <w:rPr>
          <w:rFonts w:hint="eastAsia" w:ascii="宋体" w:hAnsi="宋体" w:cs="宋体"/>
          <w:color w:val="auto"/>
          <w:highlight w:val="none"/>
        </w:rPr>
        <w:t>13.3采购文件对响应文件签署、盖章的要求适用于电子签名。</w:t>
      </w: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2"/>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1147B23">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2E7E5764">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2754A65">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D3C3428">
      <w:pPr>
        <w:widowControl/>
        <w:shd w:val="clear" w:color="auto" w:fill="FFFFFF"/>
        <w:spacing w:line="360" w:lineRule="auto"/>
        <w:ind w:firstLine="480"/>
        <w:rPr>
          <w:rFonts w:ascii="宋体" w:hAnsi="宋体" w:cs="宋体"/>
          <w:b/>
          <w:color w:val="auto"/>
          <w:sz w:val="32"/>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4"/>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4"/>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4"/>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AA8E11D">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19177AC">
      <w:pPr>
        <w:pStyle w:val="131"/>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4"/>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4DA239AD">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7" w:name="_Hlt68057669"/>
      <w:bookmarkEnd w:id="17"/>
      <w:bookmarkStart w:id="18" w:name="_Hlt74707468"/>
      <w:bookmarkEnd w:id="18"/>
      <w:bookmarkStart w:id="19" w:name="_Hlt74729768"/>
      <w:bookmarkEnd w:id="19"/>
      <w:bookmarkStart w:id="20" w:name="_Hlt74714665"/>
      <w:bookmarkEnd w:id="20"/>
      <w:bookmarkStart w:id="21" w:name="_Hlt75236101"/>
      <w:bookmarkEnd w:id="21"/>
      <w:bookmarkStart w:id="22" w:name="_Hlt75236011"/>
      <w:bookmarkEnd w:id="22"/>
      <w:bookmarkStart w:id="23" w:name="_Hlt74730295"/>
      <w:bookmarkEnd w:id="23"/>
      <w:bookmarkStart w:id="24" w:name="_Hlt68403820"/>
      <w:bookmarkEnd w:id="24"/>
      <w:bookmarkStart w:id="25" w:name="_Hlt68072990"/>
      <w:bookmarkEnd w:id="25"/>
      <w:bookmarkStart w:id="26" w:name="_Hlt75236290"/>
      <w:bookmarkEnd w:id="26"/>
      <w:bookmarkStart w:id="27" w:name="_Hlt68073093"/>
      <w:bookmarkEnd w:id="27"/>
      <w:bookmarkStart w:id="28" w:name="_Hlt68072998"/>
      <w:bookmarkEnd w:id="28"/>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7E09C4F">
      <w:pPr>
        <w:pStyle w:val="80"/>
        <w:rPr>
          <w:color w:val="auto"/>
          <w:highlight w:val="none"/>
        </w:rPr>
        <w:sectPr>
          <w:pgSz w:w="11906" w:h="16838"/>
          <w:pgMar w:top="1440" w:right="1080" w:bottom="1440" w:left="1080" w:header="851" w:footer="992" w:gutter="0"/>
          <w:pgNumType w:fmt="decimal"/>
          <w:cols w:space="720" w:num="1"/>
          <w:titlePg/>
          <w:docGrid w:linePitch="312" w:charSpace="0"/>
        </w:sectPr>
      </w:pPr>
    </w:p>
    <w:bookmarkEnd w:id="11"/>
    <w:bookmarkEnd w:id="12"/>
    <w:p w14:paraId="60696D02">
      <w:pPr>
        <w:pStyle w:val="32"/>
        <w:spacing w:line="360" w:lineRule="auto"/>
        <w:jc w:val="center"/>
        <w:rPr>
          <w:rFonts w:hAnsi="宋体" w:cs="宋体"/>
          <w:b/>
          <w:snapToGrid/>
          <w:color w:val="auto"/>
          <w:sz w:val="36"/>
          <w:szCs w:val="20"/>
          <w:highlight w:val="none"/>
        </w:rPr>
      </w:pPr>
      <w:bookmarkStart w:id="29" w:name="第四部分"/>
      <w:r>
        <w:rPr>
          <w:rFonts w:hint="eastAsia" w:hAnsi="宋体" w:cs="宋体"/>
          <w:b/>
          <w:snapToGrid/>
          <w:color w:val="auto"/>
          <w:sz w:val="36"/>
          <w:szCs w:val="20"/>
          <w:highlight w:val="none"/>
        </w:rPr>
        <w:t>第三部分 采购需求</w:t>
      </w:r>
    </w:p>
    <w:p w14:paraId="5074DA8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9BDD43B">
      <w:pPr>
        <w:pStyle w:val="24"/>
        <w:spacing w:before="120" w:beforeLines="50" w:after="120" w:afterLines="50" w:line="360" w:lineRule="auto"/>
        <w:ind w:firstLine="480" w:firstLineChars="200"/>
        <w:rPr>
          <w:rFonts w:hint="eastAsia" w:hAnsi="宋体" w:eastAsia="宋体"/>
          <w:bCs/>
          <w:color w:val="auto"/>
          <w:sz w:val="24"/>
          <w:szCs w:val="24"/>
          <w:highlight w:val="none"/>
          <w:lang w:eastAsia="zh-CN"/>
        </w:rPr>
      </w:pPr>
      <w:r>
        <w:rPr>
          <w:rFonts w:hint="eastAsia" w:hAnsi="宋体"/>
          <w:bCs/>
          <w:color w:val="auto"/>
          <w:sz w:val="24"/>
          <w:szCs w:val="24"/>
          <w:highlight w:val="none"/>
          <w:lang w:val="en-US" w:eastAsia="zh-CN"/>
        </w:rPr>
        <w:t>项目</w:t>
      </w:r>
      <w:r>
        <w:rPr>
          <w:rFonts w:hint="eastAsia" w:hAnsi="宋体"/>
          <w:bCs/>
          <w:color w:val="auto"/>
          <w:sz w:val="24"/>
          <w:szCs w:val="24"/>
          <w:highlight w:val="none"/>
        </w:rPr>
        <w:t>名称：</w:t>
      </w:r>
      <w:r>
        <w:rPr>
          <w:rFonts w:hint="eastAsia"/>
          <w:bCs/>
          <w:color w:val="auto"/>
          <w:sz w:val="24"/>
          <w:szCs w:val="24"/>
          <w:highlight w:val="none"/>
          <w:lang w:eastAsia="zh-CN"/>
        </w:rPr>
        <w:t>上城区天东桥（东风港路）维修加固工程</w:t>
      </w:r>
    </w:p>
    <w:p w14:paraId="5E171523">
      <w:pPr>
        <w:pStyle w:val="24"/>
        <w:spacing w:before="120" w:beforeLines="50" w:after="120" w:afterLines="50" w:line="360" w:lineRule="auto"/>
        <w:ind w:firstLine="482" w:firstLineChars="200"/>
        <w:rPr>
          <w:rFonts w:hint="eastAsia" w:hAnsi="宋体"/>
          <w:b/>
          <w:bCs w:val="0"/>
          <w:color w:val="auto"/>
          <w:sz w:val="24"/>
          <w:szCs w:val="24"/>
          <w:highlight w:val="none"/>
          <w:lang w:val="en-US" w:eastAsia="zh-CN"/>
        </w:rPr>
      </w:pPr>
      <w:r>
        <w:rPr>
          <w:rFonts w:hint="eastAsia"/>
          <w:b/>
          <w:bCs w:val="0"/>
          <w:color w:val="auto"/>
          <w:sz w:val="24"/>
          <w:szCs w:val="24"/>
          <w:highlight w:val="none"/>
          <w:lang w:val="en-US" w:eastAsia="zh-CN"/>
        </w:rPr>
        <w:t>采购内容</w:t>
      </w:r>
      <w:r>
        <w:rPr>
          <w:rFonts w:hint="eastAsia" w:hAnsi="宋体"/>
          <w:b/>
          <w:bCs w:val="0"/>
          <w:color w:val="auto"/>
          <w:sz w:val="24"/>
          <w:szCs w:val="24"/>
          <w:highlight w:val="none"/>
          <w:lang w:val="en-US" w:eastAsia="zh-CN"/>
        </w:rPr>
        <w:t>:主要维修改造区域包括</w:t>
      </w:r>
      <w:r>
        <w:rPr>
          <w:rFonts w:hint="eastAsia" w:hAnsi="宋体" w:cs="宋体"/>
          <w:b/>
          <w:bCs w:val="0"/>
          <w:snapToGrid/>
          <w:color w:val="auto"/>
          <w:kern w:val="2"/>
          <w:sz w:val="24"/>
          <w:szCs w:val="24"/>
          <w:highlight w:val="none"/>
        </w:rPr>
        <w:t>原有栏杆拆除、不锈钢栏杆制作安装、支座除锈刷漆、桥梁伸缩缝更换等</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具体详见</w:t>
      </w:r>
      <w:r>
        <w:rPr>
          <w:rFonts w:hint="eastAsia" w:ascii="宋体" w:hAnsi="宋体" w:eastAsia="宋体" w:cs="宋体"/>
          <w:b/>
          <w:bCs w:val="0"/>
          <w:color w:val="auto"/>
          <w:spacing w:val="0"/>
          <w:sz w:val="24"/>
          <w:szCs w:val="24"/>
          <w:highlight w:val="none"/>
          <w:lang w:val="en-US" w:eastAsia="zh-CN"/>
        </w:rPr>
        <w:t>施工图纸及工程量清单，为</w:t>
      </w:r>
      <w:r>
        <w:rPr>
          <w:rFonts w:hint="eastAsia" w:ascii="宋体" w:hAnsi="宋体"/>
          <w:b/>
          <w:bCs w:val="0"/>
          <w:color w:val="auto"/>
          <w:sz w:val="24"/>
          <w:highlight w:val="none"/>
          <w:u w:val="none"/>
        </w:rPr>
        <w:t>改善</w:t>
      </w:r>
      <w:r>
        <w:rPr>
          <w:rFonts w:hint="eastAsia"/>
          <w:b/>
          <w:bCs w:val="0"/>
          <w:color w:val="auto"/>
          <w:sz w:val="24"/>
          <w:highlight w:val="none"/>
          <w:u w:val="none"/>
          <w:lang w:val="en-US" w:eastAsia="zh-CN"/>
        </w:rPr>
        <w:t>周边</w:t>
      </w:r>
      <w:r>
        <w:rPr>
          <w:rFonts w:hint="eastAsia" w:ascii="宋体" w:hAnsi="宋体"/>
          <w:b/>
          <w:bCs w:val="0"/>
          <w:color w:val="auto"/>
          <w:sz w:val="24"/>
          <w:highlight w:val="none"/>
          <w:u w:val="none"/>
        </w:rPr>
        <w:t>场地环境，给</w:t>
      </w:r>
      <w:r>
        <w:rPr>
          <w:rFonts w:hint="eastAsia"/>
          <w:b/>
          <w:bCs w:val="0"/>
          <w:color w:val="auto"/>
          <w:sz w:val="24"/>
          <w:highlight w:val="none"/>
          <w:u w:val="none"/>
          <w:lang w:val="en-US" w:eastAsia="zh-CN"/>
        </w:rPr>
        <w:t>居民</w:t>
      </w:r>
      <w:r>
        <w:rPr>
          <w:rFonts w:hint="eastAsia" w:ascii="宋体" w:hAnsi="宋体"/>
          <w:b/>
          <w:bCs w:val="0"/>
          <w:color w:val="auto"/>
          <w:sz w:val="24"/>
          <w:highlight w:val="none"/>
          <w:u w:val="none"/>
        </w:rPr>
        <w:t>提供更加优越</w:t>
      </w:r>
      <w:r>
        <w:rPr>
          <w:rFonts w:hint="eastAsia"/>
          <w:b/>
          <w:bCs w:val="0"/>
          <w:color w:val="auto"/>
          <w:sz w:val="24"/>
          <w:highlight w:val="none"/>
          <w:u w:val="none"/>
          <w:lang w:eastAsia="zh-CN"/>
        </w:rPr>
        <w:t>、</w:t>
      </w:r>
      <w:r>
        <w:rPr>
          <w:rFonts w:hint="eastAsia"/>
          <w:b/>
          <w:bCs w:val="0"/>
          <w:color w:val="auto"/>
          <w:sz w:val="24"/>
          <w:highlight w:val="none"/>
          <w:u w:val="none"/>
          <w:lang w:val="en-US" w:eastAsia="zh-CN"/>
        </w:rPr>
        <w:t>便捷</w:t>
      </w:r>
      <w:r>
        <w:rPr>
          <w:rFonts w:hint="eastAsia" w:ascii="宋体" w:hAnsi="宋体"/>
          <w:b/>
          <w:bCs w:val="0"/>
          <w:color w:val="auto"/>
          <w:sz w:val="24"/>
          <w:highlight w:val="none"/>
          <w:u w:val="none"/>
        </w:rPr>
        <w:t>的</w:t>
      </w:r>
      <w:r>
        <w:rPr>
          <w:rFonts w:hint="eastAsia"/>
          <w:b/>
          <w:bCs w:val="0"/>
          <w:color w:val="auto"/>
          <w:sz w:val="24"/>
          <w:highlight w:val="none"/>
          <w:u w:val="none"/>
          <w:lang w:val="en-US" w:eastAsia="zh-CN"/>
        </w:rPr>
        <w:t>通行</w:t>
      </w:r>
      <w:r>
        <w:rPr>
          <w:rFonts w:hint="eastAsia" w:ascii="宋体" w:hAnsi="宋体"/>
          <w:b/>
          <w:bCs w:val="0"/>
          <w:color w:val="auto"/>
          <w:sz w:val="24"/>
          <w:highlight w:val="none"/>
          <w:u w:val="none"/>
        </w:rPr>
        <w:t>。</w:t>
      </w:r>
      <w:r>
        <w:rPr>
          <w:rFonts w:hint="eastAsia" w:hAnsi="宋体"/>
          <w:b/>
          <w:bCs w:val="0"/>
          <w:color w:val="auto"/>
          <w:sz w:val="24"/>
          <w:szCs w:val="24"/>
          <w:highlight w:val="none"/>
          <w:lang w:val="en-US" w:eastAsia="zh-CN"/>
        </w:rPr>
        <w:t> </w:t>
      </w:r>
    </w:p>
    <w:p w14:paraId="4F2604CF">
      <w:pPr>
        <w:pStyle w:val="24"/>
        <w:spacing w:before="120" w:beforeLines="50" w:after="120" w:afterLines="50" w:line="360" w:lineRule="auto"/>
        <w:ind w:firstLine="480" w:firstLineChars="200"/>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预算金额（元）：</w:t>
      </w:r>
      <w:r>
        <w:rPr>
          <w:rFonts w:hint="eastAsia"/>
          <w:bCs/>
          <w:color w:val="auto"/>
          <w:sz w:val="24"/>
          <w:szCs w:val="24"/>
          <w:highlight w:val="none"/>
          <w:lang w:val="en-US" w:eastAsia="zh-CN"/>
        </w:rPr>
        <w:t>920121</w:t>
      </w:r>
    </w:p>
    <w:p w14:paraId="1B346AB0">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44583012">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none"/>
          <w:lang w:eastAsia="zh-CN"/>
        </w:rPr>
        <w:t>上城区天东桥（东风港路）维修加固工程；</w:t>
      </w:r>
    </w:p>
    <w:p w14:paraId="5064CE6B">
      <w:pPr>
        <w:spacing w:line="360" w:lineRule="auto"/>
        <w:ind w:left="210" w:leftChars="100"/>
        <w:jc w:val="left"/>
        <w:rPr>
          <w:rFonts w:hint="default" w:ascii="宋体" w:hAnsi="宋体"/>
          <w:color w:val="auto"/>
          <w:sz w:val="24"/>
          <w:highlight w:val="none"/>
          <w:u w:val="none"/>
          <w:lang w:val="en-US" w:eastAsia="zh-CN"/>
        </w:rPr>
      </w:pPr>
      <w:r>
        <w:rPr>
          <w:rFonts w:hint="eastAsia" w:ascii="宋体" w:hAnsi="宋体" w:cs="仿宋_GB2312"/>
          <w:color w:val="auto"/>
          <w:sz w:val="24"/>
          <w:highlight w:val="none"/>
        </w:rPr>
        <w:t>2.现场条件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实</w:t>
      </w:r>
      <w:r>
        <w:rPr>
          <w:rFonts w:hint="eastAsia" w:ascii="宋体" w:hAnsi="宋体" w:cs="仿宋_GB2312"/>
          <w:color w:val="auto"/>
          <w:sz w:val="24"/>
          <w:highlight w:val="none"/>
          <w:u w:val="none"/>
          <w:lang w:val="en-US" w:eastAsia="zh-CN"/>
        </w:rPr>
        <w:t>际以</w:t>
      </w:r>
      <w:r>
        <w:rPr>
          <w:rFonts w:hint="eastAsia" w:ascii="宋体" w:hAnsi="宋体"/>
          <w:color w:val="auto"/>
          <w:sz w:val="24"/>
          <w:highlight w:val="none"/>
          <w:u w:val="none"/>
          <w:lang w:val="en-US" w:eastAsia="zh-CN"/>
        </w:rPr>
        <w:t>现场根据为准；</w:t>
      </w:r>
    </w:p>
    <w:p w14:paraId="7FB3F6CB">
      <w:pPr>
        <w:spacing w:line="360" w:lineRule="auto"/>
        <w:ind w:left="210" w:leftChars="100"/>
        <w:jc w:val="left"/>
        <w:rPr>
          <w:rFonts w:hint="default" w:ascii="宋体" w:hAnsi="宋体" w:eastAsia="宋体"/>
          <w:color w:val="auto"/>
          <w:sz w:val="24"/>
          <w:highlight w:val="none"/>
          <w:u w:val="single"/>
          <w:lang w:val="en-US" w:eastAsia="zh-CN"/>
        </w:rPr>
      </w:pPr>
      <w:r>
        <w:rPr>
          <w:rFonts w:hint="eastAsia" w:ascii="宋体" w:hAnsi="宋体" w:cs="仿宋_GB2312"/>
          <w:color w:val="auto"/>
          <w:sz w:val="24"/>
          <w:highlight w:val="none"/>
        </w:rPr>
        <w:t>3.工程承包范围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以工程量清单及施工图纸为准。</w:t>
      </w:r>
    </w:p>
    <w:p w14:paraId="06835E95">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4.工程质量标准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符合国家验收合格标准。</w:t>
      </w:r>
    </w:p>
    <w:p w14:paraId="02321803">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5.工程施工要求</w:t>
      </w:r>
      <w:r>
        <w:rPr>
          <w:rFonts w:hint="eastAsia" w:ascii="宋体" w:hAnsi="宋体" w:cs="仿宋_GB2312"/>
          <w:color w:val="auto"/>
          <w:sz w:val="24"/>
          <w:highlight w:val="none"/>
          <w:lang w:eastAsia="zh-CN"/>
        </w:rPr>
        <w:t>：</w:t>
      </w:r>
    </w:p>
    <w:p w14:paraId="6DB5FD4E">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1、本工程施工严格按照规范要求进行施工，达到各项拟定的设计指标。</w:t>
      </w:r>
    </w:p>
    <w:p w14:paraId="0363ABCB">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2、本工程施工按《建筑工程施工质量验收统一标准》（GB50300-2013）、《</w:t>
      </w:r>
      <w:r>
        <w:rPr>
          <w:rFonts w:hint="eastAsia" w:ascii="宋体" w:hAnsi="宋体" w:cs="仿宋_GB2312"/>
          <w:color w:val="auto"/>
          <w:sz w:val="24"/>
          <w:highlight w:val="none"/>
          <w:u w:val="single"/>
        </w:rPr>
        <w:t>城市桥梁工程施工与质量验收规范</w:t>
      </w:r>
      <w:r>
        <w:rPr>
          <w:rFonts w:hint="eastAsia" w:ascii="宋体" w:hAnsi="宋体"/>
          <w:color w:val="auto"/>
          <w:sz w:val="24"/>
          <w:highlight w:val="none"/>
          <w:u w:val="single"/>
        </w:rPr>
        <w:t>》（</w:t>
      </w:r>
      <w:r>
        <w:rPr>
          <w:rFonts w:hint="eastAsia" w:ascii="宋体" w:hAnsi="宋体" w:cs="仿宋_GB2312"/>
          <w:color w:val="auto"/>
          <w:sz w:val="24"/>
          <w:highlight w:val="none"/>
          <w:u w:val="single"/>
        </w:rPr>
        <w:t>CJJ2-2008</w:t>
      </w:r>
      <w:r>
        <w:rPr>
          <w:rFonts w:hint="eastAsia" w:ascii="宋体" w:hAnsi="宋体"/>
          <w:color w:val="auto"/>
          <w:sz w:val="24"/>
          <w:highlight w:val="none"/>
          <w:u w:val="single"/>
        </w:rPr>
        <w:t>）等进行施工和验收。</w:t>
      </w:r>
    </w:p>
    <w:p w14:paraId="136BBD34">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3、在免费保修期内，中标人对有缺陷的部位必须无偿地给予修理与更换，并承担一切由此引起的对招标人或第三者的直接损失，除非该缺陷是由于人为破坏或合同规定的不可抗因素造成的损坏。</w:t>
      </w:r>
    </w:p>
    <w:p w14:paraId="002960B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4、中标人必须对所承包的工程的质量负全部责任，其责任不因其他材料生产商提供的保证书而减轻或更改。</w:t>
      </w:r>
    </w:p>
    <w:p w14:paraId="20D2B1E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5、施工时注意做好必要的劳动保护工作。</w:t>
      </w:r>
    </w:p>
    <w:p w14:paraId="3F4E2A2F">
      <w:pPr>
        <w:spacing w:line="360" w:lineRule="auto"/>
        <w:ind w:left="210" w:leftChars="100" w:firstLine="240" w:firstLine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6.工程管理要求</w:t>
      </w:r>
      <w:r>
        <w:rPr>
          <w:rFonts w:hint="eastAsia" w:ascii="宋体" w:hAnsi="宋体" w:cs="仿宋_GB2312"/>
          <w:color w:val="auto"/>
          <w:sz w:val="24"/>
          <w:highlight w:val="none"/>
          <w:lang w:eastAsia="zh-CN"/>
        </w:rPr>
        <w:t>：</w:t>
      </w:r>
    </w:p>
    <w:p w14:paraId="35B46FAB">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1、依据设计施工图纸和技术文件要求，本工程项目的材料、设备、施工必须达到以下现行中华人民共和国及省、市、行业的一切有关法规、规范的要求，如下述标准及规范要求有出入则以较严格者为准。</w:t>
      </w:r>
    </w:p>
    <w:p w14:paraId="7E4EC9EB">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(1)《2024年天东桥(东风港路)常规定期检测报告》(中城交发咨询集团有限公司2024.5)</w:t>
      </w:r>
      <w:r>
        <w:rPr>
          <w:rFonts w:hint="eastAsia" w:ascii="宋体" w:hAnsi="宋体" w:cs="仿宋_GB2312"/>
          <w:color w:val="auto"/>
          <w:sz w:val="24"/>
          <w:highlight w:val="none"/>
          <w:u w:val="single"/>
          <w:lang w:eastAsia="zh-CN"/>
        </w:rPr>
        <w:t>；</w:t>
      </w:r>
    </w:p>
    <w:p w14:paraId="7CEF7420">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(2)JTG B01-2014《公路工程技术标准》</w:t>
      </w:r>
      <w:r>
        <w:rPr>
          <w:rFonts w:hint="eastAsia" w:ascii="宋体" w:hAnsi="宋体" w:cs="仿宋_GB2312"/>
          <w:color w:val="auto"/>
          <w:sz w:val="24"/>
          <w:highlight w:val="none"/>
          <w:u w:val="single"/>
          <w:lang w:eastAsia="zh-CN"/>
        </w:rPr>
        <w:t>；</w:t>
      </w:r>
    </w:p>
    <w:p w14:paraId="66C4558B">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(3)JTG D60-2015《公路桥涵设计通用规范》</w:t>
      </w:r>
      <w:r>
        <w:rPr>
          <w:rFonts w:hint="eastAsia" w:ascii="宋体" w:hAnsi="宋体" w:cs="仿宋_GB2312"/>
          <w:color w:val="auto"/>
          <w:sz w:val="24"/>
          <w:highlight w:val="none"/>
          <w:u w:val="single"/>
          <w:lang w:eastAsia="zh-CN"/>
        </w:rPr>
        <w:t>；</w:t>
      </w:r>
    </w:p>
    <w:p w14:paraId="1A3D0871">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(4)CJJ11-2011</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2019年版《城市桥梁设计规范》</w:t>
      </w:r>
      <w:r>
        <w:rPr>
          <w:rFonts w:hint="eastAsia" w:ascii="宋体" w:hAnsi="宋体" w:cs="仿宋_GB2312"/>
          <w:color w:val="auto"/>
          <w:sz w:val="24"/>
          <w:highlight w:val="none"/>
          <w:u w:val="single"/>
          <w:lang w:eastAsia="zh-CN"/>
        </w:rPr>
        <w:t>；</w:t>
      </w:r>
    </w:p>
    <w:p w14:paraId="4E067F7B">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(5)JTG/T J22-2008《公路桥梁加固设计规范》;</w:t>
      </w:r>
    </w:p>
    <w:p w14:paraId="37432CA9">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(6)JTG/T J23-2008《公路</w:t>
      </w:r>
      <w:r>
        <w:rPr>
          <w:rFonts w:hint="eastAsia" w:ascii="宋体" w:hAnsi="宋体" w:cs="仿宋_GB2312"/>
          <w:color w:val="auto"/>
          <w:sz w:val="24"/>
          <w:highlight w:val="none"/>
          <w:u w:val="single"/>
          <w:lang w:val="en-US" w:eastAsia="zh-CN"/>
        </w:rPr>
        <w:t>桥梁</w:t>
      </w:r>
      <w:r>
        <w:rPr>
          <w:rFonts w:hint="eastAsia" w:ascii="宋体" w:hAnsi="宋体" w:cs="仿宋_GB2312"/>
          <w:color w:val="auto"/>
          <w:sz w:val="24"/>
          <w:highlight w:val="none"/>
          <w:u w:val="single"/>
        </w:rPr>
        <w:t>加固施工技术规范》:</w:t>
      </w:r>
    </w:p>
    <w:p w14:paraId="5E7D7C5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(7)JTG F80-1--2017《公路工程质量检验评定标准》;</w:t>
      </w:r>
    </w:p>
    <w:p w14:paraId="546D8AF0">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(8)JTG 5120-2021《公路桥涵养护规范》</w:t>
      </w:r>
      <w:r>
        <w:rPr>
          <w:rFonts w:hint="eastAsia" w:ascii="宋体" w:hAnsi="宋体" w:cs="仿宋_GB2312"/>
          <w:color w:val="auto"/>
          <w:sz w:val="24"/>
          <w:highlight w:val="none"/>
          <w:u w:val="single"/>
          <w:lang w:eastAsia="zh-CN"/>
        </w:rPr>
        <w:t>；</w:t>
      </w:r>
    </w:p>
    <w:p w14:paraId="205EB818">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(9)GB50367-2013《混凝土结构加固设计规范》</w:t>
      </w:r>
      <w:r>
        <w:rPr>
          <w:rFonts w:hint="eastAsia" w:ascii="宋体" w:hAnsi="宋体" w:cs="仿宋_GB2312"/>
          <w:color w:val="auto"/>
          <w:sz w:val="24"/>
          <w:highlight w:val="none"/>
          <w:u w:val="single"/>
          <w:lang w:eastAsia="zh-CN"/>
        </w:rPr>
        <w:t>；</w:t>
      </w:r>
    </w:p>
    <w:p w14:paraId="47806C7D">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(10)CJJ99-2017《城市桥梁养护技术</w:t>
      </w:r>
      <w:r>
        <w:rPr>
          <w:rFonts w:hint="eastAsia" w:ascii="宋体" w:hAnsi="宋体" w:cs="仿宋_GB2312"/>
          <w:color w:val="auto"/>
          <w:sz w:val="24"/>
          <w:highlight w:val="none"/>
          <w:u w:val="single"/>
          <w:lang w:val="en-US" w:eastAsia="zh-CN"/>
        </w:rPr>
        <w:t>标准</w:t>
      </w:r>
      <w:r>
        <w:rPr>
          <w:rFonts w:hint="eastAsia" w:ascii="宋体" w:hAnsi="宋体" w:cs="仿宋_GB2312"/>
          <w:color w:val="auto"/>
          <w:sz w:val="24"/>
          <w:highlight w:val="none"/>
          <w:u w:val="single"/>
        </w:rPr>
        <w:t>》</w:t>
      </w:r>
      <w:r>
        <w:rPr>
          <w:rFonts w:hint="eastAsia" w:ascii="宋体" w:hAnsi="宋体" w:cs="仿宋_GB2312"/>
          <w:color w:val="auto"/>
          <w:sz w:val="24"/>
          <w:highlight w:val="none"/>
          <w:u w:val="single"/>
          <w:lang w:eastAsia="zh-CN"/>
        </w:rPr>
        <w:t>；</w:t>
      </w:r>
    </w:p>
    <w:p w14:paraId="3C1F5109">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(11)CJJ2-2008《城市桥梁工程施工与质量验收规范》</w:t>
      </w:r>
      <w:r>
        <w:rPr>
          <w:rFonts w:hint="eastAsia" w:ascii="宋体" w:hAnsi="宋体" w:cs="仿宋_GB2312"/>
          <w:color w:val="auto"/>
          <w:sz w:val="24"/>
          <w:highlight w:val="none"/>
          <w:u w:val="single"/>
          <w:lang w:eastAsia="zh-CN"/>
        </w:rPr>
        <w:t>；</w:t>
      </w:r>
    </w:p>
    <w:p w14:paraId="1A387A0C">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(12)JTG/TH21-2011《公路桥梁技术状况评定标准》</w:t>
      </w:r>
      <w:r>
        <w:rPr>
          <w:rFonts w:hint="eastAsia" w:ascii="宋体" w:hAnsi="宋体" w:cs="仿宋_GB2312"/>
          <w:color w:val="auto"/>
          <w:sz w:val="24"/>
          <w:highlight w:val="none"/>
          <w:u w:val="single"/>
          <w:lang w:eastAsia="zh-CN"/>
        </w:rPr>
        <w:t>；</w:t>
      </w:r>
    </w:p>
    <w:p w14:paraId="165C03F7">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(13)JTG 3362-2018《公路钢筋混凝土及预应力混凝土桥涵设计规范》</w:t>
      </w:r>
      <w:r>
        <w:rPr>
          <w:rFonts w:hint="eastAsia" w:ascii="宋体" w:hAnsi="宋体" w:cs="仿宋_GB2312"/>
          <w:color w:val="auto"/>
          <w:sz w:val="24"/>
          <w:highlight w:val="none"/>
          <w:u w:val="single"/>
          <w:lang w:eastAsia="zh-CN"/>
        </w:rPr>
        <w:t>；</w:t>
      </w:r>
    </w:p>
    <w:p w14:paraId="2A892B2E">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(14)JTG/T J21-2011《公路桥梁承载能力检测评定规程》</w:t>
      </w:r>
      <w:r>
        <w:rPr>
          <w:rFonts w:hint="eastAsia" w:ascii="宋体" w:hAnsi="宋体" w:cs="仿宋_GB2312"/>
          <w:color w:val="auto"/>
          <w:sz w:val="24"/>
          <w:highlight w:val="none"/>
          <w:u w:val="single"/>
          <w:lang w:eastAsia="zh-CN"/>
        </w:rPr>
        <w:t>；</w:t>
      </w:r>
    </w:p>
    <w:p w14:paraId="502899DA">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(15)老桥设计资料</w:t>
      </w:r>
      <w:r>
        <w:rPr>
          <w:rFonts w:hint="eastAsia" w:ascii="宋体" w:hAnsi="宋体" w:cs="仿宋_GB2312"/>
          <w:color w:val="auto"/>
          <w:sz w:val="24"/>
          <w:highlight w:val="none"/>
          <w:u w:val="single"/>
          <w:lang w:eastAsia="zh-CN"/>
        </w:rPr>
        <w:t>；</w:t>
      </w:r>
    </w:p>
    <w:p w14:paraId="73508B4B">
      <w:pPr>
        <w:spacing w:line="360" w:lineRule="auto"/>
        <w:ind w:left="210" w:leftChars="100"/>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u w:val="single"/>
        </w:rPr>
        <w:t>(16)《中华人民共和国工程建设标准强制性条文(城镇建设部分)》(2013)</w:t>
      </w:r>
      <w:r>
        <w:rPr>
          <w:rFonts w:hint="eastAsia" w:ascii="宋体" w:hAnsi="宋体" w:cs="仿宋_GB2312"/>
          <w:color w:val="auto"/>
          <w:sz w:val="24"/>
          <w:highlight w:val="none"/>
          <w:u w:val="single"/>
          <w:lang w:eastAsia="zh-CN"/>
        </w:rPr>
        <w:t>；</w:t>
      </w:r>
    </w:p>
    <w:p w14:paraId="1A7D950C">
      <w:pPr>
        <w:spacing w:line="360" w:lineRule="auto"/>
        <w:ind w:firstLine="240" w:firstLineChars="100"/>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lang w:val="en-US" w:eastAsia="zh-CN"/>
        </w:rPr>
        <w:t>17</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lang w:val="en-US" w:eastAsia="zh-CN"/>
        </w:rPr>
        <w:t>建筑与市政工程施工质量控制通用规范</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lang w:val="en-US" w:eastAsia="zh-CN"/>
        </w:rPr>
        <w:t>GB55032-2022。</w:t>
      </w:r>
    </w:p>
    <w:p w14:paraId="6002295F">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以及不限于上述罗列的其它的相关规范。</w:t>
      </w:r>
    </w:p>
    <w:p w14:paraId="48406592">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 以上技术规范由</w:t>
      </w:r>
      <w:r>
        <w:rPr>
          <w:rFonts w:hint="eastAsia" w:ascii="宋体" w:hAnsi="宋体" w:cs="仿宋_GB2312"/>
          <w:color w:val="auto"/>
          <w:sz w:val="24"/>
          <w:highlight w:val="none"/>
          <w:u w:val="single"/>
          <w:lang w:val="en-US" w:eastAsia="zh-CN"/>
        </w:rPr>
        <w:t>供应商</w:t>
      </w:r>
      <w:r>
        <w:rPr>
          <w:rFonts w:hint="eastAsia" w:ascii="宋体" w:hAnsi="宋体" w:cs="仿宋_GB2312"/>
          <w:color w:val="auto"/>
          <w:sz w:val="24"/>
          <w:highlight w:val="none"/>
          <w:u w:val="single"/>
        </w:rPr>
        <w:t>自备，如有不足之处或未能达到国家最新标准时，</w:t>
      </w:r>
      <w:r>
        <w:rPr>
          <w:rFonts w:hint="eastAsia" w:ascii="宋体" w:hAnsi="宋体" w:cs="仿宋_GB2312"/>
          <w:color w:val="auto"/>
          <w:sz w:val="24"/>
          <w:highlight w:val="none"/>
          <w:u w:val="single"/>
          <w:lang w:val="en-US" w:eastAsia="zh-CN"/>
        </w:rPr>
        <w:t>供应商</w:t>
      </w:r>
      <w:r>
        <w:rPr>
          <w:rFonts w:hint="eastAsia" w:ascii="宋体" w:hAnsi="宋体" w:cs="仿宋_GB2312"/>
          <w:color w:val="auto"/>
          <w:sz w:val="24"/>
          <w:highlight w:val="none"/>
          <w:u w:val="single"/>
        </w:rPr>
        <w:t>应使施工及选用的设备和材料符合最新版本的国家标准、规范。</w:t>
      </w:r>
    </w:p>
    <w:p w14:paraId="330FE89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2、对施工工艺的特殊要求：详见施工图纸及有关规范。</w:t>
      </w:r>
    </w:p>
    <w:p w14:paraId="51F55232">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3、成交单位应在合同签订时提供施工组织设计；</w:t>
      </w:r>
    </w:p>
    <w:p w14:paraId="64DD8E85">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4、</w:t>
      </w:r>
      <w:r>
        <w:rPr>
          <w:rFonts w:hint="eastAsia" w:ascii="宋体" w:hAnsi="宋体" w:cs="仿宋_GB2312"/>
          <w:color w:val="auto"/>
          <w:sz w:val="24"/>
          <w:highlight w:val="none"/>
          <w:u w:val="single"/>
        </w:rPr>
        <w:t>本工程发包范围内的工程项目，未经采购人同意一律不得分包。一经发现立即取消承包资格，作违约处理，并承担由此引起的一切经济损失。</w:t>
      </w:r>
    </w:p>
    <w:p w14:paraId="589DF66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5、</w:t>
      </w:r>
      <w:r>
        <w:rPr>
          <w:rFonts w:hint="eastAsia" w:ascii="宋体" w:hAnsi="宋体" w:cs="仿宋_GB2312"/>
          <w:color w:val="auto"/>
          <w:sz w:val="24"/>
          <w:highlight w:val="none"/>
          <w:u w:val="single"/>
        </w:rPr>
        <w:t>中标人应严格按已确认施工技术方案组织施工，并无条件地接受采购人代表对施工质量的监督和管理。</w:t>
      </w:r>
    </w:p>
    <w:p w14:paraId="1F305274">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6、</w:t>
      </w:r>
      <w:r>
        <w:rPr>
          <w:rFonts w:hint="eastAsia" w:ascii="宋体" w:hAnsi="宋体" w:cs="仿宋_GB2312"/>
          <w:color w:val="auto"/>
          <w:sz w:val="24"/>
          <w:highlight w:val="none"/>
          <w:u w:val="single"/>
        </w:rPr>
        <w:t>中标人在工程施工全过程中要认真做好产品保护。因失窃或失火造成的损失均由承包方负责，凡由此而损及采购人利益时，采购人将向中标施工单位索赔。</w:t>
      </w:r>
    </w:p>
    <w:p w14:paraId="39B9C7A1">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7</w:t>
      </w:r>
      <w:r>
        <w:rPr>
          <w:rFonts w:hint="eastAsia" w:ascii="宋体" w:hAnsi="宋体" w:cs="仿宋_GB2312"/>
          <w:color w:val="auto"/>
          <w:sz w:val="24"/>
          <w:highlight w:val="none"/>
          <w:u w:val="single"/>
        </w:rPr>
        <w:t>、本工程改造过程中非施工区域施工人员不得入内，改造过程中需树立警示牌，并对施工区域进行封闭维护，施工期间一切的安全责任由供应商自行承担，相关费用考虑在投标报价中。</w:t>
      </w:r>
    </w:p>
    <w:p w14:paraId="62881D55">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5D15B934">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材料选择：本工程使用的原材料必须符合设计要求和施工规范的规定。实际施工过程中，</w:t>
      </w:r>
      <w:r>
        <w:rPr>
          <w:rFonts w:hint="eastAsia" w:ascii="宋体" w:hAnsi="宋体" w:cs="仿宋_GB2312"/>
          <w:b/>
          <w:bCs/>
          <w:color w:val="auto"/>
          <w:sz w:val="24"/>
          <w:highlight w:val="none"/>
          <w:u w:val="single"/>
          <w:lang w:val="en-US" w:eastAsia="zh-CN"/>
        </w:rPr>
        <w:t>采购人</w:t>
      </w:r>
      <w:r>
        <w:rPr>
          <w:rFonts w:hint="eastAsia" w:ascii="宋体" w:hAnsi="宋体" w:cs="仿宋_GB2312"/>
          <w:b/>
          <w:bCs/>
          <w:color w:val="auto"/>
          <w:sz w:val="24"/>
          <w:highlight w:val="none"/>
          <w:u w:val="single"/>
        </w:rPr>
        <w:t>将严格检查验收进场原材料的合格证及质保书，如发现实样与质保书不符，施工单位应配合</w:t>
      </w:r>
      <w:r>
        <w:rPr>
          <w:rFonts w:hint="eastAsia" w:ascii="宋体" w:hAnsi="宋体" w:cs="仿宋_GB2312"/>
          <w:b/>
          <w:bCs/>
          <w:color w:val="auto"/>
          <w:sz w:val="24"/>
          <w:highlight w:val="none"/>
          <w:u w:val="single"/>
          <w:lang w:val="en-US" w:eastAsia="zh-CN"/>
        </w:rPr>
        <w:t>采购人</w:t>
      </w:r>
      <w:r>
        <w:rPr>
          <w:rFonts w:hint="eastAsia" w:ascii="宋体" w:hAnsi="宋体" w:cs="仿宋_GB2312"/>
          <w:b/>
          <w:bCs/>
          <w:color w:val="auto"/>
          <w:sz w:val="24"/>
          <w:highlight w:val="none"/>
          <w:u w:val="single"/>
        </w:rPr>
        <w:t>立即取样进行复查，对不合格的材料严禁用于本工程。</w:t>
      </w:r>
    </w:p>
    <w:p w14:paraId="0E9CF4D1">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2、材料的质量保证</w:t>
      </w:r>
    </w:p>
    <w:p w14:paraId="34A2E269">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（1）在免费保修期内，中标人对有缺陷的部位必须无偿地给予修理与更换，并承担一切由此引起的对采购人或第三者的直接损失，除非该缺陷是由于人为破坏或合同规定的不可抗因素造成的损坏。</w:t>
      </w:r>
    </w:p>
    <w:p w14:paraId="25563331">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（2）中标人必须对所承包工程的质量负全部责任，其责任不因其他材料生产商提供的保证书而减轻或更改。</w:t>
      </w:r>
    </w:p>
    <w:p w14:paraId="70330323">
      <w:pPr>
        <w:rPr>
          <w:rFonts w:hint="eastAsia" w:ascii="宋体" w:hAnsi="宋体" w:cs="仿宋_GB2312"/>
          <w:b/>
          <w:bCs/>
          <w:color w:val="auto"/>
          <w:sz w:val="24"/>
          <w:highlight w:val="none"/>
          <w:u w:val="single"/>
          <w:lang w:val="en-US" w:eastAsia="zh-CN"/>
        </w:rPr>
      </w:pPr>
      <w:r>
        <w:rPr>
          <w:rFonts w:hint="eastAsia" w:ascii="宋体" w:hAnsi="宋体" w:cs="仿宋_GB2312"/>
          <w:b/>
          <w:bCs/>
          <w:color w:val="auto"/>
          <w:sz w:val="24"/>
          <w:highlight w:val="none"/>
          <w:u w:val="single"/>
          <w:lang w:val="en-US" w:eastAsia="zh-CN"/>
        </w:rPr>
        <w:t>3、本项目涉及护栏施工完毕后，由采购人委托第三方质检机构，对不锈钢护栏的焊缝、涂层等进行检测，如有检测不合格等问题，供应商应及时更正，直至达到检测合格为止，整改费用由供应商承担。</w:t>
      </w:r>
    </w:p>
    <w:p w14:paraId="7D05B1B5">
      <w:pPr>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60日历天</w:t>
      </w:r>
    </w:p>
    <w:p w14:paraId="2B0F8FA8">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仿宋_GB2312"/>
          <w:color w:val="auto"/>
          <w:sz w:val="24"/>
          <w:highlight w:val="none"/>
          <w:u w:val="single"/>
        </w:rPr>
        <w:t>上城区天东桥（东风港路）</w:t>
      </w:r>
    </w:p>
    <w:p w14:paraId="1704CF94">
      <w:pPr>
        <w:spacing w:line="360" w:lineRule="auto"/>
        <w:ind w:left="210" w:leftChars="100"/>
        <w:jc w:val="left"/>
        <w:rPr>
          <w:rFonts w:hint="default" w:eastAsia="宋体"/>
          <w:color w:val="auto"/>
          <w:highlight w:val="none"/>
          <w:lang w:val="en-US" w:eastAsia="zh-CN"/>
        </w:rPr>
      </w:pPr>
      <w:r>
        <w:rPr>
          <w:rFonts w:hint="eastAsia" w:ascii="宋体" w:hAnsi="宋体" w:cs="仿宋_GB2312"/>
          <w:color w:val="auto"/>
          <w:sz w:val="24"/>
          <w:highlight w:val="none"/>
        </w:rPr>
        <w:t>3.付款条件（进度和方式）</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详见施工合同要求。</w:t>
      </w:r>
    </w:p>
    <w:p w14:paraId="0BD03176">
      <w:pPr>
        <w:rPr>
          <w:rFonts w:ascii="宋体" w:hAnsi="宋体" w:cs="宋体"/>
          <w:snapToGrid w:val="0"/>
          <w:color w:val="auto"/>
          <w:kern w:val="0"/>
          <w:sz w:val="24"/>
          <w:highlight w:val="none"/>
        </w:rPr>
      </w:pP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0" w:name="_Toc184308067"/>
      <w:bookmarkEnd w:id="30"/>
      <w:bookmarkStart w:id="31" w:name="_Toc184310281"/>
      <w:bookmarkEnd w:id="31"/>
      <w:bookmarkStart w:id="32" w:name="_Toc184308100"/>
      <w:bookmarkEnd w:id="32"/>
      <w:bookmarkStart w:id="33" w:name="_Toc184313283"/>
      <w:bookmarkEnd w:id="33"/>
      <w:bookmarkStart w:id="34" w:name="_Toc184310277"/>
      <w:bookmarkEnd w:id="34"/>
      <w:bookmarkStart w:id="35" w:name="_Toc184308057"/>
      <w:bookmarkEnd w:id="35"/>
      <w:bookmarkStart w:id="36" w:name="_Toc184310289"/>
      <w:bookmarkEnd w:id="36"/>
      <w:bookmarkStart w:id="37" w:name="_Toc184312072"/>
      <w:bookmarkEnd w:id="37"/>
      <w:bookmarkStart w:id="38" w:name="_Toc184314428"/>
      <w:bookmarkEnd w:id="38"/>
      <w:bookmarkStart w:id="39" w:name="_Toc184314451"/>
      <w:bookmarkEnd w:id="39"/>
      <w:bookmarkStart w:id="40" w:name="_Toc184308090"/>
      <w:bookmarkEnd w:id="40"/>
      <w:bookmarkStart w:id="41" w:name="_Toc184310321"/>
      <w:bookmarkEnd w:id="41"/>
      <w:bookmarkStart w:id="42" w:name="_Toc184310343"/>
      <w:bookmarkEnd w:id="42"/>
      <w:bookmarkStart w:id="43" w:name="_Toc184313295"/>
      <w:bookmarkEnd w:id="43"/>
      <w:bookmarkStart w:id="44" w:name="_Toc184312115"/>
      <w:bookmarkEnd w:id="44"/>
      <w:bookmarkStart w:id="45" w:name="_Toc184312100"/>
      <w:bookmarkEnd w:id="45"/>
      <w:bookmarkStart w:id="46" w:name="_Toc184313296"/>
      <w:bookmarkEnd w:id="46"/>
      <w:bookmarkStart w:id="47" w:name="_Toc184312098"/>
      <w:bookmarkEnd w:id="47"/>
      <w:bookmarkStart w:id="48" w:name="_Toc184313246"/>
      <w:bookmarkEnd w:id="48"/>
      <w:bookmarkStart w:id="49" w:name="_Toc184310295"/>
      <w:bookmarkEnd w:id="49"/>
      <w:bookmarkStart w:id="50" w:name="_Toc184314473"/>
      <w:bookmarkEnd w:id="50"/>
      <w:bookmarkStart w:id="51" w:name="_Toc184312113"/>
      <w:bookmarkEnd w:id="51"/>
      <w:bookmarkStart w:id="52" w:name="_Toc184308095"/>
      <w:bookmarkEnd w:id="52"/>
      <w:bookmarkStart w:id="53" w:name="_Toc184310274"/>
      <w:bookmarkEnd w:id="53"/>
      <w:bookmarkStart w:id="54" w:name="_Toc184314472"/>
      <w:bookmarkEnd w:id="54"/>
      <w:bookmarkStart w:id="55" w:name="_Toc184313238"/>
      <w:bookmarkEnd w:id="55"/>
      <w:bookmarkStart w:id="56" w:name="_Toc184313301"/>
      <w:bookmarkEnd w:id="56"/>
      <w:bookmarkStart w:id="57" w:name="_Toc184314418"/>
      <w:bookmarkEnd w:id="57"/>
      <w:bookmarkStart w:id="58" w:name="_Toc184314476"/>
      <w:bookmarkEnd w:id="58"/>
      <w:bookmarkStart w:id="59" w:name="_Toc184314456"/>
      <w:bookmarkEnd w:id="59"/>
      <w:bookmarkStart w:id="60" w:name="_Toc184308103"/>
      <w:bookmarkEnd w:id="60"/>
      <w:bookmarkStart w:id="61" w:name="_Toc184314426"/>
      <w:bookmarkEnd w:id="61"/>
      <w:bookmarkStart w:id="62" w:name="_Toc184310305"/>
      <w:bookmarkEnd w:id="62"/>
      <w:bookmarkStart w:id="63" w:name="_Toc184313269"/>
      <w:bookmarkEnd w:id="63"/>
      <w:bookmarkStart w:id="64" w:name="_Toc184310284"/>
      <w:bookmarkEnd w:id="64"/>
      <w:bookmarkStart w:id="65" w:name="_Toc184312124"/>
      <w:bookmarkEnd w:id="65"/>
      <w:bookmarkStart w:id="66" w:name="_Toc184308098"/>
      <w:bookmarkEnd w:id="66"/>
      <w:bookmarkStart w:id="67" w:name="_Toc184310309"/>
      <w:bookmarkEnd w:id="67"/>
      <w:bookmarkStart w:id="68" w:name="_Toc184313241"/>
      <w:bookmarkEnd w:id="68"/>
      <w:bookmarkStart w:id="69" w:name="_Toc184314449"/>
      <w:bookmarkEnd w:id="69"/>
      <w:bookmarkStart w:id="70" w:name="_Toc184308053"/>
      <w:bookmarkEnd w:id="70"/>
      <w:bookmarkStart w:id="71" w:name="_Toc184314469"/>
      <w:bookmarkEnd w:id="71"/>
      <w:bookmarkStart w:id="72" w:name="_Toc184310273"/>
      <w:bookmarkEnd w:id="72"/>
      <w:bookmarkStart w:id="73" w:name="_Toc184312128"/>
      <w:bookmarkEnd w:id="73"/>
      <w:bookmarkStart w:id="74" w:name="_Toc184312112"/>
      <w:bookmarkEnd w:id="74"/>
      <w:bookmarkStart w:id="75" w:name="_Toc184312080"/>
      <w:bookmarkEnd w:id="75"/>
      <w:bookmarkStart w:id="76" w:name="_Toc184308078"/>
      <w:bookmarkEnd w:id="76"/>
      <w:bookmarkStart w:id="77" w:name="_Toc184313281"/>
      <w:bookmarkEnd w:id="77"/>
      <w:bookmarkStart w:id="78" w:name="_Toc184310290"/>
      <w:bookmarkEnd w:id="78"/>
      <w:bookmarkStart w:id="79" w:name="_Toc184312095"/>
      <w:bookmarkEnd w:id="79"/>
      <w:bookmarkStart w:id="80" w:name="_Toc184310306"/>
      <w:bookmarkEnd w:id="80"/>
      <w:bookmarkStart w:id="81" w:name="_Toc184308069"/>
      <w:bookmarkEnd w:id="81"/>
      <w:bookmarkStart w:id="82" w:name="_Toc184314453"/>
      <w:bookmarkEnd w:id="82"/>
      <w:bookmarkStart w:id="83" w:name="_Toc184312071"/>
      <w:bookmarkEnd w:id="83"/>
      <w:bookmarkStart w:id="84" w:name="_Toc184313284"/>
      <w:bookmarkEnd w:id="84"/>
      <w:bookmarkStart w:id="85" w:name="_Toc184314435"/>
      <w:bookmarkEnd w:id="85"/>
      <w:bookmarkStart w:id="86" w:name="_Toc184314474"/>
      <w:bookmarkEnd w:id="86"/>
      <w:bookmarkStart w:id="87" w:name="_Toc184310301"/>
      <w:bookmarkEnd w:id="87"/>
      <w:bookmarkStart w:id="88" w:name="_Toc184313244"/>
      <w:bookmarkEnd w:id="88"/>
      <w:bookmarkStart w:id="89" w:name="_Toc184310317"/>
      <w:bookmarkEnd w:id="89"/>
      <w:bookmarkStart w:id="90" w:name="_Toc184310325"/>
      <w:bookmarkEnd w:id="90"/>
      <w:bookmarkStart w:id="91" w:name="_Toc184314431"/>
      <w:bookmarkEnd w:id="91"/>
      <w:bookmarkStart w:id="92" w:name="_Toc184314480"/>
      <w:bookmarkEnd w:id="92"/>
      <w:bookmarkStart w:id="93" w:name="_Toc184310310"/>
      <w:bookmarkEnd w:id="93"/>
      <w:bookmarkStart w:id="94" w:name="_Toc184312082"/>
      <w:bookmarkEnd w:id="94"/>
      <w:bookmarkStart w:id="95" w:name="_Toc184314439"/>
      <w:bookmarkEnd w:id="95"/>
      <w:bookmarkStart w:id="96" w:name="_Toc184308072"/>
      <w:bookmarkEnd w:id="96"/>
      <w:bookmarkStart w:id="97" w:name="_Toc184308102"/>
      <w:bookmarkEnd w:id="97"/>
      <w:bookmarkStart w:id="98" w:name="_Toc184310334"/>
      <w:bookmarkEnd w:id="98"/>
      <w:bookmarkStart w:id="99" w:name="_Toc184313272"/>
      <w:bookmarkEnd w:id="99"/>
      <w:bookmarkStart w:id="100" w:name="_Toc184308079"/>
      <w:bookmarkEnd w:id="100"/>
      <w:bookmarkStart w:id="101" w:name="_Toc184314411"/>
      <w:bookmarkEnd w:id="101"/>
      <w:bookmarkStart w:id="102" w:name="_Toc184312105"/>
      <w:bookmarkEnd w:id="102"/>
      <w:bookmarkStart w:id="103" w:name="_Toc184310303"/>
      <w:bookmarkEnd w:id="103"/>
      <w:bookmarkStart w:id="104" w:name="_Toc184313303"/>
      <w:bookmarkEnd w:id="104"/>
      <w:bookmarkStart w:id="105" w:name="_Toc184314434"/>
      <w:bookmarkEnd w:id="105"/>
      <w:bookmarkStart w:id="106" w:name="_Toc184312108"/>
      <w:bookmarkEnd w:id="106"/>
      <w:bookmarkStart w:id="107" w:name="_Toc184313305"/>
      <w:bookmarkEnd w:id="107"/>
      <w:bookmarkStart w:id="108" w:name="_Toc184308041"/>
      <w:bookmarkEnd w:id="108"/>
      <w:bookmarkStart w:id="109" w:name="_Toc184312119"/>
      <w:bookmarkEnd w:id="109"/>
      <w:bookmarkStart w:id="110" w:name="_Toc184310280"/>
      <w:bookmarkEnd w:id="110"/>
      <w:bookmarkStart w:id="111" w:name="_Toc184310285"/>
      <w:bookmarkEnd w:id="111"/>
      <w:bookmarkStart w:id="112" w:name="_Toc184314468"/>
      <w:bookmarkEnd w:id="112"/>
      <w:bookmarkStart w:id="113" w:name="_Toc184308050"/>
      <w:bookmarkEnd w:id="113"/>
      <w:bookmarkStart w:id="114" w:name="_Toc184312067"/>
      <w:bookmarkEnd w:id="114"/>
      <w:bookmarkStart w:id="115" w:name="_Toc184308054"/>
      <w:bookmarkEnd w:id="115"/>
      <w:bookmarkStart w:id="116" w:name="_Toc184313299"/>
      <w:bookmarkEnd w:id="116"/>
      <w:bookmarkStart w:id="117" w:name="_Toc184310342"/>
      <w:bookmarkEnd w:id="117"/>
      <w:bookmarkStart w:id="118" w:name="_Toc184308094"/>
      <w:bookmarkEnd w:id="118"/>
      <w:bookmarkStart w:id="119" w:name="_Toc184313302"/>
      <w:bookmarkEnd w:id="119"/>
      <w:bookmarkStart w:id="120" w:name="_Toc184308106"/>
      <w:bookmarkEnd w:id="120"/>
      <w:bookmarkStart w:id="121" w:name="_Toc184312118"/>
      <w:bookmarkEnd w:id="121"/>
      <w:bookmarkStart w:id="122" w:name="_Toc184312085"/>
      <w:bookmarkEnd w:id="122"/>
      <w:bookmarkStart w:id="123" w:name="_Toc184313297"/>
      <w:bookmarkEnd w:id="123"/>
      <w:bookmarkStart w:id="124" w:name="_Toc184312083"/>
      <w:bookmarkEnd w:id="124"/>
      <w:bookmarkStart w:id="125" w:name="_Toc184312123"/>
      <w:bookmarkEnd w:id="125"/>
      <w:bookmarkStart w:id="126" w:name="_Toc184313253"/>
      <w:bookmarkEnd w:id="126"/>
      <w:bookmarkStart w:id="127" w:name="_Toc184313287"/>
      <w:bookmarkEnd w:id="127"/>
      <w:bookmarkStart w:id="128" w:name="_Toc184313252"/>
      <w:bookmarkEnd w:id="128"/>
      <w:bookmarkStart w:id="129" w:name="_Toc184310300"/>
      <w:bookmarkEnd w:id="129"/>
      <w:bookmarkStart w:id="130" w:name="_Toc184308074"/>
      <w:bookmarkEnd w:id="130"/>
      <w:bookmarkStart w:id="131" w:name="_Toc184310291"/>
      <w:bookmarkEnd w:id="131"/>
      <w:bookmarkStart w:id="132" w:name="_Toc184310318"/>
      <w:bookmarkEnd w:id="132"/>
      <w:bookmarkStart w:id="133" w:name="_Toc184310320"/>
      <w:bookmarkEnd w:id="133"/>
      <w:bookmarkStart w:id="134" w:name="_Toc184312068"/>
      <w:bookmarkEnd w:id="134"/>
      <w:bookmarkStart w:id="135" w:name="_Toc184312081"/>
      <w:bookmarkEnd w:id="135"/>
      <w:bookmarkStart w:id="136" w:name="_Toc184313308"/>
      <w:bookmarkEnd w:id="136"/>
      <w:bookmarkStart w:id="137" w:name="_Toc184312104"/>
      <w:bookmarkEnd w:id="137"/>
      <w:bookmarkStart w:id="138" w:name="_Toc184312135"/>
      <w:bookmarkEnd w:id="138"/>
      <w:bookmarkStart w:id="139" w:name="_Toc184313292"/>
      <w:bookmarkEnd w:id="139"/>
      <w:bookmarkStart w:id="140" w:name="_Toc184314423"/>
      <w:bookmarkEnd w:id="140"/>
      <w:bookmarkStart w:id="141" w:name="_Toc184314481"/>
      <w:bookmarkEnd w:id="141"/>
      <w:bookmarkStart w:id="142" w:name="_Toc184310338"/>
      <w:bookmarkEnd w:id="142"/>
      <w:bookmarkStart w:id="143" w:name="_Toc184312107"/>
      <w:bookmarkEnd w:id="143"/>
      <w:bookmarkStart w:id="144" w:name="_Toc184313294"/>
      <w:bookmarkEnd w:id="144"/>
      <w:bookmarkStart w:id="145" w:name="_Toc184314479"/>
      <w:bookmarkEnd w:id="145"/>
      <w:bookmarkStart w:id="146" w:name="_Toc184310299"/>
      <w:bookmarkEnd w:id="146"/>
      <w:bookmarkStart w:id="147" w:name="_Toc184310292"/>
      <w:bookmarkEnd w:id="147"/>
      <w:bookmarkStart w:id="148" w:name="_Toc184308076"/>
      <w:bookmarkEnd w:id="148"/>
      <w:bookmarkStart w:id="149" w:name="_Toc184312109"/>
      <w:bookmarkEnd w:id="149"/>
      <w:bookmarkStart w:id="150" w:name="_Toc184312079"/>
      <w:bookmarkEnd w:id="150"/>
      <w:bookmarkStart w:id="151" w:name="_Toc184313267"/>
      <w:bookmarkEnd w:id="151"/>
      <w:bookmarkStart w:id="152" w:name="_Toc184313268"/>
      <w:bookmarkEnd w:id="152"/>
      <w:bookmarkStart w:id="153" w:name="_Toc184313309"/>
      <w:bookmarkEnd w:id="153"/>
      <w:bookmarkStart w:id="154" w:name="_Toc184314482"/>
      <w:bookmarkEnd w:id="154"/>
      <w:bookmarkStart w:id="155" w:name="_Toc184314460"/>
      <w:bookmarkEnd w:id="155"/>
      <w:bookmarkStart w:id="156" w:name="_Toc184314448"/>
      <w:bookmarkEnd w:id="156"/>
      <w:bookmarkStart w:id="157" w:name="_Toc184314457"/>
      <w:bookmarkEnd w:id="157"/>
      <w:bookmarkStart w:id="158" w:name="_Toc184308087"/>
      <w:bookmarkEnd w:id="158"/>
      <w:bookmarkStart w:id="159" w:name="_Toc184314420"/>
      <w:bookmarkEnd w:id="159"/>
      <w:bookmarkStart w:id="160" w:name="_Toc184310341"/>
      <w:bookmarkEnd w:id="160"/>
      <w:bookmarkStart w:id="161" w:name="_Toc184313262"/>
      <w:bookmarkEnd w:id="161"/>
      <w:bookmarkStart w:id="162" w:name="_Toc184313277"/>
      <w:bookmarkEnd w:id="162"/>
      <w:bookmarkStart w:id="163" w:name="_Toc184313282"/>
      <w:bookmarkEnd w:id="163"/>
      <w:bookmarkStart w:id="164" w:name="_Toc184312121"/>
      <w:bookmarkEnd w:id="164"/>
      <w:bookmarkStart w:id="165" w:name="_Toc184313247"/>
      <w:bookmarkEnd w:id="165"/>
      <w:bookmarkStart w:id="166" w:name="_Toc184312074"/>
      <w:bookmarkEnd w:id="166"/>
      <w:bookmarkStart w:id="167" w:name="_Toc184310288"/>
      <w:bookmarkEnd w:id="167"/>
      <w:bookmarkStart w:id="168" w:name="_Toc184313271"/>
      <w:bookmarkEnd w:id="168"/>
      <w:bookmarkStart w:id="169" w:name="_Toc184314440"/>
      <w:bookmarkEnd w:id="169"/>
      <w:bookmarkStart w:id="170" w:name="_Toc184314464"/>
      <w:bookmarkEnd w:id="170"/>
      <w:bookmarkStart w:id="171" w:name="_Toc184314477"/>
      <w:bookmarkEnd w:id="171"/>
      <w:bookmarkStart w:id="172" w:name="_Toc184310304"/>
      <w:bookmarkEnd w:id="172"/>
      <w:bookmarkStart w:id="173" w:name="_Toc184312117"/>
      <w:bookmarkEnd w:id="173"/>
      <w:bookmarkStart w:id="174" w:name="_Toc184312093"/>
      <w:bookmarkEnd w:id="174"/>
      <w:bookmarkStart w:id="175" w:name="_Toc184314421"/>
      <w:bookmarkEnd w:id="175"/>
      <w:bookmarkStart w:id="176" w:name="_Toc184308082"/>
      <w:bookmarkEnd w:id="176"/>
      <w:bookmarkStart w:id="177" w:name="_Toc184313278"/>
      <w:bookmarkEnd w:id="177"/>
      <w:bookmarkStart w:id="178" w:name="_Toc184308080"/>
      <w:bookmarkEnd w:id="178"/>
      <w:bookmarkStart w:id="179" w:name="_Toc184310332"/>
      <w:bookmarkEnd w:id="179"/>
      <w:bookmarkStart w:id="180" w:name="_Toc184312086"/>
      <w:bookmarkEnd w:id="180"/>
      <w:bookmarkStart w:id="181" w:name="_Toc184312078"/>
      <w:bookmarkEnd w:id="181"/>
      <w:bookmarkStart w:id="182" w:name="_Toc184313279"/>
      <w:bookmarkEnd w:id="182"/>
      <w:bookmarkStart w:id="183" w:name="_Toc184308092"/>
      <w:bookmarkEnd w:id="183"/>
      <w:bookmarkStart w:id="184" w:name="_Toc184312094"/>
      <w:bookmarkEnd w:id="184"/>
      <w:bookmarkStart w:id="185" w:name="_Toc184314425"/>
      <w:bookmarkEnd w:id="185"/>
      <w:bookmarkStart w:id="186" w:name="_Toc184314436"/>
      <w:bookmarkEnd w:id="186"/>
      <w:bookmarkStart w:id="187" w:name="_Toc184313255"/>
      <w:bookmarkEnd w:id="187"/>
      <w:bookmarkStart w:id="188" w:name="_Toc184313256"/>
      <w:bookmarkEnd w:id="188"/>
      <w:bookmarkStart w:id="189" w:name="_Toc184308089"/>
      <w:bookmarkEnd w:id="189"/>
      <w:bookmarkStart w:id="190" w:name="_Toc184308101"/>
      <w:bookmarkEnd w:id="190"/>
      <w:bookmarkStart w:id="191" w:name="_Toc184308065"/>
      <w:bookmarkEnd w:id="191"/>
      <w:bookmarkStart w:id="192" w:name="_Toc184313243"/>
      <w:bookmarkEnd w:id="192"/>
      <w:bookmarkStart w:id="193" w:name="_Toc184310337"/>
      <w:bookmarkEnd w:id="193"/>
      <w:bookmarkStart w:id="194" w:name="_Toc184313276"/>
      <w:bookmarkEnd w:id="194"/>
      <w:bookmarkStart w:id="195" w:name="_Toc184310315"/>
      <w:bookmarkEnd w:id="195"/>
      <w:bookmarkStart w:id="196" w:name="_Toc184314450"/>
      <w:bookmarkEnd w:id="196"/>
      <w:bookmarkStart w:id="197" w:name="_Toc184308091"/>
      <w:bookmarkEnd w:id="197"/>
      <w:bookmarkStart w:id="198" w:name="_Toc184310279"/>
      <w:bookmarkEnd w:id="198"/>
      <w:bookmarkStart w:id="199" w:name="_Toc184308070"/>
      <w:bookmarkEnd w:id="199"/>
      <w:bookmarkStart w:id="200" w:name="_Toc184313275"/>
      <w:bookmarkEnd w:id="200"/>
      <w:bookmarkStart w:id="201" w:name="_Toc184313273"/>
      <w:bookmarkEnd w:id="201"/>
      <w:bookmarkStart w:id="202" w:name="_Toc184314413"/>
      <w:bookmarkEnd w:id="202"/>
      <w:bookmarkStart w:id="203" w:name="_Toc184310312"/>
      <w:bookmarkEnd w:id="203"/>
      <w:bookmarkStart w:id="204" w:name="_Toc184310331"/>
      <w:bookmarkEnd w:id="204"/>
      <w:bookmarkStart w:id="205" w:name="_Toc184314422"/>
      <w:bookmarkEnd w:id="205"/>
      <w:bookmarkStart w:id="206" w:name="_Toc184312114"/>
      <w:bookmarkEnd w:id="206"/>
      <w:bookmarkStart w:id="207" w:name="_Toc184308107"/>
      <w:bookmarkEnd w:id="207"/>
      <w:bookmarkStart w:id="208" w:name="_Toc184310293"/>
      <w:bookmarkEnd w:id="208"/>
      <w:bookmarkStart w:id="209" w:name="_Toc184310276"/>
      <w:bookmarkEnd w:id="209"/>
      <w:bookmarkStart w:id="210" w:name="_Toc184312099"/>
      <w:bookmarkEnd w:id="210"/>
      <w:bookmarkStart w:id="211" w:name="_Toc184313239"/>
      <w:bookmarkEnd w:id="211"/>
      <w:bookmarkStart w:id="212" w:name="_Toc184314471"/>
      <w:bookmarkEnd w:id="212"/>
      <w:bookmarkStart w:id="213" w:name="_Toc184312073"/>
      <w:bookmarkEnd w:id="213"/>
      <w:bookmarkStart w:id="214" w:name="_Toc184308071"/>
      <w:bookmarkEnd w:id="214"/>
      <w:bookmarkStart w:id="215" w:name="_Toc184308097"/>
      <w:bookmarkEnd w:id="215"/>
      <w:bookmarkStart w:id="216" w:name="_Toc184308044"/>
      <w:bookmarkEnd w:id="216"/>
      <w:bookmarkStart w:id="217" w:name="_Toc184310296"/>
      <w:bookmarkEnd w:id="217"/>
      <w:bookmarkStart w:id="218" w:name="_Toc184314412"/>
      <w:bookmarkEnd w:id="218"/>
      <w:bookmarkStart w:id="219" w:name="_Toc184313266"/>
      <w:bookmarkEnd w:id="219"/>
      <w:bookmarkStart w:id="220" w:name="_Toc184312110"/>
      <w:bookmarkEnd w:id="220"/>
      <w:bookmarkStart w:id="221" w:name="_Toc184312075"/>
      <w:bookmarkEnd w:id="221"/>
      <w:bookmarkStart w:id="222" w:name="_Toc184308066"/>
      <w:bookmarkEnd w:id="222"/>
      <w:bookmarkStart w:id="223" w:name="_Toc184308048"/>
      <w:bookmarkEnd w:id="223"/>
      <w:bookmarkStart w:id="224" w:name="_Toc184308047"/>
      <w:bookmarkEnd w:id="224"/>
      <w:bookmarkStart w:id="225" w:name="_Toc184310313"/>
      <w:bookmarkEnd w:id="225"/>
      <w:bookmarkStart w:id="226" w:name="_Toc184313289"/>
      <w:bookmarkEnd w:id="226"/>
      <w:bookmarkStart w:id="227" w:name="_Toc184310272"/>
      <w:bookmarkEnd w:id="227"/>
      <w:bookmarkStart w:id="228" w:name="_Toc184310282"/>
      <w:bookmarkEnd w:id="228"/>
      <w:bookmarkStart w:id="229" w:name="_Toc184308056"/>
      <w:bookmarkEnd w:id="229"/>
      <w:bookmarkStart w:id="230" w:name="_Toc184310328"/>
      <w:bookmarkEnd w:id="230"/>
      <w:bookmarkStart w:id="231" w:name="_Toc184314443"/>
      <w:bookmarkEnd w:id="231"/>
      <w:bookmarkStart w:id="232" w:name="_Toc184310294"/>
      <w:bookmarkEnd w:id="232"/>
      <w:bookmarkStart w:id="233" w:name="_Toc184308046"/>
      <w:bookmarkEnd w:id="233"/>
      <w:bookmarkStart w:id="234" w:name="_Toc184312133"/>
      <w:bookmarkEnd w:id="234"/>
      <w:bookmarkStart w:id="235" w:name="_Toc184314437"/>
      <w:bookmarkEnd w:id="235"/>
      <w:bookmarkStart w:id="236" w:name="_Toc184314417"/>
      <w:bookmarkEnd w:id="236"/>
      <w:bookmarkStart w:id="237" w:name="_Toc184310324"/>
      <w:bookmarkEnd w:id="237"/>
      <w:bookmarkStart w:id="238" w:name="_Toc184312120"/>
      <w:bookmarkEnd w:id="238"/>
      <w:bookmarkStart w:id="239" w:name="_Toc184312084"/>
      <w:bookmarkEnd w:id="239"/>
      <w:bookmarkStart w:id="240" w:name="_Toc184312101"/>
      <w:bookmarkEnd w:id="240"/>
      <w:bookmarkStart w:id="241" w:name="_Toc184314442"/>
      <w:bookmarkEnd w:id="241"/>
      <w:bookmarkStart w:id="242" w:name="_Toc184310297"/>
      <w:bookmarkEnd w:id="242"/>
      <w:bookmarkStart w:id="243" w:name="_Toc184312091"/>
      <w:bookmarkEnd w:id="243"/>
      <w:bookmarkStart w:id="244" w:name="_Toc184308043"/>
      <w:bookmarkEnd w:id="244"/>
      <w:bookmarkStart w:id="245" w:name="_Toc184312125"/>
      <w:bookmarkEnd w:id="245"/>
      <w:bookmarkStart w:id="246" w:name="_Toc184310335"/>
      <w:bookmarkEnd w:id="246"/>
      <w:bookmarkStart w:id="247" w:name="_Toc184314470"/>
      <w:bookmarkEnd w:id="247"/>
      <w:bookmarkStart w:id="248" w:name="_Toc184313290"/>
      <w:bookmarkEnd w:id="248"/>
      <w:bookmarkStart w:id="249" w:name="_Toc184314445"/>
      <w:bookmarkEnd w:id="249"/>
      <w:bookmarkStart w:id="250" w:name="_Toc184313306"/>
      <w:bookmarkEnd w:id="250"/>
      <w:bookmarkStart w:id="251" w:name="_Toc184308084"/>
      <w:bookmarkEnd w:id="251"/>
      <w:bookmarkStart w:id="252" w:name="_Toc184308045"/>
      <w:bookmarkEnd w:id="252"/>
      <w:bookmarkStart w:id="253" w:name="_Toc184313293"/>
      <w:bookmarkEnd w:id="253"/>
      <w:bookmarkStart w:id="254" w:name="_Toc184312090"/>
      <w:bookmarkEnd w:id="254"/>
      <w:bookmarkStart w:id="255" w:name="_Toc184310339"/>
      <w:bookmarkEnd w:id="255"/>
      <w:bookmarkStart w:id="256" w:name="_Toc184313257"/>
      <w:bookmarkEnd w:id="256"/>
      <w:bookmarkStart w:id="257" w:name="_Toc184314432"/>
      <w:bookmarkEnd w:id="257"/>
      <w:bookmarkStart w:id="258" w:name="_Toc184314446"/>
      <w:bookmarkEnd w:id="258"/>
      <w:bookmarkStart w:id="259" w:name="_Toc184314462"/>
      <w:bookmarkEnd w:id="259"/>
      <w:bookmarkStart w:id="260" w:name="_Toc184312092"/>
      <w:bookmarkEnd w:id="260"/>
      <w:bookmarkStart w:id="261" w:name="_Toc184308055"/>
      <w:bookmarkEnd w:id="261"/>
      <w:bookmarkStart w:id="262" w:name="_Toc184314416"/>
      <w:bookmarkEnd w:id="262"/>
      <w:bookmarkStart w:id="263" w:name="_Toc184308038"/>
      <w:bookmarkEnd w:id="263"/>
      <w:bookmarkStart w:id="264" w:name="_Toc184312111"/>
      <w:bookmarkEnd w:id="264"/>
      <w:bookmarkStart w:id="265" w:name="_Toc184313263"/>
      <w:bookmarkEnd w:id="265"/>
      <w:bookmarkStart w:id="266" w:name="_Toc184313248"/>
      <w:bookmarkEnd w:id="266"/>
      <w:bookmarkStart w:id="267" w:name="_Toc184308037"/>
      <w:bookmarkEnd w:id="267"/>
      <w:bookmarkStart w:id="268" w:name="_Toc184312139"/>
      <w:bookmarkEnd w:id="268"/>
      <w:bookmarkStart w:id="269" w:name="_Toc184313310"/>
      <w:bookmarkEnd w:id="269"/>
      <w:bookmarkStart w:id="270" w:name="_Toc184314429"/>
      <w:bookmarkEnd w:id="270"/>
      <w:bookmarkStart w:id="271" w:name="_Toc184310283"/>
      <w:bookmarkEnd w:id="271"/>
      <w:bookmarkStart w:id="272" w:name="_Toc184312097"/>
      <w:bookmarkEnd w:id="272"/>
      <w:bookmarkStart w:id="273" w:name="_Toc184314458"/>
      <w:bookmarkEnd w:id="273"/>
      <w:bookmarkStart w:id="274" w:name="_Toc184308051"/>
      <w:bookmarkEnd w:id="274"/>
      <w:bookmarkStart w:id="275" w:name="_Toc184313264"/>
      <w:bookmarkEnd w:id="275"/>
      <w:bookmarkStart w:id="276" w:name="_Toc184313286"/>
      <w:bookmarkEnd w:id="276"/>
      <w:bookmarkStart w:id="277" w:name="_Toc184313259"/>
      <w:bookmarkEnd w:id="277"/>
      <w:bookmarkStart w:id="278" w:name="_Toc184308060"/>
      <w:bookmarkEnd w:id="278"/>
      <w:bookmarkStart w:id="279" w:name="_Toc184312077"/>
      <w:bookmarkEnd w:id="279"/>
      <w:bookmarkStart w:id="280" w:name="_Toc184314454"/>
      <w:bookmarkEnd w:id="280"/>
      <w:bookmarkStart w:id="281" w:name="_Toc184308086"/>
      <w:bookmarkEnd w:id="281"/>
      <w:bookmarkStart w:id="282" w:name="_Toc184314447"/>
      <w:bookmarkEnd w:id="282"/>
      <w:bookmarkStart w:id="283" w:name="_Toc184314415"/>
      <w:bookmarkEnd w:id="283"/>
      <w:bookmarkStart w:id="284" w:name="_Toc184308104"/>
      <w:bookmarkEnd w:id="284"/>
      <w:bookmarkStart w:id="285" w:name="_Toc184314466"/>
      <w:bookmarkEnd w:id="285"/>
      <w:bookmarkStart w:id="286" w:name="_Toc184314475"/>
      <w:bookmarkEnd w:id="286"/>
      <w:bookmarkStart w:id="287" w:name="_Toc184310275"/>
      <w:bookmarkEnd w:id="287"/>
      <w:bookmarkStart w:id="288" w:name="_Toc184310333"/>
      <w:bookmarkEnd w:id="288"/>
      <w:bookmarkStart w:id="289" w:name="_Toc184312137"/>
      <w:bookmarkEnd w:id="289"/>
      <w:bookmarkStart w:id="290" w:name="_Toc184312106"/>
      <w:bookmarkEnd w:id="290"/>
      <w:bookmarkStart w:id="291" w:name="_Toc184312134"/>
      <w:bookmarkEnd w:id="291"/>
      <w:bookmarkStart w:id="292" w:name="_Toc184314478"/>
      <w:bookmarkEnd w:id="292"/>
      <w:bookmarkStart w:id="293" w:name="_Toc184308073"/>
      <w:bookmarkEnd w:id="293"/>
      <w:bookmarkStart w:id="294" w:name="_Toc184310330"/>
      <w:bookmarkEnd w:id="294"/>
      <w:bookmarkStart w:id="295" w:name="_Toc184313245"/>
      <w:bookmarkEnd w:id="295"/>
      <w:bookmarkStart w:id="296" w:name="_Toc184312126"/>
      <w:bookmarkEnd w:id="296"/>
      <w:bookmarkStart w:id="297" w:name="_Toc184308063"/>
      <w:bookmarkEnd w:id="297"/>
      <w:bookmarkStart w:id="298" w:name="_Toc184312070"/>
      <w:bookmarkEnd w:id="298"/>
      <w:bookmarkStart w:id="299" w:name="_Toc184313300"/>
      <w:bookmarkEnd w:id="299"/>
      <w:bookmarkStart w:id="300" w:name="_Toc184312129"/>
      <w:bookmarkEnd w:id="300"/>
      <w:bookmarkStart w:id="301" w:name="_Toc184308039"/>
      <w:bookmarkEnd w:id="301"/>
      <w:bookmarkStart w:id="302" w:name="_Toc184312127"/>
      <w:bookmarkEnd w:id="302"/>
      <w:bookmarkStart w:id="303" w:name="_Toc184310340"/>
      <w:bookmarkEnd w:id="303"/>
      <w:bookmarkStart w:id="304" w:name="_Toc184313291"/>
      <w:bookmarkEnd w:id="304"/>
      <w:bookmarkStart w:id="305" w:name="_Toc184310314"/>
      <w:bookmarkEnd w:id="305"/>
      <w:bookmarkStart w:id="306" w:name="_Toc184312116"/>
      <w:bookmarkEnd w:id="306"/>
      <w:bookmarkStart w:id="307" w:name="_Toc184313240"/>
      <w:bookmarkEnd w:id="307"/>
      <w:bookmarkStart w:id="308" w:name="_Toc184314427"/>
      <w:bookmarkEnd w:id="308"/>
      <w:bookmarkStart w:id="309" w:name="_Toc184308081"/>
      <w:bookmarkEnd w:id="309"/>
      <w:bookmarkStart w:id="310" w:name="_Toc184313265"/>
      <w:bookmarkEnd w:id="310"/>
      <w:bookmarkStart w:id="311" w:name="_Toc184313250"/>
      <w:bookmarkEnd w:id="311"/>
      <w:bookmarkStart w:id="312" w:name="_Toc184314414"/>
      <w:bookmarkEnd w:id="312"/>
      <w:bookmarkStart w:id="313" w:name="_Toc184308036"/>
      <w:bookmarkEnd w:id="313"/>
      <w:bookmarkStart w:id="314" w:name="_Toc184314461"/>
      <w:bookmarkEnd w:id="314"/>
      <w:bookmarkStart w:id="315" w:name="_Toc184310326"/>
      <w:bookmarkEnd w:id="315"/>
      <w:bookmarkStart w:id="316" w:name="_Toc184313304"/>
      <w:bookmarkEnd w:id="316"/>
      <w:bookmarkStart w:id="317" w:name="_Toc184312122"/>
      <w:bookmarkEnd w:id="317"/>
      <w:bookmarkStart w:id="318" w:name="_Toc184308040"/>
      <w:bookmarkEnd w:id="318"/>
      <w:bookmarkStart w:id="319" w:name="_Toc184308093"/>
      <w:bookmarkEnd w:id="319"/>
      <w:bookmarkStart w:id="320" w:name="_Toc184313270"/>
      <w:bookmarkEnd w:id="320"/>
      <w:bookmarkStart w:id="321" w:name="_Toc184308083"/>
      <w:bookmarkEnd w:id="321"/>
      <w:bookmarkStart w:id="322" w:name="_Toc184314452"/>
      <w:bookmarkEnd w:id="322"/>
      <w:bookmarkStart w:id="323" w:name="_Toc184312130"/>
      <w:bookmarkEnd w:id="323"/>
      <w:bookmarkStart w:id="324" w:name="_Toc184310322"/>
      <w:bookmarkEnd w:id="324"/>
      <w:bookmarkStart w:id="325" w:name="_Toc184310316"/>
      <w:bookmarkEnd w:id="325"/>
      <w:bookmarkStart w:id="326" w:name="_Toc184308059"/>
      <w:bookmarkEnd w:id="326"/>
      <w:bookmarkStart w:id="327" w:name="_Toc184312131"/>
      <w:bookmarkEnd w:id="327"/>
      <w:bookmarkStart w:id="328" w:name="_Toc184314463"/>
      <w:bookmarkEnd w:id="328"/>
      <w:bookmarkStart w:id="329" w:name="_Toc184310344"/>
      <w:bookmarkEnd w:id="329"/>
      <w:bookmarkStart w:id="330" w:name="_Toc184312069"/>
      <w:bookmarkEnd w:id="330"/>
      <w:bookmarkStart w:id="331" w:name="_Toc184312089"/>
      <w:bookmarkEnd w:id="331"/>
      <w:bookmarkStart w:id="332" w:name="_Toc184313251"/>
      <w:bookmarkEnd w:id="332"/>
      <w:bookmarkStart w:id="333" w:name="_Toc184310298"/>
      <w:bookmarkEnd w:id="333"/>
      <w:bookmarkStart w:id="334" w:name="_Toc184312087"/>
      <w:bookmarkEnd w:id="334"/>
      <w:bookmarkStart w:id="335" w:name="_Toc184314410"/>
      <w:bookmarkEnd w:id="335"/>
      <w:bookmarkStart w:id="336" w:name="_Toc184308075"/>
      <w:bookmarkEnd w:id="336"/>
      <w:bookmarkStart w:id="337" w:name="_Toc184314465"/>
      <w:bookmarkEnd w:id="337"/>
      <w:bookmarkStart w:id="338" w:name="_Toc184308049"/>
      <w:bookmarkEnd w:id="338"/>
      <w:bookmarkStart w:id="339" w:name="_Toc184310329"/>
      <w:bookmarkEnd w:id="339"/>
      <w:bookmarkStart w:id="340" w:name="_Toc184310311"/>
      <w:bookmarkEnd w:id="340"/>
      <w:bookmarkStart w:id="341" w:name="_Toc184308042"/>
      <w:bookmarkEnd w:id="341"/>
      <w:bookmarkStart w:id="342" w:name="_Toc184314438"/>
      <w:bookmarkEnd w:id="342"/>
      <w:bookmarkStart w:id="343" w:name="_Toc184313288"/>
      <w:bookmarkEnd w:id="343"/>
      <w:bookmarkStart w:id="344" w:name="_Toc184310302"/>
      <w:bookmarkEnd w:id="344"/>
      <w:bookmarkStart w:id="345" w:name="_Toc184310308"/>
      <w:bookmarkEnd w:id="345"/>
      <w:bookmarkStart w:id="346" w:name="_Toc184314467"/>
      <w:bookmarkEnd w:id="346"/>
      <w:bookmarkStart w:id="347" w:name="_Toc184308052"/>
      <w:bookmarkEnd w:id="347"/>
      <w:bookmarkStart w:id="348" w:name="_Toc184310286"/>
      <w:bookmarkEnd w:id="348"/>
      <w:bookmarkStart w:id="349" w:name="_Toc184308085"/>
      <w:bookmarkEnd w:id="349"/>
      <w:bookmarkStart w:id="350" w:name="_Toc184308105"/>
      <w:bookmarkEnd w:id="350"/>
      <w:bookmarkStart w:id="351" w:name="_Toc184314424"/>
      <w:bookmarkEnd w:id="351"/>
      <w:bookmarkStart w:id="352" w:name="_Toc184310319"/>
      <w:bookmarkEnd w:id="352"/>
      <w:bookmarkStart w:id="353" w:name="_Toc184308088"/>
      <w:bookmarkEnd w:id="353"/>
      <w:bookmarkStart w:id="354" w:name="_Toc184314433"/>
      <w:bookmarkEnd w:id="354"/>
      <w:bookmarkStart w:id="355" w:name="_Toc184312088"/>
      <w:bookmarkEnd w:id="355"/>
      <w:bookmarkStart w:id="356" w:name="_Toc184314444"/>
      <w:bookmarkEnd w:id="356"/>
      <w:bookmarkStart w:id="357" w:name="_Toc184313254"/>
      <w:bookmarkEnd w:id="357"/>
      <w:bookmarkStart w:id="358" w:name="_Toc184312103"/>
      <w:bookmarkEnd w:id="358"/>
      <w:bookmarkStart w:id="359" w:name="_Toc184313261"/>
      <w:bookmarkEnd w:id="359"/>
      <w:bookmarkStart w:id="360" w:name="_Toc184313260"/>
      <w:bookmarkEnd w:id="360"/>
      <w:bookmarkStart w:id="361" w:name="_Toc184313249"/>
      <w:bookmarkEnd w:id="361"/>
      <w:bookmarkStart w:id="362" w:name="_Toc184312132"/>
      <w:bookmarkEnd w:id="362"/>
      <w:bookmarkStart w:id="363" w:name="_Toc184312076"/>
      <w:bookmarkEnd w:id="363"/>
      <w:bookmarkStart w:id="364" w:name="_Toc184314441"/>
      <w:bookmarkEnd w:id="364"/>
      <w:bookmarkStart w:id="365" w:name="_Toc184312102"/>
      <w:bookmarkEnd w:id="365"/>
      <w:bookmarkStart w:id="366" w:name="_Toc184312136"/>
      <w:bookmarkEnd w:id="366"/>
      <w:bookmarkStart w:id="367" w:name="_Toc184308068"/>
      <w:bookmarkEnd w:id="367"/>
      <w:bookmarkStart w:id="368" w:name="_Toc184310323"/>
      <w:bookmarkEnd w:id="368"/>
      <w:bookmarkStart w:id="369" w:name="_Toc184314459"/>
      <w:bookmarkEnd w:id="369"/>
      <w:bookmarkStart w:id="370" w:name="_Toc184313280"/>
      <w:bookmarkEnd w:id="370"/>
      <w:bookmarkStart w:id="371" w:name="_Toc184310327"/>
      <w:bookmarkEnd w:id="371"/>
      <w:bookmarkStart w:id="372" w:name="_Toc184308096"/>
      <w:bookmarkEnd w:id="372"/>
      <w:bookmarkStart w:id="373" w:name="_Toc184308062"/>
      <w:bookmarkEnd w:id="373"/>
      <w:bookmarkStart w:id="374" w:name="_Toc184313258"/>
      <w:bookmarkEnd w:id="374"/>
      <w:bookmarkStart w:id="375" w:name="_Toc184314419"/>
      <w:bookmarkEnd w:id="375"/>
      <w:bookmarkStart w:id="376" w:name="_Toc184313274"/>
      <w:bookmarkEnd w:id="376"/>
      <w:bookmarkStart w:id="377" w:name="_Toc184310307"/>
      <w:bookmarkEnd w:id="377"/>
      <w:bookmarkStart w:id="378" w:name="_Toc184308064"/>
      <w:bookmarkEnd w:id="378"/>
      <w:bookmarkStart w:id="379" w:name="_Toc184308058"/>
      <w:bookmarkEnd w:id="379"/>
      <w:bookmarkStart w:id="380" w:name="_Toc184308077"/>
      <w:bookmarkEnd w:id="380"/>
      <w:bookmarkStart w:id="381" w:name="_Toc184310287"/>
      <w:bookmarkEnd w:id="381"/>
      <w:bookmarkStart w:id="382" w:name="_Toc184308108"/>
      <w:bookmarkEnd w:id="382"/>
      <w:bookmarkStart w:id="383" w:name="_Toc184313242"/>
      <w:bookmarkEnd w:id="383"/>
      <w:bookmarkStart w:id="384" w:name="_Toc184310278"/>
      <w:bookmarkEnd w:id="384"/>
      <w:bookmarkStart w:id="385" w:name="_Toc184308099"/>
      <w:bookmarkEnd w:id="385"/>
      <w:bookmarkStart w:id="386" w:name="_Toc184312138"/>
      <w:bookmarkEnd w:id="386"/>
      <w:bookmarkStart w:id="387" w:name="_Toc184313298"/>
      <w:bookmarkEnd w:id="387"/>
      <w:bookmarkStart w:id="388" w:name="_Toc184313285"/>
      <w:bookmarkEnd w:id="388"/>
      <w:bookmarkStart w:id="389" w:name="_Toc184313307"/>
      <w:bookmarkEnd w:id="389"/>
      <w:bookmarkStart w:id="390" w:name="_Toc184312096"/>
      <w:bookmarkEnd w:id="390"/>
      <w:bookmarkStart w:id="391" w:name="_Toc184308061"/>
      <w:bookmarkEnd w:id="391"/>
      <w:bookmarkStart w:id="392" w:name="_Toc184310336"/>
      <w:bookmarkEnd w:id="392"/>
      <w:bookmarkStart w:id="393" w:name="_Toc184314430"/>
      <w:bookmarkEnd w:id="393"/>
      <w:bookmarkStart w:id="394" w:name="_Toc184314455"/>
      <w:bookmarkEnd w:id="394"/>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62C2617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33ECC44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5FE742E7">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10" w:type="dxa"/>
            <w:vAlign w:val="center"/>
          </w:tcPr>
          <w:p w14:paraId="71B20CFD">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2EDEA257">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自2022年01月01日以来</w:t>
            </w:r>
            <w:r>
              <w:rPr>
                <w:rFonts w:hint="eastAsia" w:ascii="宋体" w:hAnsi="宋体" w:cs="宋体"/>
                <w:color w:val="auto"/>
                <w:sz w:val="24"/>
                <w:highlight w:val="none"/>
              </w:rPr>
              <w:t>（以竣工验收合格时间为准）</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同类项目业绩（</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提供中标通知书、合同扫描件、竣工验收记录（或竣工验收证书）</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以上证明材料，</w:t>
            </w:r>
            <w:r>
              <w:rPr>
                <w:rFonts w:hint="eastAsia" w:ascii="宋体" w:hAnsi="宋体" w:cs="宋体"/>
                <w:color w:val="auto"/>
                <w:sz w:val="24"/>
                <w:highlight w:val="none"/>
              </w:rPr>
              <w:t>缺一</w:t>
            </w:r>
            <w:r>
              <w:rPr>
                <w:rFonts w:hint="eastAsia" w:ascii="宋体" w:hAnsi="宋体" w:cs="宋体"/>
                <w:color w:val="auto"/>
                <w:sz w:val="24"/>
                <w:highlight w:val="none"/>
                <w:lang w:val="en-US" w:eastAsia="zh-CN"/>
              </w:rPr>
              <w:t>项则</w:t>
            </w:r>
            <w:r>
              <w:rPr>
                <w:rFonts w:hint="eastAsia" w:ascii="宋体" w:hAnsi="宋体" w:cs="宋体"/>
                <w:color w:val="auto"/>
                <w:sz w:val="24"/>
                <w:highlight w:val="none"/>
              </w:rPr>
              <w:t>不得分），每提供1</w:t>
            </w:r>
            <w:r>
              <w:rPr>
                <w:rFonts w:hint="eastAsia" w:ascii="宋体" w:hAnsi="宋体" w:cs="宋体"/>
                <w:color w:val="auto"/>
                <w:sz w:val="24"/>
                <w:highlight w:val="none"/>
                <w:lang w:val="en-US" w:eastAsia="zh-CN"/>
              </w:rPr>
              <w:t>个，则得1分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分（同类项目业绩指</w:t>
            </w:r>
            <w:r>
              <w:rPr>
                <w:rFonts w:hint="eastAsia" w:ascii="宋体" w:hAnsi="宋体" w:cs="宋体"/>
                <w:color w:val="auto"/>
                <w:sz w:val="24"/>
                <w:highlight w:val="none"/>
                <w:lang w:val="en-US" w:eastAsia="zh-CN"/>
              </w:rPr>
              <w:t>市政环境提升工程</w:t>
            </w:r>
            <w:r>
              <w:rPr>
                <w:rFonts w:hint="eastAsia" w:ascii="宋体" w:hAnsi="宋体" w:cs="宋体"/>
                <w:color w:val="auto"/>
                <w:sz w:val="24"/>
                <w:highlight w:val="none"/>
              </w:rPr>
              <w:t>）。</w:t>
            </w:r>
          </w:p>
        </w:tc>
        <w:tc>
          <w:tcPr>
            <w:tcW w:w="793" w:type="dxa"/>
            <w:vAlign w:val="center"/>
          </w:tcPr>
          <w:p w14:paraId="2E1E150E">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2A9572B2">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10" w:type="dxa"/>
            <w:vAlign w:val="center"/>
          </w:tcPr>
          <w:p w14:paraId="38009E07">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74480523">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拟派项目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中级及以上</w:t>
            </w:r>
            <w:r>
              <w:rPr>
                <w:rFonts w:hint="eastAsia" w:ascii="宋体" w:hAnsi="宋体" w:cs="宋体"/>
                <w:color w:val="auto"/>
                <w:sz w:val="24"/>
                <w:highlight w:val="none"/>
              </w:rPr>
              <w:t>工程师职称的得1分。注：提供202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月三个月的项目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社保证明（复印件加盖公章），否则此项不得分。</w:t>
            </w:r>
          </w:p>
        </w:tc>
        <w:tc>
          <w:tcPr>
            <w:tcW w:w="793" w:type="dxa"/>
            <w:vAlign w:val="center"/>
          </w:tcPr>
          <w:p w14:paraId="6F10A833">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34B1B958">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10" w:type="dxa"/>
            <w:vAlign w:val="center"/>
          </w:tcPr>
          <w:p w14:paraId="23662879">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0E9DAED8">
            <w:pPr>
              <w:snapToGrid w:val="0"/>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项目人员要求：项目管理班子其他人员配置：技术负责人、安全员、施工员、质量员、测量员配置齐全的，得5分，每缺一项扣1分，本项分值扣完为止；</w:t>
            </w:r>
          </w:p>
          <w:p w14:paraId="7FAA9C98">
            <w:pPr>
              <w:snapToGrid w:val="0"/>
              <w:outlineLvl w:val="0"/>
              <w:rPr>
                <w:rFonts w:ascii="宋体" w:hAnsi="宋体" w:cs="宋体"/>
                <w:color w:val="auto"/>
                <w:sz w:val="24"/>
                <w:highlight w:val="none"/>
              </w:rPr>
            </w:pPr>
            <w:r>
              <w:rPr>
                <w:rFonts w:hint="eastAsia" w:ascii="宋体" w:hAnsi="宋体" w:cs="宋体"/>
                <w:color w:val="auto"/>
                <w:sz w:val="24"/>
                <w:highlight w:val="none"/>
              </w:rPr>
              <w:t>注：以上人员均须提供202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月三个月的社保证明（复印件加盖公章），否则此项不得分。</w:t>
            </w:r>
          </w:p>
        </w:tc>
        <w:tc>
          <w:tcPr>
            <w:tcW w:w="793" w:type="dxa"/>
            <w:vAlign w:val="center"/>
          </w:tcPr>
          <w:p w14:paraId="40435D5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shd w:val="clear" w:color="auto" w:fill="auto"/>
            <w:vAlign w:val="center"/>
          </w:tcPr>
          <w:p w14:paraId="0B050647">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79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9C9F19A">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97" w:type="dxa"/>
            <w:vAlign w:val="center"/>
          </w:tcPr>
          <w:p w14:paraId="4D788194">
            <w:pPr>
              <w:snapToGrid w:val="0"/>
              <w:ind w:left="0" w:leftChars="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整体施工方案是否全面、科学、合理</w:t>
            </w:r>
            <w:r>
              <w:rPr>
                <w:rFonts w:hint="eastAsia" w:ascii="宋体" w:hAnsi="宋体" w:eastAsia="宋体" w:cs="宋体"/>
                <w:color w:val="auto"/>
                <w:sz w:val="24"/>
                <w:highlight w:val="none"/>
                <w:lang w:eastAsia="zh-CN"/>
              </w:rPr>
              <w:t>：</w:t>
            </w:r>
          </w:p>
          <w:p w14:paraId="028163B1">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1）施工方案全面、合理，具有明确的针对性及可操作性的得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14:paraId="6269BC72">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2）施工方案全面性及合理性较好，针对性及可操作性满足要求，各项施工措施可保障项目实施的得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14:paraId="6155F7E3">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3）施工方案全面性及合理性一般，针对性及可操作性基本满足要求，各项施工措施基本保障项目实施的得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14:paraId="0D387C7D">
            <w:pPr>
              <w:snapToGrid w:val="0"/>
              <w:jc w:val="left"/>
              <w:outlineLvl w:val="0"/>
              <w:rPr>
                <w:rFonts w:hint="eastAsia" w:ascii="宋体" w:hAnsi="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未提供的不得分。</w:t>
            </w:r>
          </w:p>
        </w:tc>
        <w:tc>
          <w:tcPr>
            <w:tcW w:w="793" w:type="dxa"/>
            <w:vAlign w:val="center"/>
          </w:tcPr>
          <w:p w14:paraId="030AB08B">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2133" w:type="dxa"/>
            <w:vAlign w:val="center"/>
          </w:tcPr>
          <w:p w14:paraId="6E031A1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r>
      <w:tr w14:paraId="708D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1D90E41">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897" w:type="dxa"/>
            <w:vAlign w:val="center"/>
          </w:tcPr>
          <w:p w14:paraId="7D66DB0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评委根据投标人提供的施工质量方案措施的完整性、科学性、严谨性进行综合评审：</w:t>
            </w:r>
          </w:p>
          <w:p w14:paraId="0083B3A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1.施工质量方案科学、完整、详细，具有针对本项目的有效质量保障措施得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4C3744C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2.施工质量方案内容完整，具有一定有效的一定保障措施得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74C5D5D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3.施工质量方案缺少实质内容，与项目有偏差，质量保障措施效果一般</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3026B1A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4.未提供不得分</w:t>
            </w:r>
          </w:p>
        </w:tc>
        <w:tc>
          <w:tcPr>
            <w:tcW w:w="793" w:type="dxa"/>
            <w:shd w:val="clear" w:color="auto" w:fill="auto"/>
            <w:vAlign w:val="center"/>
          </w:tcPr>
          <w:p w14:paraId="0431AD3B">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42546ED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1D5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8F1D924">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97" w:type="dxa"/>
            <w:vAlign w:val="center"/>
          </w:tcPr>
          <w:p w14:paraId="0D0ECAA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磋商供应商安全文明施工措施的完整性、合理性评价,包括对施工现场的材料堆场、施工通道的安排，对消防安全的保证措施等。</w:t>
            </w:r>
          </w:p>
          <w:p w14:paraId="387949E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47757529">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3C32AC7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130FE16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80CB136">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476AB43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FF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379AED9C">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97" w:type="dxa"/>
            <w:vAlign w:val="center"/>
          </w:tcPr>
          <w:p w14:paraId="2B4D89F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供应商对针对非施工区域的保护及安全防护措施等。</w:t>
            </w:r>
          </w:p>
          <w:p w14:paraId="359CBE0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521B5C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3BD76B7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448B8E5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52260E04">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2F166ED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59F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CD34BA3">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97" w:type="dxa"/>
            <w:vAlign w:val="center"/>
          </w:tcPr>
          <w:p w14:paraId="1B643B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磋商供应商工期承诺和进度控制措施方案的评价，评价因素包括工期以及进度计划满足程度、合理性及保证措施的可行性。</w:t>
            </w:r>
          </w:p>
          <w:p w14:paraId="1FAB28C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507889E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454DBA8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167F78D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2DAD9FC8">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650D0865">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105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3E8316E">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97" w:type="dxa"/>
            <w:vAlign w:val="center"/>
          </w:tcPr>
          <w:p w14:paraId="53A436C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关键工序、复杂环节的相应技术措施，措施是否周全、有针对性、可实施性。</w:t>
            </w:r>
          </w:p>
          <w:p w14:paraId="0E17F34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0D5DA70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522D802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64394AE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ABA0173">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313DF880">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5F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21E0559">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97" w:type="dxa"/>
            <w:vAlign w:val="center"/>
          </w:tcPr>
          <w:p w14:paraId="62CD100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磋商供应商对施工过程中突发事件的处理预案及承诺的紧急响应时间的评价。评价因素包括响应时间、措施、投入人员力量。</w:t>
            </w:r>
          </w:p>
          <w:p w14:paraId="77F70EB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72D229C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00D02DF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3C69B4E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D45E9CD">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8</w:t>
            </w:r>
          </w:p>
        </w:tc>
        <w:tc>
          <w:tcPr>
            <w:tcW w:w="2133" w:type="dxa"/>
            <w:shd w:val="clear" w:color="auto" w:fill="auto"/>
            <w:vAlign w:val="center"/>
          </w:tcPr>
          <w:p w14:paraId="797F515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BD6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EBA6474">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5897" w:type="dxa"/>
            <w:vAlign w:val="center"/>
          </w:tcPr>
          <w:p w14:paraId="53BABAF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售后服务承诺的范围和完善程度的评价，包括保修范围、保修内容、人员配备、故障响应修复时间方式及保障措施。</w:t>
            </w:r>
          </w:p>
          <w:p w14:paraId="0059C92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w:t>
            </w:r>
          </w:p>
          <w:p w14:paraId="0D062A8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p w14:paraId="1275889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14:paraId="4E1F61D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3C3BA0D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7</w:t>
            </w:r>
          </w:p>
        </w:tc>
        <w:tc>
          <w:tcPr>
            <w:tcW w:w="2133" w:type="dxa"/>
            <w:shd w:val="clear" w:color="auto" w:fill="auto"/>
            <w:vAlign w:val="center"/>
          </w:tcPr>
          <w:p w14:paraId="6B769E0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3D8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AB6519F">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5897" w:type="dxa"/>
            <w:shd w:val="clear" w:color="auto" w:fill="auto"/>
            <w:vAlign w:val="center"/>
          </w:tcPr>
          <w:p w14:paraId="7A2F5BE1">
            <w:pPr>
              <w:rPr>
                <w:rFonts w:hint="eastAsia" w:ascii="新宋体" w:hAnsi="新宋体" w:eastAsia="新宋体" w:cs="新宋体"/>
                <w:color w:val="auto"/>
                <w:kern w:val="2"/>
                <w:sz w:val="21"/>
                <w:szCs w:val="21"/>
                <w:highlight w:val="none"/>
                <w:lang w:val="en-US" w:eastAsia="zh-CN" w:bidi="ar-SA"/>
              </w:rPr>
            </w:pPr>
            <w:bookmarkStart w:id="1499" w:name="_GoBack"/>
            <w:r>
              <w:rPr>
                <w:rFonts w:hint="eastAsia" w:ascii="宋体" w:hAnsi="宋体" w:eastAsia="宋体" w:cs="宋体"/>
                <w:color w:val="auto"/>
                <w:sz w:val="24"/>
                <w:highlight w:val="none"/>
                <w:lang w:val="en-US" w:eastAsia="zh-CN"/>
              </w:rPr>
              <w:t>项目经理到位率承诺95%及以上的得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分（须在商务技术文件中以单独承诺书的形式体现，承诺书格式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，否则此项不得分）</w:t>
            </w:r>
            <w:bookmarkEnd w:id="1499"/>
          </w:p>
        </w:tc>
        <w:tc>
          <w:tcPr>
            <w:tcW w:w="793" w:type="dxa"/>
            <w:shd w:val="clear" w:color="auto" w:fill="auto"/>
            <w:vAlign w:val="center"/>
          </w:tcPr>
          <w:p w14:paraId="7FE21089">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04B2E3D0">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客观分</w:t>
            </w: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9DF04C">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897" w:type="dxa"/>
          </w:tcPr>
          <w:p w14:paraId="3C2026EC">
            <w:pPr>
              <w:snapToGrid w:val="0"/>
              <w:outlineLvl w:val="0"/>
              <w:rPr>
                <w:rFonts w:ascii="宋体" w:hAnsi="宋体" w:cs="宋体"/>
                <w:color w:val="auto"/>
                <w:sz w:val="24"/>
                <w:highlight w:val="none"/>
              </w:rPr>
            </w:pPr>
            <w:r>
              <w:rPr>
                <w:rFonts w:hint="eastAsia" w:ascii="宋体" w:hAnsi="宋体" w:cs="宋体"/>
                <w:color w:val="auto"/>
                <w:sz w:val="24"/>
                <w:highlight w:val="none"/>
                <w:lang w:val="en-US" w:eastAsia="zh-CN"/>
              </w:rPr>
              <w:t>报价分：</w:t>
            </w: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］的计算公式计算。</w:t>
            </w:r>
          </w:p>
          <w:p w14:paraId="6C98FA1E">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6E6948CA">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793" w:type="dxa"/>
            <w:vAlign w:val="center"/>
          </w:tcPr>
          <w:p w14:paraId="178EF23C">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w:t>
            </w:r>
          </w:p>
        </w:tc>
        <w:tc>
          <w:tcPr>
            <w:tcW w:w="2133" w:type="dxa"/>
            <w:vAlign w:val="center"/>
          </w:tcPr>
          <w:p w14:paraId="4FF285C5">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14:paraId="25D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0" w:type="dxa"/>
            <w:vAlign w:val="center"/>
          </w:tcPr>
          <w:p w14:paraId="3E9F3214">
            <w:pPr>
              <w:snapToGrid w:val="0"/>
              <w:ind w:firstLine="240" w:firstLineChars="100"/>
              <w:outlineLvl w:val="0"/>
              <w:rPr>
                <w:rFonts w:ascii="宋体" w:hAnsi="宋体" w:cs="宋体"/>
                <w:color w:val="auto"/>
                <w:sz w:val="24"/>
                <w:highlight w:val="none"/>
              </w:rPr>
            </w:pPr>
          </w:p>
        </w:tc>
        <w:tc>
          <w:tcPr>
            <w:tcW w:w="5897" w:type="dxa"/>
            <w:vAlign w:val="center"/>
          </w:tcPr>
          <w:p w14:paraId="7FA184AB">
            <w:pPr>
              <w:widowControl/>
              <w:shd w:val="clear" w:color="auto" w:fill="FFFFFF"/>
              <w:adjustRightInd/>
              <w:snapToGrid w:val="0"/>
              <w:jc w:val="both"/>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3" w:type="dxa"/>
            <w:vAlign w:val="center"/>
          </w:tcPr>
          <w:p w14:paraId="494EC509">
            <w:pPr>
              <w:snapToGrid w:val="0"/>
              <w:ind w:firstLine="120" w:firstLineChars="50"/>
              <w:outlineLvl w:val="0"/>
              <w:rPr>
                <w:rFonts w:ascii="宋体" w:hAnsi="宋体" w:cs="宋体"/>
                <w:color w:val="auto"/>
                <w:sz w:val="24"/>
                <w:highlight w:val="none"/>
              </w:rPr>
            </w:pPr>
          </w:p>
        </w:tc>
        <w:tc>
          <w:tcPr>
            <w:tcW w:w="2133" w:type="dxa"/>
            <w:vAlign w:val="center"/>
          </w:tcPr>
          <w:p w14:paraId="73B7967A">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4"/>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4"/>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4"/>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4"/>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4"/>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4"/>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4"/>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4"/>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4"/>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4"/>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76193B1">
      <w:pPr>
        <w:pStyle w:val="24"/>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29"/>
    <w:p w14:paraId="4DB75B67">
      <w:pPr>
        <w:spacing w:line="360" w:lineRule="auto"/>
        <w:jc w:val="center"/>
        <w:outlineLvl w:val="0"/>
        <w:rPr>
          <w:rFonts w:ascii="宋体" w:hAnsi="宋体" w:cs="宋体"/>
          <w:b/>
          <w:color w:val="auto"/>
          <w:sz w:val="36"/>
          <w:szCs w:val="36"/>
          <w:highlight w:val="none"/>
        </w:rPr>
      </w:pPr>
      <w:bookmarkStart w:id="395" w:name="第五部分"/>
      <w:bookmarkStart w:id="396" w:name="_Toc86217003"/>
      <w:r>
        <w:rPr>
          <w:rFonts w:hint="eastAsia" w:ascii="宋体" w:hAnsi="宋体" w:cs="宋体"/>
          <w:b/>
          <w:color w:val="auto"/>
          <w:sz w:val="36"/>
          <w:szCs w:val="36"/>
          <w:highlight w:val="none"/>
        </w:rPr>
        <w:t>第五部分 拟签订的合同文本</w:t>
      </w:r>
    </w:p>
    <w:p w14:paraId="069E250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7" w:name="_Toc97299497"/>
      <w:bookmarkStart w:id="398" w:name="_Toc32130"/>
      <w:r>
        <w:rPr>
          <w:rFonts w:hint="eastAsia" w:ascii="宋体" w:hAnsi="宋体" w:cs="宋体"/>
          <w:snapToGrid w:val="0"/>
          <w:color w:val="auto"/>
          <w:kern w:val="44"/>
          <w:sz w:val="28"/>
          <w:szCs w:val="20"/>
          <w:highlight w:val="none"/>
        </w:rPr>
        <w:t>第一部分  合同协议书</w:t>
      </w:r>
      <w:bookmarkEnd w:id="397"/>
      <w:bookmarkEnd w:id="398"/>
    </w:p>
    <w:p w14:paraId="64A65E63">
      <w:pPr>
        <w:pStyle w:val="969"/>
        <w:ind w:left="0" w:leftChars="0"/>
        <w:rPr>
          <w:rFonts w:ascii="仿宋" w:hAnsi="仿宋" w:eastAsia="仿宋" w:cs="仿宋"/>
        </w:rPr>
      </w:pPr>
    </w:p>
    <w:p w14:paraId="5A0684D6"/>
    <w:p w14:paraId="300B8625">
      <w:pPr>
        <w:pStyle w:val="969"/>
        <w:ind w:left="0" w:leftChars="0"/>
        <w:rPr>
          <w:rFonts w:ascii="仿宋" w:hAnsi="仿宋" w:eastAsia="仿宋" w:cs="仿宋"/>
        </w:rPr>
      </w:pPr>
    </w:p>
    <w:p w14:paraId="6EAC48D4"/>
    <w:p w14:paraId="47EF9BF0">
      <w:pPr>
        <w:jc w:val="left"/>
        <w:rPr>
          <w:rFonts w:ascii="仿宋" w:hAnsi="仿宋" w:eastAsia="仿宋" w:cs="仿宋"/>
          <w:bCs/>
          <w:color w:val="000000"/>
          <w:sz w:val="32"/>
          <w:szCs w:val="32"/>
        </w:rPr>
      </w:pPr>
      <w:bookmarkStart w:id="399" w:name="_Toc351203480"/>
      <w:bookmarkStart w:id="400" w:name="_Toc296503025"/>
      <w:bookmarkStart w:id="401" w:name="_Toc296890982"/>
      <w:r>
        <w:rPr>
          <w:rFonts w:hint="eastAsia" w:ascii="仿宋" w:hAnsi="仿宋" w:eastAsia="仿宋" w:cs="仿宋"/>
          <w:bCs/>
          <w:color w:val="000000"/>
          <w:sz w:val="32"/>
          <w:szCs w:val="32"/>
        </w:rPr>
        <w:t>（GF—2017—0201）</w:t>
      </w:r>
    </w:p>
    <w:p w14:paraId="04628FE9">
      <w:pPr>
        <w:jc w:val="center"/>
        <w:rPr>
          <w:rFonts w:ascii="仿宋" w:hAnsi="仿宋" w:eastAsia="仿宋" w:cs="仿宋"/>
          <w:color w:val="000000"/>
          <w:sz w:val="52"/>
          <w:szCs w:val="52"/>
        </w:rPr>
      </w:pPr>
      <w:r>
        <w:rPr>
          <w:rFonts w:hint="eastAsia" w:ascii="仿宋" w:hAnsi="仿宋" w:eastAsia="仿宋" w:cs="仿宋"/>
          <w:b/>
          <w:sz w:val="52"/>
          <w:szCs w:val="52"/>
        </w:rPr>
        <w:t xml:space="preserve">　                      </w:t>
      </w:r>
    </w:p>
    <w:p w14:paraId="75FAEA5F">
      <w:pPr>
        <w:rPr>
          <w:rFonts w:ascii="仿宋" w:hAnsi="仿宋" w:eastAsia="仿宋" w:cs="仿宋"/>
          <w:b/>
          <w:color w:val="000000"/>
          <w:sz w:val="52"/>
          <w:szCs w:val="52"/>
        </w:rPr>
      </w:pPr>
    </w:p>
    <w:p w14:paraId="5664DC09">
      <w:pPr>
        <w:jc w:val="center"/>
        <w:rPr>
          <w:rFonts w:ascii="仿宋" w:hAnsi="仿宋" w:eastAsia="仿宋" w:cs="仿宋"/>
          <w:b/>
          <w:color w:val="000000"/>
          <w:sz w:val="52"/>
          <w:szCs w:val="52"/>
        </w:rPr>
      </w:pPr>
    </w:p>
    <w:p w14:paraId="46D603EA">
      <w:pPr>
        <w:jc w:val="center"/>
        <w:rPr>
          <w:rFonts w:ascii="仿宋" w:hAnsi="仿宋" w:eastAsia="仿宋" w:cs="仿宋"/>
          <w:b/>
          <w:color w:val="000000"/>
          <w:sz w:val="72"/>
          <w:szCs w:val="52"/>
        </w:rPr>
      </w:pPr>
      <w:r>
        <w:rPr>
          <w:rFonts w:hint="eastAsia" w:ascii="仿宋" w:hAnsi="仿宋" w:eastAsia="仿宋" w:cs="仿宋"/>
          <w:b/>
          <w:color w:val="000000"/>
          <w:sz w:val="72"/>
          <w:szCs w:val="52"/>
        </w:rPr>
        <w:t>建设工程施工合同</w:t>
      </w:r>
    </w:p>
    <w:p w14:paraId="3C723978">
      <w:pPr>
        <w:pStyle w:val="42"/>
      </w:pPr>
    </w:p>
    <w:p w14:paraId="5CB0A0C0">
      <w:pPr>
        <w:widowControl/>
        <w:jc w:val="left"/>
        <w:rPr>
          <w:rFonts w:ascii="仿宋" w:hAnsi="仿宋" w:eastAsia="仿宋" w:cs="仿宋"/>
          <w:b/>
          <w:color w:val="000000"/>
          <w:sz w:val="28"/>
          <w:szCs w:val="30"/>
          <w:highlight w:val="green"/>
        </w:rPr>
      </w:pPr>
    </w:p>
    <w:p w14:paraId="17C02C84">
      <w:pPr>
        <w:widowControl/>
        <w:jc w:val="left"/>
        <w:rPr>
          <w:rFonts w:hint="default" w:ascii="仿宋" w:hAnsi="仿宋" w:eastAsia="仿宋" w:cs="仿宋"/>
          <w:b/>
          <w:color w:val="000000"/>
          <w:sz w:val="28"/>
          <w:szCs w:val="30"/>
          <w:lang w:val="en-US" w:eastAsia="zh-CN"/>
        </w:rPr>
      </w:pPr>
      <w:r>
        <w:rPr>
          <w:rFonts w:hint="eastAsia" w:ascii="仿宋" w:hAnsi="仿宋" w:eastAsia="仿宋" w:cs="仿宋"/>
          <w:b/>
          <w:color w:val="000000"/>
          <w:sz w:val="28"/>
          <w:szCs w:val="30"/>
        </w:rPr>
        <w:t>工程名称：</w:t>
      </w:r>
      <w:r>
        <w:rPr>
          <w:rFonts w:hint="eastAsia" w:ascii="仿宋" w:hAnsi="仿宋" w:eastAsia="仿宋" w:cs="仿宋"/>
          <w:b/>
          <w:color w:val="000000"/>
          <w:sz w:val="28"/>
          <w:szCs w:val="30"/>
          <w:u w:val="single"/>
          <w:lang w:val="en-US" w:eastAsia="zh-CN"/>
        </w:rPr>
        <w:t xml:space="preserve">                       </w:t>
      </w:r>
    </w:p>
    <w:p w14:paraId="7FA24159">
      <w:pPr>
        <w:widowControl/>
        <w:jc w:val="left"/>
        <w:rPr>
          <w:rFonts w:hint="default" w:ascii="仿宋" w:hAnsi="仿宋" w:eastAsia="仿宋" w:cs="仿宋"/>
          <w:b/>
          <w:color w:val="000000"/>
          <w:sz w:val="28"/>
          <w:szCs w:val="30"/>
          <w:u w:val="single"/>
          <w:lang w:val="en-US" w:eastAsia="zh-CN"/>
        </w:rPr>
      </w:pPr>
      <w:r>
        <w:rPr>
          <w:rFonts w:hint="eastAsia" w:ascii="仿宋" w:hAnsi="仿宋" w:eastAsia="仿宋" w:cs="仿宋"/>
          <w:b/>
          <w:color w:val="000000"/>
          <w:sz w:val="28"/>
          <w:szCs w:val="30"/>
        </w:rPr>
        <w:t>发包人（全称）：</w:t>
      </w:r>
      <w:r>
        <w:rPr>
          <w:rFonts w:hint="eastAsia" w:ascii="仿宋" w:hAnsi="仿宋" w:eastAsia="仿宋" w:cs="仿宋"/>
          <w:b/>
          <w:color w:val="000000"/>
          <w:sz w:val="28"/>
          <w:szCs w:val="30"/>
          <w:u w:val="single"/>
          <w:lang w:val="en-US" w:eastAsia="zh-CN"/>
        </w:rPr>
        <w:t xml:space="preserve">                                    </w:t>
      </w:r>
    </w:p>
    <w:p w14:paraId="49D6E01A">
      <w:pPr>
        <w:spacing w:line="360" w:lineRule="auto"/>
        <w:rPr>
          <w:rFonts w:hint="default" w:ascii="仿宋" w:hAnsi="仿宋" w:eastAsia="仿宋" w:cs="仿宋"/>
          <w:b/>
          <w:color w:val="000000"/>
          <w:sz w:val="28"/>
          <w:szCs w:val="30"/>
          <w:u w:val="single"/>
          <w:lang w:val="en-US" w:eastAsia="zh-CN"/>
        </w:rPr>
      </w:pPr>
      <w:r>
        <w:rPr>
          <w:rFonts w:hint="eastAsia" w:ascii="仿宋" w:hAnsi="仿宋" w:eastAsia="仿宋" w:cs="仿宋"/>
          <w:b/>
          <w:color w:val="000000"/>
          <w:sz w:val="28"/>
          <w:szCs w:val="30"/>
        </w:rPr>
        <w:t>承包人（全称）：</w:t>
      </w:r>
      <w:r>
        <w:rPr>
          <w:rFonts w:hint="eastAsia" w:ascii="仿宋" w:hAnsi="仿宋" w:eastAsia="仿宋" w:cs="仿宋"/>
          <w:b/>
          <w:color w:val="000000"/>
          <w:sz w:val="28"/>
          <w:szCs w:val="30"/>
          <w:u w:val="single"/>
          <w:lang w:val="en-US" w:eastAsia="zh-CN"/>
        </w:rPr>
        <w:t xml:space="preserve">                                    </w:t>
      </w:r>
    </w:p>
    <w:p w14:paraId="6448F6B1">
      <w:pPr>
        <w:jc w:val="center"/>
        <w:rPr>
          <w:rFonts w:ascii="仿宋" w:hAnsi="仿宋" w:eastAsia="仿宋" w:cs="仿宋"/>
          <w:b/>
          <w:color w:val="000000"/>
          <w:sz w:val="28"/>
          <w:szCs w:val="28"/>
        </w:rPr>
      </w:pPr>
      <w:r>
        <w:rPr>
          <w:rFonts w:hint="eastAsia" w:ascii="仿宋" w:hAnsi="仿宋" w:eastAsia="仿宋" w:cs="仿宋"/>
          <w:b/>
          <w:color w:val="000000"/>
          <w:sz w:val="28"/>
          <w:szCs w:val="28"/>
        </w:rPr>
        <w:t>签订日期：  20   年    月</w:t>
      </w:r>
    </w:p>
    <w:p w14:paraId="7DE1852A">
      <w:pPr>
        <w:rPr>
          <w:rFonts w:ascii="仿宋" w:hAnsi="仿宋" w:eastAsia="仿宋" w:cs="仿宋"/>
          <w:b/>
          <w:color w:val="000000"/>
          <w:sz w:val="28"/>
          <w:szCs w:val="28"/>
        </w:rPr>
      </w:pPr>
    </w:p>
    <w:p w14:paraId="6F72EBF3">
      <w:pPr>
        <w:rPr>
          <w:rFonts w:ascii="仿宋" w:hAnsi="仿宋" w:eastAsia="仿宋" w:cs="仿宋"/>
          <w:b/>
          <w:color w:val="000000"/>
          <w:sz w:val="28"/>
          <w:szCs w:val="28"/>
        </w:rPr>
      </w:pPr>
    </w:p>
    <w:p w14:paraId="31DB7AC6">
      <w:pPr>
        <w:rPr>
          <w:rFonts w:ascii="仿宋" w:hAnsi="仿宋" w:eastAsia="仿宋" w:cs="仿宋"/>
          <w:b/>
          <w:color w:val="000000"/>
          <w:sz w:val="28"/>
          <w:szCs w:val="28"/>
        </w:rPr>
      </w:pPr>
    </w:p>
    <w:p w14:paraId="49175725">
      <w:pPr>
        <w:rPr>
          <w:rFonts w:ascii="仿宋" w:hAnsi="仿宋" w:eastAsia="仿宋" w:cs="仿宋"/>
          <w:b/>
          <w:color w:val="000000"/>
          <w:sz w:val="28"/>
          <w:szCs w:val="28"/>
        </w:rPr>
      </w:pPr>
    </w:p>
    <w:p w14:paraId="11A2F570">
      <w:pPr>
        <w:rPr>
          <w:rFonts w:ascii="仿宋" w:hAnsi="仿宋" w:eastAsia="仿宋" w:cs="仿宋"/>
          <w:b/>
          <w:color w:val="000000"/>
          <w:sz w:val="28"/>
          <w:szCs w:val="28"/>
        </w:rPr>
      </w:pPr>
    </w:p>
    <w:p w14:paraId="62D9A419">
      <w:pPr>
        <w:ind w:right="2719" w:rightChars="1295" w:firstLine="2738" w:firstLineChars="1304"/>
        <w:jc w:val="distribute"/>
        <w:rPr>
          <w:rFonts w:ascii="仿宋" w:hAnsi="仿宋" w:eastAsia="仿宋" w:cs="仿宋"/>
          <w:b/>
          <w:color w:val="000000"/>
          <w:sz w:val="32"/>
          <w:szCs w:val="28"/>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8D17700">
                            <w:pPr>
                              <w:rPr>
                                <w:b/>
                                <w:bCs/>
                                <w:sz w:val="32"/>
                              </w:rPr>
                            </w:pPr>
                            <w:r>
                              <w:rPr>
                                <w:rFonts w:hint="eastAsia"/>
                                <w:b/>
                                <w:bCs/>
                                <w:sz w:val="32"/>
                              </w:rPr>
                              <w:t>制定</w:t>
                            </w:r>
                          </w:p>
                        </w:txbxContent>
                      </wps:txbx>
                      <wps:bodyPr upright="1"/>
                    </wps:wsp>
                  </a:graphicData>
                </a:graphic>
              </wp:anchor>
            </w:drawing>
          </mc:Choice>
          <mc:Fallback>
            <w:pict>
              <v:shape id="文本框 2"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h+mK1AkCAAAaBAAADgAAAGRycy9lMm9Eb2MueG1srVPN&#10;jtMwEL4j8Q6W7zTdQlk2aroSlHJBgLTwAFNnkljyn2y3SV8A3oATF+48V59jx04oy3LpgRySyczn&#10;b2a+Ga9uB63YAX2Q1lT8ajbnDI2wtTRtxb983j57xVmIYGpQ1mDFjxj47frpk1XvSlzYzqoaPSMS&#10;E8reVbyL0ZVFEUSHGsLMOjQUbKzXEOnXt0XtoSd2rYrFfP6y6K2vnbcCQyDvZgzyidFfQmibRgrc&#10;WLHXaOLI6lFBpJZCJ13g61xt06CIH5smYGSq4tRpzG9KQvYuvYv1CsrWg+ukmEqAS0p41JMGaSjp&#10;mWoDEdjey3+otBTeBtvEmbC6GBvJilAXV/NH2tx14DD3QlIHdxY9/D9a8eHwyTNZ0yZwZkDTwE/f&#10;v51+/Dr9/MoWSZ7ehZJQd45wcXhthwSd/IGcqeuh8Tp9qR9GcRL3eBYXh8gEOa8Xz2/mFBEUerG8&#10;plVILMWfw86H+A6tZsmouKfZZUnh8D7EEfobknIZu5VKkR9KZVhf8ZvlYkn0QDvZ0C6QqR31FUyb&#10;aYJVsk5H0ong290b5dkBaC+2+Zmq+QuW8m0gdCMuhxIMSi0j+mx1CPVbU7N4dKSdoSvDUzEaa84U&#10;0g1LVkZGkOoSJEmiTEqCeX+n5tMYRrmTFYfdQKTJ3Nn6SKPZOy/bjnTLwylShFYmCzytd9rJh/9k&#10;P7zS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h+mK1AkCAAAaBAAADgAAAAAAAAABACAA&#10;AAAnAQAAZHJzL2Uyb0RvYy54bWxQSwUGAAAAAAYABgBZAQAAogUAAAAA&#10;">
                <v:fill on="f" focussize="0,0"/>
                <v:stroke color="#FFFFFF" joinstyle="miter"/>
                <v:imagedata o:title=""/>
                <o:lock v:ext="edit" aspectratio="f"/>
                <v:textbox>
                  <w:txbxContent>
                    <w:p w14:paraId="38D17700">
                      <w:pPr>
                        <w:rPr>
                          <w:b/>
                          <w:bCs/>
                          <w:sz w:val="32"/>
                        </w:rPr>
                      </w:pPr>
                      <w:r>
                        <w:rPr>
                          <w:rFonts w:hint="eastAsia"/>
                          <w:b/>
                          <w:bCs/>
                          <w:sz w:val="32"/>
                        </w:rPr>
                        <w:t>制定</w:t>
                      </w:r>
                    </w:p>
                  </w:txbxContent>
                </v:textbox>
              </v:shape>
            </w:pict>
          </mc:Fallback>
        </mc:AlternateContent>
      </w:r>
      <w:r>
        <w:rPr>
          <w:rFonts w:hint="eastAsia" w:ascii="仿宋" w:hAnsi="仿宋" w:eastAsia="仿宋" w:cs="仿宋"/>
          <w:b/>
          <w:color w:val="000000"/>
          <w:sz w:val="32"/>
          <w:szCs w:val="28"/>
        </w:rPr>
        <w:t>住房城乡建设部</w:t>
      </w:r>
    </w:p>
    <w:p w14:paraId="590E7B6E">
      <w:pPr>
        <w:ind w:right="2719" w:rightChars="1295" w:firstLine="2750" w:firstLineChars="856"/>
        <w:jc w:val="distribute"/>
        <w:rPr>
          <w:rFonts w:ascii="仿宋" w:hAnsi="仿宋" w:eastAsia="仿宋" w:cs="仿宋"/>
          <w:b/>
          <w:color w:val="000000"/>
          <w:sz w:val="32"/>
          <w:szCs w:val="28"/>
        </w:rPr>
      </w:pPr>
      <w:r>
        <w:rPr>
          <w:rFonts w:hint="eastAsia" w:ascii="仿宋" w:hAnsi="仿宋" w:eastAsia="仿宋" w:cs="仿宋"/>
          <w:b/>
          <w:color w:val="000000"/>
          <w:sz w:val="32"/>
          <w:szCs w:val="28"/>
        </w:rPr>
        <w:t>国家工商行政管理总局</w:t>
      </w:r>
    </w:p>
    <w:p w14:paraId="28901CBD">
      <w:pPr>
        <w:pStyle w:val="634"/>
        <w:jc w:val="center"/>
        <w:outlineLvl w:val="0"/>
        <w:rPr>
          <w:rFonts w:ascii="仿宋" w:hAnsi="仿宋" w:eastAsia="仿宋" w:cs="仿宋"/>
          <w:sz w:val="24"/>
          <w:szCs w:val="28"/>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pgNumType w:fmt="decimal"/>
          <w:cols w:space="720" w:num="1"/>
          <w:titlePg/>
          <w:docGrid w:type="lines" w:linePitch="312" w:charSpace="0"/>
        </w:sectPr>
      </w:pPr>
    </w:p>
    <w:p w14:paraId="0A093809">
      <w:pPr>
        <w:pStyle w:val="4"/>
        <w:jc w:val="center"/>
        <w:rPr>
          <w:rFonts w:ascii="仿宋" w:hAnsi="仿宋" w:eastAsia="仿宋" w:cs="仿宋"/>
          <w:color w:val="000000"/>
          <w:sz w:val="40"/>
          <w:szCs w:val="44"/>
        </w:rPr>
      </w:pPr>
      <w:bookmarkStart w:id="402" w:name="_Toc19739"/>
      <w:bookmarkStart w:id="403" w:name="_Toc23516"/>
      <w:bookmarkStart w:id="404" w:name="_Toc25037"/>
      <w:bookmarkStart w:id="405" w:name="_Toc4900"/>
      <w:bookmarkStart w:id="406" w:name="_Toc22980"/>
      <w:r>
        <w:rPr>
          <w:rFonts w:hint="eastAsia" w:ascii="仿宋" w:hAnsi="仿宋" w:eastAsia="仿宋" w:cs="仿宋"/>
          <w:sz w:val="40"/>
          <w:szCs w:val="44"/>
        </w:rPr>
        <w:t>第一部分 合同协议书</w:t>
      </w:r>
      <w:bookmarkEnd w:id="399"/>
      <w:bookmarkEnd w:id="400"/>
      <w:bookmarkEnd w:id="401"/>
      <w:bookmarkEnd w:id="402"/>
      <w:bookmarkEnd w:id="403"/>
      <w:bookmarkEnd w:id="404"/>
      <w:bookmarkEnd w:id="405"/>
      <w:bookmarkEnd w:id="406"/>
    </w:p>
    <w:p w14:paraId="705DE727">
      <w:pPr>
        <w:widowControl/>
        <w:jc w:val="left"/>
        <w:rPr>
          <w:rFonts w:hint="default" w:ascii="仿宋" w:hAnsi="仿宋" w:eastAsia="仿宋" w:cs="仿宋"/>
          <w:b/>
          <w:color w:val="000000"/>
          <w:sz w:val="28"/>
          <w:szCs w:val="30"/>
          <w:u w:val="single"/>
          <w:lang w:val="en-US" w:eastAsia="zh-CN"/>
        </w:rPr>
      </w:pPr>
      <w:r>
        <w:rPr>
          <w:rFonts w:hint="eastAsia" w:ascii="仿宋" w:hAnsi="仿宋" w:eastAsia="仿宋" w:cs="仿宋"/>
          <w:b/>
          <w:color w:val="000000"/>
          <w:sz w:val="28"/>
          <w:szCs w:val="30"/>
        </w:rPr>
        <w:t>发包人（全称）：</w:t>
      </w:r>
      <w:r>
        <w:rPr>
          <w:rFonts w:hint="eastAsia" w:ascii="仿宋" w:hAnsi="仿宋" w:eastAsia="仿宋" w:cs="仿宋"/>
          <w:b/>
          <w:color w:val="000000"/>
          <w:sz w:val="28"/>
          <w:szCs w:val="30"/>
          <w:u w:val="single"/>
        </w:rPr>
        <w:t>杭州市上城区</w:t>
      </w:r>
      <w:r>
        <w:rPr>
          <w:rFonts w:hint="eastAsia" w:ascii="仿宋" w:hAnsi="仿宋" w:eastAsia="仿宋" w:cs="仿宋"/>
          <w:b/>
          <w:color w:val="000000"/>
          <w:sz w:val="28"/>
          <w:szCs w:val="30"/>
          <w:u w:val="single"/>
          <w:lang w:val="en-US" w:eastAsia="zh-CN"/>
        </w:rPr>
        <w:t>基础设施改善中心</w:t>
      </w:r>
    </w:p>
    <w:p w14:paraId="4F4C2079">
      <w:pPr>
        <w:spacing w:line="360" w:lineRule="auto"/>
        <w:rPr>
          <w:rFonts w:hint="default" w:ascii="仿宋" w:hAnsi="仿宋" w:eastAsia="仿宋" w:cs="仿宋"/>
          <w:b/>
          <w:color w:val="000000"/>
          <w:sz w:val="28"/>
          <w:szCs w:val="30"/>
          <w:u w:val="single"/>
          <w:lang w:val="en-US" w:eastAsia="zh-CN"/>
        </w:rPr>
      </w:pPr>
      <w:r>
        <w:rPr>
          <w:rFonts w:hint="eastAsia" w:ascii="仿宋" w:hAnsi="仿宋" w:eastAsia="仿宋" w:cs="仿宋"/>
          <w:b/>
          <w:color w:val="000000"/>
          <w:sz w:val="28"/>
          <w:szCs w:val="30"/>
        </w:rPr>
        <w:t>承包人（全称）：</w:t>
      </w:r>
      <w:r>
        <w:rPr>
          <w:rFonts w:hint="eastAsia" w:ascii="仿宋" w:hAnsi="仿宋" w:eastAsia="仿宋" w:cs="仿宋"/>
          <w:b/>
          <w:color w:val="000000"/>
          <w:sz w:val="28"/>
          <w:szCs w:val="30"/>
          <w:u w:val="single"/>
          <w:lang w:val="en-US" w:eastAsia="zh-CN"/>
        </w:rPr>
        <w:t xml:space="preserve">                                        </w:t>
      </w:r>
    </w:p>
    <w:p w14:paraId="695183BB">
      <w:pPr>
        <w:wordWrap w:val="0"/>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根据《中华人民共和国</w:t>
      </w:r>
      <w:r>
        <w:rPr>
          <w:rFonts w:hint="eastAsia" w:ascii="仿宋" w:hAnsi="仿宋" w:eastAsia="仿宋" w:cs="仿宋"/>
          <w:color w:val="000000"/>
          <w:sz w:val="28"/>
          <w:szCs w:val="30"/>
          <w:lang w:val="en-US" w:eastAsia="zh-CN"/>
        </w:rPr>
        <w:t>民法典</w:t>
      </w:r>
      <w:r>
        <w:rPr>
          <w:rFonts w:hint="eastAsia" w:ascii="仿宋" w:hAnsi="仿宋" w:eastAsia="仿宋" w:cs="仿宋"/>
          <w:color w:val="000000"/>
          <w:sz w:val="28"/>
          <w:szCs w:val="30"/>
        </w:rPr>
        <w:t>》、《中华人民共和国建筑法》及有关法律规定，遵循平等、自愿、公平和诚实信用的原则，双方就</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工程施工及有关事项协商一致，共同达成如下协议：</w:t>
      </w:r>
    </w:p>
    <w:p w14:paraId="48275459">
      <w:pPr>
        <w:pStyle w:val="5"/>
        <w:spacing w:before="120" w:after="120" w:line="360" w:lineRule="auto"/>
        <w:ind w:firstLine="560" w:firstLineChars="200"/>
        <w:rPr>
          <w:rFonts w:ascii="仿宋" w:hAnsi="仿宋" w:eastAsia="仿宋" w:cs="仿宋"/>
          <w:bCs w:val="0"/>
          <w:color w:val="000000"/>
          <w:szCs w:val="32"/>
        </w:rPr>
      </w:pPr>
      <w:bookmarkStart w:id="407" w:name="_Toc351203481"/>
      <w:r>
        <w:rPr>
          <w:rFonts w:hint="eastAsia" w:ascii="仿宋" w:hAnsi="仿宋" w:eastAsia="仿宋" w:cs="仿宋"/>
          <w:b w:val="0"/>
          <w:color w:val="000000"/>
          <w:szCs w:val="32"/>
        </w:rPr>
        <w:t>一、工程概况</w:t>
      </w:r>
      <w:bookmarkEnd w:id="407"/>
    </w:p>
    <w:p w14:paraId="0232931B">
      <w:pPr>
        <w:spacing w:line="360" w:lineRule="auto"/>
        <w:ind w:firstLine="588" w:firstLineChars="196"/>
        <w:rPr>
          <w:rFonts w:ascii="仿宋" w:hAnsi="仿宋" w:eastAsia="仿宋" w:cs="仿宋"/>
          <w:color w:val="000000"/>
          <w:sz w:val="30"/>
          <w:szCs w:val="30"/>
          <w:u w:val="single"/>
        </w:rPr>
      </w:pPr>
      <w:r>
        <w:rPr>
          <w:rFonts w:hint="eastAsia" w:ascii="仿宋" w:hAnsi="仿宋" w:eastAsia="仿宋" w:cs="仿宋"/>
          <w:bCs/>
          <w:color w:val="000000"/>
          <w:sz w:val="30"/>
          <w:szCs w:val="30"/>
        </w:rPr>
        <w:t>1.工程名称</w:t>
      </w:r>
      <w:r>
        <w:rPr>
          <w:rFonts w:hint="eastAsia" w:ascii="仿宋" w:hAnsi="仿宋" w:eastAsia="仿宋" w:cs="仿宋"/>
          <w:color w:val="000000"/>
          <w:sz w:val="30"/>
          <w:szCs w:val="30"/>
        </w:rPr>
        <w:t>：</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30"/>
          <w:szCs w:val="30"/>
        </w:rPr>
        <w:t>。</w:t>
      </w:r>
    </w:p>
    <w:p w14:paraId="66803797">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2.工程地点：</w:t>
      </w:r>
      <w:r>
        <w:rPr>
          <w:rFonts w:hint="eastAsia" w:ascii="仿宋" w:hAnsi="仿宋" w:eastAsia="仿宋" w:cs="仿宋"/>
          <w:color w:val="000000"/>
          <w:sz w:val="30"/>
          <w:szCs w:val="30"/>
          <w:u w:val="single"/>
        </w:rPr>
        <w:t>杭州市上城区</w:t>
      </w:r>
      <w:r>
        <w:rPr>
          <w:rFonts w:hint="eastAsia" w:ascii="仿宋" w:hAnsi="仿宋" w:eastAsia="仿宋" w:cs="仿宋"/>
          <w:color w:val="000000"/>
          <w:sz w:val="30"/>
          <w:szCs w:val="30"/>
        </w:rPr>
        <w:t>。</w:t>
      </w:r>
    </w:p>
    <w:p w14:paraId="3F458450">
      <w:pPr>
        <w:widowControl/>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3.工程立项批准文号：</w:t>
      </w:r>
      <w:r>
        <w:rPr>
          <w:rFonts w:hint="eastAsia" w:ascii="仿宋" w:hAnsi="仿宋" w:eastAsia="仿宋" w:cs="仿宋"/>
          <w:bCs/>
          <w:color w:val="000000"/>
          <w:sz w:val="30"/>
          <w:szCs w:val="30"/>
          <w:u w:val="single"/>
        </w:rPr>
        <w:t xml:space="preserve">   /   </w:t>
      </w:r>
      <w:r>
        <w:rPr>
          <w:rFonts w:hint="eastAsia" w:ascii="仿宋" w:hAnsi="仿宋" w:eastAsia="仿宋" w:cs="仿宋"/>
          <w:bCs/>
          <w:color w:val="000000"/>
          <w:sz w:val="30"/>
          <w:szCs w:val="30"/>
        </w:rPr>
        <w:t>。</w:t>
      </w:r>
    </w:p>
    <w:p w14:paraId="1C8F5620">
      <w:pPr>
        <w:spacing w:line="360" w:lineRule="auto"/>
        <w:ind w:firstLine="588" w:firstLineChars="196"/>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4.资金来源：</w:t>
      </w:r>
      <w:r>
        <w:rPr>
          <w:rFonts w:hint="eastAsia" w:ascii="仿宋" w:hAnsi="仿宋" w:eastAsia="仿宋" w:cs="仿宋"/>
          <w:color w:val="000000"/>
          <w:sz w:val="30"/>
          <w:szCs w:val="30"/>
          <w:highlight w:val="none"/>
          <w:u w:val="single"/>
        </w:rPr>
        <w:t>财政</w:t>
      </w:r>
      <w:r>
        <w:rPr>
          <w:rFonts w:hint="eastAsia" w:ascii="仿宋" w:hAnsi="仿宋" w:eastAsia="仿宋" w:cs="仿宋"/>
          <w:color w:val="000000"/>
          <w:sz w:val="30"/>
          <w:szCs w:val="30"/>
          <w:highlight w:val="none"/>
          <w:u w:val="single"/>
          <w:lang w:val="en-US" w:eastAsia="zh-CN"/>
        </w:rPr>
        <w:t xml:space="preserve">资金 </w:t>
      </w:r>
      <w:r>
        <w:rPr>
          <w:rFonts w:hint="eastAsia" w:ascii="仿宋" w:hAnsi="仿宋" w:eastAsia="仿宋" w:cs="仿宋"/>
          <w:bCs/>
          <w:color w:val="000000"/>
          <w:sz w:val="30"/>
          <w:szCs w:val="30"/>
          <w:highlight w:val="none"/>
        </w:rPr>
        <w:t>。</w:t>
      </w:r>
    </w:p>
    <w:p w14:paraId="15E2A979">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 xml:space="preserve">5. 工程投资总额（ </w:t>
      </w:r>
      <w:r>
        <w:rPr>
          <w:rFonts w:hint="eastAsia" w:ascii="仿宋" w:hAnsi="仿宋" w:eastAsia="仿宋" w:cs="仿宋"/>
          <w:bCs/>
          <w:color w:val="000000"/>
          <w:sz w:val="30"/>
          <w:szCs w:val="30"/>
        </w:rPr>
        <w:sym w:font="Wingdings 2" w:char="0052"/>
      </w:r>
      <w:r>
        <w:rPr>
          <w:rFonts w:hint="eastAsia" w:ascii="仿宋" w:hAnsi="仿宋" w:eastAsia="仿宋" w:cs="仿宋"/>
          <w:bCs/>
          <w:color w:val="000000"/>
          <w:sz w:val="30"/>
          <w:szCs w:val="30"/>
        </w:rPr>
        <w:t>立项价□其他）：</w:t>
      </w:r>
      <w:r>
        <w:rPr>
          <w:rFonts w:hint="eastAsia" w:ascii="仿宋" w:hAnsi="仿宋" w:eastAsia="仿宋" w:cs="仿宋"/>
          <w:bCs/>
          <w:color w:val="000000"/>
          <w:sz w:val="30"/>
          <w:szCs w:val="30"/>
          <w:lang w:val="en-US" w:eastAsia="zh-CN"/>
        </w:rPr>
        <w:t>人民币</w:t>
      </w:r>
      <w:r>
        <w:rPr>
          <w:rFonts w:hint="eastAsia" w:ascii="仿宋" w:hAnsi="仿宋" w:eastAsia="仿宋" w:cs="仿宋"/>
          <w:bCs/>
          <w:color w:val="000000"/>
          <w:sz w:val="30"/>
          <w:szCs w:val="30"/>
          <w:u w:val="single"/>
          <w:lang w:val="en-US" w:eastAsia="zh-CN"/>
        </w:rPr>
        <w:t xml:space="preserve">         </w:t>
      </w:r>
      <w:r>
        <w:rPr>
          <w:rFonts w:hint="eastAsia" w:ascii="仿宋" w:hAnsi="仿宋" w:eastAsia="仿宋" w:cs="仿宋"/>
          <w:bCs/>
          <w:color w:val="000000"/>
          <w:sz w:val="30"/>
          <w:szCs w:val="30"/>
        </w:rPr>
        <w:t>万元。</w:t>
      </w:r>
    </w:p>
    <w:p w14:paraId="4414EAE6">
      <w:pPr>
        <w:widowControl/>
        <w:ind w:firstLine="600" w:firstLineChars="200"/>
        <w:jc w:val="left"/>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6.工程内容：</w:t>
      </w:r>
      <w:r>
        <w:rPr>
          <w:rFonts w:hint="eastAsia" w:ascii="仿宋" w:hAnsi="仿宋" w:eastAsia="仿宋" w:cs="仿宋"/>
          <w:bCs/>
          <w:color w:val="000000"/>
          <w:sz w:val="30"/>
          <w:szCs w:val="30"/>
          <w:u w:val="single"/>
        </w:rPr>
        <w:tab/>
      </w:r>
      <w:r>
        <w:rPr>
          <w:rFonts w:hint="eastAsia" w:ascii="仿宋" w:hAnsi="仿宋" w:eastAsia="仿宋" w:cs="仿宋"/>
          <w:bCs/>
          <w:color w:val="000000"/>
          <w:sz w:val="30"/>
          <w:szCs w:val="30"/>
          <w:u w:val="single"/>
          <w:lang w:val="en-US" w:eastAsia="zh-CN"/>
        </w:rPr>
        <w:t xml:space="preserve">                         </w:t>
      </w:r>
      <w:r>
        <w:rPr>
          <w:rFonts w:hint="eastAsia" w:ascii="仿宋" w:hAnsi="仿宋" w:eastAsia="仿宋"/>
          <w:sz w:val="30"/>
          <w:szCs w:val="30"/>
          <w:lang w:val="en-US" w:eastAsia="zh-CN"/>
        </w:rPr>
        <w:t xml:space="preserve"> </w:t>
      </w:r>
    </w:p>
    <w:p w14:paraId="6223425D">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7.工程承包范围：</w:t>
      </w:r>
    </w:p>
    <w:p w14:paraId="0CC2B9E5">
      <w:pPr>
        <w:spacing w:line="360" w:lineRule="auto"/>
        <w:ind w:firstLine="579" w:firstLineChars="193"/>
        <w:rPr>
          <w:rFonts w:ascii="仿宋" w:hAnsi="仿宋" w:eastAsia="仿宋" w:cs="仿宋"/>
          <w:color w:val="000000"/>
          <w:sz w:val="30"/>
          <w:szCs w:val="30"/>
        </w:rPr>
      </w:pP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w:t>
      </w:r>
    </w:p>
    <w:p w14:paraId="0499E46A">
      <w:pPr>
        <w:pStyle w:val="5"/>
        <w:spacing w:before="120" w:after="120" w:line="360" w:lineRule="auto"/>
        <w:ind w:firstLine="560" w:firstLineChars="200"/>
        <w:rPr>
          <w:rFonts w:ascii="仿宋" w:hAnsi="仿宋" w:eastAsia="仿宋" w:cs="仿宋"/>
          <w:b w:val="0"/>
          <w:color w:val="000000"/>
          <w:szCs w:val="32"/>
        </w:rPr>
      </w:pPr>
      <w:bookmarkStart w:id="408" w:name="_Toc351203482"/>
      <w:r>
        <w:rPr>
          <w:rFonts w:hint="eastAsia" w:ascii="仿宋" w:hAnsi="仿宋" w:eastAsia="仿宋" w:cs="仿宋"/>
          <w:b w:val="0"/>
          <w:color w:val="000000"/>
          <w:szCs w:val="32"/>
        </w:rPr>
        <w:t>二、合同工期</w:t>
      </w:r>
      <w:bookmarkEnd w:id="408"/>
    </w:p>
    <w:p w14:paraId="7386E49B">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计划开工日期：</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年</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月</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日。或以经批准的开工报告为准。</w:t>
      </w:r>
    </w:p>
    <w:p w14:paraId="7AFDF0BD">
      <w:pPr>
        <w:snapToGrid w:val="0"/>
        <w:spacing w:line="580" w:lineRule="exact"/>
        <w:ind w:firstLine="459"/>
        <w:rPr>
          <w:rFonts w:ascii="仿宋" w:hAnsi="仿宋" w:eastAsia="仿宋" w:cs="仿宋"/>
          <w:color w:val="000000"/>
          <w:sz w:val="28"/>
          <w:szCs w:val="30"/>
        </w:rPr>
      </w:pPr>
      <w:r>
        <w:rPr>
          <w:rFonts w:hint="eastAsia" w:ascii="仿宋" w:hAnsi="仿宋" w:eastAsia="仿宋" w:cs="仿宋"/>
          <w:color w:val="000000"/>
          <w:sz w:val="28"/>
          <w:szCs w:val="30"/>
        </w:rPr>
        <w:t>计划竣工日期：</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年</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月</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日。或从开工之日起按合同工期顺延</w:t>
      </w:r>
      <w:r>
        <w:rPr>
          <w:rFonts w:hint="eastAsia" w:ascii="仿宋" w:hAnsi="仿宋" w:eastAsia="仿宋" w:cs="仿宋"/>
          <w:color w:val="000000"/>
          <w:sz w:val="28"/>
          <w:szCs w:val="30"/>
          <w:lang w:eastAsia="zh-CN"/>
        </w:rPr>
        <w:t>，</w:t>
      </w:r>
      <w:r>
        <w:rPr>
          <w:rFonts w:hint="eastAsia" w:ascii="仿宋" w:hAnsi="仿宋" w:eastAsia="仿宋" w:cs="仿宋"/>
          <w:color w:val="000000"/>
          <w:sz w:val="28"/>
          <w:szCs w:val="30"/>
          <w:lang w:val="en-US" w:eastAsia="zh-CN"/>
        </w:rPr>
        <w:t>以竣工报告为准</w:t>
      </w:r>
      <w:r>
        <w:rPr>
          <w:rFonts w:hint="eastAsia" w:ascii="仿宋" w:hAnsi="仿宋" w:eastAsia="仿宋" w:cs="仿宋"/>
          <w:color w:val="000000"/>
          <w:sz w:val="28"/>
          <w:szCs w:val="30"/>
        </w:rPr>
        <w:t>。</w:t>
      </w:r>
    </w:p>
    <w:p w14:paraId="4210CE0B">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工期总日历天数：</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天。工期总日历天数与根据前述计划开竣工日期计算的工期天数不一致的，以工期总日历天数为准。</w:t>
      </w:r>
    </w:p>
    <w:p w14:paraId="47B31605">
      <w:pPr>
        <w:pStyle w:val="5"/>
        <w:spacing w:before="120" w:after="120" w:line="360" w:lineRule="auto"/>
        <w:ind w:firstLine="560" w:firstLineChars="200"/>
        <w:rPr>
          <w:rFonts w:ascii="仿宋" w:hAnsi="仿宋" w:eastAsia="仿宋" w:cs="仿宋"/>
          <w:bCs w:val="0"/>
          <w:color w:val="000000"/>
          <w:szCs w:val="32"/>
        </w:rPr>
      </w:pPr>
      <w:bookmarkStart w:id="409" w:name="_Toc351203483"/>
      <w:r>
        <w:rPr>
          <w:rFonts w:hint="eastAsia" w:ascii="仿宋" w:hAnsi="仿宋" w:eastAsia="仿宋" w:cs="仿宋"/>
          <w:b w:val="0"/>
          <w:color w:val="000000"/>
          <w:szCs w:val="32"/>
        </w:rPr>
        <w:t>三、质量标准</w:t>
      </w:r>
      <w:bookmarkEnd w:id="409"/>
    </w:p>
    <w:p w14:paraId="0C868564">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工程质量符合</w:t>
      </w:r>
      <w:r>
        <w:rPr>
          <w:rFonts w:hint="eastAsia" w:ascii="仿宋" w:hAnsi="仿宋" w:eastAsia="仿宋" w:cs="仿宋"/>
          <w:color w:val="000000"/>
          <w:sz w:val="28"/>
          <w:szCs w:val="30"/>
          <w:u w:val="single"/>
        </w:rPr>
        <w:t>国家对各种类工程制定的相应</w:t>
      </w:r>
      <w:r>
        <w:rPr>
          <w:rFonts w:hint="eastAsia" w:ascii="仿宋" w:hAnsi="仿宋" w:eastAsia="仿宋" w:cs="仿宋"/>
          <w:color w:val="000000"/>
          <w:sz w:val="28"/>
          <w:szCs w:val="30"/>
          <w:u w:val="single"/>
          <w:lang w:eastAsia="zh-CN"/>
        </w:rPr>
        <w:t>《</w:t>
      </w:r>
      <w:r>
        <w:rPr>
          <w:rFonts w:hint="eastAsia" w:ascii="仿宋" w:hAnsi="仿宋" w:eastAsia="仿宋" w:cs="仿宋"/>
          <w:color w:val="000000"/>
          <w:sz w:val="28"/>
          <w:szCs w:val="30"/>
          <w:u w:val="single"/>
        </w:rPr>
        <w:t>工程施工质量验收规范</w:t>
      </w:r>
      <w:r>
        <w:rPr>
          <w:rFonts w:hint="eastAsia" w:ascii="仿宋" w:hAnsi="仿宋" w:eastAsia="仿宋" w:cs="仿宋"/>
          <w:color w:val="000000"/>
          <w:sz w:val="28"/>
          <w:szCs w:val="30"/>
          <w:u w:val="single"/>
          <w:lang w:eastAsia="zh-CN"/>
        </w:rPr>
        <w:t>》</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u w:val="none"/>
        </w:rPr>
        <w:t>合格</w:t>
      </w:r>
      <w:r>
        <w:rPr>
          <w:rFonts w:hint="eastAsia" w:ascii="仿宋" w:hAnsi="仿宋" w:eastAsia="仿宋" w:cs="仿宋"/>
          <w:color w:val="000000"/>
          <w:sz w:val="28"/>
          <w:szCs w:val="30"/>
        </w:rPr>
        <w:t>标准。</w:t>
      </w:r>
    </w:p>
    <w:p w14:paraId="0B562489">
      <w:pPr>
        <w:pStyle w:val="5"/>
        <w:spacing w:before="120" w:after="120" w:line="360" w:lineRule="auto"/>
        <w:rPr>
          <w:rFonts w:ascii="仿宋" w:hAnsi="仿宋" w:eastAsia="仿宋" w:cs="仿宋"/>
          <w:bCs w:val="0"/>
          <w:color w:val="000000"/>
          <w:szCs w:val="32"/>
        </w:rPr>
      </w:pPr>
      <w:bookmarkStart w:id="410" w:name="_Toc351203484"/>
      <w:r>
        <w:rPr>
          <w:rFonts w:hint="eastAsia" w:ascii="仿宋" w:hAnsi="仿宋" w:eastAsia="仿宋" w:cs="仿宋"/>
          <w:b w:val="0"/>
          <w:color w:val="000000"/>
          <w:szCs w:val="32"/>
        </w:rPr>
        <w:t>四、签约合同价与合同价格形式</w:t>
      </w:r>
      <w:bookmarkEnd w:id="410"/>
      <w:r>
        <w:rPr>
          <w:rFonts w:hint="eastAsia" w:ascii="仿宋" w:hAnsi="仿宋" w:eastAsia="仿宋" w:cs="仿宋"/>
          <w:b w:val="0"/>
          <w:color w:val="000000"/>
          <w:szCs w:val="32"/>
        </w:rPr>
        <w:tab/>
      </w:r>
    </w:p>
    <w:p w14:paraId="6BBD4708">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1.签约合同价为：</w:t>
      </w:r>
    </w:p>
    <w:p w14:paraId="266AE2FA">
      <w:pPr>
        <w:spacing w:line="360" w:lineRule="auto"/>
        <w:ind w:firstLine="700" w:firstLineChars="2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元)；</w:t>
      </w:r>
    </w:p>
    <w:p w14:paraId="151D755F">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其中：</w:t>
      </w:r>
    </w:p>
    <w:p w14:paraId="7F4E77DD">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（1）安全文明施工费：</w:t>
      </w:r>
    </w:p>
    <w:p w14:paraId="5C585D21">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u w:val="single"/>
        </w:rPr>
        <w:t>元</w:t>
      </w:r>
      <w:r>
        <w:rPr>
          <w:rFonts w:hint="eastAsia" w:ascii="仿宋" w:hAnsi="仿宋" w:eastAsia="仿宋" w:cs="仿宋"/>
          <w:color w:val="000000"/>
          <w:sz w:val="28"/>
          <w:szCs w:val="30"/>
        </w:rPr>
        <w:t xml:space="preserve"> (¥</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元)（</w:t>
      </w:r>
      <w:r>
        <w:rPr>
          <w:rFonts w:hint="eastAsia" w:ascii="仿宋" w:hAnsi="仿宋" w:eastAsia="仿宋" w:cs="仿宋"/>
          <w:color w:val="FF0000"/>
          <w:sz w:val="28"/>
          <w:szCs w:val="30"/>
        </w:rPr>
        <w:t>含税价）</w:t>
      </w:r>
      <w:r>
        <w:rPr>
          <w:rFonts w:hint="eastAsia" w:ascii="仿宋" w:hAnsi="仿宋" w:eastAsia="仿宋" w:cs="仿宋"/>
          <w:color w:val="000000"/>
          <w:sz w:val="28"/>
          <w:szCs w:val="30"/>
        </w:rPr>
        <w:t>；</w:t>
      </w:r>
    </w:p>
    <w:p w14:paraId="127681D4">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（2）材料和工程设备暂估价金额：</w:t>
      </w:r>
    </w:p>
    <w:p w14:paraId="6CD71336">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14:paraId="080A7D8D">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（3）专业工程暂估价金额：</w:t>
      </w:r>
    </w:p>
    <w:p w14:paraId="3E903E40">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14:paraId="2DA83DA0">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（4）暂列金额：</w:t>
      </w:r>
    </w:p>
    <w:p w14:paraId="2366B6A3">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14:paraId="646034C8">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2.合同价格形式：</w:t>
      </w:r>
      <w:r>
        <w:rPr>
          <w:rFonts w:hint="eastAsia" w:ascii="仿宋" w:hAnsi="仿宋" w:eastAsia="仿宋" w:cs="仿宋"/>
          <w:color w:val="000000"/>
          <w:sz w:val="28"/>
          <w:szCs w:val="30"/>
          <w:u w:val="single"/>
        </w:rPr>
        <w:t>固定单价合同       </w:t>
      </w:r>
      <w:r>
        <w:rPr>
          <w:rFonts w:hint="eastAsia" w:ascii="仿宋" w:hAnsi="仿宋" w:eastAsia="仿宋" w:cs="仿宋"/>
          <w:color w:val="000000"/>
          <w:sz w:val="28"/>
          <w:szCs w:val="30"/>
        </w:rPr>
        <w:t>。</w:t>
      </w:r>
    </w:p>
    <w:p w14:paraId="1238BCFB">
      <w:pPr>
        <w:pStyle w:val="5"/>
        <w:spacing w:before="120" w:after="120" w:line="360" w:lineRule="auto"/>
        <w:rPr>
          <w:rFonts w:ascii="仿宋" w:hAnsi="仿宋" w:eastAsia="仿宋" w:cs="仿宋"/>
          <w:b w:val="0"/>
          <w:color w:val="000000"/>
          <w:szCs w:val="32"/>
        </w:rPr>
      </w:pPr>
      <w:bookmarkStart w:id="411" w:name="_Toc351203485"/>
      <w:r>
        <w:rPr>
          <w:rFonts w:hint="eastAsia" w:ascii="仿宋" w:hAnsi="仿宋" w:eastAsia="仿宋" w:cs="仿宋"/>
          <w:b w:val="0"/>
          <w:color w:val="000000"/>
          <w:szCs w:val="32"/>
        </w:rPr>
        <w:t>五、</w:t>
      </w:r>
      <w:bookmarkEnd w:id="411"/>
      <w:r>
        <w:rPr>
          <w:rFonts w:hint="eastAsia" w:ascii="仿宋" w:hAnsi="仿宋" w:eastAsia="仿宋" w:cs="仿宋"/>
          <w:b w:val="0"/>
          <w:color w:val="000000"/>
          <w:szCs w:val="32"/>
        </w:rPr>
        <w:t>项目经理</w:t>
      </w:r>
    </w:p>
    <w:p w14:paraId="59EF8E80">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承包人项目经理：</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w:t>
      </w:r>
    </w:p>
    <w:p w14:paraId="10B04C8F">
      <w:pPr>
        <w:pStyle w:val="5"/>
        <w:spacing w:before="120" w:after="120" w:line="360" w:lineRule="auto"/>
        <w:rPr>
          <w:rFonts w:ascii="仿宋" w:hAnsi="仿宋" w:eastAsia="仿宋" w:cs="仿宋"/>
          <w:bCs w:val="0"/>
          <w:color w:val="000000"/>
          <w:szCs w:val="32"/>
        </w:rPr>
      </w:pPr>
      <w:bookmarkStart w:id="412" w:name="_Toc351203486"/>
      <w:r>
        <w:rPr>
          <w:rFonts w:hint="eastAsia" w:ascii="仿宋" w:hAnsi="仿宋" w:eastAsia="仿宋" w:cs="仿宋"/>
          <w:b w:val="0"/>
          <w:color w:val="000000"/>
          <w:szCs w:val="32"/>
        </w:rPr>
        <w:t>六、合同文件构成</w:t>
      </w:r>
      <w:bookmarkEnd w:id="412"/>
    </w:p>
    <w:p w14:paraId="74048AB0">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本协议书与下列文件一起构成合同文件：</w:t>
      </w:r>
    </w:p>
    <w:p w14:paraId="290B5F3D">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（1）中标通知书（如果有）；</w:t>
      </w:r>
    </w:p>
    <w:p w14:paraId="10FE47BF">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 xml:space="preserve">（2）投标函及其附录（如果有）； </w:t>
      </w:r>
    </w:p>
    <w:p w14:paraId="3FC5411E">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（3）专用合同条款及其附件；</w:t>
      </w:r>
    </w:p>
    <w:p w14:paraId="321A570A">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（4）通用合同条款；</w:t>
      </w:r>
    </w:p>
    <w:p w14:paraId="597E305A">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（5）技术标准和要求；</w:t>
      </w:r>
    </w:p>
    <w:p w14:paraId="5A20B949">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（6）图纸；</w:t>
      </w:r>
    </w:p>
    <w:p w14:paraId="76E48922">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（7）已标价工程量清单或预算书；</w:t>
      </w:r>
    </w:p>
    <w:p w14:paraId="36239691">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（8）其他合同文件。</w:t>
      </w:r>
    </w:p>
    <w:p w14:paraId="4A135835">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在合同订立及履行过程中形成的与合同有关的文件均构成合同文件组成部分。</w:t>
      </w:r>
    </w:p>
    <w:p w14:paraId="66581024">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上述各项合同文件包括合同当事人就该项合同文件所作出的补充和修改，属于同一类内容的文件，应以最新签署的为准。专用合同条款及其附件须经合同</w:t>
      </w:r>
      <w:r>
        <w:rPr>
          <w:rFonts w:hint="eastAsia" w:ascii="仿宋" w:hAnsi="仿宋" w:eastAsia="仿宋" w:cs="仿宋"/>
          <w:color w:val="000000"/>
          <w:sz w:val="28"/>
          <w:szCs w:val="30"/>
          <w:lang w:val="en-US" w:eastAsia="zh-CN"/>
        </w:rPr>
        <w:t>双方</w:t>
      </w:r>
      <w:r>
        <w:rPr>
          <w:rFonts w:hint="eastAsia" w:ascii="仿宋" w:hAnsi="仿宋" w:eastAsia="仿宋" w:cs="仿宋"/>
          <w:color w:val="000000"/>
          <w:sz w:val="28"/>
          <w:szCs w:val="30"/>
        </w:rPr>
        <w:t>签字或盖章。</w:t>
      </w:r>
    </w:p>
    <w:p w14:paraId="163E4C65">
      <w:pPr>
        <w:pStyle w:val="5"/>
        <w:spacing w:before="120" w:after="120" w:line="360" w:lineRule="auto"/>
        <w:rPr>
          <w:rFonts w:ascii="仿宋" w:hAnsi="仿宋" w:eastAsia="仿宋" w:cs="仿宋"/>
          <w:b w:val="0"/>
          <w:bCs w:val="0"/>
          <w:color w:val="000000"/>
          <w:szCs w:val="32"/>
        </w:rPr>
      </w:pPr>
      <w:bookmarkStart w:id="413" w:name="_Toc351203487"/>
      <w:r>
        <w:rPr>
          <w:rFonts w:hint="eastAsia" w:ascii="仿宋" w:hAnsi="仿宋" w:eastAsia="仿宋" w:cs="仿宋"/>
          <w:b w:val="0"/>
          <w:color w:val="000000"/>
          <w:szCs w:val="32"/>
        </w:rPr>
        <w:t>七、承诺</w:t>
      </w:r>
      <w:bookmarkEnd w:id="413"/>
    </w:p>
    <w:p w14:paraId="3AEC0A9A">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1.发包人承诺按照法律规定履行项目审批手续、筹集工程建设资金并按照合同约定的期限和方式支付合同价款。</w:t>
      </w:r>
    </w:p>
    <w:p w14:paraId="397BB265">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2.承包人承诺按照法律规定及合同约定组织完成工程施工，确保工程质量和安全，不进行转包及违法分包，并在缺陷责任期及保修期内承担相应的工程维修责任。</w:t>
      </w:r>
    </w:p>
    <w:p w14:paraId="420A3278">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3.发包人和承包人通过招投标形式签订合同的，双方理解并承诺不再就同一工程另行签订与合同实质性内容相背离的协议。</w:t>
      </w:r>
    </w:p>
    <w:p w14:paraId="1BCF39AD">
      <w:pPr>
        <w:spacing w:line="360" w:lineRule="auto"/>
        <w:rPr>
          <w:rFonts w:ascii="仿宋" w:hAnsi="仿宋" w:eastAsia="仿宋" w:cs="仿宋"/>
          <w:bCs/>
          <w:color w:val="000000"/>
          <w:sz w:val="28"/>
          <w:szCs w:val="32"/>
        </w:rPr>
      </w:pPr>
      <w:bookmarkStart w:id="414" w:name="_Toc351203488"/>
      <w:r>
        <w:rPr>
          <w:rFonts w:hint="eastAsia" w:ascii="仿宋" w:hAnsi="仿宋" w:eastAsia="仿宋" w:cs="仿宋"/>
          <w:b/>
          <w:color w:val="000000"/>
          <w:sz w:val="28"/>
          <w:szCs w:val="32"/>
        </w:rPr>
        <w:t xml:space="preserve">    八、词语含义</w:t>
      </w:r>
      <w:bookmarkEnd w:id="414"/>
    </w:p>
    <w:p w14:paraId="7FA0FC1C">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本协议书中词语含义与第二部分通用合同条款中赋予的含义相同。</w:t>
      </w:r>
    </w:p>
    <w:p w14:paraId="516B7A62">
      <w:pPr>
        <w:pStyle w:val="5"/>
        <w:spacing w:before="120" w:after="120" w:line="360" w:lineRule="auto"/>
        <w:rPr>
          <w:rFonts w:ascii="仿宋" w:hAnsi="仿宋" w:eastAsia="仿宋" w:cs="仿宋"/>
          <w:bCs w:val="0"/>
          <w:color w:val="000000"/>
          <w:szCs w:val="32"/>
        </w:rPr>
      </w:pPr>
      <w:bookmarkStart w:id="415" w:name="_Toc351203489"/>
      <w:r>
        <w:rPr>
          <w:rFonts w:hint="eastAsia" w:ascii="仿宋" w:hAnsi="仿宋" w:eastAsia="仿宋" w:cs="仿宋"/>
          <w:b w:val="0"/>
          <w:color w:val="000000"/>
          <w:szCs w:val="32"/>
        </w:rPr>
        <w:t>九、签订时间</w:t>
      </w:r>
      <w:bookmarkEnd w:id="415"/>
    </w:p>
    <w:p w14:paraId="4D71883F">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本合同于</w:t>
      </w:r>
      <w:r>
        <w:rPr>
          <w:rFonts w:hint="eastAsia" w:ascii="仿宋" w:hAnsi="仿宋" w:eastAsia="仿宋" w:cs="仿宋"/>
          <w:bCs/>
          <w:color w:val="000000"/>
          <w:sz w:val="28"/>
          <w:szCs w:val="30"/>
          <w:u w:val="single"/>
          <w:lang w:val="en-US" w:eastAsia="zh-CN"/>
        </w:rPr>
        <w:t xml:space="preserve">   </w:t>
      </w:r>
      <w:r>
        <w:rPr>
          <w:rFonts w:hint="eastAsia" w:ascii="仿宋" w:hAnsi="仿宋" w:eastAsia="仿宋" w:cs="仿宋"/>
          <w:bCs/>
          <w:color w:val="000000"/>
          <w:sz w:val="28"/>
          <w:szCs w:val="30"/>
        </w:rPr>
        <w:t>年</w:t>
      </w:r>
      <w:r>
        <w:rPr>
          <w:rFonts w:hint="eastAsia" w:ascii="仿宋" w:hAnsi="仿宋" w:eastAsia="仿宋" w:cs="仿宋"/>
          <w:bCs/>
          <w:color w:val="000000"/>
          <w:sz w:val="28"/>
          <w:szCs w:val="30"/>
          <w:u w:val="single"/>
          <w:lang w:val="en-US" w:eastAsia="zh-CN"/>
        </w:rPr>
        <w:t xml:space="preserve">    </w:t>
      </w:r>
      <w:r>
        <w:rPr>
          <w:rFonts w:hint="eastAsia" w:ascii="仿宋" w:hAnsi="仿宋" w:eastAsia="仿宋" w:cs="仿宋"/>
          <w:bCs/>
          <w:color w:val="000000"/>
          <w:sz w:val="28"/>
          <w:szCs w:val="30"/>
        </w:rPr>
        <w:t>月</w:t>
      </w:r>
      <w:r>
        <w:rPr>
          <w:rFonts w:hint="eastAsia" w:ascii="仿宋" w:hAnsi="仿宋" w:eastAsia="仿宋" w:cs="仿宋"/>
          <w:bCs/>
          <w:color w:val="000000"/>
          <w:sz w:val="28"/>
          <w:szCs w:val="30"/>
          <w:u w:val="single"/>
          <w:lang w:val="en-US" w:eastAsia="zh-CN"/>
        </w:rPr>
        <w:t xml:space="preserve">   </w:t>
      </w:r>
      <w:r>
        <w:rPr>
          <w:rFonts w:hint="eastAsia" w:ascii="仿宋" w:hAnsi="仿宋" w:eastAsia="仿宋" w:cs="仿宋"/>
          <w:bCs/>
          <w:color w:val="000000"/>
          <w:sz w:val="28"/>
          <w:szCs w:val="30"/>
        </w:rPr>
        <w:t>日签订。</w:t>
      </w:r>
    </w:p>
    <w:p w14:paraId="6242F26C">
      <w:pPr>
        <w:pStyle w:val="5"/>
        <w:spacing w:before="120" w:after="120" w:line="360" w:lineRule="auto"/>
        <w:rPr>
          <w:rFonts w:ascii="仿宋" w:hAnsi="仿宋" w:eastAsia="仿宋" w:cs="仿宋"/>
          <w:bCs w:val="0"/>
          <w:color w:val="000000"/>
          <w:szCs w:val="32"/>
        </w:rPr>
      </w:pPr>
      <w:bookmarkStart w:id="416" w:name="_Toc351203490"/>
      <w:r>
        <w:rPr>
          <w:rFonts w:hint="eastAsia" w:ascii="仿宋" w:hAnsi="仿宋" w:eastAsia="仿宋" w:cs="仿宋"/>
          <w:b w:val="0"/>
          <w:color w:val="000000"/>
          <w:szCs w:val="32"/>
        </w:rPr>
        <w:t>十、签订地点</w:t>
      </w:r>
      <w:bookmarkEnd w:id="416"/>
    </w:p>
    <w:p w14:paraId="2B74BED4">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本合同在</w:t>
      </w:r>
      <w:r>
        <w:rPr>
          <w:rFonts w:hint="eastAsia" w:ascii="仿宋" w:hAnsi="仿宋" w:eastAsia="仿宋" w:cs="仿宋"/>
          <w:bCs/>
          <w:color w:val="000000"/>
          <w:sz w:val="28"/>
          <w:szCs w:val="30"/>
          <w:u w:val="single"/>
          <w:lang w:val="en-US" w:eastAsia="zh-CN"/>
        </w:rPr>
        <w:t xml:space="preserve">          </w:t>
      </w:r>
      <w:r>
        <w:rPr>
          <w:rFonts w:hint="eastAsia" w:ascii="仿宋" w:hAnsi="仿宋" w:eastAsia="仿宋" w:cs="仿宋"/>
          <w:bCs/>
          <w:color w:val="000000"/>
          <w:sz w:val="28"/>
          <w:szCs w:val="30"/>
        </w:rPr>
        <w:t>签订。</w:t>
      </w:r>
    </w:p>
    <w:p w14:paraId="319669F5">
      <w:pPr>
        <w:pStyle w:val="5"/>
        <w:spacing w:before="120" w:after="120" w:line="360" w:lineRule="auto"/>
        <w:rPr>
          <w:rFonts w:ascii="仿宋" w:hAnsi="仿宋" w:eastAsia="仿宋" w:cs="仿宋"/>
          <w:bCs w:val="0"/>
          <w:color w:val="000000"/>
          <w:szCs w:val="32"/>
        </w:rPr>
      </w:pPr>
      <w:bookmarkStart w:id="417" w:name="_Toc351203491"/>
      <w:r>
        <w:rPr>
          <w:rFonts w:hint="eastAsia" w:ascii="仿宋" w:hAnsi="仿宋" w:eastAsia="仿宋" w:cs="仿宋"/>
          <w:b w:val="0"/>
          <w:color w:val="000000"/>
          <w:szCs w:val="32"/>
        </w:rPr>
        <w:t>十一、补充协议</w:t>
      </w:r>
      <w:bookmarkEnd w:id="417"/>
    </w:p>
    <w:p w14:paraId="0E9D91F1">
      <w:pPr>
        <w:spacing w:line="360" w:lineRule="auto"/>
        <w:ind w:firstLine="560" w:firstLineChars="200"/>
        <w:rPr>
          <w:rFonts w:ascii="仿宋" w:hAnsi="仿宋" w:eastAsia="仿宋" w:cs="仿宋"/>
          <w:b/>
          <w:bCs/>
          <w:color w:val="000000"/>
          <w:sz w:val="28"/>
          <w:szCs w:val="30"/>
        </w:rPr>
      </w:pPr>
      <w:r>
        <w:rPr>
          <w:rFonts w:hint="eastAsia" w:ascii="仿宋" w:hAnsi="仿宋" w:eastAsia="仿宋" w:cs="仿宋"/>
          <w:bCs/>
          <w:color w:val="000000"/>
          <w:sz w:val="28"/>
          <w:szCs w:val="30"/>
        </w:rPr>
        <w:t>合同未尽事宜，</w:t>
      </w:r>
      <w:r>
        <w:rPr>
          <w:rFonts w:hint="eastAsia" w:ascii="仿宋" w:hAnsi="仿宋" w:eastAsia="仿宋" w:cs="仿宋"/>
          <w:bCs/>
          <w:color w:val="000000"/>
          <w:sz w:val="28"/>
          <w:szCs w:val="30"/>
          <w:lang w:val="en-US" w:eastAsia="zh-CN"/>
        </w:rPr>
        <w:t>由</w:t>
      </w:r>
      <w:r>
        <w:rPr>
          <w:rFonts w:hint="eastAsia" w:ascii="仿宋" w:hAnsi="仿宋" w:eastAsia="仿宋" w:cs="仿宋"/>
          <w:bCs/>
          <w:color w:val="000000"/>
          <w:sz w:val="28"/>
          <w:szCs w:val="30"/>
        </w:rPr>
        <w:t>合同</w:t>
      </w:r>
      <w:r>
        <w:rPr>
          <w:rFonts w:hint="eastAsia" w:ascii="仿宋" w:hAnsi="仿宋" w:eastAsia="仿宋" w:cs="仿宋"/>
          <w:bCs/>
          <w:color w:val="000000"/>
          <w:sz w:val="28"/>
          <w:szCs w:val="30"/>
          <w:lang w:val="en-US" w:eastAsia="zh-CN"/>
        </w:rPr>
        <w:t>双方</w:t>
      </w:r>
      <w:r>
        <w:rPr>
          <w:rFonts w:hint="eastAsia" w:ascii="仿宋" w:hAnsi="仿宋" w:eastAsia="仿宋" w:cs="仿宋"/>
          <w:bCs/>
          <w:color w:val="000000"/>
          <w:sz w:val="28"/>
          <w:szCs w:val="30"/>
        </w:rPr>
        <w:t>另行签订补充协议，补充协议是合同的组成部分</w:t>
      </w:r>
      <w:r>
        <w:rPr>
          <w:rFonts w:hint="eastAsia" w:ascii="仿宋" w:hAnsi="仿宋" w:eastAsia="仿宋" w:cs="仿宋"/>
          <w:bCs/>
          <w:color w:val="000000"/>
          <w:sz w:val="28"/>
          <w:szCs w:val="30"/>
          <w:lang w:eastAsia="zh-CN"/>
        </w:rPr>
        <w:t>，</w:t>
      </w:r>
      <w:r>
        <w:rPr>
          <w:rFonts w:hint="eastAsia" w:ascii="仿宋" w:hAnsi="仿宋" w:eastAsia="仿宋" w:cs="仿宋"/>
          <w:bCs/>
          <w:color w:val="000000"/>
          <w:sz w:val="28"/>
          <w:szCs w:val="30"/>
          <w:lang w:val="en-US" w:eastAsia="zh-CN"/>
        </w:rPr>
        <w:t>与本合同具有同等法律效力</w:t>
      </w:r>
      <w:r>
        <w:rPr>
          <w:rFonts w:hint="eastAsia" w:ascii="仿宋" w:hAnsi="仿宋" w:eastAsia="仿宋" w:cs="仿宋"/>
          <w:bCs/>
          <w:color w:val="000000"/>
          <w:sz w:val="28"/>
          <w:szCs w:val="30"/>
        </w:rPr>
        <w:t>。</w:t>
      </w:r>
    </w:p>
    <w:p w14:paraId="43BF585E">
      <w:pPr>
        <w:pStyle w:val="5"/>
        <w:spacing w:before="120" w:after="120" w:line="580" w:lineRule="exact"/>
        <w:rPr>
          <w:rFonts w:ascii="仿宋" w:hAnsi="仿宋" w:eastAsia="仿宋" w:cs="仿宋"/>
          <w:b w:val="0"/>
          <w:color w:val="000000"/>
          <w:szCs w:val="32"/>
        </w:rPr>
      </w:pPr>
      <w:bookmarkStart w:id="418" w:name="_Toc351203492"/>
      <w:r>
        <w:rPr>
          <w:rFonts w:hint="eastAsia" w:ascii="仿宋" w:hAnsi="仿宋" w:eastAsia="仿宋" w:cs="仿宋"/>
          <w:b w:val="0"/>
          <w:color w:val="000000"/>
          <w:szCs w:val="32"/>
        </w:rPr>
        <w:t>十二、违约责任</w:t>
      </w:r>
    </w:p>
    <w:p w14:paraId="4B67BC27">
      <w:pPr>
        <w:spacing w:line="580" w:lineRule="exact"/>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合同双方按照本合同“第二部分 通用合同条款”与“第三部分 专用合同条款”约定的内容承担违约责任。</w:t>
      </w:r>
    </w:p>
    <w:p w14:paraId="78665955">
      <w:pPr>
        <w:pStyle w:val="5"/>
        <w:spacing w:before="120" w:after="120" w:line="580" w:lineRule="exact"/>
        <w:rPr>
          <w:rFonts w:ascii="仿宋" w:hAnsi="仿宋" w:eastAsia="仿宋" w:cs="仿宋"/>
          <w:b w:val="0"/>
          <w:color w:val="000000"/>
          <w:szCs w:val="32"/>
        </w:rPr>
      </w:pPr>
      <w:r>
        <w:rPr>
          <w:rFonts w:hint="eastAsia" w:ascii="仿宋" w:hAnsi="仿宋" w:eastAsia="仿宋" w:cs="仿宋"/>
          <w:b w:val="0"/>
          <w:color w:val="000000"/>
          <w:szCs w:val="32"/>
        </w:rPr>
        <w:t>十三、争议解决</w:t>
      </w:r>
    </w:p>
    <w:p w14:paraId="399F26B7">
      <w:pPr>
        <w:spacing w:before="120" w:after="120" w:line="580" w:lineRule="exact"/>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本建设工程施工合同发生争议，发包人与承包人应及时协商解决。协商不成的，任何一方均可向杭州市上城区人民法院提起诉讼。</w:t>
      </w:r>
    </w:p>
    <w:p w14:paraId="32CE3048">
      <w:pPr>
        <w:pStyle w:val="5"/>
        <w:spacing w:before="120" w:after="120" w:line="360" w:lineRule="auto"/>
        <w:rPr>
          <w:rFonts w:ascii="仿宋" w:hAnsi="仿宋" w:eastAsia="仿宋" w:cs="仿宋"/>
          <w:bCs w:val="0"/>
          <w:color w:val="000000"/>
          <w:szCs w:val="32"/>
        </w:rPr>
      </w:pPr>
      <w:r>
        <w:rPr>
          <w:rFonts w:hint="eastAsia" w:ascii="仿宋" w:hAnsi="仿宋" w:eastAsia="仿宋" w:cs="仿宋"/>
          <w:b w:val="0"/>
          <w:color w:val="000000"/>
          <w:szCs w:val="32"/>
        </w:rPr>
        <w:t>十</w:t>
      </w:r>
      <w:r>
        <w:rPr>
          <w:rFonts w:hint="eastAsia" w:ascii="仿宋" w:hAnsi="仿宋" w:eastAsia="仿宋" w:cs="仿宋"/>
          <w:b w:val="0"/>
          <w:color w:val="000000"/>
          <w:szCs w:val="32"/>
          <w:lang w:val="en-US" w:eastAsia="zh-CN"/>
        </w:rPr>
        <w:t>三</w:t>
      </w:r>
      <w:r>
        <w:rPr>
          <w:rFonts w:hint="eastAsia" w:ascii="仿宋" w:hAnsi="仿宋" w:eastAsia="仿宋" w:cs="仿宋"/>
          <w:b w:val="0"/>
          <w:color w:val="000000"/>
          <w:szCs w:val="32"/>
        </w:rPr>
        <w:t>、合同生效</w:t>
      </w:r>
      <w:bookmarkEnd w:id="418"/>
    </w:p>
    <w:p w14:paraId="11348652">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本合同自</w:t>
      </w:r>
      <w:r>
        <w:rPr>
          <w:rFonts w:hint="eastAsia" w:ascii="仿宋" w:hAnsi="仿宋" w:eastAsia="仿宋" w:cs="仿宋"/>
          <w:bCs/>
          <w:color w:val="000000"/>
          <w:sz w:val="28"/>
          <w:szCs w:val="30"/>
          <w:u w:val="single"/>
        </w:rPr>
        <w:t xml:space="preserve">     双方签字盖章后   </w:t>
      </w:r>
      <w:r>
        <w:rPr>
          <w:rFonts w:hint="eastAsia" w:ascii="仿宋" w:hAnsi="仿宋" w:eastAsia="仿宋" w:cs="仿宋"/>
          <w:bCs/>
          <w:color w:val="000000"/>
          <w:sz w:val="28"/>
          <w:szCs w:val="30"/>
        </w:rPr>
        <w:t>生效。</w:t>
      </w:r>
    </w:p>
    <w:p w14:paraId="4C752469">
      <w:pPr>
        <w:pStyle w:val="5"/>
        <w:spacing w:before="120" w:after="120" w:line="360" w:lineRule="auto"/>
        <w:rPr>
          <w:rFonts w:ascii="仿宋" w:hAnsi="仿宋" w:eastAsia="仿宋" w:cs="仿宋"/>
          <w:bCs w:val="0"/>
          <w:color w:val="000000"/>
          <w:szCs w:val="32"/>
        </w:rPr>
      </w:pPr>
      <w:bookmarkStart w:id="419" w:name="_Toc351203493"/>
      <w:r>
        <w:rPr>
          <w:rFonts w:hint="eastAsia" w:ascii="仿宋" w:hAnsi="仿宋" w:eastAsia="仿宋" w:cs="仿宋"/>
          <w:b w:val="0"/>
          <w:color w:val="000000"/>
          <w:szCs w:val="32"/>
        </w:rPr>
        <w:t>十</w:t>
      </w:r>
      <w:r>
        <w:rPr>
          <w:rFonts w:hint="eastAsia" w:ascii="仿宋" w:hAnsi="仿宋" w:eastAsia="仿宋" w:cs="仿宋"/>
          <w:b w:val="0"/>
          <w:color w:val="000000"/>
          <w:szCs w:val="32"/>
          <w:lang w:val="en-US" w:eastAsia="zh-CN"/>
        </w:rPr>
        <w:t>四</w:t>
      </w:r>
      <w:r>
        <w:rPr>
          <w:rFonts w:hint="eastAsia" w:ascii="仿宋" w:hAnsi="仿宋" w:eastAsia="仿宋" w:cs="仿宋"/>
          <w:b w:val="0"/>
          <w:color w:val="000000"/>
          <w:szCs w:val="32"/>
        </w:rPr>
        <w:t>、合同份数</w:t>
      </w:r>
      <w:bookmarkEnd w:id="419"/>
    </w:p>
    <w:p w14:paraId="3104D6D8">
      <w:pPr>
        <w:spacing w:line="360" w:lineRule="auto"/>
        <w:ind w:firstLine="560" w:firstLineChars="200"/>
        <w:rPr>
          <w:rFonts w:hint="eastAsia" w:ascii="仿宋" w:hAnsi="仿宋" w:eastAsia="仿宋" w:cs="仿宋"/>
          <w:bCs/>
          <w:color w:val="000000"/>
          <w:sz w:val="28"/>
          <w:szCs w:val="30"/>
        </w:rPr>
      </w:pPr>
      <w:r>
        <w:rPr>
          <w:rFonts w:hint="eastAsia" w:ascii="仿宋" w:hAnsi="仿宋" w:eastAsia="仿宋" w:cs="仿宋"/>
          <w:bCs/>
          <w:color w:val="000000"/>
          <w:sz w:val="28"/>
          <w:szCs w:val="30"/>
        </w:rPr>
        <w:t>本合同一式</w:t>
      </w:r>
      <w:r>
        <w:rPr>
          <w:rFonts w:hint="eastAsia" w:ascii="仿宋" w:hAnsi="仿宋" w:eastAsia="仿宋" w:cs="仿宋"/>
          <w:bCs/>
          <w:color w:val="000000"/>
          <w:sz w:val="28"/>
          <w:szCs w:val="30"/>
          <w:u w:val="single"/>
          <w:lang w:val="en-US" w:eastAsia="zh-CN"/>
        </w:rPr>
        <w:t>捌</w:t>
      </w:r>
      <w:r>
        <w:rPr>
          <w:rFonts w:hint="eastAsia" w:ascii="仿宋" w:hAnsi="仿宋" w:eastAsia="仿宋" w:cs="仿宋"/>
          <w:bCs/>
          <w:color w:val="000000"/>
          <w:sz w:val="28"/>
          <w:szCs w:val="30"/>
        </w:rPr>
        <w:t>份，均具有同等法律效力，发包人执</w:t>
      </w:r>
      <w:r>
        <w:rPr>
          <w:rFonts w:hint="eastAsia" w:ascii="仿宋" w:hAnsi="仿宋" w:eastAsia="仿宋" w:cs="仿宋"/>
          <w:bCs/>
          <w:color w:val="000000"/>
          <w:sz w:val="28"/>
          <w:szCs w:val="30"/>
          <w:u w:val="single"/>
          <w:lang w:val="en-US" w:eastAsia="zh-CN"/>
        </w:rPr>
        <w:t>肆</w:t>
      </w:r>
      <w:r>
        <w:rPr>
          <w:rFonts w:hint="eastAsia" w:ascii="仿宋" w:hAnsi="仿宋" w:eastAsia="仿宋" w:cs="仿宋"/>
          <w:bCs/>
          <w:color w:val="000000"/>
          <w:sz w:val="28"/>
          <w:szCs w:val="30"/>
        </w:rPr>
        <w:t>份，承包人执</w:t>
      </w:r>
      <w:r>
        <w:rPr>
          <w:rFonts w:hint="eastAsia" w:ascii="仿宋" w:hAnsi="仿宋" w:eastAsia="仿宋" w:cs="仿宋"/>
          <w:bCs/>
          <w:color w:val="000000"/>
          <w:sz w:val="28"/>
          <w:szCs w:val="30"/>
          <w:u w:val="single"/>
          <w:lang w:val="en-US" w:eastAsia="zh-CN"/>
        </w:rPr>
        <w:t>肆</w:t>
      </w:r>
      <w:r>
        <w:rPr>
          <w:rFonts w:hint="eastAsia" w:ascii="仿宋" w:hAnsi="仿宋" w:eastAsia="仿宋" w:cs="仿宋"/>
          <w:bCs/>
          <w:color w:val="000000"/>
          <w:sz w:val="28"/>
          <w:szCs w:val="30"/>
        </w:rPr>
        <w:t>份。</w:t>
      </w:r>
    </w:p>
    <w:p w14:paraId="38D69A77">
      <w:pPr>
        <w:pStyle w:val="42"/>
        <w:spacing w:line="580" w:lineRule="exact"/>
        <w:ind w:firstLine="560" w:firstLineChars="200"/>
      </w:pPr>
      <w:r>
        <w:rPr>
          <w:rFonts w:hint="eastAsia" w:ascii="仿宋" w:hAnsi="仿宋" w:eastAsia="仿宋" w:cs="仿宋"/>
          <w:color w:val="000000"/>
          <w:sz w:val="28"/>
          <w:szCs w:val="30"/>
        </w:rPr>
        <w:t>（以下为签字页）</w:t>
      </w:r>
    </w:p>
    <w:p w14:paraId="2B41D0D4">
      <w:pPr>
        <w:pStyle w:val="42"/>
      </w:pPr>
    </w:p>
    <w:p w14:paraId="1766F3AD">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br w:type="page"/>
      </w:r>
    </w:p>
    <w:p w14:paraId="27E34370">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发包人：  (公章)             承包人：  (公章)</w:t>
      </w:r>
    </w:p>
    <w:p w14:paraId="64E789E4">
      <w:pPr>
        <w:spacing w:line="360" w:lineRule="auto"/>
        <w:rPr>
          <w:rFonts w:ascii="仿宋" w:hAnsi="仿宋" w:eastAsia="仿宋" w:cs="仿宋"/>
          <w:color w:val="000000"/>
          <w:sz w:val="28"/>
          <w:szCs w:val="30"/>
          <w:u w:val="single"/>
        </w:rPr>
      </w:pPr>
    </w:p>
    <w:p w14:paraId="543A7C29">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法定代表人或其委托代理人：  法定代表人或其委托代理人：</w:t>
      </w:r>
    </w:p>
    <w:p w14:paraId="53B12411">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（签字）                    （签字）</w:t>
      </w:r>
    </w:p>
    <w:p w14:paraId="65F805E1">
      <w:pPr>
        <w:spacing w:line="360" w:lineRule="auto"/>
        <w:rPr>
          <w:rFonts w:ascii="仿宋" w:hAnsi="仿宋" w:eastAsia="仿宋" w:cs="仿宋"/>
          <w:color w:val="000000"/>
          <w:sz w:val="28"/>
          <w:szCs w:val="30"/>
          <w:u w:val="single"/>
        </w:rPr>
      </w:pPr>
    </w:p>
    <w:p w14:paraId="4A0C2F8C">
      <w:pPr>
        <w:tabs>
          <w:tab w:val="left" w:pos="4410"/>
        </w:tabs>
        <w:spacing w:line="360" w:lineRule="auto"/>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组织机构代码：</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组织机构代码：</w:t>
      </w:r>
      <w:r>
        <w:rPr>
          <w:rFonts w:hint="eastAsia" w:eastAsia="仿宋"/>
          <w:sz w:val="28"/>
          <w:szCs w:val="28"/>
          <w:highlight w:val="none"/>
          <w:u w:val="single"/>
          <w:lang w:val="en-US" w:eastAsia="zh-CN"/>
        </w:rPr>
        <w:t xml:space="preserve">          </w:t>
      </w:r>
    </w:p>
    <w:p w14:paraId="608C97B2">
      <w:pPr>
        <w:spacing w:line="360" w:lineRule="auto"/>
        <w:ind w:left="5460" w:hanging="5460" w:hangingChars="1950"/>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地  址：</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地  址：</w:t>
      </w:r>
      <w:r>
        <w:rPr>
          <w:rFonts w:hint="eastAsia" w:ascii="仿宋" w:hAnsi="仿宋" w:eastAsia="仿宋" w:cs="仿宋"/>
          <w:color w:val="000000"/>
          <w:sz w:val="28"/>
          <w:szCs w:val="30"/>
          <w:highlight w:val="none"/>
          <w:u w:val="single"/>
          <w:lang w:val="en-US" w:eastAsia="zh-CN"/>
        </w:rPr>
        <w:t xml:space="preserve">                  </w:t>
      </w:r>
    </w:p>
    <w:p w14:paraId="7E9E0DF8">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邮政编码：</w:t>
      </w:r>
      <w:r>
        <w:rPr>
          <w:rFonts w:hint="eastAsia" w:ascii="仿宋" w:hAnsi="仿宋" w:eastAsia="仿宋" w:cs="仿宋"/>
          <w:color w:val="000000"/>
          <w:sz w:val="28"/>
          <w:szCs w:val="30"/>
          <w:highlight w:val="none"/>
          <w:u w:val="single"/>
        </w:rPr>
        <w:t xml:space="preserve">  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邮政编码：</w:t>
      </w:r>
      <w:r>
        <w:rPr>
          <w:rFonts w:hint="eastAsia" w:ascii="仿宋" w:hAnsi="仿宋" w:eastAsia="仿宋" w:cs="仿宋"/>
          <w:color w:val="000000"/>
          <w:sz w:val="28"/>
          <w:szCs w:val="30"/>
          <w:highlight w:val="none"/>
          <w:u w:val="single"/>
        </w:rPr>
        <w:t xml:space="preserve">   </w:t>
      </w:r>
    </w:p>
    <w:p w14:paraId="6C44A86A">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法定代表人：</w:t>
      </w:r>
      <w:r>
        <w:rPr>
          <w:rFonts w:hint="eastAsia" w:ascii="仿宋" w:hAnsi="仿宋" w:eastAsia="仿宋" w:cs="仿宋"/>
          <w:color w:val="000000"/>
          <w:sz w:val="28"/>
          <w:szCs w:val="30"/>
          <w:highlight w:val="none"/>
          <w:u w:val="single"/>
        </w:rPr>
        <w:t xml:space="preserve">     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法定代表人：</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p>
    <w:p w14:paraId="79A4DCF0">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委托代理人：</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委托代理人：</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p>
    <w:p w14:paraId="46BFB56E">
      <w:pPr>
        <w:spacing w:line="360" w:lineRule="auto"/>
        <w:rPr>
          <w:rFonts w:hint="default" w:ascii="仿宋" w:hAnsi="仿宋" w:eastAsia="仿宋" w:cs="仿宋"/>
          <w:color w:val="000000"/>
          <w:sz w:val="28"/>
          <w:szCs w:val="30"/>
          <w:highlight w:val="none"/>
          <w:lang w:val="en-US" w:eastAsia="zh-CN"/>
        </w:rPr>
      </w:pPr>
      <w:r>
        <w:rPr>
          <w:rFonts w:hint="eastAsia" w:ascii="仿宋" w:hAnsi="仿宋" w:eastAsia="仿宋" w:cs="仿宋"/>
          <w:color w:val="000000"/>
          <w:sz w:val="28"/>
          <w:szCs w:val="30"/>
          <w:highlight w:val="none"/>
        </w:rPr>
        <w:t>电  话：</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电  话：</w:t>
      </w:r>
      <w:r>
        <w:rPr>
          <w:rFonts w:hint="eastAsia" w:ascii="仿宋" w:hAnsi="仿宋" w:eastAsia="仿宋" w:cs="仿宋"/>
          <w:color w:val="000000"/>
          <w:sz w:val="28"/>
          <w:szCs w:val="30"/>
          <w:highlight w:val="none"/>
          <w:u w:val="single"/>
          <w:lang w:val="en-US" w:eastAsia="zh-CN"/>
        </w:rPr>
        <w:t xml:space="preserve">                  </w:t>
      </w:r>
    </w:p>
    <w:p w14:paraId="63C7D685">
      <w:pPr>
        <w:spacing w:line="360" w:lineRule="auto"/>
        <w:rPr>
          <w:rFonts w:hint="default" w:ascii="仿宋" w:hAnsi="仿宋" w:eastAsia="仿宋" w:cs="仿宋"/>
          <w:color w:val="000000"/>
          <w:sz w:val="28"/>
          <w:szCs w:val="30"/>
          <w:highlight w:val="none"/>
          <w:lang w:val="en-US" w:eastAsia="zh-CN"/>
        </w:rPr>
      </w:pPr>
      <w:r>
        <w:rPr>
          <w:rFonts w:hint="eastAsia" w:ascii="仿宋" w:hAnsi="仿宋" w:eastAsia="仿宋" w:cs="仿宋"/>
          <w:color w:val="000000"/>
          <w:sz w:val="28"/>
          <w:szCs w:val="30"/>
          <w:highlight w:val="none"/>
        </w:rPr>
        <w:t>传  真：</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传  真：</w:t>
      </w:r>
      <w:r>
        <w:rPr>
          <w:rFonts w:hint="eastAsia" w:ascii="仿宋" w:hAnsi="仿宋" w:eastAsia="仿宋" w:cs="仿宋"/>
          <w:color w:val="000000"/>
          <w:sz w:val="28"/>
          <w:szCs w:val="30"/>
          <w:highlight w:val="none"/>
          <w:u w:val="single"/>
          <w:lang w:val="en-US" w:eastAsia="zh-CN"/>
        </w:rPr>
        <w:t xml:space="preserve">                    </w:t>
      </w:r>
    </w:p>
    <w:p w14:paraId="758D1C75">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电子信箱：</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电子信箱：</w:t>
      </w:r>
      <w:r>
        <w:rPr>
          <w:rFonts w:hint="eastAsia" w:ascii="仿宋" w:hAnsi="仿宋" w:eastAsia="仿宋" w:cs="仿宋"/>
          <w:color w:val="000000"/>
          <w:sz w:val="28"/>
          <w:szCs w:val="30"/>
          <w:highlight w:val="none"/>
          <w:u w:val="single"/>
        </w:rPr>
        <w:t xml:space="preserve">   </w:t>
      </w:r>
    </w:p>
    <w:p w14:paraId="6231EC09">
      <w:pPr>
        <w:spacing w:line="360" w:lineRule="auto"/>
        <w:ind w:left="3780" w:hanging="3780" w:hangingChars="1350"/>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开户银行：</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开户银行：</w:t>
      </w:r>
      <w:r>
        <w:rPr>
          <w:rFonts w:hint="eastAsia" w:ascii="仿宋" w:hAnsi="仿宋" w:eastAsia="仿宋" w:cs="仿宋"/>
          <w:color w:val="000000"/>
          <w:sz w:val="28"/>
          <w:szCs w:val="30"/>
          <w:highlight w:val="none"/>
          <w:u w:val="single"/>
          <w:lang w:val="en-US" w:eastAsia="zh-CN"/>
        </w:rPr>
        <w:t xml:space="preserve">                      </w:t>
      </w:r>
    </w:p>
    <w:p w14:paraId="01C6B130">
      <w:pPr>
        <w:spacing w:line="360" w:lineRule="auto"/>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highlight w:val="none"/>
        </w:rPr>
        <w:t>账  号：</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 xml:space="preserve">账 </w:t>
      </w:r>
      <w:r>
        <w:rPr>
          <w:rFonts w:hint="eastAsia" w:ascii="仿宋" w:hAnsi="仿宋" w:eastAsia="仿宋" w:cs="仿宋"/>
          <w:color w:val="000000"/>
          <w:sz w:val="28"/>
          <w:szCs w:val="30"/>
        </w:rPr>
        <w:t xml:space="preserve"> 号：</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u w:val="single"/>
          <w:lang w:val="en-US" w:eastAsia="zh-CN"/>
        </w:rPr>
        <w:t xml:space="preserve"> </w:t>
      </w:r>
    </w:p>
    <w:p w14:paraId="44DED66F">
      <w:pPr>
        <w:pStyle w:val="4"/>
        <w:jc w:val="center"/>
        <w:rPr>
          <w:rFonts w:ascii="仿宋" w:hAnsi="仿宋" w:eastAsia="仿宋" w:cs="仿宋"/>
          <w:sz w:val="28"/>
          <w:szCs w:val="28"/>
        </w:rPr>
      </w:pPr>
      <w:r>
        <w:rPr>
          <w:rFonts w:hint="eastAsia" w:ascii="仿宋" w:hAnsi="仿宋" w:eastAsia="仿宋" w:cs="仿宋"/>
          <w:sz w:val="28"/>
        </w:rPr>
        <w:br w:type="page"/>
      </w:r>
      <w:bookmarkStart w:id="420" w:name="_Toc12649"/>
      <w:bookmarkStart w:id="421" w:name="_Toc14853"/>
      <w:bookmarkStart w:id="422" w:name="_Toc351203632"/>
      <w:bookmarkStart w:id="423" w:name="_Toc25623"/>
      <w:bookmarkStart w:id="424" w:name="_Toc18385"/>
      <w:bookmarkStart w:id="425" w:name="_Toc32686"/>
      <w:r>
        <w:rPr>
          <w:rFonts w:hint="eastAsia" w:ascii="仿宋" w:hAnsi="仿宋" w:eastAsia="仿宋" w:cs="仿宋"/>
          <w:sz w:val="40"/>
          <w:szCs w:val="44"/>
        </w:rPr>
        <w:t>第二部分 通用合同条款</w:t>
      </w:r>
      <w:bookmarkEnd w:id="420"/>
      <w:bookmarkEnd w:id="421"/>
    </w:p>
    <w:bookmarkEnd w:id="422"/>
    <w:bookmarkEnd w:id="423"/>
    <w:bookmarkEnd w:id="424"/>
    <w:bookmarkEnd w:id="425"/>
    <w:p w14:paraId="249F4FC1">
      <w:pPr>
        <w:pStyle w:val="5"/>
        <w:spacing w:before="120" w:after="120" w:line="240" w:lineRule="auto"/>
        <w:rPr>
          <w:rFonts w:ascii="仿宋_GB2312" w:hAnsi="仿宋_GB2312" w:eastAsia="仿宋_GB2312" w:cs="仿宋_GB2312"/>
          <w:b w:val="0"/>
          <w:color w:val="000000"/>
          <w:sz w:val="18"/>
          <w:szCs w:val="18"/>
        </w:rPr>
      </w:pPr>
      <w:bookmarkStart w:id="426" w:name="_Toc351203495"/>
      <w:bookmarkStart w:id="427" w:name="_Toc337558727"/>
      <w:r>
        <w:rPr>
          <w:rFonts w:hint="eastAsia" w:ascii="仿宋_GB2312" w:hAnsi="仿宋_GB2312" w:eastAsia="仿宋_GB2312" w:cs="仿宋_GB2312"/>
          <w:b w:val="0"/>
          <w:color w:val="000000"/>
          <w:sz w:val="18"/>
          <w:szCs w:val="18"/>
        </w:rPr>
        <w:t>1.</w:t>
      </w:r>
      <w:bookmarkStart w:id="428" w:name="_Toc303538973"/>
      <w:bookmarkEnd w:id="428"/>
      <w:bookmarkStart w:id="429" w:name="_Toc303538976"/>
      <w:bookmarkEnd w:id="429"/>
      <w:bookmarkStart w:id="430" w:name="_Toc303538972"/>
      <w:bookmarkEnd w:id="430"/>
      <w:bookmarkStart w:id="431" w:name="_Toc303538974"/>
      <w:bookmarkEnd w:id="431"/>
      <w:bookmarkStart w:id="432" w:name="_Toc303538975"/>
      <w:bookmarkEnd w:id="432"/>
      <w:bookmarkStart w:id="433" w:name="_Toc296503027"/>
      <w:bookmarkStart w:id="434" w:name="_Toc296346528"/>
      <w:r>
        <w:rPr>
          <w:rFonts w:hint="eastAsia" w:ascii="仿宋_GB2312" w:hAnsi="仿宋_GB2312" w:eastAsia="仿宋_GB2312" w:cs="仿宋_GB2312"/>
          <w:b w:val="0"/>
          <w:color w:val="000000"/>
          <w:sz w:val="18"/>
          <w:szCs w:val="18"/>
        </w:rPr>
        <w:t xml:space="preserve"> 一般约定</w:t>
      </w:r>
      <w:bookmarkEnd w:id="426"/>
      <w:bookmarkEnd w:id="427"/>
      <w:bookmarkEnd w:id="433"/>
      <w:bookmarkEnd w:id="434"/>
    </w:p>
    <w:p w14:paraId="2390AB46">
      <w:pPr>
        <w:pStyle w:val="6"/>
        <w:spacing w:before="120" w:after="120"/>
        <w:ind w:left="0" w:firstLine="360" w:firstLineChars="200"/>
        <w:rPr>
          <w:rFonts w:ascii="仿宋_GB2312" w:hAnsi="仿宋_GB2312" w:eastAsia="仿宋_GB2312" w:cs="仿宋_GB2312"/>
          <w:b w:val="0"/>
          <w:color w:val="000000"/>
          <w:sz w:val="18"/>
          <w:szCs w:val="18"/>
        </w:rPr>
      </w:pPr>
      <w:bookmarkStart w:id="435" w:name="_Toc296346529"/>
      <w:bookmarkStart w:id="436" w:name="_Toc296503028"/>
      <w:bookmarkStart w:id="437" w:name="_Toc337558728"/>
      <w:bookmarkStart w:id="438" w:name="_Toc351203496"/>
      <w:r>
        <w:rPr>
          <w:rFonts w:hint="eastAsia" w:ascii="仿宋_GB2312" w:hAnsi="仿宋_GB2312" w:eastAsia="仿宋_GB2312" w:cs="仿宋_GB2312"/>
          <w:b w:val="0"/>
          <w:color w:val="000000"/>
          <w:sz w:val="18"/>
          <w:szCs w:val="18"/>
        </w:rPr>
        <w:t>1.1词语定义</w:t>
      </w:r>
      <w:bookmarkEnd w:id="435"/>
      <w:bookmarkEnd w:id="436"/>
      <w:bookmarkEnd w:id="437"/>
      <w:r>
        <w:rPr>
          <w:rFonts w:hint="eastAsia" w:ascii="仿宋_GB2312" w:hAnsi="仿宋_GB2312" w:eastAsia="仿宋_GB2312" w:cs="仿宋_GB2312"/>
          <w:b w:val="0"/>
          <w:color w:val="000000"/>
          <w:sz w:val="18"/>
          <w:szCs w:val="18"/>
        </w:rPr>
        <w:t>与解释</w:t>
      </w:r>
      <w:bookmarkEnd w:id="438"/>
    </w:p>
    <w:p w14:paraId="6F80AA0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合同协议书、通用合同条款、专用合同条款中的下列词语具有本款所赋予的含义：</w:t>
      </w:r>
    </w:p>
    <w:p w14:paraId="1D7080FC">
      <w:pPr>
        <w:autoSpaceDE w:val="0"/>
        <w:autoSpaceDN w:val="0"/>
        <w:adjustRightInd w:val="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1.1.1 合同</w:t>
      </w:r>
    </w:p>
    <w:p w14:paraId="27F84EF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1.1.1.1 合同：是指根据法律规定和合同当事人约定具有约束力的文件，构成合同的文件包括合同协议书、中标通知书（如果有）、投标函及其附录（如果有）、专用合同条款</w:t>
      </w:r>
      <w:r>
        <w:rPr>
          <w:rFonts w:hint="eastAsia" w:ascii="仿宋_GB2312" w:hAnsi="仿宋_GB2312" w:eastAsia="仿宋_GB2312" w:cs="仿宋_GB2312"/>
          <w:color w:val="000000"/>
          <w:sz w:val="18"/>
          <w:szCs w:val="18"/>
        </w:rPr>
        <w:t>及其附件</w:t>
      </w:r>
      <w:r>
        <w:rPr>
          <w:rFonts w:hint="eastAsia" w:ascii="仿宋_GB2312" w:hAnsi="仿宋_GB2312" w:eastAsia="仿宋_GB2312" w:cs="仿宋_GB2312"/>
          <w:color w:val="000000"/>
          <w:kern w:val="0"/>
          <w:sz w:val="18"/>
          <w:szCs w:val="18"/>
        </w:rPr>
        <w:t>、通用合同条款、技术标准和要求、图纸、已标价工程量清单或预算书以及其他合同文件。</w:t>
      </w:r>
    </w:p>
    <w:p w14:paraId="786821B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1.1.1.2 合同协议书：是指构成合同的由发包人和承包人共同签署的称为“合同协议书”的书面文件。</w:t>
      </w:r>
    </w:p>
    <w:p w14:paraId="1951552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1.1.1.3 中标通知书：是指构成合同的由发包人通知承包人中标的书面文件。</w:t>
      </w:r>
    </w:p>
    <w:p w14:paraId="6A0A311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1.1.1.4 投标函：是指构成合同的由承包人填写并签署的用于投标的称为“投标函”的文件。</w:t>
      </w:r>
    </w:p>
    <w:p w14:paraId="652B50E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1.1.1.5 投标函附录：是指构成合同的附在投标函后的称为“投标函附录”的文件。</w:t>
      </w:r>
    </w:p>
    <w:p w14:paraId="4EB2A4D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1.1.1.6 技术标准和要求：是指构成合同的施工应当遵守的或指导施工的国家、行业或地方的技术标准和要求，以及合同约定的技术标准和要求。</w:t>
      </w:r>
    </w:p>
    <w:p w14:paraId="29CFF26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1.1.1.7 图纸：是指构成合同的图纸，包括由发包人按照合同约定提供或经发包人批准的设计文件、施工图、鸟瞰图及模型等，以及在合同履行过程中形成的图纸文件。图纸应当按照法律规定审查合格。</w:t>
      </w:r>
    </w:p>
    <w:p w14:paraId="771DB6B1">
      <w:pPr>
        <w:autoSpaceDE w:val="0"/>
        <w:autoSpaceDN w:val="0"/>
        <w:adjustRightInd w:val="0"/>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1.1.1.8 已标价工程量清单：是指构成合同的由承包人按照规定的格式和要求填写并标明价格的工程量清单，包括说明和表格。</w:t>
      </w:r>
    </w:p>
    <w:p w14:paraId="3D56E31A">
      <w:pPr>
        <w:autoSpaceDE w:val="0"/>
        <w:autoSpaceDN w:val="0"/>
        <w:adjustRightInd w:val="0"/>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1.1.1.9 预算书：是指构成合同的由承包人按照发包人规定的格式和要求编制的工程预算文件。</w:t>
      </w:r>
    </w:p>
    <w:p w14:paraId="2D18AB3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1.1.1.10 其他合同文件：是指经合同当事人约定的与工程施工有关的具有合同约束力的文件或书面协议。合同当事人可以在专用合同条款中进行约定。</w:t>
      </w:r>
    </w:p>
    <w:p w14:paraId="01F14E2D">
      <w:pPr>
        <w:autoSpaceDE w:val="0"/>
        <w:autoSpaceDN w:val="0"/>
        <w:adjustRightInd w:val="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1.1.2 合同当事人及其他相关方</w:t>
      </w:r>
    </w:p>
    <w:p w14:paraId="16C6F29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1.1.2.1 合同当事人：是指发包人和（或）承包人。</w:t>
      </w:r>
    </w:p>
    <w:p w14:paraId="467140B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1.1.2.2 发包人：是指与承包人签订合同协议书的当事人及取得该当事人资格的合法继承人。</w:t>
      </w:r>
    </w:p>
    <w:p w14:paraId="45D61A0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1.1.2.3 承包人：是指与发包人签订合同协议书的，具有相应工程施工承包资质的当事人及取得该当事人资格的合法继承人。</w:t>
      </w:r>
    </w:p>
    <w:p w14:paraId="220594E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1.1.2.4 监理人：是指在专用合同条款中指明的，受发包人委托按照法律规定进行工程监督管理的法人或其他组织。</w:t>
      </w:r>
    </w:p>
    <w:p w14:paraId="6776486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1.1.2.5 设计人：是指在专用合同条款中指明的，受发包人委托负责工程设计并具备相应工程设计资质的法人或其他组织。</w:t>
      </w:r>
    </w:p>
    <w:p w14:paraId="2BD891DA">
      <w:pPr>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1.1.2.6 分包人：</w:t>
      </w:r>
      <w:bookmarkStart w:id="439" w:name="#go5"/>
      <w:bookmarkEnd w:id="439"/>
      <w:r>
        <w:rPr>
          <w:rFonts w:hint="eastAsia" w:ascii="仿宋_GB2312" w:hAnsi="仿宋_GB2312" w:eastAsia="仿宋_GB2312" w:cs="仿宋_GB2312"/>
          <w:color w:val="000000"/>
          <w:kern w:val="0"/>
          <w:sz w:val="18"/>
          <w:szCs w:val="18"/>
        </w:rPr>
        <w:t>是指按照法律规定和合同约定，分包部分工程或工作，并与承包人签订分包合同的具有相应资质的法人。</w:t>
      </w:r>
    </w:p>
    <w:p w14:paraId="1810B94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1.1.2.7 发包人代表：是指由发包人任命并派驻施工现场在发包人授权范围内行使发包人权利的人。</w:t>
      </w:r>
    </w:p>
    <w:p w14:paraId="736D584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1.1.2.8 项目经理：是指由承包人任命并派驻施工现场，在承包人授权范围内负责合同履行，且按照法律规定具有相应资格的项目负责人。</w:t>
      </w:r>
    </w:p>
    <w:p w14:paraId="57EC9EE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1.1.2.9 总监理工程师：是指由监理人任命并派驻施工现场进行工程监理的总负责人。</w:t>
      </w:r>
    </w:p>
    <w:p w14:paraId="5532ED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 工程和设备</w:t>
      </w:r>
    </w:p>
    <w:p w14:paraId="14C237F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1.1.3.1 工程：是指与合同协议书中工程承包范围对应的永久工程和（或）临时工程。</w:t>
      </w:r>
    </w:p>
    <w:p w14:paraId="35F9CBA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1.1.3.2 永久工程：是指按合同约定建造并移交给发包人的工程，包括工程设备。</w:t>
      </w:r>
    </w:p>
    <w:p w14:paraId="05083E1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1.1.3.3 临时工程：是指为完成合同约定的永久工程所修建的各类临时性工程，不包括施工设备。</w:t>
      </w:r>
    </w:p>
    <w:p w14:paraId="19018F9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1.1.3.4 单位工程：是指在合同协议书中指明的，具备独立施工条件并能形成独立使用功能的永久工程。</w:t>
      </w:r>
    </w:p>
    <w:p w14:paraId="13543BC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1.1.3.5 工程设备：是指构成永久工程的机电设备、金属结构设备、仪器及其他类似的设备和装置。</w:t>
      </w:r>
    </w:p>
    <w:p w14:paraId="2E4817B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1.1.3.6 施工设备：是指为完成合同约定的各项工作所需的设备、器具和其他物品，但不包括工程设备、临时工程和材料。</w:t>
      </w:r>
    </w:p>
    <w:p w14:paraId="7C609E5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1.1.3.7 施工现场：是指用于工程施工的场所，以及在专用合同条款中指明作为施工场所组成部分的其他场所，包括永久占地和临时占地。</w:t>
      </w:r>
    </w:p>
    <w:p w14:paraId="362A334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1.1.3.8临时设施：是指为完成合同约定的各项工作所服务的临时性生产和生活设施。</w:t>
      </w:r>
    </w:p>
    <w:p w14:paraId="43FFC36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1.1.3.9 永久占地：是指专用合同条款中指明为实施工程需永久占用的土地。</w:t>
      </w:r>
    </w:p>
    <w:p w14:paraId="671A736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1.1.3.10 临时占地：是指专用合同条款中指明为实施工程需要临时占用的土地。</w:t>
      </w:r>
    </w:p>
    <w:p w14:paraId="0973F76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 日期和期限</w:t>
      </w:r>
    </w:p>
    <w:p w14:paraId="6773940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680DF6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1.1.4.2 竣工日期：包括计划竣工日期和实际竣工日期。计划竣工日期是指合同协议书约定的竣工日期；实际竣工日期按照第13.2.3项〔竣工日期〕的约定确定。 </w:t>
      </w:r>
    </w:p>
    <w:p w14:paraId="782D45BE">
      <w:pPr>
        <w:ind w:firstLine="365" w:firstLineChars="203"/>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1.1.4.3 工期：是指在合同协议书约定的承包人完成工程所需的期限，包括按照合同约定所作的期限变更。</w:t>
      </w:r>
    </w:p>
    <w:p w14:paraId="60674CA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1.1.4.4 缺陷责任期：是指承包人按照合同约定承担缺陷修复义务，且发包人预留质量保证金（已缴纳履约保证金的除外）的期限，自工程实际竣工日期起计算。</w:t>
      </w:r>
    </w:p>
    <w:p w14:paraId="204C1B5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1.1.4.5 保修期：是指承包人按照合同约定对工程承担保修责任的期限，从工程竣工验收合格之日起计算。</w:t>
      </w:r>
    </w:p>
    <w:p w14:paraId="783BFBE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1.1.4.6 基准日期：招标发包的工程以投标截止日前28天的日期为基准日期，直接发包的工程以合同签订日前28天的日期为基准日期。</w:t>
      </w:r>
    </w:p>
    <w:p w14:paraId="46796EB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1.1.4.7 天：除特别指明外，均指日历天。合同中按天计算时间的，开始当天不计入，从次日开始计算，期限最后一天的截止时间为当天24:00时。</w:t>
      </w:r>
    </w:p>
    <w:p w14:paraId="4B47B12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 合同价格和费用</w:t>
      </w:r>
    </w:p>
    <w:p w14:paraId="2451993A">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1.1.5.1 签约合同价：是指</w:t>
      </w:r>
      <w:r>
        <w:rPr>
          <w:rFonts w:hint="eastAsia" w:ascii="仿宋_GB2312" w:hAnsi="仿宋_GB2312" w:eastAsia="仿宋_GB2312" w:cs="仿宋_GB2312"/>
          <w:color w:val="000000"/>
          <w:sz w:val="18"/>
          <w:szCs w:val="18"/>
        </w:rPr>
        <w:t>发包人和承包人在合同协议书中确定的总金额，包括安全文明施工费、暂估价及暂列金额等。</w:t>
      </w:r>
    </w:p>
    <w:p w14:paraId="58C4AC1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1.1.5.2 合同价格：是指发包人用于支付承包人按照合同约定完成承包范围内全部工作的金额，包括合同履行过程中按合同约定发生的价格变化。</w:t>
      </w:r>
    </w:p>
    <w:p w14:paraId="087E564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1.1.5.3 费用：是指为履行合同所发生的或将要发生的所有必需的开支，包括管理费和应分摊的其他费用，但不包括利润。</w:t>
      </w:r>
    </w:p>
    <w:p w14:paraId="753FAA4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1.1.5.4 暂估价：是指发包人在工程量清单或预算书中提供的用于支付必然发生但暂时不能确定价格的材料、工程设备的单价、专业工程以及服务工作的金额。</w:t>
      </w:r>
    </w:p>
    <w:p w14:paraId="5ECD398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8FE24B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1.1.5.6 计日工：是指合同履行过程中，承包人完成发包人提出的零星工作或需要采用计日工计价的变更工作时，按合同中约定的单价计价的一种方式。</w:t>
      </w:r>
    </w:p>
    <w:p w14:paraId="2FB27358">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1.1.5.7 质量保证金</w:t>
      </w:r>
      <w:bookmarkStart w:id="440" w:name="#go2"/>
      <w:bookmarkEnd w:id="440"/>
      <w:r>
        <w:rPr>
          <w:rFonts w:hint="eastAsia" w:ascii="仿宋_GB2312" w:hAnsi="仿宋_GB2312" w:eastAsia="仿宋_GB2312" w:cs="仿宋_GB2312"/>
          <w:color w:val="000000"/>
          <w:kern w:val="0"/>
          <w:sz w:val="18"/>
          <w:szCs w:val="18"/>
        </w:rPr>
        <w:t>：是指按照第15.3款〔质量保证金〕约定承包人用于保证其在缺陷责任期内履行缺陷修补义务的担保</w:t>
      </w:r>
      <w:r>
        <w:rPr>
          <w:rFonts w:hint="eastAsia" w:ascii="仿宋_GB2312" w:hAnsi="仿宋_GB2312" w:eastAsia="仿宋_GB2312" w:cs="仿宋_GB2312"/>
          <w:color w:val="000000"/>
          <w:sz w:val="18"/>
          <w:szCs w:val="18"/>
        </w:rPr>
        <w:t>。</w:t>
      </w:r>
    </w:p>
    <w:p w14:paraId="462823A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1.1.5.8 总价项目：是指在现行国家、行业以及地方的计量规则中无工程量计算规则，在已标价工程量清单或预算书中以总价或以费率形式计算的项目。</w:t>
      </w:r>
    </w:p>
    <w:p w14:paraId="788847E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1.1.6 其他</w:t>
      </w:r>
    </w:p>
    <w:p w14:paraId="71DFCEC8">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1.1.6.1 书面形式：是指合同文件、信函、电报、传真等可以有形地表现所载内容的形式。</w:t>
      </w:r>
    </w:p>
    <w:p w14:paraId="3BAC7E9A">
      <w:pPr>
        <w:pStyle w:val="6"/>
        <w:spacing w:before="120" w:after="120"/>
        <w:ind w:left="0" w:firstLine="360" w:firstLineChars="200"/>
        <w:rPr>
          <w:rFonts w:ascii="仿宋_GB2312" w:hAnsi="仿宋_GB2312" w:eastAsia="仿宋_GB2312" w:cs="仿宋_GB2312"/>
          <w:b w:val="0"/>
          <w:color w:val="000000"/>
          <w:sz w:val="18"/>
          <w:szCs w:val="18"/>
        </w:rPr>
      </w:pPr>
      <w:bookmarkStart w:id="441" w:name="_Toc296346530"/>
      <w:bookmarkStart w:id="442" w:name="_Toc351203497"/>
      <w:bookmarkStart w:id="443" w:name="_Toc337558729"/>
      <w:bookmarkStart w:id="444" w:name="_Toc296503029"/>
      <w:r>
        <w:rPr>
          <w:rFonts w:hint="eastAsia" w:ascii="仿宋_GB2312" w:hAnsi="仿宋_GB2312" w:eastAsia="仿宋_GB2312" w:cs="仿宋_GB2312"/>
          <w:b w:val="0"/>
          <w:color w:val="000000"/>
          <w:sz w:val="18"/>
          <w:szCs w:val="18"/>
        </w:rPr>
        <w:t>1.2语言文字</w:t>
      </w:r>
      <w:bookmarkEnd w:id="441"/>
      <w:bookmarkEnd w:id="442"/>
      <w:bookmarkEnd w:id="443"/>
      <w:bookmarkEnd w:id="444"/>
    </w:p>
    <w:p w14:paraId="5D709F7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合同以中国的汉语简体文字编写、解释和说明。合同当事人在专用合同条款中约定使用两种以上语言时，汉语为优先解释和说明合同的语言。</w:t>
      </w:r>
    </w:p>
    <w:p w14:paraId="63F25F38">
      <w:pPr>
        <w:pStyle w:val="6"/>
        <w:spacing w:before="120" w:after="120"/>
        <w:ind w:left="0" w:firstLine="360" w:firstLineChars="200"/>
        <w:rPr>
          <w:rFonts w:ascii="仿宋_GB2312" w:hAnsi="仿宋_GB2312" w:eastAsia="仿宋_GB2312" w:cs="仿宋_GB2312"/>
          <w:b w:val="0"/>
          <w:color w:val="000000"/>
          <w:sz w:val="18"/>
          <w:szCs w:val="18"/>
        </w:rPr>
      </w:pPr>
      <w:bookmarkStart w:id="445" w:name="_Toc296503030"/>
      <w:bookmarkStart w:id="446" w:name="_Toc296346531"/>
      <w:bookmarkStart w:id="447" w:name="_Toc351203498"/>
      <w:bookmarkStart w:id="448" w:name="_Toc337558730"/>
      <w:r>
        <w:rPr>
          <w:rFonts w:hint="eastAsia" w:ascii="仿宋_GB2312" w:hAnsi="仿宋_GB2312" w:eastAsia="仿宋_GB2312" w:cs="仿宋_GB2312"/>
          <w:b w:val="0"/>
          <w:color w:val="000000"/>
          <w:sz w:val="18"/>
          <w:szCs w:val="18"/>
        </w:rPr>
        <w:t>1.3法律</w:t>
      </w:r>
      <w:bookmarkEnd w:id="445"/>
      <w:bookmarkEnd w:id="446"/>
      <w:bookmarkEnd w:id="447"/>
      <w:bookmarkEnd w:id="448"/>
    </w:p>
    <w:p w14:paraId="0AA7162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合同所称法律是指中华人民共和国法律、行政法规、部门规章，以及工程所在地的地方性法规、自治条例、单行条例和地方政府规章等。</w:t>
      </w:r>
    </w:p>
    <w:p w14:paraId="0438FEA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合同当事人可以在专用合同条款中约定合同适用的其他规范性文件。</w:t>
      </w:r>
    </w:p>
    <w:p w14:paraId="7B198261">
      <w:pPr>
        <w:pStyle w:val="6"/>
        <w:spacing w:before="120" w:after="120"/>
        <w:ind w:left="0" w:firstLine="360" w:firstLineChars="200"/>
        <w:rPr>
          <w:rFonts w:ascii="仿宋_GB2312" w:hAnsi="仿宋_GB2312" w:eastAsia="仿宋_GB2312" w:cs="仿宋_GB2312"/>
          <w:b w:val="0"/>
          <w:color w:val="000000"/>
          <w:sz w:val="18"/>
          <w:szCs w:val="18"/>
        </w:rPr>
      </w:pPr>
      <w:bookmarkStart w:id="449" w:name="_Toc351203499"/>
      <w:r>
        <w:rPr>
          <w:rFonts w:hint="eastAsia" w:ascii="仿宋_GB2312" w:hAnsi="仿宋_GB2312" w:eastAsia="仿宋_GB2312" w:cs="仿宋_GB2312"/>
          <w:b w:val="0"/>
          <w:color w:val="000000"/>
          <w:sz w:val="18"/>
          <w:szCs w:val="18"/>
        </w:rPr>
        <w:t>1.4 标准和规范</w:t>
      </w:r>
      <w:bookmarkEnd w:id="449"/>
    </w:p>
    <w:p w14:paraId="2E66ACF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1.4.1 适用于工程的国家标准、行业标准、工程所在地的地方性标准，以及相应的规范、规程等，合同当事人有特别要求的，应在专用合同条款中约定。</w:t>
      </w:r>
    </w:p>
    <w:p w14:paraId="53B4682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1.4.2 发包人要求使用国外标准、规范的，发包人负责提供原文版本和中文译本，并在专用合同条款中约定提供标准规范的名称、份数和时间。</w:t>
      </w:r>
    </w:p>
    <w:p w14:paraId="49365CD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7CD23DB">
      <w:pPr>
        <w:pStyle w:val="6"/>
        <w:spacing w:before="120" w:after="120"/>
        <w:ind w:left="0" w:firstLine="360" w:firstLineChars="200"/>
        <w:rPr>
          <w:rFonts w:ascii="仿宋_GB2312" w:hAnsi="仿宋_GB2312" w:eastAsia="仿宋_GB2312" w:cs="仿宋_GB2312"/>
          <w:b w:val="0"/>
          <w:color w:val="000000"/>
          <w:sz w:val="18"/>
          <w:szCs w:val="18"/>
        </w:rPr>
      </w:pPr>
      <w:bookmarkStart w:id="450" w:name="_Toc351203500"/>
      <w:r>
        <w:rPr>
          <w:rFonts w:hint="eastAsia" w:ascii="仿宋_GB2312" w:hAnsi="仿宋_GB2312" w:eastAsia="仿宋_GB2312" w:cs="仿宋_GB2312"/>
          <w:b w:val="0"/>
          <w:color w:val="000000"/>
          <w:sz w:val="18"/>
          <w:szCs w:val="18"/>
        </w:rPr>
        <w:t>1</w:t>
      </w:r>
      <w:bookmarkStart w:id="451" w:name="_Toc337558731"/>
      <w:bookmarkStart w:id="452" w:name="_Toc296503031"/>
      <w:bookmarkStart w:id="453" w:name="_Toc296346532"/>
      <w:r>
        <w:rPr>
          <w:rFonts w:hint="eastAsia" w:ascii="仿宋_GB2312" w:hAnsi="仿宋_GB2312" w:eastAsia="仿宋_GB2312" w:cs="仿宋_GB2312"/>
          <w:b w:val="0"/>
          <w:color w:val="000000"/>
          <w:sz w:val="18"/>
          <w:szCs w:val="18"/>
        </w:rPr>
        <w:t>.5 合同文件的优先顺序</w:t>
      </w:r>
      <w:bookmarkEnd w:id="450"/>
    </w:p>
    <w:bookmarkEnd w:id="451"/>
    <w:bookmarkEnd w:id="452"/>
    <w:bookmarkEnd w:id="453"/>
    <w:p w14:paraId="5A5DC88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组成合同的各项文件应互相解释，互为说明。除专用合同条款另有约定外，解释合同文件的优先顺序如下：</w:t>
      </w:r>
    </w:p>
    <w:p w14:paraId="57FE384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（1）合同协议书；</w:t>
      </w:r>
    </w:p>
    <w:p w14:paraId="52DCE46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（2）中标通知书（如果有）；</w:t>
      </w:r>
    </w:p>
    <w:p w14:paraId="5B2CA9B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（3）投标函及其附录（如果有）；</w:t>
      </w:r>
    </w:p>
    <w:p w14:paraId="502C4F1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（4）专用合同条款</w:t>
      </w:r>
      <w:r>
        <w:rPr>
          <w:rFonts w:hint="eastAsia" w:ascii="仿宋_GB2312" w:hAnsi="仿宋_GB2312" w:eastAsia="仿宋_GB2312" w:cs="仿宋_GB2312"/>
          <w:color w:val="000000"/>
          <w:sz w:val="18"/>
          <w:szCs w:val="18"/>
        </w:rPr>
        <w:t>及其附件</w:t>
      </w:r>
      <w:r>
        <w:rPr>
          <w:rFonts w:hint="eastAsia" w:ascii="仿宋_GB2312" w:hAnsi="仿宋_GB2312" w:eastAsia="仿宋_GB2312" w:cs="仿宋_GB2312"/>
          <w:color w:val="000000"/>
          <w:kern w:val="0"/>
          <w:sz w:val="18"/>
          <w:szCs w:val="18"/>
        </w:rPr>
        <w:t>；</w:t>
      </w:r>
    </w:p>
    <w:p w14:paraId="69F723E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（5）通用合同条款；</w:t>
      </w:r>
    </w:p>
    <w:p w14:paraId="1F4A784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（6）技术标准和要求；</w:t>
      </w:r>
    </w:p>
    <w:p w14:paraId="6545FA8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（7）图纸；</w:t>
      </w:r>
    </w:p>
    <w:p w14:paraId="51DF395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（8）已标价工程量清单或预算书；</w:t>
      </w:r>
    </w:p>
    <w:p w14:paraId="53EFFC4A">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（9）其他合同文件。</w:t>
      </w:r>
    </w:p>
    <w:p w14:paraId="359B9337">
      <w:pPr>
        <w:ind w:firstLine="383" w:firstLineChars="213"/>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上述各项合同文件包括合同当事人就该项合同文件所作出的补充和修改，属于同一类内容的文件，应以最新签署的为准。</w:t>
      </w:r>
    </w:p>
    <w:p w14:paraId="4C660F2C">
      <w:pPr>
        <w:ind w:firstLine="383" w:firstLineChars="213"/>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在合同订立及履行过程中形成的与合同有关的文件均构成合同文件组成部分，并根据其性质确定优先解释顺序。</w:t>
      </w:r>
    </w:p>
    <w:p w14:paraId="286B129E">
      <w:pPr>
        <w:spacing w:before="120" w:after="120"/>
        <w:ind w:firstLine="383" w:firstLineChars="213"/>
        <w:rPr>
          <w:rFonts w:ascii="仿宋_GB2312" w:hAnsi="仿宋_GB2312" w:eastAsia="仿宋_GB2312" w:cs="仿宋_GB2312"/>
          <w:b w:val="0"/>
          <w:color w:val="000000"/>
          <w:sz w:val="18"/>
          <w:szCs w:val="18"/>
        </w:rPr>
      </w:pPr>
      <w:bookmarkStart w:id="454" w:name="_Toc351203501"/>
      <w:r>
        <w:rPr>
          <w:rFonts w:hint="eastAsia" w:ascii="仿宋_GB2312" w:hAnsi="仿宋_GB2312" w:eastAsia="仿宋_GB2312" w:cs="仿宋_GB2312"/>
          <w:b w:val="0"/>
          <w:color w:val="000000"/>
          <w:sz w:val="18"/>
          <w:szCs w:val="18"/>
        </w:rPr>
        <w:t>1</w:t>
      </w:r>
      <w:bookmarkStart w:id="455" w:name="_Toc296503032"/>
      <w:bookmarkStart w:id="456" w:name="_Toc337558732"/>
      <w:bookmarkStart w:id="457" w:name="_Toc296346533"/>
      <w:r>
        <w:rPr>
          <w:rFonts w:hint="eastAsia" w:ascii="仿宋_GB2312" w:hAnsi="仿宋_GB2312" w:eastAsia="仿宋_GB2312" w:cs="仿宋_GB2312"/>
          <w:b w:val="0"/>
          <w:color w:val="000000"/>
          <w:sz w:val="18"/>
          <w:szCs w:val="18"/>
        </w:rPr>
        <w:t>.6图纸和承包人文件</w:t>
      </w:r>
      <w:bookmarkEnd w:id="454"/>
    </w:p>
    <w:bookmarkEnd w:id="455"/>
    <w:bookmarkEnd w:id="456"/>
    <w:bookmarkEnd w:id="457"/>
    <w:p w14:paraId="5DAFA04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1.6.1 图纸的提供和交底</w:t>
      </w:r>
    </w:p>
    <w:p w14:paraId="3B27D9F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1B1E3C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因发包人未按合同约定提供图纸导致承包人费用增加和（或）工期延误的，按照第7.5.1项〔因发包人原因导致工期延误〕约定办理。</w:t>
      </w:r>
    </w:p>
    <w:p w14:paraId="4D99AD3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 图纸的错误</w:t>
      </w:r>
    </w:p>
    <w:p w14:paraId="2753DEC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E8CC8A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1.6.3 图纸的修改和补充</w:t>
      </w:r>
    </w:p>
    <w:p w14:paraId="31571FF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图纸需要修改和补充的，应经图纸原设计人及审批部门同意，并由监理人在工程或工程相应部位施工前将修改后的图纸或补充图纸提交给承包人，承包人应按修改或补充后的图纸施工。</w:t>
      </w:r>
    </w:p>
    <w:p w14:paraId="3E6BF80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1.6.4 承包人文件</w:t>
      </w:r>
    </w:p>
    <w:p w14:paraId="779323D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承包人应按照专用合同条款的约定提供应当由其编制的与工程施工有关的文件，并按照专用合同条款约定的期限、数量和形式提交监理人，并由监理人报送发包人。</w:t>
      </w:r>
    </w:p>
    <w:p w14:paraId="54003CE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33043F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1.6.5 图纸和承包人文件的保管</w:t>
      </w:r>
    </w:p>
    <w:p w14:paraId="564ECE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除专用合同条款另有约定外，承包人应在施工现场另外保存一套完整的图纸和承包人文件，供发包人、监理人及有关人员进行工程检查时使用。</w:t>
      </w:r>
    </w:p>
    <w:p w14:paraId="4CDEE5AE">
      <w:pPr>
        <w:pStyle w:val="6"/>
        <w:spacing w:before="120" w:after="120"/>
        <w:ind w:left="0" w:firstLine="360" w:firstLineChars="200"/>
        <w:rPr>
          <w:rFonts w:ascii="仿宋_GB2312" w:hAnsi="仿宋_GB2312" w:eastAsia="仿宋_GB2312" w:cs="仿宋_GB2312"/>
          <w:b w:val="0"/>
          <w:color w:val="000000"/>
          <w:sz w:val="18"/>
          <w:szCs w:val="18"/>
        </w:rPr>
      </w:pPr>
      <w:bookmarkStart w:id="458" w:name="_Toc351203502"/>
      <w:r>
        <w:rPr>
          <w:rFonts w:hint="eastAsia" w:ascii="仿宋_GB2312" w:hAnsi="仿宋_GB2312" w:eastAsia="仿宋_GB2312" w:cs="仿宋_GB2312"/>
          <w:b w:val="0"/>
          <w:color w:val="000000"/>
          <w:sz w:val="18"/>
          <w:szCs w:val="18"/>
        </w:rPr>
        <w:t>1</w:t>
      </w:r>
      <w:bookmarkStart w:id="459" w:name="_Toc296346534"/>
      <w:bookmarkStart w:id="460" w:name="_Toc296503033"/>
      <w:bookmarkStart w:id="461" w:name="_Toc337558733"/>
      <w:r>
        <w:rPr>
          <w:rFonts w:hint="eastAsia" w:ascii="仿宋_GB2312" w:hAnsi="仿宋_GB2312" w:eastAsia="仿宋_GB2312" w:cs="仿宋_GB2312"/>
          <w:b w:val="0"/>
          <w:color w:val="000000"/>
          <w:sz w:val="18"/>
          <w:szCs w:val="18"/>
        </w:rPr>
        <w:t>.7联络</w:t>
      </w:r>
      <w:bookmarkEnd w:id="458"/>
    </w:p>
    <w:bookmarkEnd w:id="459"/>
    <w:bookmarkEnd w:id="460"/>
    <w:bookmarkEnd w:id="461"/>
    <w:p w14:paraId="6772195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1.7.1 与合同有关的通知、批准、证明、证书、指示、指令、要求、请求、同意、意见、确定和决定等，均应采用书面形式，并应在合同约定的期限内送达接收人和送达地点。</w:t>
      </w:r>
    </w:p>
    <w:p w14:paraId="66E9C9C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1.7.2 发包人和承包人应在专用合同条款中约定各自的送达接收人和送达地点。任何一方合同当事人指定的接收人或送达地点发生变动的，应提前3天以书面形式通知对方。</w:t>
      </w:r>
    </w:p>
    <w:p w14:paraId="137A981C">
      <w:pPr>
        <w:autoSpaceDE w:val="0"/>
        <w:autoSpaceDN w:val="0"/>
        <w:adjustRightInd w:val="0"/>
        <w:ind w:firstLine="360" w:firstLineChars="200"/>
        <w:jc w:val="left"/>
        <w:rPr>
          <w:rFonts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1.7.3 发包人和承包人应当及时签收另一方送达至送达地点和指定接收人的来往信函。拒不签收的，由此增加的费用和（或）延误的工期由拒绝接收一方承担。</w:t>
      </w:r>
    </w:p>
    <w:p w14:paraId="658A580E">
      <w:pPr>
        <w:pStyle w:val="6"/>
        <w:spacing w:before="120" w:after="120"/>
        <w:ind w:left="0" w:firstLine="360" w:firstLineChars="200"/>
        <w:rPr>
          <w:rFonts w:ascii="仿宋_GB2312" w:hAnsi="仿宋_GB2312" w:eastAsia="仿宋_GB2312" w:cs="仿宋_GB2312"/>
          <w:b w:val="0"/>
          <w:color w:val="000000"/>
          <w:sz w:val="18"/>
          <w:szCs w:val="18"/>
        </w:rPr>
      </w:pPr>
      <w:bookmarkStart w:id="462" w:name="_Toc351203503"/>
      <w:r>
        <w:rPr>
          <w:rFonts w:hint="eastAsia" w:ascii="仿宋_GB2312" w:hAnsi="仿宋_GB2312" w:eastAsia="仿宋_GB2312" w:cs="仿宋_GB2312"/>
          <w:b w:val="0"/>
          <w:color w:val="000000"/>
          <w:sz w:val="18"/>
          <w:szCs w:val="18"/>
        </w:rPr>
        <w:t>1</w:t>
      </w:r>
      <w:bookmarkStart w:id="463" w:name="_Toc296503035"/>
      <w:bookmarkStart w:id="464" w:name="_Toc337558734"/>
      <w:bookmarkStart w:id="465" w:name="_Toc296346536"/>
      <w:r>
        <w:rPr>
          <w:rFonts w:hint="eastAsia" w:ascii="仿宋_GB2312" w:hAnsi="仿宋_GB2312" w:eastAsia="仿宋_GB2312" w:cs="仿宋_GB2312"/>
          <w:b w:val="0"/>
          <w:color w:val="000000"/>
          <w:sz w:val="18"/>
          <w:szCs w:val="18"/>
        </w:rPr>
        <w:t>.8严禁贿赂</w:t>
      </w:r>
      <w:bookmarkEnd w:id="462"/>
    </w:p>
    <w:bookmarkEnd w:id="463"/>
    <w:bookmarkEnd w:id="464"/>
    <w:bookmarkEnd w:id="465"/>
    <w:p w14:paraId="0380DF5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合同当事人不得以贿赂或变相贿赂的方式，谋取非法利益或损害对方权益。因一方合同当事人的贿赂造成对方损失的，应赔偿损失，并承担相应的法律责任。</w:t>
      </w:r>
    </w:p>
    <w:p w14:paraId="6E18BE27">
      <w:pPr>
        <w:autoSpaceDE w:val="0"/>
        <w:autoSpaceDN w:val="0"/>
        <w:adjustRightInd w:val="0"/>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承包人不得与监理人或发包人聘请的第三方串通损害发包人利益。未经发包人书面同意，承包人不得为监理人提供合同约定以外的通讯设备、交通工具及其他任何形式的利益，不得向监理人支付报酬。</w:t>
      </w:r>
    </w:p>
    <w:p w14:paraId="68D57B24">
      <w:pPr>
        <w:spacing w:before="120" w:after="120"/>
        <w:ind w:firstLine="360" w:firstLineChars="200"/>
        <w:rPr>
          <w:rFonts w:ascii="仿宋_GB2312" w:hAnsi="仿宋_GB2312" w:eastAsia="仿宋_GB2312" w:cs="仿宋_GB2312"/>
          <w:b w:val="0"/>
          <w:color w:val="000000"/>
          <w:sz w:val="18"/>
          <w:szCs w:val="18"/>
        </w:rPr>
      </w:pPr>
      <w:bookmarkStart w:id="466" w:name="_Toc351203504"/>
      <w:r>
        <w:rPr>
          <w:rFonts w:hint="eastAsia" w:ascii="仿宋_GB2312" w:hAnsi="仿宋_GB2312" w:eastAsia="仿宋_GB2312" w:cs="仿宋_GB2312"/>
          <w:b w:val="0"/>
          <w:color w:val="000000"/>
          <w:sz w:val="18"/>
          <w:szCs w:val="18"/>
        </w:rPr>
        <w:t>1</w:t>
      </w:r>
      <w:bookmarkStart w:id="467" w:name="_Toc296346537"/>
      <w:bookmarkStart w:id="468" w:name="_Toc296503036"/>
      <w:bookmarkStart w:id="469" w:name="_Toc337558735"/>
      <w:r>
        <w:rPr>
          <w:rFonts w:hint="eastAsia" w:ascii="仿宋_GB2312" w:hAnsi="仿宋_GB2312" w:eastAsia="仿宋_GB2312" w:cs="仿宋_GB2312"/>
          <w:b w:val="0"/>
          <w:color w:val="000000"/>
          <w:sz w:val="18"/>
          <w:szCs w:val="18"/>
        </w:rPr>
        <w:t>.9化石、文物</w:t>
      </w:r>
      <w:bookmarkEnd w:id="466"/>
    </w:p>
    <w:bookmarkEnd w:id="467"/>
    <w:bookmarkEnd w:id="468"/>
    <w:bookmarkEnd w:id="469"/>
    <w:p w14:paraId="0D1BF59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1DB77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发包人、监理人和承包人应按有关政府行政管理部门要求采取妥善的保护措施，由此增加的费用和（或）延误的工期由发包人承担。</w:t>
      </w:r>
    </w:p>
    <w:p w14:paraId="311574F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承包人发现文物后不及时报告或隐瞒不报，致使文物丢失或损坏的，应赔偿损失，并承担相应的法律责任。</w:t>
      </w:r>
    </w:p>
    <w:p w14:paraId="4B86F8FB">
      <w:pPr>
        <w:pStyle w:val="6"/>
        <w:spacing w:before="120" w:after="120"/>
        <w:ind w:left="0" w:firstLine="360" w:firstLineChars="200"/>
        <w:rPr>
          <w:rFonts w:ascii="仿宋_GB2312" w:hAnsi="仿宋_GB2312" w:eastAsia="仿宋_GB2312" w:cs="仿宋_GB2312"/>
          <w:b w:val="0"/>
          <w:color w:val="000000"/>
          <w:sz w:val="18"/>
          <w:szCs w:val="18"/>
        </w:rPr>
      </w:pPr>
      <w:bookmarkStart w:id="470" w:name="_Toc351203505"/>
      <w:r>
        <w:rPr>
          <w:rFonts w:hint="eastAsia" w:ascii="仿宋_GB2312" w:hAnsi="仿宋_GB2312" w:eastAsia="仿宋_GB2312" w:cs="仿宋_GB2312"/>
          <w:b w:val="0"/>
          <w:color w:val="000000"/>
          <w:sz w:val="18"/>
          <w:szCs w:val="18"/>
        </w:rPr>
        <w:t>1</w:t>
      </w:r>
      <w:bookmarkStart w:id="471" w:name="_Toc337558736"/>
      <w:r>
        <w:rPr>
          <w:rFonts w:hint="eastAsia" w:ascii="仿宋_GB2312" w:hAnsi="仿宋_GB2312" w:eastAsia="仿宋_GB2312" w:cs="仿宋_GB2312"/>
          <w:b w:val="0"/>
          <w:color w:val="000000"/>
          <w:sz w:val="18"/>
          <w:szCs w:val="18"/>
        </w:rPr>
        <w:t>.10交通运输</w:t>
      </w:r>
      <w:bookmarkEnd w:id="470"/>
    </w:p>
    <w:bookmarkEnd w:id="471"/>
    <w:p w14:paraId="6E9B7CF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1.10.1 出入现场的权利</w:t>
      </w:r>
    </w:p>
    <w:p w14:paraId="3919846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0AAD42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承包人应在订立合同前查勘施工现场，并根据工程规模及技术参数合理预见工程施工所需的进出施工现场的方式、手段、路径等。因承包人未合理预见所增加的费用和（或）延误的工期由承包人承担。</w:t>
      </w:r>
    </w:p>
    <w:p w14:paraId="1F6C8CF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1.10.2 场外交通</w:t>
      </w:r>
    </w:p>
    <w:p w14:paraId="234DB7B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E05EDC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1.10.3场内交通</w:t>
      </w:r>
    </w:p>
    <w:p w14:paraId="2C5118C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591D27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B44D8D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场外交通和场内交通的边界由合同当事人在专用合同条款中约定。</w:t>
      </w:r>
    </w:p>
    <w:p w14:paraId="717A624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1.10.4 超大件和超重件的运输</w:t>
      </w:r>
    </w:p>
    <w:p w14:paraId="4755461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C4F1CE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1.10.5 道路和桥梁的损坏责任</w:t>
      </w:r>
    </w:p>
    <w:p w14:paraId="3361970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因承包人运输造成施工场地内外公共道路和桥梁损坏的，由承包人承担修复损坏的全部费用和可能引起的赔偿。</w:t>
      </w:r>
    </w:p>
    <w:p w14:paraId="53A2327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1.10.6 水路和航空运输</w:t>
      </w:r>
    </w:p>
    <w:p w14:paraId="3A3AC97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本款前述各项的内容适用于水路运输和航空运输，其中“道路”一词的涵义包括河道、航线、船闸、机场、码头、堤防以及水路或航空运输中其他相似结构物；“车辆”一词的涵义包括船舶和飞机等。</w:t>
      </w:r>
    </w:p>
    <w:p w14:paraId="492D7AF3">
      <w:pPr>
        <w:pStyle w:val="6"/>
        <w:spacing w:before="120" w:after="120"/>
        <w:ind w:left="0" w:firstLine="360" w:firstLineChars="200"/>
        <w:rPr>
          <w:rFonts w:ascii="仿宋_GB2312" w:hAnsi="仿宋_GB2312" w:eastAsia="仿宋_GB2312" w:cs="仿宋_GB2312"/>
          <w:b w:val="0"/>
          <w:color w:val="000000"/>
          <w:sz w:val="18"/>
          <w:szCs w:val="18"/>
        </w:rPr>
      </w:pPr>
      <w:bookmarkStart w:id="472" w:name="_Toc351203506"/>
      <w:r>
        <w:rPr>
          <w:rFonts w:hint="eastAsia" w:ascii="仿宋_GB2312" w:hAnsi="仿宋_GB2312" w:eastAsia="仿宋_GB2312" w:cs="仿宋_GB2312"/>
          <w:b w:val="0"/>
          <w:color w:val="000000"/>
          <w:sz w:val="18"/>
          <w:szCs w:val="18"/>
        </w:rPr>
        <w:t>1</w:t>
      </w:r>
      <w:bookmarkStart w:id="473" w:name="_Toc337558737"/>
      <w:bookmarkStart w:id="474" w:name="_Toc296503037"/>
      <w:bookmarkStart w:id="475" w:name="_Toc296346538"/>
      <w:r>
        <w:rPr>
          <w:rFonts w:hint="eastAsia" w:ascii="仿宋_GB2312" w:hAnsi="仿宋_GB2312" w:eastAsia="仿宋_GB2312" w:cs="仿宋_GB2312"/>
          <w:b w:val="0"/>
          <w:color w:val="000000"/>
          <w:sz w:val="18"/>
          <w:szCs w:val="18"/>
        </w:rPr>
        <w:t>.11知识产权</w:t>
      </w:r>
      <w:bookmarkEnd w:id="472"/>
      <w:bookmarkEnd w:id="473"/>
    </w:p>
    <w:bookmarkEnd w:id="474"/>
    <w:bookmarkEnd w:id="475"/>
    <w:p w14:paraId="0C7DAB6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C8AF80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F261A3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4226393">
      <w:pP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1.11.4 除专用合同条款另有约定外，承包人在合同签订前和签订时已确定采用的专利、专有技术、技术秘密的使用费已包含在签约合同价中。</w:t>
      </w:r>
    </w:p>
    <w:p w14:paraId="4F5DF0D3">
      <w:pPr>
        <w:pStyle w:val="6"/>
        <w:spacing w:before="120" w:after="120"/>
        <w:ind w:left="0" w:firstLine="360" w:firstLineChars="200"/>
        <w:rPr>
          <w:rFonts w:ascii="仿宋_GB2312" w:hAnsi="仿宋_GB2312" w:eastAsia="仿宋_GB2312" w:cs="仿宋_GB2312"/>
          <w:b w:val="0"/>
          <w:color w:val="000000"/>
          <w:sz w:val="18"/>
          <w:szCs w:val="18"/>
        </w:rPr>
      </w:pPr>
      <w:bookmarkStart w:id="476" w:name="_Toc351203507"/>
      <w:r>
        <w:rPr>
          <w:rFonts w:hint="eastAsia" w:ascii="仿宋_GB2312" w:hAnsi="仿宋_GB2312" w:eastAsia="仿宋_GB2312" w:cs="仿宋_GB2312"/>
          <w:b w:val="0"/>
          <w:color w:val="000000"/>
          <w:sz w:val="18"/>
          <w:szCs w:val="18"/>
        </w:rPr>
        <w:t>1</w:t>
      </w:r>
      <w:bookmarkStart w:id="477" w:name="_Toc337558738"/>
      <w:r>
        <w:rPr>
          <w:rFonts w:hint="eastAsia" w:ascii="仿宋_GB2312" w:hAnsi="仿宋_GB2312" w:eastAsia="仿宋_GB2312" w:cs="仿宋_GB2312"/>
          <w:b w:val="0"/>
          <w:color w:val="000000"/>
          <w:sz w:val="18"/>
          <w:szCs w:val="18"/>
        </w:rPr>
        <w:t>.12保密</w:t>
      </w:r>
      <w:bookmarkEnd w:id="476"/>
    </w:p>
    <w:bookmarkEnd w:id="477"/>
    <w:p w14:paraId="0DAA76E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除法律规定或合同另有约定外，未经发包人同意，承包人不得将发包人提供的图纸、文件以及声明需要保密的资料信息等商业秘密泄露给第三方。</w:t>
      </w:r>
    </w:p>
    <w:p w14:paraId="0001CDB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除法律规定或合同另有约定外，未经承包人同意，发包人不得将承包人提供的技术秘密及声明需要保密的资料信息等商业秘密泄露给第三方。</w:t>
      </w:r>
    </w:p>
    <w:p w14:paraId="3B01FA15">
      <w:pPr>
        <w:pStyle w:val="6"/>
        <w:spacing w:before="120" w:after="120"/>
        <w:ind w:left="0" w:firstLine="360" w:firstLineChars="200"/>
        <w:rPr>
          <w:rFonts w:ascii="仿宋_GB2312" w:hAnsi="仿宋_GB2312" w:eastAsia="仿宋_GB2312" w:cs="仿宋_GB2312"/>
          <w:b w:val="0"/>
          <w:color w:val="000000"/>
          <w:sz w:val="18"/>
          <w:szCs w:val="18"/>
        </w:rPr>
      </w:pPr>
      <w:bookmarkStart w:id="478" w:name="_Toc351203508"/>
      <w:r>
        <w:rPr>
          <w:rFonts w:hint="eastAsia" w:ascii="仿宋_GB2312" w:hAnsi="仿宋_GB2312" w:eastAsia="仿宋_GB2312" w:cs="仿宋_GB2312"/>
          <w:b w:val="0"/>
          <w:color w:val="000000"/>
          <w:sz w:val="18"/>
          <w:szCs w:val="18"/>
        </w:rPr>
        <w:t>1.13工程量清单错误的修正</w:t>
      </w:r>
      <w:bookmarkEnd w:id="478"/>
    </w:p>
    <w:p w14:paraId="02B5B1F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除专用合同条款另有约定外，发包人提供的工程量清单，应被认为是准确的和完整的。出现下列情形之一时，发包人应予以修正，并相应调整合同价格：</w:t>
      </w:r>
    </w:p>
    <w:p w14:paraId="106119D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（1）工程量清单存在缺项、漏项的；</w:t>
      </w:r>
    </w:p>
    <w:p w14:paraId="023F2FE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（2）工程量清单偏差超出专用合同条款约定的工程量偏差范围的；</w:t>
      </w:r>
    </w:p>
    <w:p w14:paraId="75E0C7A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（3）未按照国家现行计量规范强制性规定计量的。</w:t>
      </w:r>
    </w:p>
    <w:p w14:paraId="7BD34448">
      <w:pPr>
        <w:pStyle w:val="5"/>
        <w:spacing w:before="120" w:after="120" w:line="240" w:lineRule="auto"/>
        <w:rPr>
          <w:rFonts w:ascii="仿宋_GB2312" w:hAnsi="仿宋_GB2312" w:eastAsia="仿宋_GB2312" w:cs="仿宋_GB2312"/>
          <w:b w:val="0"/>
          <w:color w:val="000000"/>
          <w:sz w:val="18"/>
          <w:szCs w:val="18"/>
        </w:rPr>
      </w:pPr>
      <w:bookmarkStart w:id="479" w:name="_Toc351203509"/>
      <w:r>
        <w:rPr>
          <w:rFonts w:hint="eastAsia" w:ascii="仿宋_GB2312" w:hAnsi="仿宋_GB2312" w:eastAsia="仿宋_GB2312" w:cs="仿宋_GB2312"/>
          <w:b w:val="0"/>
          <w:color w:val="000000"/>
          <w:sz w:val="18"/>
          <w:szCs w:val="18"/>
        </w:rPr>
        <w:t>2</w:t>
      </w:r>
      <w:bookmarkStart w:id="480" w:name="_Toc296346539"/>
      <w:bookmarkStart w:id="481" w:name="_Toc337558739"/>
      <w:bookmarkStart w:id="482" w:name="_Toc296503038"/>
      <w:bookmarkStart w:id="483" w:name="OLE_LINK2"/>
      <w:bookmarkStart w:id="484" w:name="OLE_LINK1"/>
      <w:r>
        <w:rPr>
          <w:rFonts w:hint="eastAsia" w:ascii="仿宋_GB2312" w:hAnsi="仿宋_GB2312" w:eastAsia="仿宋_GB2312" w:cs="仿宋_GB2312"/>
          <w:b w:val="0"/>
          <w:color w:val="000000"/>
          <w:sz w:val="18"/>
          <w:szCs w:val="18"/>
        </w:rPr>
        <w:t>. 发包人</w:t>
      </w:r>
      <w:bookmarkEnd w:id="479"/>
    </w:p>
    <w:bookmarkEnd w:id="480"/>
    <w:bookmarkEnd w:id="481"/>
    <w:bookmarkEnd w:id="482"/>
    <w:p w14:paraId="7E13E8C2">
      <w:pPr>
        <w:pStyle w:val="6"/>
        <w:spacing w:before="120" w:after="120"/>
        <w:ind w:left="0" w:firstLine="360" w:firstLineChars="200"/>
        <w:rPr>
          <w:rFonts w:ascii="仿宋_GB2312" w:hAnsi="仿宋_GB2312" w:eastAsia="仿宋_GB2312" w:cs="仿宋_GB2312"/>
          <w:b w:val="0"/>
          <w:color w:val="000000"/>
          <w:sz w:val="18"/>
          <w:szCs w:val="18"/>
        </w:rPr>
      </w:pPr>
      <w:bookmarkStart w:id="485" w:name="_Toc351203510"/>
      <w:r>
        <w:rPr>
          <w:rFonts w:hint="eastAsia" w:ascii="仿宋_GB2312" w:hAnsi="仿宋_GB2312" w:eastAsia="仿宋_GB2312" w:cs="仿宋_GB2312"/>
          <w:b w:val="0"/>
          <w:color w:val="000000"/>
          <w:sz w:val="18"/>
          <w:szCs w:val="18"/>
        </w:rPr>
        <w:t>2</w:t>
      </w:r>
      <w:bookmarkStart w:id="486" w:name="_Toc337558740"/>
      <w:bookmarkStart w:id="487" w:name="_Toc296346540"/>
      <w:bookmarkStart w:id="488" w:name="_Toc296503039"/>
      <w:r>
        <w:rPr>
          <w:rFonts w:hint="eastAsia" w:ascii="仿宋_GB2312" w:hAnsi="仿宋_GB2312" w:eastAsia="仿宋_GB2312" w:cs="仿宋_GB2312"/>
          <w:b w:val="0"/>
          <w:color w:val="000000"/>
          <w:sz w:val="18"/>
          <w:szCs w:val="18"/>
        </w:rPr>
        <w:t>.1 许可或批准</w:t>
      </w:r>
      <w:bookmarkEnd w:id="485"/>
    </w:p>
    <w:p w14:paraId="5EB6424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EF697A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因发包人原因未能及时办理完毕前述许可、批准或备案，由发包人承担由此增加的费用和（或）延误的工期，并支付承包人合理的利润。</w:t>
      </w:r>
    </w:p>
    <w:p w14:paraId="4C5EE599">
      <w:pPr>
        <w:pStyle w:val="6"/>
        <w:spacing w:before="120" w:after="120"/>
        <w:ind w:left="0" w:firstLine="360" w:firstLineChars="200"/>
        <w:rPr>
          <w:rFonts w:ascii="仿宋_GB2312" w:hAnsi="仿宋_GB2312" w:eastAsia="仿宋_GB2312" w:cs="仿宋_GB2312"/>
          <w:b w:val="0"/>
          <w:color w:val="000000"/>
          <w:sz w:val="18"/>
          <w:szCs w:val="18"/>
        </w:rPr>
      </w:pPr>
      <w:bookmarkStart w:id="489" w:name="_Toc351203511"/>
      <w:r>
        <w:rPr>
          <w:rFonts w:hint="eastAsia" w:ascii="仿宋_GB2312" w:hAnsi="仿宋_GB2312" w:eastAsia="仿宋_GB2312" w:cs="仿宋_GB2312"/>
          <w:b w:val="0"/>
          <w:color w:val="000000"/>
          <w:sz w:val="18"/>
          <w:szCs w:val="18"/>
        </w:rPr>
        <w:t>2.2 发包人代表</w:t>
      </w:r>
      <w:bookmarkEnd w:id="489"/>
    </w:p>
    <w:p w14:paraId="5A10AF7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050EBB8">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发包人代表不能按照合同约定履行其职责及义务，并导致合同无法继续正常履行的，承包人可以要求发包人撤换发包人代表。</w:t>
      </w:r>
    </w:p>
    <w:p w14:paraId="5805424B">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不属于法定必须监理的工程，监理人的职权可以由发包人代表或发包人指定的其他人员行使。</w:t>
      </w:r>
    </w:p>
    <w:p w14:paraId="16C64DB5">
      <w:pPr>
        <w:pStyle w:val="6"/>
        <w:spacing w:before="120" w:after="120"/>
        <w:ind w:left="0" w:firstLine="360" w:firstLineChars="200"/>
        <w:rPr>
          <w:rFonts w:ascii="仿宋_GB2312" w:hAnsi="仿宋_GB2312" w:eastAsia="仿宋_GB2312" w:cs="仿宋_GB2312"/>
          <w:b w:val="0"/>
          <w:color w:val="000000"/>
          <w:sz w:val="18"/>
          <w:szCs w:val="18"/>
        </w:rPr>
      </w:pPr>
      <w:bookmarkStart w:id="490" w:name="_Toc351203512"/>
      <w:r>
        <w:rPr>
          <w:rFonts w:hint="eastAsia" w:ascii="仿宋_GB2312" w:hAnsi="仿宋_GB2312" w:eastAsia="仿宋_GB2312" w:cs="仿宋_GB2312"/>
          <w:b w:val="0"/>
          <w:color w:val="000000"/>
          <w:sz w:val="18"/>
          <w:szCs w:val="18"/>
        </w:rPr>
        <w:t>2.3 发包人人员</w:t>
      </w:r>
      <w:bookmarkEnd w:id="490"/>
    </w:p>
    <w:p w14:paraId="273707A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发包人应要求在施工现场的发包人人员遵守法律及有关安全、质量、环境保护、文明施工等规定，并保障承包人免于承受因发包人人员未遵守上述要求给承包人造成的损失和责任。</w:t>
      </w:r>
    </w:p>
    <w:p w14:paraId="39191877">
      <w:pPr>
        <w:ind w:firstLine="64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发包人人员包括发包人代表及其他由发包人派驻施工现场的人员。</w:t>
      </w:r>
      <w:bookmarkEnd w:id="486"/>
      <w:bookmarkEnd w:id="487"/>
      <w:bookmarkEnd w:id="488"/>
    </w:p>
    <w:p w14:paraId="1D6E04CC">
      <w:pPr>
        <w:pStyle w:val="6"/>
        <w:spacing w:before="120" w:after="120"/>
        <w:ind w:left="0" w:firstLine="360" w:firstLineChars="200"/>
        <w:rPr>
          <w:rFonts w:ascii="仿宋_GB2312" w:hAnsi="仿宋_GB2312" w:eastAsia="仿宋_GB2312" w:cs="仿宋_GB2312"/>
          <w:b w:val="0"/>
          <w:color w:val="000000"/>
          <w:sz w:val="18"/>
          <w:szCs w:val="18"/>
        </w:rPr>
      </w:pPr>
      <w:bookmarkStart w:id="491" w:name="_Toc351203513"/>
      <w:r>
        <w:rPr>
          <w:rFonts w:hint="eastAsia" w:ascii="仿宋_GB2312" w:hAnsi="仿宋_GB2312" w:eastAsia="仿宋_GB2312" w:cs="仿宋_GB2312"/>
          <w:b w:val="0"/>
          <w:color w:val="000000"/>
          <w:sz w:val="18"/>
          <w:szCs w:val="18"/>
        </w:rPr>
        <w:t>2</w:t>
      </w:r>
      <w:bookmarkStart w:id="492" w:name="_Toc296503040"/>
      <w:bookmarkStart w:id="493" w:name="_Toc296346541"/>
      <w:bookmarkStart w:id="494" w:name="_Toc337558741"/>
      <w:r>
        <w:rPr>
          <w:rFonts w:hint="eastAsia" w:ascii="仿宋_GB2312" w:hAnsi="仿宋_GB2312" w:eastAsia="仿宋_GB2312" w:cs="仿宋_GB2312"/>
          <w:b w:val="0"/>
          <w:color w:val="000000"/>
          <w:sz w:val="18"/>
          <w:szCs w:val="18"/>
        </w:rPr>
        <w:t>.4 施工现场、施工条件和基础资料的提供</w:t>
      </w:r>
      <w:bookmarkEnd w:id="491"/>
      <w:bookmarkEnd w:id="492"/>
      <w:bookmarkEnd w:id="493"/>
      <w:bookmarkEnd w:id="494"/>
    </w:p>
    <w:p w14:paraId="3B00D8A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2.4.1 提供施工现场</w:t>
      </w:r>
    </w:p>
    <w:p w14:paraId="5CC4A5F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w:t>
      </w:r>
      <w:bookmarkEnd w:id="483"/>
      <w:bookmarkEnd w:id="484"/>
      <w:r>
        <w:rPr>
          <w:rFonts w:hint="eastAsia" w:ascii="仿宋_GB2312" w:hAnsi="仿宋_GB2312" w:eastAsia="仿宋_GB2312" w:cs="仿宋_GB2312"/>
          <w:color w:val="000000"/>
          <w:kern w:val="0"/>
          <w:sz w:val="18"/>
          <w:szCs w:val="18"/>
        </w:rPr>
        <w:t>专用合同条款另有约定外，发包人应最迟于开工日期7天前向承包人移交施工现场。</w:t>
      </w:r>
    </w:p>
    <w:p w14:paraId="743B78A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2.4.2 提供施工条件</w:t>
      </w:r>
    </w:p>
    <w:p w14:paraId="07067ED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除专用合同条款另有约定外，发包人应负责提供施工所需要的条件，包括：</w:t>
      </w:r>
    </w:p>
    <w:p w14:paraId="24ED3B5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（1）将施工用水、电力、通讯线路等施工所必需的条件接至施工现场内；</w:t>
      </w:r>
    </w:p>
    <w:p w14:paraId="6A21888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（2）保证向承包人提供正常施工所需要的进入施工现场的交通条件；</w:t>
      </w:r>
    </w:p>
    <w:p w14:paraId="5E8B938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（3）协调处理施工现场周围地下管线和邻近建筑物、构筑物、古树名木的保护工作，并承担相关费用；</w:t>
      </w:r>
    </w:p>
    <w:p w14:paraId="493AD73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（4）按照专用合同条款约定应提供的其他设施和条件。</w:t>
      </w:r>
    </w:p>
    <w:p w14:paraId="6F1E09DD">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2.4.3 提供基础资料</w:t>
      </w:r>
    </w:p>
    <w:p w14:paraId="73069F1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A6F5E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按照法律规定确需在开工后方能提供的基础资料，发包人应尽其努力及时地在相应工程施工前的合理期限内提供，合理期限应以不影响承包人的正常施工为限。</w:t>
      </w:r>
    </w:p>
    <w:p w14:paraId="61A4735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2.4.4 逾期提供的责任</w:t>
      </w:r>
    </w:p>
    <w:p w14:paraId="49A2403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因发包人原因未能按合同约定及时向承包人提供施工现场、施工条件、基础资料的，由发包人承担由此增加的费用和（或）延误的工期。</w:t>
      </w:r>
    </w:p>
    <w:p w14:paraId="6779F47F">
      <w:pPr>
        <w:pStyle w:val="6"/>
        <w:spacing w:before="120" w:after="120"/>
        <w:ind w:left="0" w:firstLine="360" w:firstLineChars="200"/>
        <w:rPr>
          <w:rFonts w:ascii="仿宋_GB2312" w:hAnsi="仿宋_GB2312" w:eastAsia="仿宋_GB2312" w:cs="仿宋_GB2312"/>
          <w:b w:val="0"/>
          <w:color w:val="000000"/>
          <w:sz w:val="18"/>
          <w:szCs w:val="18"/>
        </w:rPr>
      </w:pPr>
      <w:bookmarkStart w:id="495" w:name="_Toc351203514"/>
      <w:r>
        <w:rPr>
          <w:rFonts w:hint="eastAsia" w:ascii="仿宋_GB2312" w:hAnsi="仿宋_GB2312" w:eastAsia="仿宋_GB2312" w:cs="仿宋_GB2312"/>
          <w:b w:val="0"/>
          <w:color w:val="000000"/>
          <w:sz w:val="18"/>
          <w:szCs w:val="18"/>
        </w:rPr>
        <w:t>2</w:t>
      </w:r>
      <w:bookmarkStart w:id="496" w:name="_Toc296503042"/>
      <w:bookmarkStart w:id="497" w:name="_Toc296346543"/>
      <w:bookmarkStart w:id="498" w:name="_Toc337558745"/>
      <w:r>
        <w:rPr>
          <w:rFonts w:hint="eastAsia" w:ascii="仿宋_GB2312" w:hAnsi="仿宋_GB2312" w:eastAsia="仿宋_GB2312" w:cs="仿宋_GB2312"/>
          <w:b w:val="0"/>
          <w:color w:val="000000"/>
          <w:sz w:val="18"/>
          <w:szCs w:val="18"/>
        </w:rPr>
        <w:t>.5 资</w:t>
      </w:r>
      <w:bookmarkEnd w:id="496"/>
      <w:bookmarkEnd w:id="497"/>
      <w:bookmarkEnd w:id="498"/>
      <w:r>
        <w:rPr>
          <w:rFonts w:hint="eastAsia" w:ascii="仿宋_GB2312" w:hAnsi="仿宋_GB2312" w:eastAsia="仿宋_GB2312" w:cs="仿宋_GB2312"/>
          <w:b w:val="0"/>
          <w:color w:val="000000"/>
          <w:sz w:val="18"/>
          <w:szCs w:val="18"/>
        </w:rPr>
        <w:t>金来源证明及支付担保</w:t>
      </w:r>
      <w:bookmarkEnd w:id="495"/>
    </w:p>
    <w:p w14:paraId="5DFB266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除专用合同条款另有约定外，发包人应在收到承包人要求提供资金来源证明的书面通知后28天内，向承包人提供能够按照合同约定支付合同价款的相应资金来源证明。</w:t>
      </w:r>
    </w:p>
    <w:p w14:paraId="0B333FB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除专用合同条款另有约定外，发包人要求承包人提供履约担保的，发包人应当向承包人提供支付担保。支付担保可以采用银行保函或担保公司担保等形式，具体由合同当事人在专用合同条款中约定。</w:t>
      </w:r>
    </w:p>
    <w:p w14:paraId="1933516F">
      <w:pPr>
        <w:pStyle w:val="6"/>
        <w:spacing w:before="120" w:after="120"/>
        <w:ind w:left="0" w:firstLine="360" w:firstLineChars="200"/>
        <w:rPr>
          <w:rFonts w:ascii="仿宋_GB2312" w:hAnsi="仿宋_GB2312" w:eastAsia="仿宋_GB2312" w:cs="仿宋_GB2312"/>
          <w:b w:val="0"/>
          <w:color w:val="000000"/>
          <w:sz w:val="18"/>
          <w:szCs w:val="18"/>
        </w:rPr>
      </w:pPr>
      <w:bookmarkStart w:id="499" w:name="_Toc351203515"/>
      <w:r>
        <w:rPr>
          <w:rFonts w:hint="eastAsia" w:ascii="仿宋_GB2312" w:hAnsi="仿宋_GB2312" w:eastAsia="仿宋_GB2312" w:cs="仿宋_GB2312"/>
          <w:b w:val="0"/>
          <w:color w:val="000000"/>
          <w:sz w:val="18"/>
          <w:szCs w:val="18"/>
        </w:rPr>
        <w:t>2.6 支付合同价款</w:t>
      </w:r>
      <w:bookmarkEnd w:id="499"/>
    </w:p>
    <w:p w14:paraId="6BECF5A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发包人应按合同约定向承包人及时支付合同价款。</w:t>
      </w:r>
    </w:p>
    <w:p w14:paraId="4DF4A9A4">
      <w:pPr>
        <w:pStyle w:val="6"/>
        <w:spacing w:before="120" w:after="120"/>
        <w:ind w:left="0" w:firstLine="360" w:firstLineChars="200"/>
        <w:rPr>
          <w:rFonts w:ascii="仿宋_GB2312" w:hAnsi="仿宋_GB2312" w:eastAsia="仿宋_GB2312" w:cs="仿宋_GB2312"/>
          <w:b w:val="0"/>
          <w:color w:val="000000"/>
          <w:sz w:val="18"/>
          <w:szCs w:val="18"/>
        </w:rPr>
      </w:pPr>
      <w:bookmarkStart w:id="500" w:name="_Toc351203516"/>
      <w:r>
        <w:rPr>
          <w:rFonts w:hint="eastAsia" w:ascii="仿宋_GB2312" w:hAnsi="仿宋_GB2312" w:eastAsia="仿宋_GB2312" w:cs="仿宋_GB2312"/>
          <w:b w:val="0"/>
          <w:color w:val="000000"/>
          <w:sz w:val="18"/>
          <w:szCs w:val="18"/>
        </w:rPr>
        <w:t>2.7 组织竣工验收</w:t>
      </w:r>
      <w:bookmarkEnd w:id="500"/>
    </w:p>
    <w:p w14:paraId="66D7F04F">
      <w:pPr>
        <w:autoSpaceDE w:val="0"/>
        <w:autoSpaceDN w:val="0"/>
        <w:adjustRightInd w:val="0"/>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发包人应按合同约定及时组织竣工验收。</w:t>
      </w:r>
    </w:p>
    <w:p w14:paraId="330D0E0D">
      <w:pPr>
        <w:spacing w:before="120" w:after="120"/>
        <w:ind w:firstLine="360" w:firstLineChars="200"/>
        <w:rPr>
          <w:rFonts w:ascii="仿宋_GB2312" w:hAnsi="仿宋_GB2312" w:eastAsia="仿宋_GB2312" w:cs="仿宋_GB2312"/>
          <w:b w:val="0"/>
          <w:color w:val="000000"/>
          <w:sz w:val="18"/>
          <w:szCs w:val="18"/>
        </w:rPr>
      </w:pPr>
      <w:bookmarkStart w:id="501" w:name="_Toc351203517"/>
      <w:r>
        <w:rPr>
          <w:rFonts w:hint="eastAsia" w:ascii="仿宋_GB2312" w:hAnsi="仿宋_GB2312" w:eastAsia="仿宋_GB2312" w:cs="仿宋_GB2312"/>
          <w:b w:val="0"/>
          <w:color w:val="000000"/>
          <w:sz w:val="18"/>
          <w:szCs w:val="18"/>
        </w:rPr>
        <w:t>2.8 现场统一管理协议</w:t>
      </w:r>
      <w:bookmarkEnd w:id="501"/>
    </w:p>
    <w:p w14:paraId="2252BA1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发包人应与承包人、由发包人直接发包的专业工程的承包人签订施工现场统一管理协议，明确各方的权利义务。施工现场统一管理协议作为专用合同条款的附件。</w:t>
      </w:r>
    </w:p>
    <w:p w14:paraId="1E6C5398">
      <w:pPr>
        <w:pStyle w:val="5"/>
        <w:spacing w:before="120" w:after="120" w:line="240" w:lineRule="auto"/>
        <w:rPr>
          <w:rFonts w:ascii="仿宋_GB2312" w:hAnsi="仿宋_GB2312" w:eastAsia="仿宋_GB2312" w:cs="仿宋_GB2312"/>
          <w:b w:val="0"/>
          <w:color w:val="000000"/>
          <w:sz w:val="18"/>
          <w:szCs w:val="18"/>
        </w:rPr>
      </w:pPr>
      <w:bookmarkStart w:id="502" w:name="_Toc351203518"/>
      <w:r>
        <w:rPr>
          <w:rFonts w:hint="eastAsia" w:ascii="仿宋_GB2312" w:hAnsi="仿宋_GB2312" w:eastAsia="仿宋_GB2312" w:cs="仿宋_GB2312"/>
          <w:b w:val="0"/>
          <w:color w:val="000000"/>
          <w:sz w:val="18"/>
          <w:szCs w:val="18"/>
        </w:rPr>
        <w:t>3</w:t>
      </w:r>
      <w:bookmarkStart w:id="503" w:name="_Toc337558746"/>
      <w:bookmarkStart w:id="504" w:name="_Toc296503045"/>
      <w:bookmarkStart w:id="505" w:name="_Toc296346546"/>
      <w:r>
        <w:rPr>
          <w:rFonts w:hint="eastAsia" w:ascii="仿宋_GB2312" w:hAnsi="仿宋_GB2312" w:eastAsia="仿宋_GB2312" w:cs="仿宋_GB2312"/>
          <w:b w:val="0"/>
          <w:color w:val="000000"/>
          <w:sz w:val="18"/>
          <w:szCs w:val="18"/>
        </w:rPr>
        <w:t>. 承包人</w:t>
      </w:r>
      <w:bookmarkEnd w:id="502"/>
    </w:p>
    <w:bookmarkEnd w:id="503"/>
    <w:bookmarkEnd w:id="504"/>
    <w:bookmarkEnd w:id="505"/>
    <w:p w14:paraId="2CD50624">
      <w:pPr>
        <w:pStyle w:val="6"/>
        <w:spacing w:before="120" w:after="120"/>
        <w:ind w:left="0" w:firstLine="360" w:firstLineChars="200"/>
        <w:rPr>
          <w:rFonts w:ascii="仿宋_GB2312" w:hAnsi="仿宋_GB2312" w:eastAsia="仿宋_GB2312" w:cs="仿宋_GB2312"/>
          <w:b w:val="0"/>
          <w:color w:val="000000"/>
          <w:sz w:val="18"/>
          <w:szCs w:val="18"/>
        </w:rPr>
      </w:pPr>
      <w:bookmarkStart w:id="506" w:name="_Toc351203519"/>
      <w:r>
        <w:rPr>
          <w:rFonts w:hint="eastAsia" w:ascii="仿宋_GB2312" w:hAnsi="仿宋_GB2312" w:eastAsia="仿宋_GB2312" w:cs="仿宋_GB2312"/>
          <w:b w:val="0"/>
          <w:color w:val="000000"/>
          <w:sz w:val="18"/>
          <w:szCs w:val="18"/>
        </w:rPr>
        <w:t>3</w:t>
      </w:r>
      <w:bookmarkStart w:id="507" w:name="_Toc296346547"/>
      <w:bookmarkStart w:id="508" w:name="_Toc337558747"/>
      <w:bookmarkStart w:id="509" w:name="_Toc296503046"/>
      <w:r>
        <w:rPr>
          <w:rFonts w:hint="eastAsia" w:ascii="仿宋_GB2312" w:hAnsi="仿宋_GB2312" w:eastAsia="仿宋_GB2312" w:cs="仿宋_GB2312"/>
          <w:b w:val="0"/>
          <w:color w:val="000000"/>
          <w:sz w:val="18"/>
          <w:szCs w:val="18"/>
        </w:rPr>
        <w:t>.1 承包人的一般义务</w:t>
      </w:r>
      <w:bookmarkEnd w:id="506"/>
    </w:p>
    <w:bookmarkEnd w:id="507"/>
    <w:bookmarkEnd w:id="508"/>
    <w:bookmarkEnd w:id="509"/>
    <w:p w14:paraId="589468D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承包人在履行合同过程中应遵守法律和工程建设标准规范，并履行以下义务：</w:t>
      </w:r>
    </w:p>
    <w:p w14:paraId="4E30B25C">
      <w:pPr>
        <w:numPr>
          <w:ilvl w:val="0"/>
          <w:numId w:val="1"/>
        </w:num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办理法律规定应由承包人办理的许可和批准，并将办理结果书面报送发包人留存；</w:t>
      </w:r>
    </w:p>
    <w:p w14:paraId="290D134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（2）按法律规定和合同约定完成工程，并在保修期内承担保修义务；</w:t>
      </w:r>
    </w:p>
    <w:p w14:paraId="4599B32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（3）按法律规定和合同约定采取施工安全和环境保护措施，办理工伤保险，确保工程及人员、材料、设备和设施的安全；</w:t>
      </w:r>
    </w:p>
    <w:p w14:paraId="7BDC46E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（4）按合同约定的工作内容和施工进度要求，编制施工组织设计和施工措施计划，并对所有施工作业和施工方法的完备性和安全可靠性负责；</w:t>
      </w:r>
    </w:p>
    <w:p w14:paraId="512FE6E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B8BED3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（6）按照第6.3款〔环境保护〕约定负责施工场地及其周边环境与生态的保护工作；</w:t>
      </w:r>
    </w:p>
    <w:p w14:paraId="0FFF009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（7）按第6.1款〔安全文明施工〕约定采取施工安全措施，确保工程及其人员、材料、设备和设施的安全，防止因工程施工造成的人身伤害和财产损失；</w:t>
      </w:r>
    </w:p>
    <w:p w14:paraId="33DF5BA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（8）将发包人按合同约定支付的各项价款专用于合同工程，且应及时支付其雇用人员工资，并及时向分包人支付合同价款；</w:t>
      </w:r>
    </w:p>
    <w:p w14:paraId="44D2265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（9）按照法律规定和合同约定编制竣工资料，完成竣工资料立卷及归档，并按专用合同条款约定的竣工资料的套数、内容、时间等要求移交发包人；</w:t>
      </w:r>
    </w:p>
    <w:p w14:paraId="27F5D6D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（10）应履行的其他义务。</w:t>
      </w:r>
    </w:p>
    <w:p w14:paraId="01F78613">
      <w:pPr>
        <w:pStyle w:val="6"/>
        <w:spacing w:before="120" w:after="120"/>
        <w:ind w:left="0" w:firstLine="360" w:firstLineChars="200"/>
        <w:rPr>
          <w:rFonts w:ascii="仿宋_GB2312" w:hAnsi="仿宋_GB2312" w:eastAsia="仿宋_GB2312" w:cs="仿宋_GB2312"/>
          <w:b w:val="0"/>
          <w:color w:val="000000"/>
          <w:sz w:val="18"/>
          <w:szCs w:val="18"/>
        </w:rPr>
      </w:pPr>
      <w:bookmarkStart w:id="510" w:name="_Toc351203520"/>
      <w:r>
        <w:rPr>
          <w:rFonts w:hint="eastAsia" w:ascii="仿宋_GB2312" w:hAnsi="仿宋_GB2312" w:eastAsia="仿宋_GB2312" w:cs="仿宋_GB2312"/>
          <w:b w:val="0"/>
          <w:color w:val="000000"/>
          <w:sz w:val="18"/>
          <w:szCs w:val="18"/>
        </w:rPr>
        <w:t>3</w:t>
      </w:r>
      <w:bookmarkStart w:id="511" w:name="_Toc296346548"/>
      <w:bookmarkStart w:id="512" w:name="_Toc296503047"/>
      <w:bookmarkStart w:id="513" w:name="_Toc337558748"/>
      <w:r>
        <w:rPr>
          <w:rFonts w:hint="eastAsia" w:ascii="仿宋_GB2312" w:hAnsi="仿宋_GB2312" w:eastAsia="仿宋_GB2312" w:cs="仿宋_GB2312"/>
          <w:b w:val="0"/>
          <w:color w:val="000000"/>
          <w:sz w:val="18"/>
          <w:szCs w:val="18"/>
        </w:rPr>
        <w:t xml:space="preserve">.2 </w:t>
      </w:r>
      <w:bookmarkEnd w:id="510"/>
      <w:r>
        <w:rPr>
          <w:rFonts w:hint="eastAsia" w:ascii="仿宋_GB2312" w:hAnsi="仿宋_GB2312" w:eastAsia="仿宋_GB2312" w:cs="仿宋_GB2312"/>
          <w:b w:val="0"/>
          <w:color w:val="000000"/>
          <w:sz w:val="18"/>
          <w:szCs w:val="18"/>
        </w:rPr>
        <w:t>项目经理</w:t>
      </w:r>
    </w:p>
    <w:bookmarkEnd w:id="511"/>
    <w:bookmarkEnd w:id="512"/>
    <w:bookmarkEnd w:id="513"/>
    <w:p w14:paraId="133BD0D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B8DF7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2ADA90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承包人违反上述约定的，应按照专用合同条款的约定，承担违约责任。</w:t>
      </w:r>
    </w:p>
    <w:p w14:paraId="768F137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686106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BA450D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27B488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3.2.5 项目经理因特殊情况授权其下属人员履行其某项工作职责的，该下属人员应具备履行相应职责的能力，并应提前7天将上述人员的姓名和授权范围书面通知监理人，并征得发包人书面同意。</w:t>
      </w:r>
    </w:p>
    <w:p w14:paraId="22E9E6EA">
      <w:pPr>
        <w:pStyle w:val="6"/>
        <w:spacing w:before="120" w:after="120"/>
        <w:ind w:left="0" w:firstLine="360" w:firstLineChars="200"/>
        <w:rPr>
          <w:rFonts w:ascii="仿宋_GB2312" w:hAnsi="仿宋_GB2312" w:eastAsia="仿宋_GB2312" w:cs="仿宋_GB2312"/>
          <w:b w:val="0"/>
          <w:color w:val="000000"/>
          <w:sz w:val="18"/>
          <w:szCs w:val="18"/>
        </w:rPr>
      </w:pPr>
      <w:bookmarkStart w:id="514" w:name="_Toc351203521"/>
      <w:r>
        <w:rPr>
          <w:rFonts w:hint="eastAsia" w:ascii="仿宋_GB2312" w:hAnsi="仿宋_GB2312" w:eastAsia="仿宋_GB2312" w:cs="仿宋_GB2312"/>
          <w:b w:val="0"/>
          <w:color w:val="000000"/>
          <w:sz w:val="18"/>
          <w:szCs w:val="18"/>
        </w:rPr>
        <w:t>3</w:t>
      </w:r>
      <w:bookmarkStart w:id="515" w:name="_Toc296346549"/>
      <w:bookmarkStart w:id="516" w:name="_Toc296503048"/>
      <w:bookmarkStart w:id="517" w:name="_Toc337558749"/>
      <w:r>
        <w:rPr>
          <w:rFonts w:hint="eastAsia" w:ascii="仿宋_GB2312" w:hAnsi="仿宋_GB2312" w:eastAsia="仿宋_GB2312" w:cs="仿宋_GB2312"/>
          <w:b w:val="0"/>
          <w:color w:val="000000"/>
          <w:sz w:val="18"/>
          <w:szCs w:val="18"/>
        </w:rPr>
        <w:t xml:space="preserve">.3 </w:t>
      </w:r>
      <w:bookmarkEnd w:id="515"/>
      <w:bookmarkEnd w:id="516"/>
      <w:r>
        <w:rPr>
          <w:rFonts w:hint="eastAsia" w:ascii="仿宋_GB2312" w:hAnsi="仿宋_GB2312" w:eastAsia="仿宋_GB2312" w:cs="仿宋_GB2312"/>
          <w:b w:val="0"/>
          <w:color w:val="000000"/>
          <w:sz w:val="18"/>
          <w:szCs w:val="18"/>
        </w:rPr>
        <w:t>承包人人员</w:t>
      </w:r>
      <w:bookmarkEnd w:id="514"/>
    </w:p>
    <w:bookmarkEnd w:id="517"/>
    <w:p w14:paraId="1E9669B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16B528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8EBC5D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特殊工种作业人员均应持有相应的资格证明，监理人可以随时检查。</w:t>
      </w:r>
    </w:p>
    <w:p w14:paraId="0E14986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12A687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C6DC4F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3.3.5 承包人擅自更换主要施工管理人员，或前述人员未经监理人或发包人同意擅自离开施工现场的，应按照专用合同条款约定承担违约责任。</w:t>
      </w:r>
    </w:p>
    <w:p w14:paraId="148F51E9">
      <w:pPr>
        <w:pStyle w:val="6"/>
        <w:spacing w:before="120" w:after="120"/>
        <w:ind w:left="0" w:firstLine="360" w:firstLineChars="200"/>
        <w:rPr>
          <w:rFonts w:ascii="仿宋_GB2312" w:hAnsi="仿宋_GB2312" w:eastAsia="仿宋_GB2312" w:cs="仿宋_GB2312"/>
          <w:b w:val="0"/>
          <w:color w:val="000000"/>
          <w:sz w:val="18"/>
          <w:szCs w:val="18"/>
        </w:rPr>
      </w:pPr>
      <w:bookmarkStart w:id="518" w:name="_Toc351203522"/>
      <w:r>
        <w:rPr>
          <w:rFonts w:hint="eastAsia" w:ascii="仿宋_GB2312" w:hAnsi="仿宋_GB2312" w:eastAsia="仿宋_GB2312" w:cs="仿宋_GB2312"/>
          <w:b w:val="0"/>
          <w:color w:val="000000"/>
          <w:sz w:val="18"/>
          <w:szCs w:val="18"/>
        </w:rPr>
        <w:t>3</w:t>
      </w:r>
      <w:bookmarkStart w:id="519" w:name="_Toc337558750"/>
      <w:bookmarkStart w:id="520" w:name="_Toc296346551"/>
      <w:bookmarkStart w:id="521" w:name="_Toc296503050"/>
      <w:r>
        <w:rPr>
          <w:rFonts w:hint="eastAsia" w:ascii="仿宋_GB2312" w:hAnsi="仿宋_GB2312" w:eastAsia="仿宋_GB2312" w:cs="仿宋_GB2312"/>
          <w:b w:val="0"/>
          <w:color w:val="000000"/>
          <w:sz w:val="18"/>
          <w:szCs w:val="18"/>
        </w:rPr>
        <w:t>.4 承包人现场查勘</w:t>
      </w:r>
      <w:bookmarkEnd w:id="518"/>
    </w:p>
    <w:bookmarkEnd w:id="519"/>
    <w:bookmarkEnd w:id="520"/>
    <w:bookmarkEnd w:id="521"/>
    <w:p w14:paraId="023A3C26">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承包人应对基于发包人按照第2.4.3项〔提供基础资料〕提交的基础资料所做出的解释和推断负责，但因基础资料存在错误、遗漏导致承包人解释或推断失实的，由发包人承担责任。</w:t>
      </w:r>
    </w:p>
    <w:p w14:paraId="2DC4B76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462F17B">
      <w:pPr>
        <w:pStyle w:val="6"/>
        <w:spacing w:before="120" w:after="120"/>
        <w:ind w:left="0" w:firstLine="360" w:firstLineChars="200"/>
        <w:rPr>
          <w:rFonts w:ascii="仿宋_GB2312" w:hAnsi="仿宋_GB2312" w:eastAsia="仿宋_GB2312" w:cs="仿宋_GB2312"/>
          <w:b w:val="0"/>
          <w:color w:val="000000"/>
          <w:sz w:val="18"/>
          <w:szCs w:val="18"/>
        </w:rPr>
      </w:pPr>
      <w:bookmarkStart w:id="522" w:name="_Toc351203523"/>
      <w:r>
        <w:rPr>
          <w:rFonts w:hint="eastAsia" w:ascii="仿宋_GB2312" w:hAnsi="仿宋_GB2312" w:eastAsia="仿宋_GB2312" w:cs="仿宋_GB2312"/>
          <w:b w:val="0"/>
          <w:color w:val="000000"/>
          <w:sz w:val="18"/>
          <w:szCs w:val="18"/>
        </w:rPr>
        <w:t>3</w:t>
      </w:r>
      <w:bookmarkStart w:id="523" w:name="_Toc337558751"/>
      <w:bookmarkStart w:id="524" w:name="_Toc296503051"/>
      <w:bookmarkStart w:id="525" w:name="_Toc296346552"/>
      <w:r>
        <w:rPr>
          <w:rFonts w:hint="eastAsia" w:ascii="仿宋_GB2312" w:hAnsi="仿宋_GB2312" w:eastAsia="仿宋_GB2312" w:cs="仿宋_GB2312"/>
          <w:b w:val="0"/>
          <w:color w:val="000000"/>
          <w:sz w:val="18"/>
          <w:szCs w:val="18"/>
        </w:rPr>
        <w:t>.5 分包</w:t>
      </w:r>
      <w:bookmarkEnd w:id="522"/>
    </w:p>
    <w:bookmarkEnd w:id="523"/>
    <w:bookmarkEnd w:id="524"/>
    <w:bookmarkEnd w:id="525"/>
    <w:p w14:paraId="757BFE6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3.5.1 分包的一般约定</w:t>
      </w:r>
    </w:p>
    <w:p w14:paraId="01796B3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332CA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承包人不得以劳务分包的名义转包或违法分包工程。</w:t>
      </w:r>
    </w:p>
    <w:p w14:paraId="224EDAF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3.5.2 分包的确定</w:t>
      </w:r>
    </w:p>
    <w:p w14:paraId="3D6EAD9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D513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3.5.3 分包管理</w:t>
      </w:r>
    </w:p>
    <w:p w14:paraId="6980490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承包人应向监理人提交分包人的主要施工管理人员表，并对分包人的施工人员进行实名制管理，包括但不限于进出场管理、登记造册以及各种证照的办理。</w:t>
      </w:r>
    </w:p>
    <w:p w14:paraId="28BE4FE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3.5.4 分包合同价款</w:t>
      </w:r>
    </w:p>
    <w:p w14:paraId="1464DF5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（1）除本项第（2）目约定的情况或专用合同条款另有约定外，分包合同价款由承包人与分包人结算，未经承包人同意，发包人不得向分包人支付分包工程价款；</w:t>
      </w:r>
    </w:p>
    <w:p w14:paraId="3F76511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（2）生效法律文书要求发包人向分包人支付分包合同价款的，发包人有权从应付承包人工程款中扣除该部分款项。</w:t>
      </w:r>
    </w:p>
    <w:p w14:paraId="3D3F6AD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3.5.5 分包合同权益的转让</w:t>
      </w:r>
    </w:p>
    <w:p w14:paraId="0D59DE3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26" w:name="_Toc351203524"/>
    </w:p>
    <w:p w14:paraId="722249A6">
      <w:pPr>
        <w:pStyle w:val="6"/>
        <w:spacing w:before="120" w:after="120"/>
        <w:ind w:left="0" w:firstLine="360" w:firstLineChars="200"/>
        <w:rPr>
          <w:rFonts w:ascii="仿宋_GB2312" w:hAnsi="仿宋_GB2312" w:eastAsia="仿宋_GB2312" w:cs="仿宋_GB2312"/>
          <w:b w:val="0"/>
          <w:color w:val="000000"/>
          <w:sz w:val="18"/>
          <w:szCs w:val="18"/>
        </w:rPr>
      </w:pPr>
      <w:r>
        <w:rPr>
          <w:rFonts w:hint="eastAsia" w:ascii="仿宋_GB2312" w:hAnsi="仿宋_GB2312" w:eastAsia="仿宋_GB2312" w:cs="仿宋_GB2312"/>
          <w:b w:val="0"/>
          <w:color w:val="000000"/>
          <w:sz w:val="18"/>
          <w:szCs w:val="18"/>
        </w:rPr>
        <w:t>3.6 工程照管与成品、半成品保护</w:t>
      </w:r>
      <w:bookmarkEnd w:id="526"/>
    </w:p>
    <w:p w14:paraId="227AFF0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（1）除专用合同条款另有约定外，自发包人向承包人移交施工现场之日起，承包人应负责照管工程及工程相关的材料、工程设备，直到颁发工程接收证书之日止。</w:t>
      </w:r>
    </w:p>
    <w:p w14:paraId="001B61B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（2）在承包人负责照管期间，因承包人原因造成工程、材料、工程设备损坏的，由承包人负责修复或更换，并承担由此增加的费用和（或）延误的工期。</w:t>
      </w:r>
    </w:p>
    <w:p w14:paraId="49483F9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（3）对合同内分期完成的成品和半成品，在工程接收证书颁发前，由承包人承担保护责任。因承包人原因造成成品或半成品损坏的，由承包人负责修复或更换，并承担由此增加的费用和（或）延误的工期。</w:t>
      </w:r>
    </w:p>
    <w:p w14:paraId="21BD09CA">
      <w:pPr>
        <w:pStyle w:val="6"/>
        <w:spacing w:before="120" w:after="120"/>
        <w:ind w:left="0" w:firstLine="360" w:firstLineChars="200"/>
        <w:rPr>
          <w:rFonts w:ascii="仿宋_GB2312" w:hAnsi="仿宋_GB2312" w:eastAsia="仿宋_GB2312" w:cs="仿宋_GB2312"/>
          <w:b w:val="0"/>
          <w:color w:val="000000"/>
          <w:sz w:val="18"/>
          <w:szCs w:val="18"/>
        </w:rPr>
      </w:pPr>
      <w:bookmarkStart w:id="527" w:name="_Toc351203525"/>
      <w:r>
        <w:rPr>
          <w:rFonts w:hint="eastAsia" w:ascii="仿宋_GB2312" w:hAnsi="仿宋_GB2312" w:eastAsia="仿宋_GB2312" w:cs="仿宋_GB2312"/>
          <w:b w:val="0"/>
          <w:color w:val="000000"/>
          <w:sz w:val="18"/>
          <w:szCs w:val="18"/>
        </w:rPr>
        <w:t>3</w:t>
      </w:r>
      <w:bookmarkStart w:id="528" w:name="_Toc296503052"/>
      <w:bookmarkStart w:id="529" w:name="_Toc296346553"/>
      <w:bookmarkStart w:id="530" w:name="_Toc337558752"/>
      <w:r>
        <w:rPr>
          <w:rFonts w:hint="eastAsia" w:ascii="仿宋_GB2312" w:hAnsi="仿宋_GB2312" w:eastAsia="仿宋_GB2312" w:cs="仿宋_GB2312"/>
          <w:b w:val="0"/>
          <w:color w:val="000000"/>
          <w:sz w:val="18"/>
          <w:szCs w:val="18"/>
        </w:rPr>
        <w:t>.7 履约担保</w:t>
      </w:r>
      <w:bookmarkEnd w:id="527"/>
    </w:p>
    <w:bookmarkEnd w:id="528"/>
    <w:bookmarkEnd w:id="529"/>
    <w:bookmarkEnd w:id="530"/>
    <w:p w14:paraId="365E3B1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8ECC36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因承包人原因导致工期延长的，继续提供履约担保所增加的费用由承包人承担；非因承包人原因导致工期延长的，继续提供履约担保所增加的费用由发包人承担。</w:t>
      </w:r>
    </w:p>
    <w:p w14:paraId="07EEA94F">
      <w:pPr>
        <w:pStyle w:val="6"/>
        <w:spacing w:before="120" w:after="120"/>
        <w:ind w:left="0" w:firstLine="360" w:firstLineChars="200"/>
        <w:rPr>
          <w:rFonts w:ascii="仿宋_GB2312" w:hAnsi="仿宋_GB2312" w:eastAsia="仿宋_GB2312" w:cs="仿宋_GB2312"/>
          <w:b w:val="0"/>
          <w:color w:val="000000"/>
          <w:sz w:val="18"/>
          <w:szCs w:val="18"/>
        </w:rPr>
      </w:pPr>
      <w:bookmarkStart w:id="531" w:name="_Toc351203526"/>
      <w:r>
        <w:rPr>
          <w:rFonts w:hint="eastAsia" w:ascii="仿宋_GB2312" w:hAnsi="仿宋_GB2312" w:eastAsia="仿宋_GB2312" w:cs="仿宋_GB2312"/>
          <w:b w:val="0"/>
          <w:color w:val="000000"/>
          <w:sz w:val="18"/>
          <w:szCs w:val="18"/>
        </w:rPr>
        <w:t>3.8 联合体</w:t>
      </w:r>
      <w:bookmarkEnd w:id="531"/>
    </w:p>
    <w:p w14:paraId="2248348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3.8.1 联合体各方应共同与发包人签订合同协议书。联合体各方应为履行合同向发包人承担连带责任。</w:t>
      </w:r>
    </w:p>
    <w:p w14:paraId="1677415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3.8.2 联合体协议经发包人确认后作为合同附件。在履行合同过程中，未经发包人同意，不得修改联合体协议。</w:t>
      </w:r>
    </w:p>
    <w:p w14:paraId="0DB9827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3.8.3 联合体牵头人负责与发包人和监理人联系，并接受指示，负责组织联合体各成员全面履行合同。</w:t>
      </w:r>
    </w:p>
    <w:p w14:paraId="295F304F">
      <w:pPr>
        <w:pStyle w:val="5"/>
        <w:spacing w:before="120" w:after="120" w:line="240" w:lineRule="auto"/>
        <w:rPr>
          <w:rFonts w:ascii="仿宋_GB2312" w:hAnsi="仿宋_GB2312" w:eastAsia="仿宋_GB2312" w:cs="仿宋_GB2312"/>
          <w:b w:val="0"/>
          <w:color w:val="000000"/>
          <w:sz w:val="18"/>
          <w:szCs w:val="18"/>
        </w:rPr>
      </w:pPr>
      <w:bookmarkStart w:id="532" w:name="_Toc351203527"/>
      <w:r>
        <w:rPr>
          <w:rFonts w:hint="eastAsia" w:ascii="仿宋_GB2312" w:hAnsi="仿宋_GB2312" w:eastAsia="仿宋_GB2312" w:cs="仿宋_GB2312"/>
          <w:b w:val="0"/>
          <w:color w:val="000000"/>
          <w:sz w:val="18"/>
          <w:szCs w:val="18"/>
        </w:rPr>
        <w:t>4</w:t>
      </w:r>
      <w:bookmarkStart w:id="533" w:name="_Toc296346554"/>
      <w:bookmarkStart w:id="534" w:name="_Toc296503053"/>
      <w:bookmarkStart w:id="535" w:name="_Toc337558753"/>
      <w:r>
        <w:rPr>
          <w:rFonts w:hint="eastAsia" w:ascii="仿宋_GB2312" w:hAnsi="仿宋_GB2312" w:eastAsia="仿宋_GB2312" w:cs="仿宋_GB2312"/>
          <w:b w:val="0"/>
          <w:color w:val="000000"/>
          <w:sz w:val="18"/>
          <w:szCs w:val="18"/>
        </w:rPr>
        <w:t>. 监</w:t>
      </w:r>
      <w:bookmarkEnd w:id="533"/>
      <w:bookmarkEnd w:id="534"/>
      <w:r>
        <w:rPr>
          <w:rFonts w:hint="eastAsia" w:ascii="仿宋_GB2312" w:hAnsi="仿宋_GB2312" w:eastAsia="仿宋_GB2312" w:cs="仿宋_GB2312"/>
          <w:b w:val="0"/>
          <w:color w:val="000000"/>
          <w:sz w:val="18"/>
          <w:szCs w:val="18"/>
        </w:rPr>
        <w:t>理人</w:t>
      </w:r>
      <w:bookmarkEnd w:id="532"/>
    </w:p>
    <w:bookmarkEnd w:id="535"/>
    <w:p w14:paraId="7C667D3E">
      <w:pPr>
        <w:pStyle w:val="6"/>
        <w:spacing w:before="120" w:after="120"/>
        <w:ind w:left="0" w:firstLine="360" w:firstLineChars="200"/>
        <w:rPr>
          <w:rFonts w:ascii="仿宋_GB2312" w:hAnsi="仿宋_GB2312" w:eastAsia="仿宋_GB2312" w:cs="仿宋_GB2312"/>
          <w:b w:val="0"/>
          <w:color w:val="000000"/>
          <w:sz w:val="18"/>
          <w:szCs w:val="18"/>
        </w:rPr>
      </w:pPr>
      <w:bookmarkStart w:id="536" w:name="_Toc351203528"/>
      <w:r>
        <w:rPr>
          <w:rFonts w:hint="eastAsia" w:ascii="仿宋_GB2312" w:hAnsi="仿宋_GB2312" w:eastAsia="仿宋_GB2312" w:cs="仿宋_GB2312"/>
          <w:b w:val="0"/>
          <w:color w:val="000000"/>
          <w:sz w:val="18"/>
          <w:szCs w:val="18"/>
        </w:rPr>
        <w:t>4</w:t>
      </w:r>
      <w:bookmarkStart w:id="537" w:name="_Toc337558754"/>
      <w:bookmarkStart w:id="538" w:name="_Toc296346555"/>
      <w:bookmarkStart w:id="539" w:name="_Toc296503054"/>
      <w:r>
        <w:rPr>
          <w:rFonts w:hint="eastAsia" w:ascii="仿宋_GB2312" w:hAnsi="仿宋_GB2312" w:eastAsia="仿宋_GB2312" w:cs="仿宋_GB2312"/>
          <w:b w:val="0"/>
          <w:color w:val="000000"/>
          <w:sz w:val="18"/>
          <w:szCs w:val="18"/>
        </w:rPr>
        <w:t>.1监理人的一般规定</w:t>
      </w:r>
      <w:bookmarkEnd w:id="536"/>
    </w:p>
    <w:bookmarkEnd w:id="537"/>
    <w:bookmarkEnd w:id="538"/>
    <w:bookmarkEnd w:id="539"/>
    <w:p w14:paraId="5E15F0F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0795DD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除专用合同条款另有约定外，监理人在施工现场的办公场所、生活场所由承包人提供，所发生的费用由发包人承担。</w:t>
      </w:r>
    </w:p>
    <w:p w14:paraId="4F52960A">
      <w:pPr>
        <w:pStyle w:val="6"/>
        <w:spacing w:before="120" w:after="120"/>
        <w:ind w:left="0" w:firstLine="360" w:firstLineChars="200"/>
        <w:rPr>
          <w:rFonts w:ascii="仿宋_GB2312" w:hAnsi="仿宋_GB2312" w:eastAsia="仿宋_GB2312" w:cs="仿宋_GB2312"/>
          <w:b w:val="0"/>
          <w:color w:val="000000"/>
          <w:sz w:val="18"/>
          <w:szCs w:val="18"/>
        </w:rPr>
      </w:pPr>
      <w:bookmarkStart w:id="540" w:name="_Toc351203529"/>
      <w:r>
        <w:rPr>
          <w:rFonts w:hint="eastAsia" w:ascii="仿宋_GB2312" w:hAnsi="仿宋_GB2312" w:eastAsia="仿宋_GB2312" w:cs="仿宋_GB2312"/>
          <w:b w:val="0"/>
          <w:color w:val="000000"/>
          <w:sz w:val="18"/>
          <w:szCs w:val="18"/>
        </w:rPr>
        <w:t>4</w:t>
      </w:r>
      <w:bookmarkStart w:id="541" w:name="_Toc337558755"/>
      <w:r>
        <w:rPr>
          <w:rFonts w:hint="eastAsia" w:ascii="仿宋_GB2312" w:hAnsi="仿宋_GB2312" w:eastAsia="仿宋_GB2312" w:cs="仿宋_GB2312"/>
          <w:b w:val="0"/>
          <w:color w:val="000000"/>
          <w:sz w:val="18"/>
          <w:szCs w:val="18"/>
        </w:rPr>
        <w:t>.2监理人员</w:t>
      </w:r>
      <w:bookmarkEnd w:id="540"/>
    </w:p>
    <w:bookmarkEnd w:id="541"/>
    <w:p w14:paraId="112CC6A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7317DB8">
      <w:pPr>
        <w:pStyle w:val="6"/>
        <w:spacing w:before="120" w:after="120"/>
        <w:ind w:left="0" w:firstLine="360" w:firstLineChars="200"/>
        <w:rPr>
          <w:rFonts w:ascii="仿宋_GB2312" w:hAnsi="仿宋_GB2312" w:eastAsia="仿宋_GB2312" w:cs="仿宋_GB2312"/>
          <w:b w:val="0"/>
          <w:color w:val="000000"/>
          <w:sz w:val="18"/>
          <w:szCs w:val="18"/>
        </w:rPr>
      </w:pPr>
      <w:bookmarkStart w:id="542" w:name="_Toc351203530"/>
      <w:r>
        <w:rPr>
          <w:rFonts w:hint="eastAsia" w:ascii="仿宋_GB2312" w:hAnsi="仿宋_GB2312" w:eastAsia="仿宋_GB2312" w:cs="仿宋_GB2312"/>
          <w:b w:val="0"/>
          <w:color w:val="000000"/>
          <w:sz w:val="18"/>
          <w:szCs w:val="18"/>
        </w:rPr>
        <w:t>4</w:t>
      </w:r>
      <w:bookmarkStart w:id="543" w:name="_Toc296346556"/>
      <w:bookmarkStart w:id="544" w:name="_Toc296503055"/>
      <w:bookmarkStart w:id="545" w:name="_Toc337558756"/>
      <w:r>
        <w:rPr>
          <w:rFonts w:hint="eastAsia" w:ascii="仿宋_GB2312" w:hAnsi="仿宋_GB2312" w:eastAsia="仿宋_GB2312" w:cs="仿宋_GB2312"/>
          <w:b w:val="0"/>
          <w:color w:val="000000"/>
          <w:sz w:val="18"/>
          <w:szCs w:val="18"/>
        </w:rPr>
        <w:t>.3</w:t>
      </w:r>
      <w:bookmarkEnd w:id="543"/>
      <w:bookmarkEnd w:id="544"/>
      <w:r>
        <w:rPr>
          <w:rFonts w:hint="eastAsia" w:ascii="仿宋_GB2312" w:hAnsi="仿宋_GB2312" w:eastAsia="仿宋_GB2312" w:cs="仿宋_GB2312"/>
          <w:b w:val="0"/>
          <w:color w:val="000000"/>
          <w:sz w:val="18"/>
          <w:szCs w:val="18"/>
        </w:rPr>
        <w:t>监理人的指</w:t>
      </w:r>
      <w:bookmarkEnd w:id="545"/>
      <w:r>
        <w:rPr>
          <w:rFonts w:hint="eastAsia" w:ascii="仿宋_GB2312" w:hAnsi="仿宋_GB2312" w:eastAsia="仿宋_GB2312" w:cs="仿宋_GB2312"/>
          <w:b w:val="0"/>
          <w:color w:val="000000"/>
          <w:sz w:val="18"/>
          <w:szCs w:val="18"/>
        </w:rPr>
        <w:t>示</w:t>
      </w:r>
      <w:bookmarkEnd w:id="542"/>
    </w:p>
    <w:p w14:paraId="3A096EE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858915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A8F075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承包人对监理人发出的指示有疑问的，应向监理人提出书面异议，监理人应在48小时内对该指示予以确认、更改或撤销，监理人逾期未回复的，承包人有权拒绝执行上述指示。</w:t>
      </w:r>
    </w:p>
    <w:p w14:paraId="024B04B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监理人对承包人的任何工作、工程或其采用的材料和工程设备未在约定的或合理期限内提出意见的，视为批准，但不免除或减轻承包人对该工作、工程、材料、工程设备等应承担的责任和义务。</w:t>
      </w:r>
    </w:p>
    <w:p w14:paraId="341DEE7A">
      <w:pPr>
        <w:pStyle w:val="5"/>
        <w:spacing w:before="120" w:after="120" w:line="240" w:lineRule="auto"/>
        <w:ind w:firstLine="360" w:firstLineChars="200"/>
        <w:rPr>
          <w:rFonts w:ascii="仿宋_GB2312" w:hAnsi="仿宋_GB2312" w:eastAsia="仿宋_GB2312" w:cs="仿宋_GB2312"/>
          <w:b w:val="0"/>
          <w:color w:val="000000"/>
          <w:sz w:val="18"/>
          <w:szCs w:val="18"/>
        </w:rPr>
      </w:pPr>
      <w:bookmarkStart w:id="546" w:name="_Toc351203531"/>
      <w:r>
        <w:rPr>
          <w:rFonts w:hint="eastAsia" w:ascii="仿宋_GB2312" w:hAnsi="仿宋_GB2312" w:eastAsia="仿宋_GB2312" w:cs="仿宋_GB2312"/>
          <w:b w:val="0"/>
          <w:color w:val="000000"/>
          <w:sz w:val="18"/>
          <w:szCs w:val="18"/>
        </w:rPr>
        <w:t>4</w:t>
      </w:r>
      <w:bookmarkStart w:id="547" w:name="_Toc296346558"/>
      <w:bookmarkStart w:id="548" w:name="_Toc337558757"/>
      <w:bookmarkStart w:id="549" w:name="_Toc296503057"/>
      <w:r>
        <w:rPr>
          <w:rFonts w:hint="eastAsia" w:ascii="仿宋_GB2312" w:hAnsi="仿宋_GB2312" w:eastAsia="仿宋_GB2312" w:cs="仿宋_GB2312"/>
          <w:b w:val="0"/>
          <w:color w:val="000000"/>
          <w:sz w:val="18"/>
          <w:szCs w:val="18"/>
        </w:rPr>
        <w:t>.4 商定或确定</w:t>
      </w:r>
      <w:bookmarkEnd w:id="546"/>
    </w:p>
    <w:bookmarkEnd w:id="547"/>
    <w:bookmarkEnd w:id="548"/>
    <w:bookmarkEnd w:id="549"/>
    <w:p w14:paraId="0B2D23F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合同当事人进行商定或确定时，总监理工程师应当会同合同当事人尽量通过协商达成一致，不能达成一致的，由总监理工程师按照合同约定审慎做出公正的确定。</w:t>
      </w:r>
    </w:p>
    <w:p w14:paraId="5814734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0E05930">
      <w:pPr>
        <w:pStyle w:val="5"/>
        <w:spacing w:before="120" w:after="120" w:line="240" w:lineRule="auto"/>
        <w:rPr>
          <w:rFonts w:ascii="仿宋_GB2312" w:hAnsi="仿宋_GB2312" w:eastAsia="仿宋_GB2312" w:cs="仿宋_GB2312"/>
          <w:b w:val="0"/>
          <w:color w:val="000000"/>
          <w:sz w:val="18"/>
          <w:szCs w:val="18"/>
        </w:rPr>
      </w:pPr>
      <w:bookmarkStart w:id="550" w:name="_Toc351203532"/>
      <w:r>
        <w:rPr>
          <w:rFonts w:hint="eastAsia" w:ascii="仿宋_GB2312" w:hAnsi="仿宋_GB2312" w:eastAsia="仿宋_GB2312" w:cs="仿宋_GB2312"/>
          <w:b w:val="0"/>
          <w:color w:val="000000"/>
          <w:sz w:val="18"/>
          <w:szCs w:val="18"/>
        </w:rPr>
        <w:t>5</w:t>
      </w:r>
      <w:bookmarkStart w:id="551" w:name="_Toc337558758"/>
      <w:r>
        <w:rPr>
          <w:rFonts w:hint="eastAsia" w:ascii="仿宋_GB2312" w:hAnsi="仿宋_GB2312" w:eastAsia="仿宋_GB2312" w:cs="仿宋_GB2312"/>
          <w:b w:val="0"/>
          <w:color w:val="000000"/>
          <w:sz w:val="18"/>
          <w:szCs w:val="18"/>
        </w:rPr>
        <w:t>. 工程质量</w:t>
      </w:r>
      <w:bookmarkEnd w:id="550"/>
    </w:p>
    <w:bookmarkEnd w:id="551"/>
    <w:p w14:paraId="25FA6525">
      <w:pPr>
        <w:pStyle w:val="6"/>
        <w:spacing w:before="120" w:after="120"/>
        <w:ind w:left="0" w:firstLine="360" w:firstLineChars="200"/>
        <w:rPr>
          <w:rFonts w:ascii="仿宋_GB2312" w:hAnsi="仿宋_GB2312" w:eastAsia="仿宋_GB2312" w:cs="仿宋_GB2312"/>
          <w:b w:val="0"/>
          <w:color w:val="000000"/>
          <w:sz w:val="18"/>
          <w:szCs w:val="18"/>
        </w:rPr>
      </w:pPr>
      <w:bookmarkStart w:id="552" w:name="_Toc351203533"/>
      <w:r>
        <w:rPr>
          <w:rFonts w:hint="eastAsia" w:ascii="仿宋_GB2312" w:hAnsi="仿宋_GB2312" w:eastAsia="仿宋_GB2312" w:cs="仿宋_GB2312"/>
          <w:b w:val="0"/>
          <w:color w:val="000000"/>
          <w:sz w:val="18"/>
          <w:szCs w:val="18"/>
        </w:rPr>
        <w:t>5</w:t>
      </w:r>
      <w:bookmarkStart w:id="553" w:name="_Toc337558759"/>
      <w:r>
        <w:rPr>
          <w:rFonts w:hint="eastAsia" w:ascii="仿宋_GB2312" w:hAnsi="仿宋_GB2312" w:eastAsia="仿宋_GB2312" w:cs="仿宋_GB2312"/>
          <w:b w:val="0"/>
          <w:color w:val="000000"/>
          <w:sz w:val="18"/>
          <w:szCs w:val="18"/>
        </w:rPr>
        <w:t>.1质量要求</w:t>
      </w:r>
      <w:bookmarkEnd w:id="552"/>
    </w:p>
    <w:bookmarkEnd w:id="553"/>
    <w:p w14:paraId="5C2CF4C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5.1.1 工程质量标准必须符合现行国家有关工程施工质量验收规范和标准的要求。有关工程质量的特殊标准或要求由合同当事人在专用合同条款中约定。</w:t>
      </w:r>
    </w:p>
    <w:p w14:paraId="6F8D5B0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5.1.2 因发包人原因造成工程质量未达到合同约定标准的，由发包人承担由此增加的费用和（或）延误的工期，并支付承包人合理的利润。</w:t>
      </w:r>
    </w:p>
    <w:p w14:paraId="41322D9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5.1.3 因承包人原因造成工程质量未达到合同约定标准的，发包人有权要求承包人返工直至工程质量达到合同约定的标准为止，并由承包人承担由此增加的费用和（或）延误的工期。</w:t>
      </w:r>
    </w:p>
    <w:p w14:paraId="117D132B">
      <w:pPr>
        <w:pStyle w:val="6"/>
        <w:spacing w:before="120" w:after="120"/>
        <w:ind w:left="0" w:firstLine="360" w:firstLineChars="200"/>
        <w:rPr>
          <w:rFonts w:ascii="仿宋_GB2312" w:hAnsi="仿宋_GB2312" w:eastAsia="仿宋_GB2312" w:cs="仿宋_GB2312"/>
          <w:b w:val="0"/>
          <w:color w:val="000000"/>
          <w:sz w:val="18"/>
          <w:szCs w:val="18"/>
        </w:rPr>
      </w:pPr>
      <w:bookmarkStart w:id="554" w:name="_Toc351203534"/>
      <w:r>
        <w:rPr>
          <w:rFonts w:hint="eastAsia" w:ascii="仿宋_GB2312" w:hAnsi="仿宋_GB2312" w:eastAsia="仿宋_GB2312" w:cs="仿宋_GB2312"/>
          <w:b w:val="0"/>
          <w:color w:val="000000"/>
          <w:sz w:val="18"/>
          <w:szCs w:val="18"/>
        </w:rPr>
        <w:t>5</w:t>
      </w:r>
      <w:bookmarkStart w:id="555" w:name="_Toc337558760"/>
      <w:r>
        <w:rPr>
          <w:rFonts w:hint="eastAsia" w:ascii="仿宋_GB2312" w:hAnsi="仿宋_GB2312" w:eastAsia="仿宋_GB2312" w:cs="仿宋_GB2312"/>
          <w:b w:val="0"/>
          <w:color w:val="000000"/>
          <w:sz w:val="18"/>
          <w:szCs w:val="18"/>
        </w:rPr>
        <w:t>.2质量保证措施</w:t>
      </w:r>
      <w:bookmarkEnd w:id="554"/>
    </w:p>
    <w:bookmarkEnd w:id="555"/>
    <w:p w14:paraId="44CF56BC">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5.2.1 发包人的质量管理</w:t>
      </w:r>
    </w:p>
    <w:p w14:paraId="27CA2A3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发包人应按照法律规定及合同约定完成与工程质量有关的各项工作。</w:t>
      </w:r>
    </w:p>
    <w:p w14:paraId="1485AB3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5.2.2 承包人的质量管理</w:t>
      </w:r>
    </w:p>
    <w:p w14:paraId="4CFBA45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B3D1B1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承包人应对施工人员进行质量教育和技术培训，定期考核施工人员的劳动技能，严格执行施工规范和操作规程。</w:t>
      </w:r>
    </w:p>
    <w:p w14:paraId="060BC3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969D97C">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5.2.3 监理人的质量检查和检验</w:t>
      </w:r>
    </w:p>
    <w:p w14:paraId="333892D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864D50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2697683">
      <w:pPr>
        <w:pStyle w:val="6"/>
        <w:spacing w:before="120" w:after="120"/>
        <w:ind w:left="0" w:firstLine="360" w:firstLineChars="200"/>
        <w:rPr>
          <w:rFonts w:ascii="仿宋_GB2312" w:hAnsi="仿宋_GB2312" w:eastAsia="仿宋_GB2312" w:cs="仿宋_GB2312"/>
          <w:b w:val="0"/>
          <w:color w:val="000000"/>
          <w:sz w:val="18"/>
          <w:szCs w:val="18"/>
        </w:rPr>
      </w:pPr>
      <w:bookmarkStart w:id="556" w:name="_Toc351203535"/>
      <w:r>
        <w:rPr>
          <w:rFonts w:hint="eastAsia" w:ascii="仿宋_GB2312" w:hAnsi="仿宋_GB2312" w:eastAsia="仿宋_GB2312" w:cs="仿宋_GB2312"/>
          <w:b w:val="0"/>
          <w:color w:val="000000"/>
          <w:sz w:val="18"/>
          <w:szCs w:val="18"/>
        </w:rPr>
        <w:t>5</w:t>
      </w:r>
      <w:bookmarkStart w:id="557" w:name="_Toc337558761"/>
      <w:r>
        <w:rPr>
          <w:rFonts w:hint="eastAsia" w:ascii="仿宋_GB2312" w:hAnsi="仿宋_GB2312" w:eastAsia="仿宋_GB2312" w:cs="仿宋_GB2312"/>
          <w:b w:val="0"/>
          <w:color w:val="000000"/>
          <w:sz w:val="18"/>
          <w:szCs w:val="18"/>
        </w:rPr>
        <w:t>.3 隐蔽工程检查</w:t>
      </w:r>
      <w:bookmarkEnd w:id="556"/>
    </w:p>
    <w:bookmarkEnd w:id="557"/>
    <w:p w14:paraId="0ACA410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5.3.1承包人自检</w:t>
      </w:r>
    </w:p>
    <w:p w14:paraId="724ECB0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承包人应当对工程隐蔽部位进行自检，并经自检确认是否具备覆盖条件。</w:t>
      </w:r>
    </w:p>
    <w:p w14:paraId="3E57D1F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5.3.2检查程序</w:t>
      </w:r>
    </w:p>
    <w:p w14:paraId="4088AC3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380791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631D55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B9FBD7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5.3.3 重新检查</w:t>
      </w:r>
    </w:p>
    <w:p w14:paraId="42140AC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E1C28F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5.3.4 承包人私自覆盖</w:t>
      </w:r>
    </w:p>
    <w:p w14:paraId="6D91068F">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承包人未通知监理人到场检查，私自将工程隐蔽部位覆盖的，监理人有权指示承包人钻孔探测或揭开检查，无论工程隐蔽部位质量是否合格，由此增加的费用和（或）延误的工期均由承包人承担。</w:t>
      </w:r>
    </w:p>
    <w:p w14:paraId="3D777CCC">
      <w:pPr>
        <w:pStyle w:val="6"/>
        <w:spacing w:before="120" w:after="120"/>
        <w:ind w:left="0" w:firstLine="360" w:firstLineChars="200"/>
        <w:rPr>
          <w:rFonts w:ascii="仿宋_GB2312" w:hAnsi="仿宋_GB2312" w:eastAsia="仿宋_GB2312" w:cs="仿宋_GB2312"/>
          <w:b w:val="0"/>
          <w:color w:val="000000"/>
          <w:sz w:val="18"/>
          <w:szCs w:val="18"/>
        </w:rPr>
      </w:pPr>
      <w:bookmarkStart w:id="558" w:name="_Toc351203536"/>
      <w:r>
        <w:rPr>
          <w:rFonts w:hint="eastAsia" w:ascii="仿宋_GB2312" w:hAnsi="仿宋_GB2312" w:eastAsia="仿宋_GB2312" w:cs="仿宋_GB2312"/>
          <w:b w:val="0"/>
          <w:color w:val="000000"/>
          <w:sz w:val="18"/>
          <w:szCs w:val="18"/>
        </w:rPr>
        <w:t>5</w:t>
      </w:r>
      <w:bookmarkStart w:id="559" w:name="_Toc337558762"/>
      <w:r>
        <w:rPr>
          <w:rFonts w:hint="eastAsia" w:ascii="仿宋_GB2312" w:hAnsi="仿宋_GB2312" w:eastAsia="仿宋_GB2312" w:cs="仿宋_GB2312"/>
          <w:b w:val="0"/>
          <w:color w:val="000000"/>
          <w:sz w:val="18"/>
          <w:szCs w:val="18"/>
        </w:rPr>
        <w:t>.4不合格工程的处理</w:t>
      </w:r>
      <w:bookmarkEnd w:id="558"/>
    </w:p>
    <w:bookmarkEnd w:id="559"/>
    <w:p w14:paraId="0477645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301464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5.4.2 因发包人原因造成工程不合格的，由此增加的费用和（或）延误的工期由发包人承担，并支付承包人合理的利润。</w:t>
      </w:r>
    </w:p>
    <w:p w14:paraId="126B3BD4">
      <w:pPr>
        <w:pStyle w:val="6"/>
        <w:spacing w:before="120" w:after="120"/>
        <w:ind w:left="0" w:firstLine="360" w:firstLineChars="200"/>
        <w:rPr>
          <w:rFonts w:ascii="仿宋_GB2312" w:hAnsi="仿宋_GB2312" w:eastAsia="仿宋_GB2312" w:cs="仿宋_GB2312"/>
          <w:b w:val="0"/>
          <w:color w:val="000000"/>
          <w:sz w:val="18"/>
          <w:szCs w:val="18"/>
        </w:rPr>
      </w:pPr>
      <w:bookmarkStart w:id="560" w:name="_Toc351203537"/>
      <w:r>
        <w:rPr>
          <w:rFonts w:hint="eastAsia" w:ascii="仿宋_GB2312" w:hAnsi="仿宋_GB2312" w:eastAsia="仿宋_GB2312" w:cs="仿宋_GB2312"/>
          <w:b w:val="0"/>
          <w:color w:val="000000"/>
          <w:sz w:val="18"/>
          <w:szCs w:val="18"/>
        </w:rPr>
        <w:t>5.5 质量争议检测</w:t>
      </w:r>
      <w:bookmarkEnd w:id="560"/>
    </w:p>
    <w:p w14:paraId="3147408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合同当事人对工程质量有争议的，由双方协商确定的工程质量检测机构鉴定，由此产生的费用及因此造成的损失，由责任方承担。</w:t>
      </w:r>
    </w:p>
    <w:p w14:paraId="40BCD5CB">
      <w:pPr>
        <w:autoSpaceDE w:val="0"/>
        <w:autoSpaceDN w:val="0"/>
        <w:adjustRightInd w:val="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合同当事人均有责任的，由双方根据其责任分别承担。合同当事人无法达成一致的，按照第4.4款〔商定或确定〕执行。</w:t>
      </w:r>
    </w:p>
    <w:p w14:paraId="2AC232A8">
      <w:pPr>
        <w:pStyle w:val="5"/>
        <w:spacing w:before="120" w:after="120" w:line="240" w:lineRule="auto"/>
        <w:rPr>
          <w:rFonts w:ascii="仿宋_GB2312" w:hAnsi="仿宋_GB2312" w:eastAsia="仿宋_GB2312" w:cs="仿宋_GB2312"/>
          <w:b w:val="0"/>
          <w:color w:val="000000"/>
          <w:sz w:val="18"/>
          <w:szCs w:val="18"/>
        </w:rPr>
      </w:pPr>
      <w:bookmarkStart w:id="561" w:name="_Toc351203538"/>
      <w:r>
        <w:rPr>
          <w:rFonts w:hint="eastAsia" w:ascii="仿宋_GB2312" w:hAnsi="仿宋_GB2312" w:eastAsia="仿宋_GB2312" w:cs="仿宋_GB2312"/>
          <w:b w:val="0"/>
          <w:color w:val="000000"/>
          <w:sz w:val="18"/>
          <w:szCs w:val="18"/>
        </w:rPr>
        <w:t>6</w:t>
      </w:r>
      <w:bookmarkStart w:id="562" w:name="_Toc337558763"/>
      <w:r>
        <w:rPr>
          <w:rFonts w:hint="eastAsia" w:ascii="仿宋_GB2312" w:hAnsi="仿宋_GB2312" w:eastAsia="仿宋_GB2312" w:cs="仿宋_GB2312"/>
          <w:b w:val="0"/>
          <w:color w:val="000000"/>
          <w:sz w:val="18"/>
          <w:szCs w:val="18"/>
        </w:rPr>
        <w:t>. 安全文明施工与环境保护</w:t>
      </w:r>
      <w:bookmarkEnd w:id="561"/>
    </w:p>
    <w:bookmarkEnd w:id="562"/>
    <w:p w14:paraId="3A27E942">
      <w:pPr>
        <w:pStyle w:val="6"/>
        <w:spacing w:before="120" w:after="120"/>
        <w:ind w:left="0" w:firstLine="360" w:firstLineChars="200"/>
        <w:rPr>
          <w:rFonts w:ascii="仿宋_GB2312" w:hAnsi="仿宋_GB2312" w:eastAsia="仿宋_GB2312" w:cs="仿宋_GB2312"/>
          <w:b w:val="0"/>
          <w:color w:val="000000"/>
          <w:sz w:val="18"/>
          <w:szCs w:val="18"/>
        </w:rPr>
      </w:pPr>
      <w:bookmarkStart w:id="563" w:name="_Toc351203539"/>
      <w:r>
        <w:rPr>
          <w:rFonts w:hint="eastAsia" w:ascii="仿宋_GB2312" w:hAnsi="仿宋_GB2312" w:eastAsia="仿宋_GB2312" w:cs="仿宋_GB2312"/>
          <w:b w:val="0"/>
          <w:color w:val="000000"/>
          <w:sz w:val="18"/>
          <w:szCs w:val="18"/>
        </w:rPr>
        <w:t>6</w:t>
      </w:r>
      <w:bookmarkStart w:id="564" w:name="_Toc337558764"/>
      <w:r>
        <w:rPr>
          <w:rFonts w:hint="eastAsia" w:ascii="仿宋_GB2312" w:hAnsi="仿宋_GB2312" w:eastAsia="仿宋_GB2312" w:cs="仿宋_GB2312"/>
          <w:b w:val="0"/>
          <w:color w:val="000000"/>
          <w:sz w:val="18"/>
          <w:szCs w:val="18"/>
        </w:rPr>
        <w:t>.1安全文明施工</w:t>
      </w:r>
      <w:bookmarkEnd w:id="563"/>
    </w:p>
    <w:bookmarkEnd w:id="564"/>
    <w:p w14:paraId="01E38B0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6.1.1安全生产要求</w:t>
      </w:r>
    </w:p>
    <w:p w14:paraId="6978EB8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A8D30C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在施工过程中，如遇到突发的地质变动、事先未知的地下施工障碍等影响施工安全的紧急情况，承包人应及时报告监理人和发包人，发包人应当及时下令停工并报</w:t>
      </w:r>
      <w:r>
        <w:rPr>
          <w:rFonts w:hint="eastAsia" w:ascii="仿宋_GB2312" w:hAnsi="仿宋_GB2312" w:eastAsia="仿宋_GB2312" w:cs="仿宋_GB2312"/>
          <w:color w:val="000000"/>
          <w:kern w:val="0"/>
          <w:sz w:val="18"/>
          <w:szCs w:val="18"/>
        </w:rPr>
        <w:t>政府有关行政管理部门</w:t>
      </w:r>
      <w:r>
        <w:rPr>
          <w:rFonts w:hint="eastAsia" w:ascii="仿宋_GB2312" w:hAnsi="仿宋_GB2312" w:eastAsia="仿宋_GB2312" w:cs="仿宋_GB2312"/>
          <w:color w:val="000000"/>
          <w:sz w:val="18"/>
          <w:szCs w:val="18"/>
        </w:rPr>
        <w:t>采取应急措施。</w:t>
      </w:r>
    </w:p>
    <w:p w14:paraId="6C8CD6BA">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因安全生产需要暂停施工的，按照第7.8款〔暂停施工〕的约定执行。</w:t>
      </w:r>
    </w:p>
    <w:p w14:paraId="511A3F5E">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6.1.2 安全生产保证措施</w:t>
      </w:r>
    </w:p>
    <w:p w14:paraId="09DE861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承包人应当按照有关</w:t>
      </w:r>
      <w:r>
        <w:rPr>
          <w:rFonts w:hint="eastAsia" w:ascii="仿宋_GB2312" w:hAnsi="仿宋_GB2312" w:eastAsia="仿宋_GB2312" w:cs="仿宋_GB2312"/>
          <w:color w:val="000000"/>
          <w:kern w:val="0"/>
          <w:sz w:val="18"/>
          <w:szCs w:val="18"/>
        </w:rPr>
        <w:t>规定编制安全技术措施或者专项施工方案，</w:t>
      </w:r>
      <w:r>
        <w:rPr>
          <w:rFonts w:hint="eastAsia" w:ascii="仿宋_GB2312" w:hAnsi="仿宋_GB2312" w:eastAsia="仿宋_GB2312" w:cs="仿宋_GB2312"/>
          <w:color w:val="000000"/>
          <w:sz w:val="18"/>
          <w:szCs w:val="18"/>
        </w:rPr>
        <w:t>建立安全生产责任制度、治安保卫制度及安全生产教育培训制度，并</w:t>
      </w:r>
      <w:r>
        <w:rPr>
          <w:rFonts w:hint="eastAsia" w:ascii="仿宋_GB2312" w:hAnsi="仿宋_GB2312" w:eastAsia="仿宋_GB2312" w:cs="仿宋_GB2312"/>
          <w:color w:val="000000"/>
          <w:kern w:val="0"/>
          <w:sz w:val="18"/>
          <w:szCs w:val="18"/>
        </w:rPr>
        <w:t>按安全生产法律规定及合同约定履行安全职责，如实</w:t>
      </w:r>
      <w:r>
        <w:rPr>
          <w:rFonts w:hint="eastAsia" w:ascii="仿宋_GB2312" w:hAnsi="仿宋_GB2312" w:eastAsia="仿宋_GB2312" w:cs="仿宋_GB2312"/>
          <w:color w:val="000000"/>
          <w:sz w:val="18"/>
          <w:szCs w:val="18"/>
        </w:rPr>
        <w:t>编制工程安全生产的有关记录，</w:t>
      </w:r>
      <w:r>
        <w:rPr>
          <w:rFonts w:hint="eastAsia" w:ascii="仿宋_GB2312" w:hAnsi="仿宋_GB2312" w:eastAsia="仿宋_GB2312" w:cs="仿宋_GB2312"/>
          <w:color w:val="000000"/>
          <w:kern w:val="0"/>
          <w:sz w:val="18"/>
          <w:szCs w:val="18"/>
        </w:rPr>
        <w:t>接受发包人、监理人及政府安全监督部门的检查与监督。</w:t>
      </w:r>
    </w:p>
    <w:p w14:paraId="75927E5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6.1.3特别安全生产事项</w:t>
      </w:r>
    </w:p>
    <w:p w14:paraId="53B51750">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9F817E2">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承包人在动力设备、输电线路、地下管道、密封防震车间、易燃易爆地段以及临街交通要道附近施工时，施工开始前应向发包人和监理人提出安全防护措施，经发包人认可后实施。 </w:t>
      </w:r>
    </w:p>
    <w:p w14:paraId="6B688E7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实施爆破作业，在放射、毒害性环境中施工（含储存、运输、使用）及使用毒害性、腐蚀性物品施工时，承包人应在施工前7天以书面通知发包人和监理人，并报送相应的安全防护措施，经发包人认可后实施。</w:t>
      </w:r>
    </w:p>
    <w:p w14:paraId="39B83C5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需单独编制危险性较大分部分项专项工程施工方案的，及要求进行专家论证的超过一定规模的危险性较大的分部分项工程，承包人应及时编制和组织论证。</w:t>
      </w:r>
    </w:p>
    <w:p w14:paraId="2DE26010">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6.1.4 治安保卫</w:t>
      </w:r>
    </w:p>
    <w:p w14:paraId="5AF1086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除专用合同条款另有约定外，发包人应与当地公安部门协商，在现场建立治安管理机构或联防组织，统一管理施工场地的治安保卫事项，履行合同工程的治安保卫职责。</w:t>
      </w:r>
    </w:p>
    <w:p w14:paraId="746A9F2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发包人和承包人除应协助现场治安管理机构或联防组织维护施工场地的社会治安外，还应做好包括生活区在内的各自管辖区的治安保卫工作。</w:t>
      </w:r>
    </w:p>
    <w:p w14:paraId="33DD8091">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B3406B4">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6.1.5 文明施工</w:t>
      </w:r>
    </w:p>
    <w:p w14:paraId="37715DF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B0B3F7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29AB59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6.1.6 安全文明施工费</w:t>
      </w:r>
    </w:p>
    <w:p w14:paraId="68830B7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安全文明施工费由发包人承担，发包人不得以任何形式扣减该部分费用。因基准日期后合同所适用的法律或政府有关规定发生变化，增加的安全文明施工费由发包人承担。</w:t>
      </w:r>
    </w:p>
    <w:p w14:paraId="229DDF4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0FFCE2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F6799A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16EC9E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6.1.7 紧急情况处理</w:t>
      </w:r>
    </w:p>
    <w:p w14:paraId="7F2C0B0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EA802E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6.1.8 事故处理</w:t>
      </w:r>
    </w:p>
    <w:p w14:paraId="7EC27B7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921807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6.1.9 安全生产责任</w:t>
      </w:r>
    </w:p>
    <w:p w14:paraId="28E4913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6.1.9.1 发包人的安全责任</w:t>
      </w:r>
    </w:p>
    <w:p w14:paraId="12E3335E">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发包人应负责赔偿以下各种情况造成的损失：</w:t>
      </w:r>
    </w:p>
    <w:p w14:paraId="5D357EA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（1）工程或工程的任何部分对土地的占用所造成的第三者财产损失；</w:t>
      </w:r>
    </w:p>
    <w:p w14:paraId="749B6D5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（2）由于发包人原因在施工场地及其毗邻地带造成的第三者人身伤亡和财产损失；</w:t>
      </w:r>
    </w:p>
    <w:p w14:paraId="7A60B57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（3）由于发包人原因对承包人、监理人造成的人员人身伤亡和财产损失；</w:t>
      </w:r>
    </w:p>
    <w:p w14:paraId="252F2C9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（4）由于发包人原因造成的发包人自身人员的人身伤害以及财产损失。</w:t>
      </w:r>
    </w:p>
    <w:p w14:paraId="32FFA04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6.1.9.2 承包人的安全责任</w:t>
      </w:r>
    </w:p>
    <w:p w14:paraId="76448859">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由于承包人原因在施工场地内及其毗邻地带造成的发包人、监理人以及第三者人员伤亡和财产损失，由承包人负责赔偿。</w:t>
      </w:r>
    </w:p>
    <w:p w14:paraId="394374C5">
      <w:pPr>
        <w:pStyle w:val="6"/>
        <w:spacing w:before="120" w:after="120"/>
        <w:ind w:left="0" w:firstLine="360" w:firstLineChars="200"/>
        <w:rPr>
          <w:rFonts w:ascii="仿宋_GB2312" w:hAnsi="仿宋_GB2312" w:eastAsia="仿宋_GB2312" w:cs="仿宋_GB2312"/>
          <w:b w:val="0"/>
          <w:color w:val="000000"/>
          <w:sz w:val="18"/>
          <w:szCs w:val="18"/>
        </w:rPr>
      </w:pPr>
      <w:bookmarkStart w:id="565" w:name="_Toc351203540"/>
      <w:r>
        <w:rPr>
          <w:rFonts w:hint="eastAsia" w:ascii="仿宋_GB2312" w:hAnsi="仿宋_GB2312" w:eastAsia="仿宋_GB2312" w:cs="仿宋_GB2312"/>
          <w:b w:val="0"/>
          <w:color w:val="000000"/>
          <w:sz w:val="18"/>
          <w:szCs w:val="18"/>
        </w:rPr>
        <w:t>6</w:t>
      </w:r>
      <w:bookmarkStart w:id="566" w:name="_Toc337558765"/>
      <w:r>
        <w:rPr>
          <w:rFonts w:hint="eastAsia" w:ascii="仿宋_GB2312" w:hAnsi="仿宋_GB2312" w:eastAsia="仿宋_GB2312" w:cs="仿宋_GB2312"/>
          <w:b w:val="0"/>
          <w:color w:val="000000"/>
          <w:sz w:val="18"/>
          <w:szCs w:val="18"/>
        </w:rPr>
        <w:t>.2 职业健康</w:t>
      </w:r>
      <w:bookmarkEnd w:id="565"/>
    </w:p>
    <w:bookmarkEnd w:id="566"/>
    <w:p w14:paraId="186080C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6.2.1 劳动保护</w:t>
      </w:r>
    </w:p>
    <w:p w14:paraId="7B5FFBC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537A1C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0B2AC1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承包人应按法律规定安排工作时间，保证其雇佣人员享有休息和休假的权利。因工程施工的特殊需要占用休假日或延长工作时间的，应不超过法律规定的限度，并按法律规定给予补休或付酬。</w:t>
      </w:r>
    </w:p>
    <w:p w14:paraId="0FC6273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6.2.2 生活条件</w:t>
      </w:r>
    </w:p>
    <w:p w14:paraId="23EDA8B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3EE7941">
      <w:pPr>
        <w:pStyle w:val="6"/>
        <w:spacing w:before="120" w:after="120"/>
        <w:ind w:left="0" w:firstLine="360" w:firstLineChars="200"/>
        <w:rPr>
          <w:rFonts w:ascii="仿宋_GB2312" w:hAnsi="仿宋_GB2312" w:eastAsia="仿宋_GB2312" w:cs="仿宋_GB2312"/>
          <w:b w:val="0"/>
          <w:color w:val="000000"/>
          <w:sz w:val="18"/>
          <w:szCs w:val="18"/>
        </w:rPr>
      </w:pPr>
      <w:bookmarkStart w:id="567" w:name="_Toc351203541"/>
      <w:r>
        <w:rPr>
          <w:rFonts w:hint="eastAsia" w:ascii="仿宋_GB2312" w:hAnsi="仿宋_GB2312" w:eastAsia="仿宋_GB2312" w:cs="仿宋_GB2312"/>
          <w:b w:val="0"/>
          <w:color w:val="000000"/>
          <w:sz w:val="18"/>
          <w:szCs w:val="18"/>
        </w:rPr>
        <w:t>6</w:t>
      </w:r>
      <w:bookmarkStart w:id="568" w:name="_Toc337558766"/>
      <w:r>
        <w:rPr>
          <w:rFonts w:hint="eastAsia" w:ascii="仿宋_GB2312" w:hAnsi="仿宋_GB2312" w:eastAsia="仿宋_GB2312" w:cs="仿宋_GB2312"/>
          <w:b w:val="0"/>
          <w:color w:val="000000"/>
          <w:sz w:val="18"/>
          <w:szCs w:val="18"/>
        </w:rPr>
        <w:t>.3 环境保护</w:t>
      </w:r>
      <w:bookmarkEnd w:id="567"/>
    </w:p>
    <w:bookmarkEnd w:id="568"/>
    <w:p w14:paraId="1664BCF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8703E1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承包人应当承担因其原因引起的环境污染侵权损害赔偿责任，因上述环境污染引起纠纷而导致暂停施工的，由此增加的费用和（或）延误的工期由承包人承担。</w:t>
      </w:r>
    </w:p>
    <w:p w14:paraId="667C4C34">
      <w:pPr>
        <w:pStyle w:val="5"/>
        <w:spacing w:before="120" w:after="120" w:line="240" w:lineRule="auto"/>
        <w:rPr>
          <w:rFonts w:ascii="仿宋_GB2312" w:hAnsi="仿宋_GB2312" w:eastAsia="仿宋_GB2312" w:cs="仿宋_GB2312"/>
          <w:b w:val="0"/>
          <w:color w:val="000000"/>
          <w:sz w:val="18"/>
          <w:szCs w:val="18"/>
        </w:rPr>
      </w:pPr>
      <w:bookmarkStart w:id="569" w:name="_Toc351203542"/>
      <w:r>
        <w:rPr>
          <w:rFonts w:hint="eastAsia" w:ascii="仿宋_GB2312" w:hAnsi="仿宋_GB2312" w:eastAsia="仿宋_GB2312" w:cs="仿宋_GB2312"/>
          <w:b w:val="0"/>
          <w:color w:val="000000"/>
          <w:sz w:val="18"/>
          <w:szCs w:val="18"/>
        </w:rPr>
        <w:t>7</w:t>
      </w:r>
      <w:bookmarkStart w:id="570" w:name="_Toc337558767"/>
      <w:r>
        <w:rPr>
          <w:rFonts w:hint="eastAsia" w:ascii="仿宋_GB2312" w:hAnsi="仿宋_GB2312" w:eastAsia="仿宋_GB2312" w:cs="仿宋_GB2312"/>
          <w:b w:val="0"/>
          <w:color w:val="000000"/>
          <w:sz w:val="18"/>
          <w:szCs w:val="18"/>
        </w:rPr>
        <w:t>. 工期和进度</w:t>
      </w:r>
      <w:bookmarkEnd w:id="569"/>
    </w:p>
    <w:bookmarkEnd w:id="570"/>
    <w:p w14:paraId="523AB2EE">
      <w:pPr>
        <w:pStyle w:val="6"/>
        <w:spacing w:before="120" w:after="120"/>
        <w:ind w:left="0" w:firstLine="360" w:firstLineChars="200"/>
        <w:rPr>
          <w:rFonts w:ascii="仿宋_GB2312" w:hAnsi="仿宋_GB2312" w:eastAsia="仿宋_GB2312" w:cs="仿宋_GB2312"/>
          <w:b w:val="0"/>
          <w:color w:val="000000"/>
          <w:sz w:val="18"/>
          <w:szCs w:val="18"/>
        </w:rPr>
      </w:pPr>
      <w:bookmarkStart w:id="571" w:name="_Toc351203543"/>
      <w:r>
        <w:rPr>
          <w:rFonts w:hint="eastAsia" w:ascii="仿宋_GB2312" w:hAnsi="仿宋_GB2312" w:eastAsia="仿宋_GB2312" w:cs="仿宋_GB2312"/>
          <w:b w:val="0"/>
          <w:color w:val="000000"/>
          <w:sz w:val="18"/>
          <w:szCs w:val="18"/>
        </w:rPr>
        <w:t>7</w:t>
      </w:r>
      <w:bookmarkStart w:id="572" w:name="_Toc337558768"/>
      <w:bookmarkStart w:id="573" w:name="_Toc296503066"/>
      <w:bookmarkStart w:id="574" w:name="_Toc296346567"/>
      <w:r>
        <w:rPr>
          <w:rFonts w:hint="eastAsia" w:ascii="仿宋_GB2312" w:hAnsi="仿宋_GB2312" w:eastAsia="仿宋_GB2312" w:cs="仿宋_GB2312"/>
          <w:b w:val="0"/>
          <w:color w:val="000000"/>
          <w:sz w:val="18"/>
          <w:szCs w:val="18"/>
        </w:rPr>
        <w:t>.1施工组织设计</w:t>
      </w:r>
      <w:bookmarkEnd w:id="571"/>
    </w:p>
    <w:bookmarkEnd w:id="572"/>
    <w:p w14:paraId="45DD9C3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7.1.1</w:t>
      </w:r>
      <w:r>
        <w:rPr>
          <w:rFonts w:hint="eastAsia" w:ascii="仿宋_GB2312" w:hAnsi="仿宋_GB2312" w:eastAsia="仿宋_GB2312" w:cs="仿宋_GB2312"/>
          <w:color w:val="000000"/>
          <w:kern w:val="0"/>
          <w:sz w:val="18"/>
          <w:szCs w:val="18"/>
        </w:rPr>
        <w:t>施工组织设计的内容</w:t>
      </w:r>
    </w:p>
    <w:p w14:paraId="0952126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施工组织设计应包含以下内容：</w:t>
      </w:r>
    </w:p>
    <w:p w14:paraId="1860ABA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（1）施工方案； </w:t>
      </w:r>
    </w:p>
    <w:p w14:paraId="401658F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（2）施工现场平面布置图；</w:t>
      </w:r>
    </w:p>
    <w:p w14:paraId="617E852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（3）施工进度计划和保证措施； </w:t>
      </w:r>
    </w:p>
    <w:p w14:paraId="31BB167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（4）劳动力及材料供应计划；</w:t>
      </w:r>
    </w:p>
    <w:p w14:paraId="43E6C57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（5）施工机械设备的选用；</w:t>
      </w:r>
    </w:p>
    <w:p w14:paraId="4BAAEA2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（6）质量保证体系及措施；</w:t>
      </w:r>
    </w:p>
    <w:p w14:paraId="334E3FD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（7）安全生产、文明施工措施；</w:t>
      </w:r>
    </w:p>
    <w:p w14:paraId="7627317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（8）环境保护、成本控制措施；</w:t>
      </w:r>
    </w:p>
    <w:p w14:paraId="1933056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（9）合同当事人约定的其他内容。</w:t>
      </w:r>
    </w:p>
    <w:p w14:paraId="40630F3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7.1.2</w:t>
      </w:r>
      <w:r>
        <w:rPr>
          <w:rFonts w:hint="eastAsia" w:ascii="仿宋_GB2312" w:hAnsi="仿宋_GB2312" w:eastAsia="仿宋_GB2312" w:cs="仿宋_GB2312"/>
          <w:color w:val="000000"/>
          <w:kern w:val="0"/>
          <w:sz w:val="18"/>
          <w:szCs w:val="18"/>
        </w:rPr>
        <w:t>施工组织设计的提交和修改</w:t>
      </w:r>
    </w:p>
    <w:p w14:paraId="2A78185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944165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施工进度计划的编制和修改按照第7.2款〔施工进度计划〕执行。</w:t>
      </w:r>
    </w:p>
    <w:p w14:paraId="740826C5">
      <w:pPr>
        <w:pStyle w:val="6"/>
        <w:spacing w:before="120" w:after="120"/>
        <w:ind w:left="0" w:firstLine="360" w:firstLineChars="200"/>
        <w:rPr>
          <w:rFonts w:ascii="仿宋_GB2312" w:hAnsi="仿宋_GB2312" w:eastAsia="仿宋_GB2312" w:cs="仿宋_GB2312"/>
          <w:b w:val="0"/>
          <w:color w:val="000000"/>
          <w:sz w:val="18"/>
          <w:szCs w:val="18"/>
        </w:rPr>
      </w:pPr>
      <w:bookmarkStart w:id="575" w:name="_Toc351203544"/>
      <w:r>
        <w:rPr>
          <w:rFonts w:hint="eastAsia" w:ascii="仿宋_GB2312" w:hAnsi="仿宋_GB2312" w:eastAsia="仿宋_GB2312" w:cs="仿宋_GB2312"/>
          <w:b w:val="0"/>
          <w:color w:val="000000"/>
          <w:sz w:val="18"/>
          <w:szCs w:val="18"/>
        </w:rPr>
        <w:t>7</w:t>
      </w:r>
      <w:bookmarkStart w:id="576" w:name="_Toc337558769"/>
      <w:r>
        <w:rPr>
          <w:rFonts w:hint="eastAsia" w:ascii="仿宋_GB2312" w:hAnsi="仿宋_GB2312" w:eastAsia="仿宋_GB2312" w:cs="仿宋_GB2312"/>
          <w:b w:val="0"/>
          <w:color w:val="000000"/>
          <w:sz w:val="18"/>
          <w:szCs w:val="18"/>
        </w:rPr>
        <w:t>.2 施工进度计划</w:t>
      </w:r>
      <w:bookmarkEnd w:id="575"/>
    </w:p>
    <w:bookmarkEnd w:id="576"/>
    <w:p w14:paraId="70B23A5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7.2.1 施工进度计划的编制</w:t>
      </w:r>
    </w:p>
    <w:p w14:paraId="41F0820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F57413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7.2.2 施工进度计划的修订</w:t>
      </w:r>
    </w:p>
    <w:p w14:paraId="053D8C9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399033B">
      <w:pPr>
        <w:pStyle w:val="6"/>
        <w:spacing w:before="120" w:after="120"/>
        <w:ind w:left="0" w:firstLine="360" w:firstLineChars="200"/>
        <w:rPr>
          <w:rFonts w:ascii="仿宋_GB2312" w:hAnsi="仿宋_GB2312" w:eastAsia="仿宋_GB2312" w:cs="仿宋_GB2312"/>
          <w:b w:val="0"/>
          <w:color w:val="000000"/>
          <w:sz w:val="18"/>
          <w:szCs w:val="18"/>
        </w:rPr>
      </w:pPr>
      <w:bookmarkStart w:id="577" w:name="_Toc351203545"/>
      <w:r>
        <w:rPr>
          <w:rFonts w:hint="eastAsia" w:ascii="仿宋_GB2312" w:hAnsi="仿宋_GB2312" w:eastAsia="仿宋_GB2312" w:cs="仿宋_GB2312"/>
          <w:b w:val="0"/>
          <w:color w:val="000000"/>
          <w:sz w:val="18"/>
          <w:szCs w:val="18"/>
        </w:rPr>
        <w:t>7</w:t>
      </w:r>
      <w:bookmarkStart w:id="578" w:name="_Toc337558770"/>
      <w:r>
        <w:rPr>
          <w:rFonts w:hint="eastAsia" w:ascii="仿宋_GB2312" w:hAnsi="仿宋_GB2312" w:eastAsia="仿宋_GB2312" w:cs="仿宋_GB2312"/>
          <w:b w:val="0"/>
          <w:color w:val="000000"/>
          <w:sz w:val="18"/>
          <w:szCs w:val="18"/>
        </w:rPr>
        <w:t>.3 开工</w:t>
      </w:r>
      <w:bookmarkEnd w:id="577"/>
    </w:p>
    <w:p w14:paraId="44FD3B4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7.3.1 开工准备</w:t>
      </w:r>
    </w:p>
    <w:p w14:paraId="4B38D5A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E801F9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除专用合同条款另有约定外，合同当事人应按约定完成开工准备工作。</w:t>
      </w:r>
    </w:p>
    <w:p w14:paraId="251ABEA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7.3.2 开工通知</w:t>
      </w:r>
    </w:p>
    <w:bookmarkEnd w:id="578"/>
    <w:p w14:paraId="707D778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A0319F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292547D">
      <w:pPr>
        <w:pStyle w:val="6"/>
        <w:spacing w:before="120" w:after="120"/>
        <w:ind w:left="0" w:firstLine="360" w:firstLineChars="200"/>
        <w:rPr>
          <w:rFonts w:ascii="仿宋_GB2312" w:hAnsi="仿宋_GB2312" w:eastAsia="仿宋_GB2312" w:cs="仿宋_GB2312"/>
          <w:b w:val="0"/>
          <w:color w:val="000000"/>
          <w:sz w:val="18"/>
          <w:szCs w:val="18"/>
        </w:rPr>
      </w:pPr>
      <w:bookmarkStart w:id="579" w:name="_Toc351203546"/>
      <w:r>
        <w:rPr>
          <w:rFonts w:hint="eastAsia" w:ascii="仿宋_GB2312" w:hAnsi="仿宋_GB2312" w:eastAsia="仿宋_GB2312" w:cs="仿宋_GB2312"/>
          <w:b w:val="0"/>
          <w:color w:val="000000"/>
          <w:sz w:val="18"/>
          <w:szCs w:val="18"/>
        </w:rPr>
        <w:t>7.4测量放线</w:t>
      </w:r>
      <w:bookmarkEnd w:id="579"/>
    </w:p>
    <w:p w14:paraId="45E4A32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5F1390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729A6F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28DE6C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施工过程中对施工现场内水准点等测量标志物的保护工作由承包人负责。</w:t>
      </w:r>
      <w:bookmarkStart w:id="580" w:name="_Toc351203547"/>
    </w:p>
    <w:p w14:paraId="60DE9EF9">
      <w:pPr>
        <w:pStyle w:val="6"/>
        <w:spacing w:before="120" w:after="120"/>
        <w:ind w:left="0" w:firstLine="360" w:firstLineChars="200"/>
        <w:rPr>
          <w:rFonts w:ascii="仿宋_GB2312" w:hAnsi="仿宋_GB2312" w:eastAsia="仿宋_GB2312" w:cs="仿宋_GB2312"/>
          <w:b w:val="0"/>
          <w:color w:val="000000"/>
          <w:sz w:val="18"/>
          <w:szCs w:val="18"/>
        </w:rPr>
      </w:pPr>
      <w:r>
        <w:rPr>
          <w:rFonts w:hint="eastAsia" w:ascii="仿宋_GB2312" w:hAnsi="仿宋_GB2312" w:eastAsia="仿宋_GB2312" w:cs="仿宋_GB2312"/>
          <w:b w:val="0"/>
          <w:color w:val="000000"/>
          <w:sz w:val="18"/>
          <w:szCs w:val="18"/>
        </w:rPr>
        <w:t>7</w:t>
      </w:r>
      <w:bookmarkEnd w:id="573"/>
      <w:bookmarkEnd w:id="574"/>
      <w:bookmarkStart w:id="581" w:name="_Toc296503073"/>
      <w:bookmarkStart w:id="582" w:name="_Toc296346574"/>
      <w:bookmarkStart w:id="583" w:name="_Toc337558772"/>
      <w:r>
        <w:rPr>
          <w:rFonts w:hint="eastAsia" w:ascii="仿宋_GB2312" w:hAnsi="仿宋_GB2312" w:eastAsia="仿宋_GB2312" w:cs="仿宋_GB2312"/>
          <w:b w:val="0"/>
          <w:color w:val="000000"/>
          <w:sz w:val="18"/>
          <w:szCs w:val="18"/>
        </w:rPr>
        <w:t>.5 工期延误</w:t>
      </w:r>
      <w:bookmarkEnd w:id="580"/>
    </w:p>
    <w:bookmarkEnd w:id="581"/>
    <w:bookmarkEnd w:id="582"/>
    <w:bookmarkEnd w:id="583"/>
    <w:p w14:paraId="0D208D8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7.5.1 因发包人原因导致工期延误</w:t>
      </w:r>
    </w:p>
    <w:p w14:paraId="18EDDD9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在合同履行过程中，因下列情况导致工期延误和（或）费用增加的，由发包人承担由此延误的工期和（或）增加的费用，且发包人应支付承包人合理的利润： </w:t>
      </w:r>
    </w:p>
    <w:p w14:paraId="6706F92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（1）发包人未能按合同约定提供图纸或所提供图纸不符合合同约定的；</w:t>
      </w:r>
    </w:p>
    <w:p w14:paraId="66CFBC0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（2）发包人未能按合同约定提供施工现场、施工条件、基础资料、许可、批准等开工条件的；</w:t>
      </w:r>
    </w:p>
    <w:p w14:paraId="1326025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（3）发包人提供的测量基准点、基准线和水准点及其书面资料存在错误或疏漏的；</w:t>
      </w:r>
    </w:p>
    <w:p w14:paraId="63DE66C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（4）发包人未能在计划开工日期之日起7天内同意下达开工通知的；</w:t>
      </w:r>
    </w:p>
    <w:p w14:paraId="6D7C764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（5）发包人未能按合同约定日期支付工程预付款、进度款或竣工结算款的；</w:t>
      </w:r>
    </w:p>
    <w:p w14:paraId="05F8B6F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（6）监理人未按合同约定发出指示、批准等文件的；</w:t>
      </w:r>
    </w:p>
    <w:p w14:paraId="2ADBC26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（7）专用合同条款中约定的其他情形。</w:t>
      </w:r>
    </w:p>
    <w:p w14:paraId="1395B1C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414E7F4">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7.5.2 因承包人原因导致工期延误</w:t>
      </w:r>
    </w:p>
    <w:p w14:paraId="61EE169C">
      <w:pPr>
        <w:autoSpaceDE w:val="0"/>
        <w:autoSpaceDN w:val="0"/>
        <w:adjustRightInd w:val="0"/>
        <w:ind w:firstLine="360" w:firstLineChars="200"/>
        <w:jc w:val="left"/>
        <w:rPr>
          <w:rFonts w:ascii="仿宋_GB2312" w:hAnsi="仿宋_GB2312" w:eastAsia="仿宋_GB2312" w:cs="仿宋_GB2312"/>
          <w:color w:val="000000"/>
          <w:kern w:val="0"/>
          <w:sz w:val="18"/>
          <w:szCs w:val="18"/>
        </w:rPr>
      </w:pPr>
      <w:bookmarkStart w:id="584" w:name="_Toc296346577"/>
      <w:bookmarkStart w:id="585" w:name="_Toc296503076"/>
      <w:r>
        <w:rPr>
          <w:rFonts w:hint="eastAsia" w:ascii="仿宋_GB2312" w:hAnsi="仿宋_GB2312" w:eastAsia="仿宋_GB2312" w:cs="仿宋_GB2312"/>
          <w:color w:val="000000"/>
          <w:kern w:val="0"/>
          <w:sz w:val="18"/>
          <w:szCs w:val="18"/>
        </w:rPr>
        <w:t>因</w:t>
      </w:r>
      <w:bookmarkEnd w:id="584"/>
      <w:bookmarkEnd w:id="585"/>
      <w:r>
        <w:rPr>
          <w:rFonts w:hint="eastAsia" w:ascii="仿宋_GB2312" w:hAnsi="仿宋_GB2312" w:eastAsia="仿宋_GB2312" w:cs="仿宋_GB2312"/>
          <w:color w:val="000000"/>
          <w:kern w:val="0"/>
          <w:sz w:val="18"/>
          <w:szCs w:val="18"/>
        </w:rPr>
        <w:t>承包人原因造成工期延误的，可以在专用合同条款中约定逾期竣工违约金的计算方法和逾期竣工违约金的上限。承包人支付逾期竣工违约金后，不免除承包人继续完成工程及修补缺陷的义务。</w:t>
      </w:r>
    </w:p>
    <w:p w14:paraId="67EEDA52">
      <w:pPr>
        <w:pStyle w:val="6"/>
        <w:spacing w:before="120" w:after="120"/>
        <w:ind w:left="0" w:firstLine="360" w:firstLineChars="200"/>
        <w:rPr>
          <w:rFonts w:ascii="仿宋_GB2312" w:hAnsi="仿宋_GB2312" w:eastAsia="仿宋_GB2312" w:cs="仿宋_GB2312"/>
          <w:b w:val="0"/>
          <w:color w:val="000000"/>
          <w:sz w:val="18"/>
          <w:szCs w:val="18"/>
        </w:rPr>
      </w:pPr>
      <w:bookmarkStart w:id="586" w:name="_Toc351203548"/>
      <w:r>
        <w:rPr>
          <w:rFonts w:hint="eastAsia" w:ascii="仿宋_GB2312" w:hAnsi="仿宋_GB2312" w:eastAsia="仿宋_GB2312" w:cs="仿宋_GB2312"/>
          <w:b w:val="0"/>
          <w:color w:val="000000"/>
          <w:sz w:val="18"/>
          <w:szCs w:val="18"/>
        </w:rPr>
        <w:t>7</w:t>
      </w:r>
      <w:bookmarkStart w:id="587" w:name="_Toc296346575"/>
      <w:bookmarkStart w:id="588" w:name="_Toc337558773"/>
      <w:bookmarkStart w:id="589" w:name="_Toc296503074"/>
      <w:bookmarkStart w:id="590" w:name="_Toc296346578"/>
      <w:bookmarkStart w:id="591" w:name="_Toc296503077"/>
      <w:r>
        <w:rPr>
          <w:rFonts w:hint="eastAsia" w:ascii="仿宋_GB2312" w:hAnsi="仿宋_GB2312" w:eastAsia="仿宋_GB2312" w:cs="仿宋_GB2312"/>
          <w:b w:val="0"/>
          <w:color w:val="000000"/>
          <w:sz w:val="18"/>
          <w:szCs w:val="18"/>
        </w:rPr>
        <w:t>.6 不利物质条件</w:t>
      </w:r>
      <w:bookmarkEnd w:id="586"/>
    </w:p>
    <w:bookmarkEnd w:id="587"/>
    <w:bookmarkEnd w:id="588"/>
    <w:bookmarkEnd w:id="589"/>
    <w:p w14:paraId="62B72D9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7FBD15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36D8770">
      <w:pPr>
        <w:pStyle w:val="6"/>
        <w:spacing w:before="120" w:after="120"/>
        <w:ind w:left="0" w:firstLine="360" w:firstLineChars="200"/>
        <w:rPr>
          <w:rFonts w:ascii="仿宋_GB2312" w:hAnsi="仿宋_GB2312" w:eastAsia="仿宋_GB2312" w:cs="仿宋_GB2312"/>
          <w:b w:val="0"/>
          <w:color w:val="000000"/>
          <w:sz w:val="18"/>
          <w:szCs w:val="18"/>
        </w:rPr>
      </w:pPr>
      <w:bookmarkStart w:id="592" w:name="_Toc351203549"/>
      <w:r>
        <w:rPr>
          <w:rFonts w:hint="eastAsia" w:ascii="仿宋_GB2312" w:hAnsi="仿宋_GB2312" w:eastAsia="仿宋_GB2312" w:cs="仿宋_GB2312"/>
          <w:b w:val="0"/>
          <w:color w:val="000000"/>
          <w:sz w:val="18"/>
          <w:szCs w:val="18"/>
        </w:rPr>
        <w:t>7</w:t>
      </w:r>
      <w:bookmarkStart w:id="593" w:name="_Toc296503075"/>
      <w:bookmarkStart w:id="594" w:name="_Toc337558774"/>
      <w:bookmarkStart w:id="595" w:name="_Toc296346576"/>
      <w:r>
        <w:rPr>
          <w:rFonts w:hint="eastAsia" w:ascii="仿宋_GB2312" w:hAnsi="仿宋_GB2312" w:eastAsia="仿宋_GB2312" w:cs="仿宋_GB2312"/>
          <w:b w:val="0"/>
          <w:color w:val="000000"/>
          <w:sz w:val="18"/>
          <w:szCs w:val="18"/>
        </w:rPr>
        <w:t>.7 异常恶劣的气候条件</w:t>
      </w:r>
      <w:bookmarkEnd w:id="592"/>
    </w:p>
    <w:bookmarkEnd w:id="593"/>
    <w:bookmarkEnd w:id="594"/>
    <w:bookmarkEnd w:id="595"/>
    <w:p w14:paraId="5BCB69A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4BE567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96" w:name="_Toc351203550"/>
    </w:p>
    <w:p w14:paraId="4171EF4E">
      <w:pPr>
        <w:autoSpaceDE w:val="0"/>
        <w:autoSpaceDN w:val="0"/>
        <w:adjustRightInd w:val="0"/>
        <w:ind w:firstLine="360" w:firstLineChars="200"/>
        <w:jc w:val="left"/>
        <w:outlineLvl w:val="0"/>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7</w:t>
      </w:r>
      <w:bookmarkStart w:id="597" w:name="_Toc337558775"/>
      <w:r>
        <w:rPr>
          <w:rFonts w:hint="eastAsia" w:ascii="仿宋_GB2312" w:hAnsi="仿宋_GB2312" w:eastAsia="仿宋_GB2312" w:cs="仿宋_GB2312"/>
          <w:bCs/>
          <w:color w:val="000000"/>
          <w:sz w:val="18"/>
          <w:szCs w:val="18"/>
        </w:rPr>
        <w:t>.8 暂停施工</w:t>
      </w:r>
      <w:bookmarkEnd w:id="596"/>
    </w:p>
    <w:bookmarkEnd w:id="590"/>
    <w:bookmarkEnd w:id="591"/>
    <w:bookmarkEnd w:id="597"/>
    <w:p w14:paraId="5FA34E2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7.8.1发包人原因引起的暂停施工</w:t>
      </w:r>
    </w:p>
    <w:p w14:paraId="22EB572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因发包人原因引起暂停施工的，监理人经发包人同意后，应及时下达暂停施工指示。情况紧急且监理人未及时下达暂停施工指示的，按照第7.8.4项〔紧急情况下的暂停施工〕执行。</w:t>
      </w:r>
    </w:p>
    <w:p w14:paraId="155DD8A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因发包人原因引起的暂停施工，发包人应承担由此增加的费用和（或）延误的工期，</w:t>
      </w:r>
      <w:r>
        <w:rPr>
          <w:rFonts w:hint="eastAsia" w:ascii="仿宋_GB2312" w:hAnsi="仿宋_GB2312" w:eastAsia="仿宋_GB2312" w:cs="仿宋_GB2312"/>
          <w:kern w:val="0"/>
          <w:sz w:val="18"/>
          <w:szCs w:val="18"/>
        </w:rPr>
        <w:t>并支付承包人</w:t>
      </w:r>
      <w:r>
        <w:rPr>
          <w:rFonts w:hint="eastAsia" w:ascii="仿宋_GB2312" w:hAnsi="仿宋_GB2312" w:eastAsia="仿宋_GB2312" w:cs="仿宋_GB2312"/>
          <w:color w:val="000000"/>
          <w:kern w:val="0"/>
          <w:sz w:val="18"/>
          <w:szCs w:val="18"/>
        </w:rPr>
        <w:t>合理的利润。</w:t>
      </w:r>
    </w:p>
    <w:p w14:paraId="586D9C1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7.8.2 承包人原因引起的暂停施工</w:t>
      </w:r>
    </w:p>
    <w:p w14:paraId="5FB4B1E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6743CD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7.8.3 指示暂停施工</w:t>
      </w:r>
    </w:p>
    <w:p w14:paraId="38CC29B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监理人认为有必要时，并经发包人批准后，可向承包人作出暂停施工的指示，承包人应按监理人指示暂停施工。</w:t>
      </w:r>
    </w:p>
    <w:p w14:paraId="52C8663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7.8.4 紧急情况下的暂停施工</w:t>
      </w:r>
    </w:p>
    <w:p w14:paraId="13B42B3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AFE32C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7.8.5 暂停施工后的复工</w:t>
      </w:r>
    </w:p>
    <w:p w14:paraId="0C9BD7A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DB25DB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承包人无故拖延和拒绝复工的，承包人承担由此增加的费用和（或）延误的工期；因发包人原因无法按时复工的，按照第7.5.1项〔因发包人原因导致工期延误〕约定办理。</w:t>
      </w:r>
    </w:p>
    <w:p w14:paraId="7BF9BD2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7.8.6 暂停施工持续56天以上</w:t>
      </w:r>
    </w:p>
    <w:p w14:paraId="16812C6C">
      <w:pPr>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908013B">
      <w:pPr>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420FFAC">
      <w:pPr>
        <w:ind w:left="16"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7.8.7 暂停施工期间的工程照管</w:t>
      </w:r>
    </w:p>
    <w:p w14:paraId="553F60B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暂停施工期间，承包人应负责妥善照管工程并提供安全保障，由此增加的费用由责任方承担。</w:t>
      </w:r>
    </w:p>
    <w:p w14:paraId="1A6F1AF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7.8.8 暂停施工的措施</w:t>
      </w:r>
    </w:p>
    <w:p w14:paraId="20C3E8DE">
      <w:pPr>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暂停施工期间，发包人和承包人均应采取必要的措施确保工程质量及安全，防止因暂停施工扩大损失。</w:t>
      </w:r>
    </w:p>
    <w:p w14:paraId="7E6C700A">
      <w:pPr>
        <w:spacing w:before="120" w:after="120"/>
        <w:ind w:firstLine="360" w:firstLineChars="200"/>
        <w:rPr>
          <w:rFonts w:ascii="仿宋_GB2312" w:hAnsi="仿宋_GB2312" w:eastAsia="仿宋_GB2312" w:cs="仿宋_GB2312"/>
          <w:b w:val="0"/>
          <w:color w:val="000000"/>
          <w:sz w:val="18"/>
          <w:szCs w:val="18"/>
        </w:rPr>
      </w:pPr>
      <w:bookmarkStart w:id="598" w:name="_Toc351203551"/>
      <w:r>
        <w:rPr>
          <w:rFonts w:hint="eastAsia" w:ascii="仿宋_GB2312" w:hAnsi="仿宋_GB2312" w:eastAsia="仿宋_GB2312" w:cs="仿宋_GB2312"/>
          <w:b w:val="0"/>
          <w:color w:val="000000"/>
          <w:sz w:val="18"/>
          <w:szCs w:val="18"/>
        </w:rPr>
        <w:t>7.9提前竣工</w:t>
      </w:r>
      <w:bookmarkEnd w:id="598"/>
    </w:p>
    <w:p w14:paraId="18178B8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51BF5F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7.9.2 发包人要求承包人提前竣工，或承包人提出提前竣工的建议能够给发包人带来效益的，合同当事人可以在专用合同条款中约定提前竣工的奖励。</w:t>
      </w:r>
    </w:p>
    <w:p w14:paraId="4A5EB9AA">
      <w:pPr>
        <w:pStyle w:val="5"/>
        <w:spacing w:before="120" w:after="120" w:line="240" w:lineRule="auto"/>
        <w:rPr>
          <w:rFonts w:ascii="仿宋_GB2312" w:hAnsi="仿宋_GB2312" w:eastAsia="仿宋_GB2312" w:cs="仿宋_GB2312"/>
          <w:b w:val="0"/>
          <w:color w:val="000000"/>
          <w:sz w:val="18"/>
          <w:szCs w:val="18"/>
        </w:rPr>
      </w:pPr>
      <w:bookmarkStart w:id="599" w:name="_Toc351203552"/>
      <w:r>
        <w:rPr>
          <w:rFonts w:hint="eastAsia" w:ascii="仿宋_GB2312" w:hAnsi="仿宋_GB2312" w:eastAsia="仿宋_GB2312" w:cs="仿宋_GB2312"/>
          <w:b w:val="0"/>
          <w:color w:val="000000"/>
          <w:sz w:val="18"/>
          <w:szCs w:val="18"/>
        </w:rPr>
        <w:t>8</w:t>
      </w:r>
      <w:bookmarkStart w:id="600" w:name="_Toc296346559"/>
      <w:bookmarkStart w:id="601" w:name="_Toc296503058"/>
      <w:bookmarkStart w:id="602" w:name="_Toc337558776"/>
      <w:r>
        <w:rPr>
          <w:rFonts w:hint="eastAsia" w:ascii="仿宋_GB2312" w:hAnsi="仿宋_GB2312" w:eastAsia="仿宋_GB2312" w:cs="仿宋_GB2312"/>
          <w:b w:val="0"/>
          <w:color w:val="000000"/>
          <w:sz w:val="18"/>
          <w:szCs w:val="18"/>
        </w:rPr>
        <w:t>. 材料与设备</w:t>
      </w:r>
      <w:bookmarkEnd w:id="599"/>
    </w:p>
    <w:bookmarkEnd w:id="600"/>
    <w:bookmarkEnd w:id="601"/>
    <w:bookmarkEnd w:id="602"/>
    <w:p w14:paraId="2320AD7C">
      <w:pPr>
        <w:pStyle w:val="6"/>
        <w:spacing w:before="120" w:after="120"/>
        <w:ind w:left="0" w:firstLine="360" w:firstLineChars="200"/>
        <w:rPr>
          <w:rFonts w:ascii="仿宋_GB2312" w:hAnsi="仿宋_GB2312" w:eastAsia="仿宋_GB2312" w:cs="仿宋_GB2312"/>
          <w:b w:val="0"/>
          <w:color w:val="000000"/>
          <w:sz w:val="18"/>
          <w:szCs w:val="18"/>
        </w:rPr>
      </w:pPr>
      <w:bookmarkStart w:id="603" w:name="_Toc351203553"/>
      <w:r>
        <w:rPr>
          <w:rFonts w:hint="eastAsia" w:ascii="仿宋_GB2312" w:hAnsi="仿宋_GB2312" w:eastAsia="仿宋_GB2312" w:cs="仿宋_GB2312"/>
          <w:b w:val="0"/>
          <w:color w:val="000000"/>
          <w:sz w:val="18"/>
          <w:szCs w:val="18"/>
        </w:rPr>
        <w:t>8</w:t>
      </w:r>
      <w:bookmarkStart w:id="604" w:name="_Toc296346560"/>
      <w:bookmarkStart w:id="605" w:name="_Toc337558777"/>
      <w:bookmarkStart w:id="606" w:name="_Toc296503059"/>
      <w:bookmarkStart w:id="607" w:name="_Toc468936960"/>
      <w:r>
        <w:rPr>
          <w:rFonts w:hint="eastAsia" w:ascii="仿宋_GB2312" w:hAnsi="仿宋_GB2312" w:eastAsia="仿宋_GB2312" w:cs="仿宋_GB2312"/>
          <w:b w:val="0"/>
          <w:color w:val="000000"/>
          <w:sz w:val="18"/>
          <w:szCs w:val="18"/>
        </w:rPr>
        <w:t>.1发包人供应材料与工程设备</w:t>
      </w:r>
      <w:bookmarkEnd w:id="603"/>
    </w:p>
    <w:bookmarkEnd w:id="604"/>
    <w:bookmarkEnd w:id="605"/>
    <w:bookmarkEnd w:id="606"/>
    <w:p w14:paraId="23D9FC4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发包人自行供应材料、工程设备的，应在签订合同时在专用合同条款的附件《发包人供应材料设备一览表》中明确材料、工程设备的品种、规格、型号、数量、单价、质量等级和送达地点。</w:t>
      </w:r>
    </w:p>
    <w:p w14:paraId="3E672E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D6A793F">
      <w:pPr>
        <w:pStyle w:val="6"/>
        <w:spacing w:before="120" w:after="120"/>
        <w:ind w:left="0" w:firstLine="360" w:firstLineChars="200"/>
        <w:rPr>
          <w:rFonts w:ascii="仿宋_GB2312" w:hAnsi="仿宋_GB2312" w:eastAsia="仿宋_GB2312" w:cs="仿宋_GB2312"/>
          <w:color w:val="000000"/>
          <w:sz w:val="18"/>
          <w:szCs w:val="18"/>
        </w:rPr>
      </w:pPr>
      <w:bookmarkStart w:id="608" w:name="_Toc351203554"/>
      <w:r>
        <w:rPr>
          <w:rFonts w:hint="eastAsia" w:ascii="仿宋_GB2312" w:hAnsi="仿宋_GB2312" w:eastAsia="仿宋_GB2312" w:cs="仿宋_GB2312"/>
          <w:b w:val="0"/>
          <w:color w:val="000000"/>
          <w:sz w:val="18"/>
          <w:szCs w:val="18"/>
        </w:rPr>
        <w:t>8</w:t>
      </w:r>
      <w:bookmarkStart w:id="609" w:name="_Toc296503060"/>
      <w:bookmarkStart w:id="610" w:name="_Toc296346561"/>
      <w:bookmarkStart w:id="611" w:name="_Toc337558778"/>
      <w:r>
        <w:rPr>
          <w:rFonts w:hint="eastAsia" w:ascii="仿宋_GB2312" w:hAnsi="仿宋_GB2312" w:eastAsia="仿宋_GB2312" w:cs="仿宋_GB2312"/>
          <w:b w:val="0"/>
          <w:color w:val="000000"/>
          <w:sz w:val="18"/>
          <w:szCs w:val="18"/>
        </w:rPr>
        <w:t>.2承包人采购材料与工程设备</w:t>
      </w:r>
      <w:bookmarkEnd w:id="608"/>
    </w:p>
    <w:bookmarkEnd w:id="609"/>
    <w:bookmarkEnd w:id="610"/>
    <w:bookmarkEnd w:id="611"/>
    <w:p w14:paraId="437DF3B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B15B166">
      <w:pPr>
        <w:pStyle w:val="6"/>
        <w:spacing w:before="120" w:after="120"/>
        <w:ind w:left="0" w:firstLine="360" w:firstLineChars="200"/>
        <w:rPr>
          <w:rFonts w:ascii="仿宋_GB2312" w:hAnsi="仿宋_GB2312" w:eastAsia="仿宋_GB2312" w:cs="仿宋_GB2312"/>
          <w:b w:val="0"/>
          <w:color w:val="000000"/>
          <w:sz w:val="18"/>
          <w:szCs w:val="18"/>
        </w:rPr>
      </w:pPr>
      <w:bookmarkStart w:id="612" w:name="_Toc351203555"/>
      <w:r>
        <w:rPr>
          <w:rFonts w:hint="eastAsia" w:ascii="仿宋_GB2312" w:hAnsi="仿宋_GB2312" w:eastAsia="仿宋_GB2312" w:cs="仿宋_GB2312"/>
          <w:b w:val="0"/>
          <w:color w:val="000000"/>
          <w:sz w:val="18"/>
          <w:szCs w:val="18"/>
        </w:rPr>
        <w:t>8</w:t>
      </w:r>
      <w:bookmarkStart w:id="613" w:name="_Toc337558779"/>
      <w:bookmarkStart w:id="614" w:name="_Toc296346562"/>
      <w:bookmarkStart w:id="615" w:name="_Toc296503061"/>
      <w:r>
        <w:rPr>
          <w:rFonts w:hint="eastAsia" w:ascii="仿宋_GB2312" w:hAnsi="仿宋_GB2312" w:eastAsia="仿宋_GB2312" w:cs="仿宋_GB2312"/>
          <w:b w:val="0"/>
          <w:color w:val="000000"/>
          <w:sz w:val="18"/>
          <w:szCs w:val="18"/>
        </w:rPr>
        <w:t>.3材料与工程设备的接收与拒收</w:t>
      </w:r>
      <w:bookmarkEnd w:id="612"/>
    </w:p>
    <w:bookmarkEnd w:id="613"/>
    <w:bookmarkEnd w:id="614"/>
    <w:bookmarkEnd w:id="615"/>
    <w:p w14:paraId="121B6E2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7C7DBE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发包人提供的材料和工程设备的规格、数量或质量不符合合同约定的，或因发包人原因导致交货日期延误或交货地点变更等情况的，按照第16.1款〔发包人违约〕约定办理。</w:t>
      </w:r>
    </w:p>
    <w:p w14:paraId="6131FB0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8.3.2 承包人采购的材料和工程设备，应保证产品质量合格，承包人应在材料和工程设备到货前24小时通知监理人检验。承</w:t>
      </w:r>
      <w:bookmarkStart w:id="616" w:name="_Toc250655469"/>
      <w:r>
        <w:rPr>
          <w:rFonts w:hint="eastAsia" w:ascii="仿宋_GB2312" w:hAnsi="仿宋_GB2312" w:eastAsia="仿宋_GB2312" w:cs="仿宋_GB2312"/>
          <w:color w:val="000000"/>
          <w:kern w:val="0"/>
          <w:sz w:val="18"/>
          <w:szCs w:val="18"/>
        </w:rPr>
        <w:t>包人进行永久设备、材料的制造和生产的，应符合相关质量标准，并向监理人提交材料的样本以及有关资料，并应在使用该材料或工程设备之前获得监理人同意。</w:t>
      </w:r>
    </w:p>
    <w:bookmarkEnd w:id="616"/>
    <w:p w14:paraId="64338F49">
      <w:pPr>
        <w:autoSpaceDE w:val="0"/>
        <w:autoSpaceDN w:val="0"/>
        <w:adjustRightInd w:val="0"/>
        <w:ind w:firstLine="270" w:firstLineChars="15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8FACC3F">
      <w:pPr>
        <w:autoSpaceDE w:val="0"/>
        <w:autoSpaceDN w:val="0"/>
        <w:adjustRightInd w:val="0"/>
        <w:spacing w:before="120" w:after="120"/>
        <w:ind w:firstLine="360" w:firstLineChars="200"/>
        <w:jc w:val="left"/>
        <w:rPr>
          <w:rFonts w:ascii="仿宋_GB2312" w:hAnsi="仿宋_GB2312" w:eastAsia="仿宋_GB2312" w:cs="仿宋_GB2312"/>
          <w:b w:val="0"/>
          <w:color w:val="000000"/>
          <w:sz w:val="18"/>
          <w:szCs w:val="18"/>
        </w:rPr>
      </w:pPr>
      <w:bookmarkStart w:id="617" w:name="_Toc351203556"/>
      <w:r>
        <w:rPr>
          <w:rFonts w:hint="eastAsia" w:ascii="仿宋_GB2312" w:hAnsi="仿宋_GB2312" w:eastAsia="仿宋_GB2312" w:cs="仿宋_GB2312"/>
          <w:b w:val="0"/>
          <w:color w:val="000000"/>
          <w:sz w:val="18"/>
          <w:szCs w:val="18"/>
        </w:rPr>
        <w:t>8</w:t>
      </w:r>
      <w:bookmarkStart w:id="618" w:name="_Toc337558780"/>
      <w:bookmarkStart w:id="619" w:name="_Toc296503062"/>
      <w:bookmarkStart w:id="620" w:name="_Toc296346563"/>
      <w:r>
        <w:rPr>
          <w:rFonts w:hint="eastAsia" w:ascii="仿宋_GB2312" w:hAnsi="仿宋_GB2312" w:eastAsia="仿宋_GB2312" w:cs="仿宋_GB2312"/>
          <w:b w:val="0"/>
          <w:color w:val="000000"/>
          <w:sz w:val="18"/>
          <w:szCs w:val="18"/>
        </w:rPr>
        <w:t>.4材料与工程设备的保管与使用</w:t>
      </w:r>
      <w:bookmarkEnd w:id="617"/>
    </w:p>
    <w:bookmarkEnd w:id="618"/>
    <w:bookmarkEnd w:id="619"/>
    <w:bookmarkEnd w:id="620"/>
    <w:p w14:paraId="255F0EF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8.4.1 发包人供应</w:t>
      </w:r>
      <w:r>
        <w:rPr>
          <w:rFonts w:hint="eastAsia" w:ascii="仿宋_GB2312" w:hAnsi="仿宋_GB2312" w:eastAsia="仿宋_GB2312" w:cs="仿宋_GB2312"/>
          <w:color w:val="000000"/>
          <w:sz w:val="18"/>
          <w:szCs w:val="18"/>
        </w:rPr>
        <w:t>材料与</w:t>
      </w:r>
      <w:r>
        <w:rPr>
          <w:rFonts w:hint="eastAsia" w:ascii="仿宋_GB2312" w:hAnsi="仿宋_GB2312" w:eastAsia="仿宋_GB2312" w:cs="仿宋_GB2312"/>
          <w:color w:val="000000"/>
          <w:kern w:val="0"/>
          <w:sz w:val="18"/>
          <w:szCs w:val="18"/>
        </w:rPr>
        <w:t>工程</w:t>
      </w:r>
      <w:r>
        <w:rPr>
          <w:rFonts w:hint="eastAsia" w:ascii="仿宋_GB2312" w:hAnsi="仿宋_GB2312" w:eastAsia="仿宋_GB2312" w:cs="仿宋_GB2312"/>
          <w:color w:val="000000"/>
          <w:sz w:val="18"/>
          <w:szCs w:val="18"/>
        </w:rPr>
        <w:t>设备的保管与使用</w:t>
      </w:r>
    </w:p>
    <w:p w14:paraId="1BDF08B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468C33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发包人供应的材料和工程设备使用前，由承包人负责检验，检验费用由发包人承担，不合格的不得使用。</w:t>
      </w:r>
    </w:p>
    <w:p w14:paraId="067B9E6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8.4.2 承包人采购</w:t>
      </w:r>
      <w:r>
        <w:rPr>
          <w:rFonts w:hint="eastAsia" w:ascii="仿宋_GB2312" w:hAnsi="仿宋_GB2312" w:eastAsia="仿宋_GB2312" w:cs="仿宋_GB2312"/>
          <w:color w:val="000000"/>
          <w:sz w:val="18"/>
          <w:szCs w:val="18"/>
        </w:rPr>
        <w:t>材料与</w:t>
      </w:r>
      <w:r>
        <w:rPr>
          <w:rFonts w:hint="eastAsia" w:ascii="仿宋_GB2312" w:hAnsi="仿宋_GB2312" w:eastAsia="仿宋_GB2312" w:cs="仿宋_GB2312"/>
          <w:color w:val="000000"/>
          <w:kern w:val="0"/>
          <w:sz w:val="18"/>
          <w:szCs w:val="18"/>
        </w:rPr>
        <w:t>工程</w:t>
      </w:r>
      <w:r>
        <w:rPr>
          <w:rFonts w:hint="eastAsia" w:ascii="仿宋_GB2312" w:hAnsi="仿宋_GB2312" w:eastAsia="仿宋_GB2312" w:cs="仿宋_GB2312"/>
          <w:color w:val="000000"/>
          <w:sz w:val="18"/>
          <w:szCs w:val="18"/>
        </w:rPr>
        <w:t>设备的保管与使用</w:t>
      </w:r>
    </w:p>
    <w:p w14:paraId="193E6B3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A794C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发包人或监理人发现承包人使用不符合设计或有关标准要求的材料和工程设备时，有权要求承包人进行修复、拆除或重新采购，由此增加的费用和（或）延误的工期，由承包人承担。</w:t>
      </w:r>
    </w:p>
    <w:p w14:paraId="7A4FE868">
      <w:pPr>
        <w:pStyle w:val="6"/>
        <w:spacing w:before="120" w:after="120"/>
        <w:ind w:left="0" w:firstLine="360" w:firstLineChars="200"/>
        <w:rPr>
          <w:rFonts w:ascii="仿宋_GB2312" w:hAnsi="仿宋_GB2312" w:eastAsia="仿宋_GB2312" w:cs="仿宋_GB2312"/>
          <w:b w:val="0"/>
          <w:color w:val="000000"/>
          <w:sz w:val="18"/>
          <w:szCs w:val="18"/>
        </w:rPr>
      </w:pPr>
      <w:bookmarkStart w:id="621" w:name="_Toc351203557"/>
      <w:r>
        <w:rPr>
          <w:rFonts w:hint="eastAsia" w:ascii="仿宋_GB2312" w:hAnsi="仿宋_GB2312" w:eastAsia="仿宋_GB2312" w:cs="仿宋_GB2312"/>
          <w:b w:val="0"/>
          <w:color w:val="000000"/>
          <w:sz w:val="18"/>
          <w:szCs w:val="18"/>
        </w:rPr>
        <w:t>8.5禁止使用不合格的材料和工程设备</w:t>
      </w:r>
      <w:bookmarkEnd w:id="621"/>
    </w:p>
    <w:p w14:paraId="3FF7B61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8.5.1 监理人有权拒绝承包人提供的不合格材料或工程设备，并要求承包人立即进行更换。监理人应在更换后再次进行检查和检验，由此增加的费用和（或）延误的工期由承包人承担。</w:t>
      </w:r>
    </w:p>
    <w:p w14:paraId="6479E05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8.5.2 监理人发现承包人使用了不合格的材料和工程设备，承包人应按照监理人的指示立即改正，并禁止在工程中继续使用不合格的材料和工程设备。</w:t>
      </w:r>
    </w:p>
    <w:p w14:paraId="221624F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8.5.3 发包人提供的材料或工程设备不符合合同要求的，承包人有权拒绝，并可要求发包人更换，由此增加的费用和（或）延误的工期由发包人承担，并支付承包人合理的利润。</w:t>
      </w:r>
    </w:p>
    <w:p w14:paraId="1B9CACF6">
      <w:pPr>
        <w:pStyle w:val="6"/>
        <w:spacing w:before="120" w:after="120"/>
        <w:ind w:left="0" w:firstLine="360" w:firstLineChars="200"/>
        <w:rPr>
          <w:rFonts w:ascii="仿宋_GB2312" w:hAnsi="仿宋_GB2312" w:eastAsia="仿宋_GB2312" w:cs="仿宋_GB2312"/>
          <w:b w:val="0"/>
          <w:color w:val="000000"/>
          <w:sz w:val="18"/>
          <w:szCs w:val="18"/>
        </w:rPr>
      </w:pPr>
      <w:bookmarkStart w:id="622" w:name="_Toc351203558"/>
      <w:r>
        <w:rPr>
          <w:rFonts w:hint="eastAsia" w:ascii="仿宋_GB2312" w:hAnsi="仿宋_GB2312" w:eastAsia="仿宋_GB2312" w:cs="仿宋_GB2312"/>
          <w:b w:val="0"/>
          <w:color w:val="000000"/>
          <w:sz w:val="18"/>
          <w:szCs w:val="18"/>
        </w:rPr>
        <w:t>8.6 样品</w:t>
      </w:r>
      <w:bookmarkEnd w:id="622"/>
    </w:p>
    <w:p w14:paraId="35346A1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8.6.1</w:t>
      </w:r>
      <w:r>
        <w:rPr>
          <w:rFonts w:hint="eastAsia" w:ascii="仿宋_GB2312" w:hAnsi="仿宋_GB2312" w:eastAsia="仿宋_GB2312" w:cs="仿宋_GB2312"/>
          <w:color w:val="000000"/>
          <w:kern w:val="0"/>
          <w:sz w:val="18"/>
          <w:szCs w:val="18"/>
        </w:rPr>
        <w:tab/>
      </w:r>
      <w:r>
        <w:rPr>
          <w:rFonts w:hint="eastAsia" w:ascii="仿宋_GB2312" w:hAnsi="仿宋_GB2312" w:eastAsia="仿宋_GB2312" w:cs="仿宋_GB2312"/>
          <w:color w:val="000000"/>
          <w:kern w:val="0"/>
          <w:sz w:val="18"/>
          <w:szCs w:val="18"/>
        </w:rPr>
        <w:t>样品的报送与封存</w:t>
      </w:r>
    </w:p>
    <w:p w14:paraId="192E01A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需要承包人报送样品的材料或工程设备，样品的种类、名称、规格、数量等要求均应在专用合同条款中约定。样品的报送程序如下：</w:t>
      </w:r>
    </w:p>
    <w:p w14:paraId="211F946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388B1E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ADB66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（3）经发包人和监理人审批确认的样品应按约定的方法封样，封存的样品作为检验工程相关部分的标准之一。承包人在施工过程中不得使用与样品不符的材料或工程设备。</w:t>
      </w:r>
    </w:p>
    <w:p w14:paraId="40C7FE9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2E3EA9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8.6.2 样品的保管</w:t>
      </w:r>
    </w:p>
    <w:p w14:paraId="49BC9C2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经批准的样品应由监理人负责封存于现场，承包人应在现场为保存样品提供适当和固定的场所并保持适当和良好的存储环境条件。</w:t>
      </w:r>
    </w:p>
    <w:p w14:paraId="4BC62C8F">
      <w:pPr>
        <w:pStyle w:val="6"/>
        <w:spacing w:before="120" w:after="120"/>
        <w:ind w:left="0" w:firstLine="360" w:firstLineChars="200"/>
        <w:rPr>
          <w:rFonts w:ascii="仿宋_GB2312" w:hAnsi="仿宋_GB2312" w:eastAsia="仿宋_GB2312" w:cs="仿宋_GB2312"/>
          <w:b w:val="0"/>
          <w:color w:val="000000"/>
          <w:sz w:val="18"/>
          <w:szCs w:val="18"/>
        </w:rPr>
      </w:pPr>
      <w:bookmarkStart w:id="623" w:name="_Toc351203559"/>
      <w:r>
        <w:rPr>
          <w:rFonts w:hint="eastAsia" w:ascii="仿宋_GB2312" w:hAnsi="仿宋_GB2312" w:eastAsia="仿宋_GB2312" w:cs="仿宋_GB2312"/>
          <w:b w:val="0"/>
          <w:color w:val="000000"/>
          <w:sz w:val="18"/>
          <w:szCs w:val="18"/>
        </w:rPr>
        <w:t>8.7材料与工程设备的替代</w:t>
      </w:r>
      <w:bookmarkEnd w:id="623"/>
    </w:p>
    <w:p w14:paraId="7E3C798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8.7.1 出现下列情况需要使用替代材料和工程设备的，承包人应按照第8.7.2项约定的程序执行：</w:t>
      </w:r>
    </w:p>
    <w:p w14:paraId="4AAF8CA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（1）基准日期后生效的法律规定禁止使用的；</w:t>
      </w:r>
    </w:p>
    <w:p w14:paraId="2CCE4F1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（2）发包人要求使用替代品的；</w:t>
      </w:r>
    </w:p>
    <w:p w14:paraId="1FBFAC0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（3）因其他原因必须使用替代品的。</w:t>
      </w:r>
    </w:p>
    <w:p w14:paraId="72423E7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8.7.2 承包人应在使用替代材料和工程设备28天前书面通知监理人，并附下列文件：</w:t>
      </w:r>
    </w:p>
    <w:p w14:paraId="6420574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（1）被替代的材料和工程设备的名称、数量、规格、型号、品牌、性能、价格及其他相关资料；</w:t>
      </w:r>
    </w:p>
    <w:p w14:paraId="12F9F8F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（2）替代品的名称、数量、规格、型号、品牌、性能、价格及其他相关资料；</w:t>
      </w:r>
    </w:p>
    <w:p w14:paraId="01DCCBB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（3）替代品与被替代产品之间的差异以及使用替代品可能对工程产生的影响；</w:t>
      </w:r>
    </w:p>
    <w:p w14:paraId="7FFF470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（4）替代品与被替代产品的价格差异；</w:t>
      </w:r>
    </w:p>
    <w:p w14:paraId="54EE802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（5）使用替代品的理由和原因说明；</w:t>
      </w:r>
    </w:p>
    <w:p w14:paraId="584EEC8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（6）监理人要求的其他文件。</w:t>
      </w:r>
    </w:p>
    <w:p w14:paraId="077B037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监理人应在收到通知后14天内向承包人发出经发包人签认的书面指示；监理人逾期发出书面指示的，视为发包人和监理人同意使用替代品。</w:t>
      </w:r>
    </w:p>
    <w:p w14:paraId="78E42A7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6A3CD6D">
      <w:pPr>
        <w:pStyle w:val="6"/>
        <w:spacing w:before="120" w:after="120"/>
        <w:ind w:left="0" w:firstLine="360" w:firstLineChars="200"/>
        <w:rPr>
          <w:rFonts w:ascii="仿宋_GB2312" w:hAnsi="仿宋_GB2312" w:eastAsia="仿宋_GB2312" w:cs="仿宋_GB2312"/>
          <w:b w:val="0"/>
          <w:color w:val="000000"/>
          <w:sz w:val="18"/>
          <w:szCs w:val="18"/>
        </w:rPr>
      </w:pPr>
      <w:bookmarkStart w:id="624" w:name="_Toc351203560"/>
      <w:r>
        <w:rPr>
          <w:rFonts w:hint="eastAsia" w:ascii="仿宋_GB2312" w:hAnsi="仿宋_GB2312" w:eastAsia="仿宋_GB2312" w:cs="仿宋_GB2312"/>
          <w:b w:val="0"/>
          <w:color w:val="000000"/>
          <w:sz w:val="18"/>
          <w:szCs w:val="18"/>
        </w:rPr>
        <w:t>8.8施工设备和临时设施</w:t>
      </w:r>
      <w:bookmarkEnd w:id="624"/>
    </w:p>
    <w:p w14:paraId="2B5FE43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8.8.1 承包人提供的施工设备和临时设施</w:t>
      </w:r>
    </w:p>
    <w:p w14:paraId="5C5D34D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承包人应按合同进度计划的要求，及时配置施工设备和修建临时设施。进入施工场地的承包人设备需经监理人核查后才能投入使用。承包人更换合同约定的承包人设备的，应报监理人批准。</w:t>
      </w:r>
    </w:p>
    <w:p w14:paraId="4789D5B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除专用合同条款另有约定外，承包人应自行承担修建临时设施的费用，需要临时占地的，应由发包人办理申请手续并承担相应费用。</w:t>
      </w:r>
    </w:p>
    <w:p w14:paraId="63644A0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8.8.2发包人提供的施工设备和临时设施</w:t>
      </w:r>
    </w:p>
    <w:p w14:paraId="0A0D7DF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发包人提供的施工设备或临时设施在专用合同条款中约定。</w:t>
      </w:r>
    </w:p>
    <w:p w14:paraId="4C38D12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8.8.3要求承包人增加或更换施工设备</w:t>
      </w:r>
    </w:p>
    <w:p w14:paraId="1DEF2D8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承包人使用的施工设备不能满足合同进度计划和（或）质量要求时，监理人有权要求承包人增加或更换施工设备，承包人应及时增加或更换，由此增加的费用和（或）延误的工期由承包人承担。</w:t>
      </w:r>
    </w:p>
    <w:p w14:paraId="6B1D4401">
      <w:pPr>
        <w:pStyle w:val="6"/>
        <w:spacing w:before="120" w:after="120"/>
        <w:ind w:left="0" w:firstLine="360" w:firstLineChars="200"/>
        <w:rPr>
          <w:rFonts w:ascii="仿宋_GB2312" w:hAnsi="仿宋_GB2312" w:eastAsia="仿宋_GB2312" w:cs="仿宋_GB2312"/>
          <w:b w:val="0"/>
          <w:color w:val="000000"/>
          <w:sz w:val="18"/>
          <w:szCs w:val="18"/>
        </w:rPr>
      </w:pPr>
      <w:bookmarkStart w:id="625" w:name="_Toc351203561"/>
      <w:r>
        <w:rPr>
          <w:rFonts w:hint="eastAsia" w:ascii="仿宋_GB2312" w:hAnsi="仿宋_GB2312" w:eastAsia="仿宋_GB2312" w:cs="仿宋_GB2312"/>
          <w:b w:val="0"/>
          <w:color w:val="000000"/>
          <w:sz w:val="18"/>
          <w:szCs w:val="18"/>
        </w:rPr>
        <w:t>8</w:t>
      </w:r>
      <w:bookmarkStart w:id="626" w:name="_Toc296346564"/>
      <w:bookmarkStart w:id="627" w:name="_Toc296503063"/>
      <w:bookmarkStart w:id="628" w:name="_Toc337558781"/>
      <w:r>
        <w:rPr>
          <w:rFonts w:hint="eastAsia" w:ascii="仿宋_GB2312" w:hAnsi="仿宋_GB2312" w:eastAsia="仿宋_GB2312" w:cs="仿宋_GB2312"/>
          <w:b w:val="0"/>
          <w:color w:val="000000"/>
          <w:sz w:val="18"/>
          <w:szCs w:val="18"/>
        </w:rPr>
        <w:t>.9材料与设备专用</w:t>
      </w:r>
      <w:bookmarkEnd w:id="625"/>
      <w:r>
        <w:rPr>
          <w:rFonts w:hint="eastAsia" w:ascii="仿宋_GB2312" w:hAnsi="仿宋_GB2312" w:eastAsia="仿宋_GB2312" w:cs="仿宋_GB2312"/>
          <w:b w:val="0"/>
          <w:color w:val="000000"/>
          <w:sz w:val="18"/>
          <w:szCs w:val="18"/>
        </w:rPr>
        <w:t>要求</w:t>
      </w:r>
    </w:p>
    <w:bookmarkEnd w:id="626"/>
    <w:bookmarkEnd w:id="627"/>
    <w:bookmarkEnd w:id="628"/>
    <w:p w14:paraId="25DE70C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承包人运入施工现场的材料、工程设备、施工设备以及在施工场地建设的临时设施，包括备品备件、安装工具与资料，必须专用于工程。未经发包人批准，承包人不得运出施工现场或挪作他用；</w:t>
      </w:r>
      <w:bookmarkEnd w:id="607"/>
      <w:r>
        <w:rPr>
          <w:rFonts w:hint="eastAsia" w:ascii="仿宋_GB2312" w:hAnsi="仿宋_GB2312" w:eastAsia="仿宋_GB2312" w:cs="仿宋_GB2312"/>
          <w:color w:val="000000"/>
          <w:kern w:val="0"/>
          <w:sz w:val="18"/>
          <w:szCs w:val="18"/>
        </w:rPr>
        <w:t>经发包人批准，承包人可以根据施工进度计划撤走闲置的施工设备和其他物品。</w:t>
      </w:r>
    </w:p>
    <w:p w14:paraId="4E50A8CF">
      <w:pPr>
        <w:pStyle w:val="5"/>
        <w:spacing w:before="120" w:after="120" w:line="240" w:lineRule="auto"/>
        <w:rPr>
          <w:rFonts w:ascii="仿宋_GB2312" w:hAnsi="仿宋_GB2312" w:eastAsia="仿宋_GB2312" w:cs="仿宋_GB2312"/>
          <w:b w:val="0"/>
          <w:color w:val="000000"/>
          <w:sz w:val="18"/>
          <w:szCs w:val="18"/>
        </w:rPr>
      </w:pPr>
      <w:bookmarkStart w:id="629" w:name="_Toc351203562"/>
      <w:r>
        <w:rPr>
          <w:rFonts w:hint="eastAsia" w:ascii="仿宋_GB2312" w:hAnsi="仿宋_GB2312" w:eastAsia="仿宋_GB2312" w:cs="仿宋_GB2312"/>
          <w:b w:val="0"/>
          <w:color w:val="000000"/>
          <w:sz w:val="18"/>
          <w:szCs w:val="18"/>
        </w:rPr>
        <w:t>9</w:t>
      </w:r>
      <w:bookmarkStart w:id="630" w:name="_Toc337558782"/>
      <w:bookmarkStart w:id="631" w:name="_Toc296346584"/>
      <w:bookmarkStart w:id="632" w:name="_Toc296503083"/>
      <w:r>
        <w:rPr>
          <w:rFonts w:hint="eastAsia" w:ascii="仿宋_GB2312" w:hAnsi="仿宋_GB2312" w:eastAsia="仿宋_GB2312" w:cs="仿宋_GB2312"/>
          <w:b w:val="0"/>
          <w:color w:val="000000"/>
          <w:sz w:val="18"/>
          <w:szCs w:val="18"/>
        </w:rPr>
        <w:t>. 试验与检验</w:t>
      </w:r>
      <w:bookmarkEnd w:id="629"/>
    </w:p>
    <w:bookmarkEnd w:id="630"/>
    <w:p w14:paraId="6597B449">
      <w:pPr>
        <w:pStyle w:val="6"/>
        <w:spacing w:before="120" w:after="120"/>
        <w:ind w:left="0" w:firstLine="360" w:firstLineChars="200"/>
        <w:rPr>
          <w:rFonts w:ascii="仿宋_GB2312" w:hAnsi="仿宋_GB2312" w:eastAsia="仿宋_GB2312" w:cs="仿宋_GB2312"/>
          <w:b w:val="0"/>
          <w:color w:val="000000"/>
          <w:sz w:val="18"/>
          <w:szCs w:val="18"/>
        </w:rPr>
      </w:pPr>
      <w:bookmarkStart w:id="633" w:name="_Toc351203563"/>
      <w:r>
        <w:rPr>
          <w:rFonts w:hint="eastAsia" w:ascii="仿宋_GB2312" w:hAnsi="仿宋_GB2312" w:eastAsia="仿宋_GB2312" w:cs="仿宋_GB2312"/>
          <w:b w:val="0"/>
          <w:color w:val="000000"/>
          <w:sz w:val="18"/>
          <w:szCs w:val="18"/>
        </w:rPr>
        <w:t>9</w:t>
      </w:r>
      <w:bookmarkStart w:id="634" w:name="_Toc337558783"/>
      <w:r>
        <w:rPr>
          <w:rFonts w:hint="eastAsia" w:ascii="仿宋_GB2312" w:hAnsi="仿宋_GB2312" w:eastAsia="仿宋_GB2312" w:cs="仿宋_GB2312"/>
          <w:b w:val="0"/>
          <w:color w:val="000000"/>
          <w:sz w:val="18"/>
          <w:szCs w:val="18"/>
        </w:rPr>
        <w:t>.1试验设备与试验人员</w:t>
      </w:r>
      <w:bookmarkEnd w:id="633"/>
    </w:p>
    <w:bookmarkEnd w:id="634"/>
    <w:p w14:paraId="0493219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E77569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9.1.2 承包人应按专用合同条款的约定提供试验设备、取样装置、试验场所和试验条件，并向监理人提交相应进场计划表。</w:t>
      </w:r>
    </w:p>
    <w:p w14:paraId="79E3CE9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承包人配置的试验设备要符合相应试验规程的要求并经过具有资质的检测单位检测，且在正式使用该试验设备前，需要经过监理人与承包人共同校定。</w:t>
      </w:r>
    </w:p>
    <w:p w14:paraId="1612B94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9.1.3 承包人应向监理人提交试验人员的名单及其岗位、资格等证明资料，试验人员必须能够熟练进行相应的检测试验，承包人对试验人员的试验程序和试验结果的正确性负责。</w:t>
      </w:r>
    </w:p>
    <w:p w14:paraId="37F139F0">
      <w:pPr>
        <w:pStyle w:val="6"/>
        <w:spacing w:before="120" w:after="120"/>
        <w:ind w:left="0" w:firstLine="360" w:firstLineChars="200"/>
        <w:rPr>
          <w:rFonts w:ascii="仿宋_GB2312" w:hAnsi="仿宋_GB2312" w:eastAsia="仿宋_GB2312" w:cs="仿宋_GB2312"/>
          <w:b w:val="0"/>
          <w:color w:val="000000"/>
          <w:sz w:val="18"/>
          <w:szCs w:val="18"/>
        </w:rPr>
      </w:pPr>
      <w:bookmarkStart w:id="635" w:name="_Toc351203564"/>
      <w:r>
        <w:rPr>
          <w:rFonts w:hint="eastAsia" w:ascii="仿宋_GB2312" w:hAnsi="仿宋_GB2312" w:eastAsia="仿宋_GB2312" w:cs="仿宋_GB2312"/>
          <w:b w:val="0"/>
          <w:color w:val="000000"/>
          <w:sz w:val="18"/>
          <w:szCs w:val="18"/>
        </w:rPr>
        <w:t>9</w:t>
      </w:r>
      <w:bookmarkStart w:id="636" w:name="_Toc337558784"/>
      <w:r>
        <w:rPr>
          <w:rFonts w:hint="eastAsia" w:ascii="仿宋_GB2312" w:hAnsi="仿宋_GB2312" w:eastAsia="仿宋_GB2312" w:cs="仿宋_GB2312"/>
          <w:b w:val="0"/>
          <w:color w:val="000000"/>
          <w:sz w:val="18"/>
          <w:szCs w:val="18"/>
        </w:rPr>
        <w:t>.2取样</w:t>
      </w:r>
      <w:bookmarkEnd w:id="635"/>
    </w:p>
    <w:bookmarkEnd w:id="636"/>
    <w:p w14:paraId="5A621C4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试验属于自检性质的，承包人可以单独取样。试验属于监理人抽检性质的，可由监理人取样，也可由承包人的试验人员在监理人的监督下取样。</w:t>
      </w:r>
    </w:p>
    <w:p w14:paraId="2CAF47BD">
      <w:pPr>
        <w:pStyle w:val="6"/>
        <w:spacing w:before="120" w:after="120"/>
        <w:ind w:left="0" w:firstLine="360" w:firstLineChars="200"/>
        <w:rPr>
          <w:rFonts w:ascii="仿宋_GB2312" w:hAnsi="仿宋_GB2312" w:eastAsia="仿宋_GB2312" w:cs="仿宋_GB2312"/>
          <w:b w:val="0"/>
          <w:color w:val="000000"/>
          <w:sz w:val="18"/>
          <w:szCs w:val="18"/>
        </w:rPr>
      </w:pPr>
      <w:bookmarkStart w:id="637" w:name="_Toc351203565"/>
      <w:r>
        <w:rPr>
          <w:rFonts w:hint="eastAsia" w:ascii="仿宋_GB2312" w:hAnsi="仿宋_GB2312" w:eastAsia="仿宋_GB2312" w:cs="仿宋_GB2312"/>
          <w:b w:val="0"/>
          <w:color w:val="000000"/>
          <w:sz w:val="18"/>
          <w:szCs w:val="18"/>
        </w:rPr>
        <w:t>9</w:t>
      </w:r>
      <w:bookmarkStart w:id="638" w:name="_Toc337558785"/>
      <w:r>
        <w:rPr>
          <w:rFonts w:hint="eastAsia" w:ascii="仿宋_GB2312" w:hAnsi="仿宋_GB2312" w:eastAsia="仿宋_GB2312" w:cs="仿宋_GB2312"/>
          <w:b w:val="0"/>
          <w:color w:val="000000"/>
          <w:sz w:val="18"/>
          <w:szCs w:val="18"/>
        </w:rPr>
        <w:t>.3材料、工程设备和工程的试验和检验</w:t>
      </w:r>
      <w:bookmarkEnd w:id="637"/>
    </w:p>
    <w:bookmarkEnd w:id="638"/>
    <w:p w14:paraId="44D3585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C558CF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FD1551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FF0B95C">
      <w:pPr>
        <w:pStyle w:val="6"/>
        <w:spacing w:before="120" w:after="120"/>
        <w:ind w:left="0" w:firstLine="360" w:firstLineChars="200"/>
        <w:rPr>
          <w:rFonts w:ascii="仿宋_GB2312" w:hAnsi="仿宋_GB2312" w:eastAsia="仿宋_GB2312" w:cs="仿宋_GB2312"/>
          <w:b w:val="0"/>
          <w:color w:val="000000"/>
          <w:sz w:val="18"/>
          <w:szCs w:val="18"/>
        </w:rPr>
      </w:pPr>
      <w:bookmarkStart w:id="639" w:name="_Toc351203566"/>
      <w:r>
        <w:rPr>
          <w:rFonts w:hint="eastAsia" w:ascii="仿宋_GB2312" w:hAnsi="仿宋_GB2312" w:eastAsia="仿宋_GB2312" w:cs="仿宋_GB2312"/>
          <w:b w:val="0"/>
          <w:color w:val="000000"/>
          <w:sz w:val="18"/>
          <w:szCs w:val="18"/>
        </w:rPr>
        <w:t>9</w:t>
      </w:r>
      <w:bookmarkStart w:id="640" w:name="_Toc337558786"/>
      <w:r>
        <w:rPr>
          <w:rFonts w:hint="eastAsia" w:ascii="仿宋_GB2312" w:hAnsi="仿宋_GB2312" w:eastAsia="仿宋_GB2312" w:cs="仿宋_GB2312"/>
          <w:b w:val="0"/>
          <w:color w:val="000000"/>
          <w:sz w:val="18"/>
          <w:szCs w:val="18"/>
        </w:rPr>
        <w:t>.4现场工艺试验</w:t>
      </w:r>
      <w:bookmarkEnd w:id="639"/>
    </w:p>
    <w:bookmarkEnd w:id="640"/>
    <w:p w14:paraId="5A77947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承包人应按合同约定或监理人指示进行现场工艺试验。对大型的现场工艺试验，监理人认为必要时，承包人应根据监理人提出的工艺试验要求，编制工艺试验措施计划，报送监理人审查。</w:t>
      </w:r>
    </w:p>
    <w:p w14:paraId="18B40B0F">
      <w:pPr>
        <w:pStyle w:val="5"/>
        <w:spacing w:before="120" w:after="120" w:line="240" w:lineRule="auto"/>
        <w:rPr>
          <w:rFonts w:ascii="仿宋_GB2312" w:hAnsi="仿宋_GB2312" w:eastAsia="仿宋_GB2312" w:cs="仿宋_GB2312"/>
          <w:b w:val="0"/>
          <w:color w:val="000000"/>
          <w:sz w:val="18"/>
          <w:szCs w:val="18"/>
        </w:rPr>
      </w:pPr>
      <w:bookmarkStart w:id="641" w:name="_Toc351203567"/>
      <w:r>
        <w:rPr>
          <w:rFonts w:hint="eastAsia" w:ascii="仿宋_GB2312" w:hAnsi="仿宋_GB2312" w:eastAsia="仿宋_GB2312" w:cs="仿宋_GB2312"/>
          <w:b w:val="0"/>
          <w:color w:val="000000"/>
          <w:sz w:val="18"/>
          <w:szCs w:val="18"/>
        </w:rPr>
        <w:t>1</w:t>
      </w:r>
      <w:bookmarkStart w:id="642" w:name="_Toc337558787"/>
      <w:r>
        <w:rPr>
          <w:rFonts w:hint="eastAsia" w:ascii="仿宋_GB2312" w:hAnsi="仿宋_GB2312" w:eastAsia="仿宋_GB2312" w:cs="仿宋_GB2312"/>
          <w:b w:val="0"/>
          <w:color w:val="000000"/>
          <w:sz w:val="18"/>
          <w:szCs w:val="18"/>
        </w:rPr>
        <w:t>0. 变更</w:t>
      </w:r>
      <w:bookmarkEnd w:id="631"/>
      <w:bookmarkEnd w:id="632"/>
      <w:bookmarkEnd w:id="641"/>
    </w:p>
    <w:bookmarkEnd w:id="642"/>
    <w:p w14:paraId="586F2077">
      <w:pPr>
        <w:pStyle w:val="6"/>
        <w:spacing w:before="120" w:after="120"/>
        <w:ind w:left="0" w:firstLine="360" w:firstLineChars="200"/>
        <w:rPr>
          <w:rFonts w:ascii="仿宋_GB2312" w:hAnsi="仿宋_GB2312" w:eastAsia="仿宋_GB2312" w:cs="仿宋_GB2312"/>
          <w:b w:val="0"/>
          <w:color w:val="000000"/>
          <w:sz w:val="18"/>
          <w:szCs w:val="18"/>
        </w:rPr>
      </w:pPr>
      <w:bookmarkStart w:id="643" w:name="_Toc351203568"/>
      <w:r>
        <w:rPr>
          <w:rFonts w:hint="eastAsia" w:ascii="仿宋_GB2312" w:hAnsi="仿宋_GB2312" w:eastAsia="仿宋_GB2312" w:cs="仿宋_GB2312"/>
          <w:b w:val="0"/>
          <w:color w:val="000000"/>
          <w:sz w:val="18"/>
          <w:szCs w:val="18"/>
        </w:rPr>
        <w:t>1</w:t>
      </w:r>
      <w:bookmarkStart w:id="644" w:name="_Toc296346585"/>
      <w:bookmarkStart w:id="645" w:name="_Toc337558788"/>
      <w:bookmarkStart w:id="646" w:name="_Toc296503084"/>
      <w:r>
        <w:rPr>
          <w:rFonts w:hint="eastAsia" w:ascii="仿宋_GB2312" w:hAnsi="仿宋_GB2312" w:eastAsia="仿宋_GB2312" w:cs="仿宋_GB2312"/>
          <w:b w:val="0"/>
          <w:color w:val="000000"/>
          <w:sz w:val="18"/>
          <w:szCs w:val="18"/>
        </w:rPr>
        <w:t>0.1变更的范围</w:t>
      </w:r>
      <w:bookmarkEnd w:id="643"/>
    </w:p>
    <w:bookmarkEnd w:id="644"/>
    <w:bookmarkEnd w:id="645"/>
    <w:bookmarkEnd w:id="646"/>
    <w:p w14:paraId="5B012CC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除专用合同条款另有约定外，合同履行过程中发生以下情形的，应按照本条约定进行变更：</w:t>
      </w:r>
    </w:p>
    <w:p w14:paraId="3DEA08D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（1）增加或减少合同中任何工作，或追加额外的工作；</w:t>
      </w:r>
    </w:p>
    <w:p w14:paraId="438BD83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（2）取消合同中任何工作，但转由他人实施的工作除外；</w:t>
      </w:r>
    </w:p>
    <w:p w14:paraId="153B715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（3）改变合同中任何工作的质量标准或其他特性；</w:t>
      </w:r>
    </w:p>
    <w:p w14:paraId="1ED74F1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（4）改变工程的基线、标高、位置和尺寸；</w:t>
      </w:r>
    </w:p>
    <w:p w14:paraId="50F9A46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（5）改变工程的时间安排或实施顺序。</w:t>
      </w:r>
    </w:p>
    <w:p w14:paraId="279CCB55">
      <w:pPr>
        <w:pStyle w:val="6"/>
        <w:spacing w:before="120" w:after="120"/>
        <w:ind w:left="0" w:firstLine="360" w:firstLineChars="200"/>
        <w:rPr>
          <w:rFonts w:ascii="仿宋_GB2312" w:hAnsi="仿宋_GB2312" w:eastAsia="仿宋_GB2312" w:cs="仿宋_GB2312"/>
          <w:b w:val="0"/>
          <w:color w:val="000000"/>
          <w:sz w:val="18"/>
          <w:szCs w:val="18"/>
        </w:rPr>
      </w:pPr>
      <w:bookmarkStart w:id="647" w:name="_Toc351203569"/>
      <w:r>
        <w:rPr>
          <w:rFonts w:hint="eastAsia" w:ascii="仿宋_GB2312" w:hAnsi="仿宋_GB2312" w:eastAsia="仿宋_GB2312" w:cs="仿宋_GB2312"/>
          <w:b w:val="0"/>
          <w:color w:val="000000"/>
          <w:sz w:val="18"/>
          <w:szCs w:val="18"/>
        </w:rPr>
        <w:t>1</w:t>
      </w:r>
      <w:bookmarkStart w:id="648" w:name="_Toc337558789"/>
      <w:bookmarkStart w:id="649" w:name="_Toc296346586"/>
      <w:bookmarkStart w:id="650" w:name="_Toc296503085"/>
      <w:r>
        <w:rPr>
          <w:rFonts w:hint="eastAsia" w:ascii="仿宋_GB2312" w:hAnsi="仿宋_GB2312" w:eastAsia="仿宋_GB2312" w:cs="仿宋_GB2312"/>
          <w:b w:val="0"/>
          <w:color w:val="000000"/>
          <w:sz w:val="18"/>
          <w:szCs w:val="18"/>
        </w:rPr>
        <w:t>0.2变更权</w:t>
      </w:r>
      <w:bookmarkEnd w:id="647"/>
    </w:p>
    <w:bookmarkEnd w:id="648"/>
    <w:bookmarkEnd w:id="649"/>
    <w:bookmarkEnd w:id="650"/>
    <w:p w14:paraId="3785A12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FCE7DF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涉及设计变更的，应由设计人提供变更后的图纸和说明。如变更超过原设计标准或批准的建设规模时，发包人应及时办理规划、设计变更等审批手续。</w:t>
      </w:r>
    </w:p>
    <w:p w14:paraId="517AA2F1">
      <w:pPr>
        <w:pStyle w:val="6"/>
        <w:spacing w:before="120" w:after="120"/>
        <w:ind w:left="0" w:firstLine="360" w:firstLineChars="200"/>
        <w:rPr>
          <w:rFonts w:ascii="仿宋_GB2312" w:hAnsi="仿宋_GB2312" w:eastAsia="仿宋_GB2312" w:cs="仿宋_GB2312"/>
          <w:b w:val="0"/>
          <w:color w:val="000000"/>
          <w:sz w:val="18"/>
          <w:szCs w:val="18"/>
        </w:rPr>
      </w:pPr>
      <w:bookmarkStart w:id="651" w:name="_Toc351203570"/>
      <w:r>
        <w:rPr>
          <w:rFonts w:hint="eastAsia" w:ascii="仿宋_GB2312" w:hAnsi="仿宋_GB2312" w:eastAsia="仿宋_GB2312" w:cs="仿宋_GB2312"/>
          <w:b w:val="0"/>
          <w:color w:val="000000"/>
          <w:sz w:val="18"/>
          <w:szCs w:val="18"/>
        </w:rPr>
        <w:t>1</w:t>
      </w:r>
      <w:bookmarkStart w:id="652" w:name="_Toc296503086"/>
      <w:bookmarkStart w:id="653" w:name="_Toc337558790"/>
      <w:bookmarkStart w:id="654" w:name="_Toc296346587"/>
      <w:r>
        <w:rPr>
          <w:rFonts w:hint="eastAsia" w:ascii="仿宋_GB2312" w:hAnsi="仿宋_GB2312" w:eastAsia="仿宋_GB2312" w:cs="仿宋_GB2312"/>
          <w:b w:val="0"/>
          <w:color w:val="000000"/>
          <w:sz w:val="18"/>
          <w:szCs w:val="18"/>
        </w:rPr>
        <w:t>0.3变更程序</w:t>
      </w:r>
      <w:bookmarkEnd w:id="651"/>
    </w:p>
    <w:bookmarkEnd w:id="652"/>
    <w:bookmarkEnd w:id="653"/>
    <w:bookmarkEnd w:id="654"/>
    <w:p w14:paraId="4A3A872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10</w:t>
      </w:r>
      <w:r>
        <w:rPr>
          <w:rFonts w:hint="eastAsia" w:ascii="仿宋_GB2312" w:hAnsi="仿宋_GB2312" w:eastAsia="仿宋_GB2312" w:cs="仿宋_GB2312"/>
          <w:color w:val="000000"/>
          <w:kern w:val="0"/>
          <w:sz w:val="18"/>
          <w:szCs w:val="18"/>
        </w:rPr>
        <w:t>.3.1 发包人提出变更</w:t>
      </w:r>
    </w:p>
    <w:p w14:paraId="0601FE3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发包人提出变更的，应通过监理人向承包人发出变更指示，变更指示应说明计划变更的工程范围和变更的内容。</w:t>
      </w:r>
    </w:p>
    <w:p w14:paraId="1D2643D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10</w:t>
      </w:r>
      <w:r>
        <w:rPr>
          <w:rFonts w:hint="eastAsia" w:ascii="仿宋_GB2312" w:hAnsi="仿宋_GB2312" w:eastAsia="仿宋_GB2312" w:cs="仿宋_GB2312"/>
          <w:color w:val="000000"/>
          <w:kern w:val="0"/>
          <w:sz w:val="18"/>
          <w:szCs w:val="18"/>
        </w:rPr>
        <w:t>.3.2 监理人提出变更建议</w:t>
      </w:r>
    </w:p>
    <w:p w14:paraId="7721B8F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8610089">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10.3.3 变更执行</w:t>
      </w:r>
    </w:p>
    <w:p w14:paraId="20885A3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00793ED">
      <w:pPr>
        <w:pStyle w:val="6"/>
        <w:spacing w:before="120" w:after="120"/>
        <w:ind w:left="0" w:firstLine="360" w:firstLineChars="200"/>
        <w:rPr>
          <w:rFonts w:ascii="仿宋_GB2312" w:hAnsi="仿宋_GB2312" w:eastAsia="仿宋_GB2312" w:cs="仿宋_GB2312"/>
          <w:b w:val="0"/>
          <w:color w:val="000000"/>
          <w:sz w:val="18"/>
          <w:szCs w:val="18"/>
        </w:rPr>
      </w:pPr>
      <w:bookmarkStart w:id="655" w:name="_Toc351203571"/>
      <w:r>
        <w:rPr>
          <w:rFonts w:hint="eastAsia" w:ascii="仿宋_GB2312" w:hAnsi="仿宋_GB2312" w:eastAsia="仿宋_GB2312" w:cs="仿宋_GB2312"/>
          <w:b w:val="0"/>
          <w:color w:val="000000"/>
          <w:sz w:val="18"/>
          <w:szCs w:val="18"/>
        </w:rPr>
        <w:t>1</w:t>
      </w:r>
      <w:bookmarkStart w:id="656" w:name="_Toc296346588"/>
      <w:bookmarkStart w:id="657" w:name="_Toc296503087"/>
      <w:bookmarkStart w:id="658" w:name="_Toc337558791"/>
      <w:r>
        <w:rPr>
          <w:rFonts w:hint="eastAsia" w:ascii="仿宋_GB2312" w:hAnsi="仿宋_GB2312" w:eastAsia="仿宋_GB2312" w:cs="仿宋_GB2312"/>
          <w:b w:val="0"/>
          <w:color w:val="000000"/>
          <w:sz w:val="18"/>
          <w:szCs w:val="18"/>
        </w:rPr>
        <w:t>0.4变更估价</w:t>
      </w:r>
      <w:bookmarkEnd w:id="655"/>
    </w:p>
    <w:bookmarkEnd w:id="656"/>
    <w:bookmarkEnd w:id="657"/>
    <w:bookmarkEnd w:id="658"/>
    <w:p w14:paraId="2FF4EEF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10.4.1 变更估价原则</w:t>
      </w:r>
    </w:p>
    <w:p w14:paraId="6D027D4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除专用合同条款另有约定外，变更估价按照本款约定处理：</w:t>
      </w:r>
    </w:p>
    <w:p w14:paraId="7FAEBC4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（1）已标价工程量清单或预算书有相同项目的，按照相同项目单价认定；</w:t>
      </w:r>
    </w:p>
    <w:p w14:paraId="56067D4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（2）已标价工程量清单或预算书中无相同项目，但有类似项目的，参照类似项目的单价认定；</w:t>
      </w:r>
    </w:p>
    <w:p w14:paraId="1D678CE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896D31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10.4.2 变更估价程序</w:t>
      </w:r>
    </w:p>
    <w:p w14:paraId="6EB7356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D8F133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因变更引起的价格调整应计入最近一期的进度款中支付。</w:t>
      </w:r>
    </w:p>
    <w:p w14:paraId="4EDE4DA7">
      <w:pPr>
        <w:pStyle w:val="6"/>
        <w:spacing w:before="120" w:after="120"/>
        <w:ind w:left="0" w:firstLine="360" w:firstLineChars="200"/>
        <w:rPr>
          <w:rFonts w:ascii="仿宋_GB2312" w:hAnsi="仿宋_GB2312" w:eastAsia="仿宋_GB2312" w:cs="仿宋_GB2312"/>
          <w:b w:val="0"/>
          <w:color w:val="000000"/>
          <w:sz w:val="18"/>
          <w:szCs w:val="18"/>
        </w:rPr>
      </w:pPr>
      <w:bookmarkStart w:id="659" w:name="_Toc351203572"/>
      <w:r>
        <w:rPr>
          <w:rFonts w:hint="eastAsia" w:ascii="仿宋_GB2312" w:hAnsi="仿宋_GB2312" w:eastAsia="仿宋_GB2312" w:cs="仿宋_GB2312"/>
          <w:b w:val="0"/>
          <w:color w:val="000000"/>
          <w:sz w:val="18"/>
          <w:szCs w:val="18"/>
        </w:rPr>
        <w:t>1</w:t>
      </w:r>
      <w:bookmarkStart w:id="660" w:name="_Toc337558792"/>
      <w:bookmarkStart w:id="661" w:name="_Toc296346595"/>
      <w:bookmarkStart w:id="662" w:name="_Toc296503094"/>
      <w:r>
        <w:rPr>
          <w:rFonts w:hint="eastAsia" w:ascii="仿宋_GB2312" w:hAnsi="仿宋_GB2312" w:eastAsia="仿宋_GB2312" w:cs="仿宋_GB2312"/>
          <w:b w:val="0"/>
          <w:color w:val="000000"/>
          <w:sz w:val="18"/>
          <w:szCs w:val="18"/>
        </w:rPr>
        <w:t>0.5承包人的合理化建议</w:t>
      </w:r>
      <w:bookmarkEnd w:id="659"/>
    </w:p>
    <w:bookmarkEnd w:id="660"/>
    <w:bookmarkEnd w:id="661"/>
    <w:bookmarkEnd w:id="662"/>
    <w:p w14:paraId="3CCAC7F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承包人提出合理化建议的，应向监理人提交合理化建议说明，说明建议的内容和理由，以及实施该建议对合同价格和工期的影响。</w:t>
      </w:r>
    </w:p>
    <w:p w14:paraId="5BC1B09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852345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合理化建议降低了合同价格或者提高了工程经济效益的，发包人可对承包人给予奖励，奖励的方法和金额在专用合同条款中约定。</w:t>
      </w:r>
    </w:p>
    <w:p w14:paraId="12AA6A4A">
      <w:pPr>
        <w:pStyle w:val="6"/>
        <w:spacing w:before="120" w:after="120"/>
        <w:ind w:left="0" w:firstLine="360" w:firstLineChars="200"/>
        <w:rPr>
          <w:rFonts w:ascii="仿宋_GB2312" w:hAnsi="仿宋_GB2312" w:eastAsia="仿宋_GB2312" w:cs="仿宋_GB2312"/>
          <w:color w:val="000000"/>
          <w:sz w:val="18"/>
          <w:szCs w:val="18"/>
        </w:rPr>
      </w:pPr>
      <w:bookmarkStart w:id="663" w:name="_Toc351203573"/>
      <w:r>
        <w:rPr>
          <w:rFonts w:hint="eastAsia" w:ascii="仿宋_GB2312" w:hAnsi="仿宋_GB2312" w:eastAsia="仿宋_GB2312" w:cs="仿宋_GB2312"/>
          <w:b w:val="0"/>
          <w:color w:val="000000"/>
          <w:sz w:val="18"/>
          <w:szCs w:val="18"/>
        </w:rPr>
        <w:t>1</w:t>
      </w:r>
      <w:bookmarkStart w:id="664" w:name="_Toc337558793"/>
      <w:r>
        <w:rPr>
          <w:rFonts w:hint="eastAsia" w:ascii="仿宋_GB2312" w:hAnsi="仿宋_GB2312" w:eastAsia="仿宋_GB2312" w:cs="仿宋_GB2312"/>
          <w:b w:val="0"/>
          <w:color w:val="000000"/>
          <w:sz w:val="18"/>
          <w:szCs w:val="18"/>
        </w:rPr>
        <w:t>0.6变更引起的工期调整</w:t>
      </w:r>
      <w:bookmarkEnd w:id="663"/>
      <w:bookmarkEnd w:id="664"/>
    </w:p>
    <w:p w14:paraId="415F63F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因变更引起工期变化的，合同当事人均可要求调整合同工期，由合同当事人按照第4.4款〔商定或确定〕并参考工程所在地的工期定额标准确定增减工期天数。</w:t>
      </w:r>
    </w:p>
    <w:p w14:paraId="2144628E">
      <w:pPr>
        <w:pStyle w:val="6"/>
        <w:spacing w:before="120" w:after="120"/>
        <w:ind w:left="0" w:firstLine="360" w:firstLineChars="200"/>
        <w:rPr>
          <w:rFonts w:ascii="仿宋_GB2312" w:hAnsi="仿宋_GB2312" w:eastAsia="仿宋_GB2312" w:cs="仿宋_GB2312"/>
          <w:b w:val="0"/>
          <w:color w:val="000000"/>
          <w:sz w:val="18"/>
          <w:szCs w:val="18"/>
        </w:rPr>
      </w:pPr>
      <w:bookmarkStart w:id="665" w:name="_Toc351203574"/>
      <w:r>
        <w:rPr>
          <w:rFonts w:hint="eastAsia" w:ascii="仿宋_GB2312" w:hAnsi="仿宋_GB2312" w:eastAsia="仿宋_GB2312" w:cs="仿宋_GB2312"/>
          <w:b w:val="0"/>
          <w:color w:val="000000"/>
          <w:sz w:val="18"/>
          <w:szCs w:val="18"/>
        </w:rPr>
        <w:t>10.7暂估价</w:t>
      </w:r>
      <w:bookmarkEnd w:id="665"/>
    </w:p>
    <w:p w14:paraId="7E16FB1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暂估价专业分包工程、服务、材料和工程设备的明细由合同当事人在专用合同条款中约定。</w:t>
      </w:r>
    </w:p>
    <w:p w14:paraId="1FA752D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10.7.1</w:t>
      </w:r>
      <w:r>
        <w:rPr>
          <w:rFonts w:hint="eastAsia" w:ascii="仿宋_GB2312" w:hAnsi="仿宋_GB2312" w:eastAsia="仿宋_GB2312" w:cs="仿宋_GB2312"/>
          <w:color w:val="000000"/>
          <w:kern w:val="0"/>
          <w:sz w:val="18"/>
          <w:szCs w:val="18"/>
        </w:rPr>
        <w:t xml:space="preserve"> 依法必须招标的暂估价项目</w:t>
      </w:r>
    </w:p>
    <w:p w14:paraId="7F8A13A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对于依法必须招标的暂估价项目，采取以下第1种方式确定。合同当事人也可以在专用合同条款中选择其他招标方式。</w:t>
      </w:r>
    </w:p>
    <w:p w14:paraId="0DFC7DA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第1种方式：对于依法必须招标的暂估价项目，由承包人招标，对该暂估价项目的确认和批准按照以下约定执行：</w:t>
      </w:r>
    </w:p>
    <w:p w14:paraId="30B3DED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4ECBCD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D9D87B9">
      <w:pPr>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4BD450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01ACD9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10.7.2</w:t>
      </w:r>
      <w:r>
        <w:rPr>
          <w:rFonts w:hint="eastAsia" w:ascii="仿宋_GB2312" w:hAnsi="仿宋_GB2312" w:eastAsia="仿宋_GB2312" w:cs="仿宋_GB2312"/>
          <w:color w:val="000000"/>
          <w:kern w:val="0"/>
          <w:sz w:val="18"/>
          <w:szCs w:val="18"/>
        </w:rPr>
        <w:t>不属于依法必须招标的暂估价项目</w:t>
      </w:r>
    </w:p>
    <w:p w14:paraId="3A1C20A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除专用合同条款另有约定外，对于不属于依法必须招标的暂估价项目，采取以下第1种方式确定： </w:t>
      </w:r>
    </w:p>
    <w:p w14:paraId="3341173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第1种方式：对于不属于依法必须招标的暂估价项目，按本项约定确认和批准：</w:t>
      </w:r>
    </w:p>
    <w:p w14:paraId="78BDBC8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6A123E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（2）发包人认为承包人确定的供应商、分包人无法满足工程质量或合同要求的，发包人可以要求承包人重新确定暂估价项目的供应商、分包人;</w:t>
      </w:r>
    </w:p>
    <w:p w14:paraId="5AB3BED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（3）承包人应当在签订暂估价合同后7天内，将暂估价合同副本报送发包人留存。</w:t>
      </w:r>
    </w:p>
    <w:p w14:paraId="37FCBE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第2种方式：承包人按照第10.7.1项〔依法必须招标的暂估价项目〕约定的第1种方式确定暂估价项目。</w:t>
      </w:r>
    </w:p>
    <w:p w14:paraId="5C01B45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第3种方式：</w:t>
      </w:r>
      <w:r>
        <w:rPr>
          <w:rFonts w:hint="eastAsia" w:ascii="仿宋_GB2312" w:hAnsi="仿宋_GB2312" w:eastAsia="仿宋_GB2312" w:cs="仿宋_GB2312"/>
          <w:color w:val="000000"/>
          <w:kern w:val="0"/>
          <w:sz w:val="18"/>
          <w:szCs w:val="18"/>
        </w:rPr>
        <w:t>承包人直接实施的暂估价项目</w:t>
      </w:r>
    </w:p>
    <w:p w14:paraId="46EFC1E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承包人具备实施暂估价项目的资格和条件的，经发包人和承包人协商一致后，可由承包人自行实施暂估价项目，合同当事人可以在专用合同条款约定具体事项。</w:t>
      </w:r>
    </w:p>
    <w:p w14:paraId="0E5B437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6206C55">
      <w:pPr>
        <w:pStyle w:val="6"/>
        <w:spacing w:before="120" w:after="120"/>
        <w:ind w:left="0" w:firstLine="360" w:firstLineChars="200"/>
        <w:rPr>
          <w:rFonts w:ascii="仿宋_GB2312" w:hAnsi="仿宋_GB2312" w:eastAsia="仿宋_GB2312" w:cs="仿宋_GB2312"/>
          <w:b w:val="0"/>
          <w:color w:val="000000"/>
          <w:sz w:val="18"/>
          <w:szCs w:val="18"/>
        </w:rPr>
      </w:pPr>
      <w:bookmarkStart w:id="666" w:name="_Toc351203575"/>
      <w:r>
        <w:rPr>
          <w:rFonts w:hint="eastAsia" w:ascii="仿宋_GB2312" w:hAnsi="仿宋_GB2312" w:eastAsia="仿宋_GB2312" w:cs="仿宋_GB2312"/>
          <w:b w:val="0"/>
          <w:color w:val="000000"/>
          <w:sz w:val="18"/>
          <w:szCs w:val="18"/>
        </w:rPr>
        <w:t>1</w:t>
      </w:r>
      <w:bookmarkStart w:id="667" w:name="_Toc337558794"/>
      <w:bookmarkStart w:id="668" w:name="_Toc322522561"/>
      <w:bookmarkStart w:id="669" w:name="_Toc296346591"/>
      <w:bookmarkStart w:id="670" w:name="_Toc296503090"/>
      <w:r>
        <w:rPr>
          <w:rFonts w:hint="eastAsia" w:ascii="仿宋_GB2312" w:hAnsi="仿宋_GB2312" w:eastAsia="仿宋_GB2312" w:cs="仿宋_GB2312"/>
          <w:b w:val="0"/>
          <w:color w:val="000000"/>
          <w:sz w:val="18"/>
          <w:szCs w:val="18"/>
        </w:rPr>
        <w:t>0.8暂列金额</w:t>
      </w:r>
      <w:bookmarkEnd w:id="666"/>
    </w:p>
    <w:bookmarkEnd w:id="667"/>
    <w:p w14:paraId="02B6E61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暂列金额应按照发包人的要求使用，发包人的要求应通过监理人发出。合同当事人可以在专用合同条款中协商确定有关事项。</w:t>
      </w:r>
    </w:p>
    <w:bookmarkEnd w:id="668"/>
    <w:bookmarkEnd w:id="669"/>
    <w:bookmarkEnd w:id="670"/>
    <w:p w14:paraId="59FCCC9C">
      <w:pPr>
        <w:pStyle w:val="6"/>
        <w:spacing w:before="120" w:after="120"/>
        <w:ind w:left="0" w:firstLine="360" w:firstLineChars="200"/>
        <w:rPr>
          <w:rFonts w:ascii="仿宋_GB2312" w:hAnsi="仿宋_GB2312" w:eastAsia="仿宋_GB2312" w:cs="仿宋_GB2312"/>
          <w:b w:val="0"/>
          <w:color w:val="000000"/>
          <w:sz w:val="18"/>
          <w:szCs w:val="18"/>
        </w:rPr>
      </w:pPr>
      <w:bookmarkStart w:id="671" w:name="_Toc351203576"/>
      <w:r>
        <w:rPr>
          <w:rFonts w:hint="eastAsia" w:ascii="仿宋_GB2312" w:hAnsi="仿宋_GB2312" w:eastAsia="仿宋_GB2312" w:cs="仿宋_GB2312"/>
          <w:b w:val="0"/>
          <w:color w:val="000000"/>
          <w:sz w:val="18"/>
          <w:szCs w:val="18"/>
        </w:rPr>
        <w:t>1</w:t>
      </w:r>
      <w:bookmarkStart w:id="672" w:name="_Toc296503091"/>
      <w:bookmarkStart w:id="673" w:name="_Toc337558796"/>
      <w:bookmarkStart w:id="674" w:name="_Toc296346592"/>
      <w:r>
        <w:rPr>
          <w:rFonts w:hint="eastAsia" w:ascii="仿宋_GB2312" w:hAnsi="仿宋_GB2312" w:eastAsia="仿宋_GB2312" w:cs="仿宋_GB2312"/>
          <w:b w:val="0"/>
          <w:color w:val="000000"/>
          <w:sz w:val="18"/>
          <w:szCs w:val="18"/>
        </w:rPr>
        <w:t>0.9计日工</w:t>
      </w:r>
      <w:bookmarkEnd w:id="671"/>
      <w:bookmarkEnd w:id="672"/>
      <w:bookmarkEnd w:id="673"/>
      <w:bookmarkEnd w:id="674"/>
    </w:p>
    <w:p w14:paraId="477D1F4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72CA80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采用计日工计价的任何一项工作，承包人应在该项工作实施过程中，每天提交以下报表和有关凭证报送监理人审查：</w:t>
      </w:r>
    </w:p>
    <w:p w14:paraId="71EBBCD8">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（1）工作名称、内容和数量；</w:t>
      </w:r>
    </w:p>
    <w:p w14:paraId="61F0F1DD">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（2）投入该工作的所有人员的姓名、专业、工种、级别和耗用工时；</w:t>
      </w:r>
    </w:p>
    <w:p w14:paraId="1D03E26E">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（3）投入该工作的材料类别和数量；</w:t>
      </w:r>
    </w:p>
    <w:p w14:paraId="5A989D94">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（4）投入该工作的施工设备型号、台数和耗用台时；</w:t>
      </w:r>
    </w:p>
    <w:p w14:paraId="51902F93">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（5）其他有关资料和凭证。</w:t>
      </w:r>
    </w:p>
    <w:p w14:paraId="5B28EECB">
      <w:pPr>
        <w:ind w:firstLine="270" w:firstLineChars="15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计日工由承包人汇总后，列入最近一期进度付款申请单，由监理人审查并经发包人批准后列入进度付款。</w:t>
      </w:r>
    </w:p>
    <w:p w14:paraId="73FDA3DB">
      <w:pPr>
        <w:pStyle w:val="5"/>
        <w:spacing w:before="120" w:after="120" w:line="240" w:lineRule="auto"/>
        <w:rPr>
          <w:rFonts w:ascii="仿宋_GB2312" w:hAnsi="仿宋_GB2312" w:eastAsia="仿宋_GB2312" w:cs="仿宋_GB2312"/>
          <w:b w:val="0"/>
          <w:color w:val="000000"/>
          <w:sz w:val="18"/>
          <w:szCs w:val="18"/>
        </w:rPr>
      </w:pPr>
      <w:bookmarkStart w:id="675" w:name="_Toc351203577"/>
      <w:r>
        <w:rPr>
          <w:rFonts w:hint="eastAsia" w:ascii="仿宋_GB2312" w:hAnsi="仿宋_GB2312" w:eastAsia="仿宋_GB2312" w:cs="仿宋_GB2312"/>
          <w:b w:val="0"/>
          <w:color w:val="000000"/>
          <w:sz w:val="18"/>
          <w:szCs w:val="18"/>
        </w:rPr>
        <w:t>11. 价格调整</w:t>
      </w:r>
      <w:bookmarkEnd w:id="675"/>
    </w:p>
    <w:p w14:paraId="5C69CE4E">
      <w:pPr>
        <w:pStyle w:val="6"/>
        <w:spacing w:before="120" w:after="120"/>
        <w:ind w:left="0" w:firstLine="360" w:firstLineChars="200"/>
        <w:rPr>
          <w:rFonts w:ascii="仿宋_GB2312" w:hAnsi="仿宋_GB2312" w:eastAsia="仿宋_GB2312" w:cs="仿宋_GB2312"/>
          <w:b w:val="0"/>
          <w:color w:val="000000"/>
          <w:sz w:val="18"/>
          <w:szCs w:val="18"/>
        </w:rPr>
      </w:pPr>
      <w:bookmarkStart w:id="676" w:name="_Toc351203578"/>
      <w:bookmarkStart w:id="677" w:name="_Toc296346593"/>
      <w:bookmarkStart w:id="678" w:name="_Toc296503092"/>
      <w:bookmarkStart w:id="679" w:name="_Toc337558797"/>
      <w:r>
        <w:rPr>
          <w:rFonts w:hint="eastAsia" w:ascii="仿宋_GB2312" w:hAnsi="仿宋_GB2312" w:eastAsia="仿宋_GB2312" w:cs="仿宋_GB2312"/>
          <w:b w:val="0"/>
          <w:color w:val="000000"/>
          <w:sz w:val="18"/>
          <w:szCs w:val="18"/>
        </w:rPr>
        <w:t>11.1市场价格波动引起的调整</w:t>
      </w:r>
      <w:bookmarkEnd w:id="676"/>
    </w:p>
    <w:bookmarkEnd w:id="677"/>
    <w:bookmarkEnd w:id="678"/>
    <w:bookmarkEnd w:id="679"/>
    <w:p w14:paraId="50EEE24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除专用合同条款另有约定外，市场价格波动超过合同当事人约定的范围，合同价格应当调整。合同当事人可以在专用合同条款中约定选择以下一种方式对合同价格进行调整：</w:t>
      </w:r>
    </w:p>
    <w:p w14:paraId="45368D7D">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第1种方式：采用价格指数进行价格调整。</w:t>
      </w:r>
    </w:p>
    <w:p w14:paraId="739ED464">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（1）价格调整公式</w:t>
      </w:r>
    </w:p>
    <w:p w14:paraId="1E5D257C">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因人工、材料和设备等价格波动影响合同价格时，根据专用合同条款中约定的数据，按以下公式计算差额并调整合同价格：</w:t>
      </w:r>
    </w:p>
    <w:p w14:paraId="4A9052F8">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position w:val="-30"/>
          <w:sz w:val="18"/>
          <w:szCs w:val="18"/>
        </w:rPr>
        <w:object>
          <v:shape id="_x0000_i1025" o:spt="75" type="#_x0000_t75" style="height:44.4pt;width:360pt;" o:ole="t" filled="f" o:preferrelative="t" stroked="f" coordsize="21600,21600">
            <v:path/>
            <v:fill on="f" focussize="0,0"/>
            <v:stroke on="f"/>
            <v:imagedata r:id="rId33" o:title=""/>
            <o:lock v:ext="edit" aspectratio="t"/>
            <w10:wrap type="none"/>
            <w10:anchorlock/>
          </v:shape>
          <o:OLEObject Type="Embed" ProgID="Equation.3" ShapeID="_x0000_i1025" DrawAspect="Content" ObjectID="_1468075725" r:id="rId32">
            <o:LockedField>false</o:LockedField>
          </o:OLEObject>
        </w:object>
      </w:r>
    </w:p>
    <w:p w14:paraId="767BCD50">
      <w:pPr>
        <w:tabs>
          <w:tab w:val="left" w:pos="0"/>
          <w:tab w:val="left" w:pos="360"/>
          <w:tab w:val="left" w:pos="540"/>
        </w:tabs>
        <w:ind w:firstLine="64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公式中：ΔP——需调整的价格差额；</w:t>
      </w:r>
    </w:p>
    <w:p w14:paraId="5F6057FE">
      <w:pPr>
        <w:tabs>
          <w:tab w:val="left" w:pos="0"/>
          <w:tab w:val="left" w:pos="360"/>
          <w:tab w:val="left" w:pos="540"/>
        </w:tabs>
        <w:ind w:firstLine="1080" w:firstLineChars="600"/>
        <w:rPr>
          <w:rFonts w:ascii="仿宋_GB2312" w:hAnsi="仿宋_GB2312" w:eastAsia="仿宋_GB2312" w:cs="仿宋_GB2312"/>
          <w:color w:val="000000"/>
          <w:sz w:val="18"/>
          <w:szCs w:val="18"/>
        </w:rPr>
      </w:pPr>
      <w:r>
        <w:rPr>
          <w:rFonts w:hint="eastAsia" w:ascii="仿宋_GB2312" w:hAnsi="仿宋_GB2312" w:eastAsia="仿宋_GB2312" w:cs="仿宋_GB2312"/>
          <w:color w:val="000000"/>
          <w:position w:val="-6"/>
          <w:sz w:val="18"/>
          <w:szCs w:val="18"/>
        </w:rPr>
        <w:object>
          <v:shape id="_x0000_i1026"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3" ShapeID="_x0000_i1026" DrawAspect="Content" ObjectID="_1468075726" r:id="rId34">
            <o:LockedField>false</o:LockedField>
          </o:OLEObject>
        </w:object>
      </w:r>
      <w:r>
        <w:rPr>
          <w:rFonts w:hint="eastAsia" w:ascii="仿宋_GB2312" w:hAnsi="仿宋_GB2312" w:eastAsia="仿宋_GB2312" w:cs="仿宋_GB2312"/>
          <w:color w:val="000000"/>
          <w:sz w:val="18"/>
          <w:szCs w:val="18"/>
        </w:rPr>
        <w:t>——约定的付款证书中承包人应得到的已完成工程量的金额。此项金额应不包括价格调整、不计质量保证金的扣留和支付、预付款的支付和扣回。约定的变更及其他金额已按现行价格计价的，也不计在内；</w:t>
      </w:r>
    </w:p>
    <w:p w14:paraId="51A06BDF">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A——定值权重（即不调部分的权重）；</w:t>
      </w:r>
    </w:p>
    <w:p w14:paraId="351067E0">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position w:val="-10"/>
          <w:sz w:val="18"/>
          <w:szCs w:val="18"/>
        </w:rPr>
        <w:object>
          <v:shape id="_x0000_i1027" o:spt="75" type="#_x0000_t75" style="height:21pt;width:101.4pt;" o:ole="t" filled="f" o:preferrelative="t" stroked="f" coordsize="21600,21600">
            <v:path/>
            <v:fill on="f" focussize="0,0"/>
            <v:stroke on="f" joinstyle="miter"/>
            <v:imagedata r:id="rId37" o:title=""/>
            <o:lock v:ext="edit" aspectratio="t"/>
            <w10:wrap type="none"/>
            <w10:anchorlock/>
          </v:shape>
          <o:OLEObject Type="Embed" ProgID="Equation.3" ShapeID="_x0000_i1027" DrawAspect="Content" ObjectID="_1468075727" r:id="rId36">
            <o:LockedField>false</o:LockedField>
          </o:OLEObject>
        </w:object>
      </w:r>
      <w:r>
        <w:rPr>
          <w:rFonts w:hint="eastAsia" w:ascii="仿宋_GB2312" w:hAnsi="仿宋_GB2312" w:eastAsia="仿宋_GB2312" w:cs="仿宋_GB2312"/>
          <w:color w:val="000000"/>
          <w:sz w:val="18"/>
          <w:szCs w:val="18"/>
        </w:rPr>
        <w:t>——各可调因子的变值权重（即可调部分的权重），为各可调因子在签约合同价中所占的比例；</w:t>
      </w:r>
    </w:p>
    <w:p w14:paraId="57CFE43F">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position w:val="-10"/>
          <w:sz w:val="18"/>
          <w:szCs w:val="18"/>
        </w:rPr>
        <w:object>
          <v:shape id="_x0000_i1028" o:spt="75" type="#_x0000_t75" style="height:20.4pt;width:102pt;" o:ole="t" filled="f" o:preferrelative="t" stroked="f" coordsize="21600,21600">
            <v:path/>
            <v:fill on="f" focussize="0,0"/>
            <v:stroke on="f" joinstyle="miter"/>
            <v:imagedata r:id="rId39" o:title=""/>
            <o:lock v:ext="edit" aspectratio="t"/>
            <w10:wrap type="none"/>
            <w10:anchorlock/>
          </v:shape>
          <o:OLEObject Type="Embed" ProgID="Equation.3" ShapeID="_x0000_i1028" DrawAspect="Content" ObjectID="_1468075728" r:id="rId38">
            <o:LockedField>false</o:LockedField>
          </o:OLEObject>
        </w:object>
      </w:r>
      <w:r>
        <w:rPr>
          <w:rFonts w:hint="eastAsia" w:ascii="仿宋_GB2312" w:hAnsi="仿宋_GB2312" w:eastAsia="仿宋_GB2312" w:cs="仿宋_GB2312"/>
          <w:color w:val="000000"/>
          <w:sz w:val="18"/>
          <w:szCs w:val="18"/>
        </w:rPr>
        <w:t>——各可调因子的现行价格指数，指约定的付款证书相关周期最后一天的前42天的各可调因子的价格指数；</w:t>
      </w:r>
    </w:p>
    <w:p w14:paraId="305099BF">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position w:val="-10"/>
          <w:sz w:val="18"/>
          <w:szCs w:val="18"/>
        </w:rPr>
        <w:object>
          <v:shape id="_x0000_i1029" o:spt="75" type="#_x0000_t75" style="height:20.4pt;width:108pt;" o:ole="t" filled="f" o:preferrelative="t" stroked="f" coordsize="21600,21600">
            <v:path/>
            <v:fill on="f" focussize="0,0"/>
            <v:stroke on="f" joinstyle="miter"/>
            <v:imagedata r:id="rId41" o:title=""/>
            <o:lock v:ext="edit" aspectratio="t"/>
            <w10:wrap type="none"/>
            <w10:anchorlock/>
          </v:shape>
          <o:OLEObject Type="Embed" ProgID="Equation.3" ShapeID="_x0000_i1029" DrawAspect="Content" ObjectID="_1468075729" r:id="rId40">
            <o:LockedField>false</o:LockedField>
          </o:OLEObject>
        </w:object>
      </w:r>
      <w:r>
        <w:rPr>
          <w:rFonts w:hint="eastAsia" w:ascii="仿宋_GB2312" w:hAnsi="仿宋_GB2312" w:eastAsia="仿宋_GB2312" w:cs="仿宋_GB2312"/>
          <w:color w:val="000000"/>
          <w:sz w:val="18"/>
          <w:szCs w:val="18"/>
        </w:rPr>
        <w:t>——各可调因子的基本价格指数，指基准日期的各可调因子的价格指数。</w:t>
      </w:r>
    </w:p>
    <w:p w14:paraId="56D42B9C">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44B0FBF">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（2）暂时确定调整差额</w:t>
      </w:r>
    </w:p>
    <w:p w14:paraId="706E9FFB">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在计算调整差额时无现行价格指数的，合同当事人同意暂用前次价格指数计算。实际价格指数有调整的，合同当事人进行相应调整。</w:t>
      </w:r>
    </w:p>
    <w:p w14:paraId="40B14014">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（3）权重的调整</w:t>
      </w:r>
    </w:p>
    <w:p w14:paraId="2895A020">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因变更导致合同约定的权重不合理时，按照第4.4款〔商定或确定〕执行。</w:t>
      </w:r>
    </w:p>
    <w:p w14:paraId="7D77E33F">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（4）因承包人原因工期延误后的价格调整</w:t>
      </w:r>
    </w:p>
    <w:p w14:paraId="587F14D1">
      <w:pPr>
        <w:tabs>
          <w:tab w:val="left" w:pos="0"/>
          <w:tab w:val="left" w:pos="360"/>
          <w:tab w:val="left" w:pos="540"/>
        </w:tabs>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因承包人原因未按期竣工的，对合同约定的竣工日期后继续施工的工程，在使用价格调整公式时，应采用计划竣工日期与实际竣工日期的两个价格指数中较低的一个作为现行价格指数。</w:t>
      </w:r>
    </w:p>
    <w:p w14:paraId="1C331E0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第2种方式：采用造价信息进行价格调整。</w:t>
      </w:r>
    </w:p>
    <w:p w14:paraId="449462CE">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E7F72C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C7D17F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（2）材料、工程设备价格变化的价款调整按照发包人提供的基准价格，按以下风险范围规定执行:</w:t>
      </w:r>
    </w:p>
    <w:p w14:paraId="23CCD9AA">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990BC0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37D70C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③承包人在已标价工程量清单或预算书中载明材料单价等于基准价格的：除专用合同条款另有约定外，合同履行期间材料单价涨跌幅以基准价格为基础超过±5%时，其超过部分据实调整。</w:t>
      </w:r>
    </w:p>
    <w:p w14:paraId="4F499C9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A3BCAC4">
      <w:pPr>
        <w:ind w:firstLine="360" w:firstLineChars="200"/>
        <w:rPr>
          <w:rFonts w:ascii="仿宋_GB2312" w:hAnsi="仿宋_GB2312" w:eastAsia="仿宋_GB2312" w:cs="仿宋_GB2312"/>
          <w:color w:val="000000"/>
          <w:sz w:val="18"/>
          <w:szCs w:val="18"/>
        </w:rPr>
      </w:pPr>
      <w:bookmarkStart w:id="680" w:name="OLE_LINK3"/>
      <w:r>
        <w:rPr>
          <w:rFonts w:hint="eastAsia" w:ascii="仿宋_GB2312" w:hAnsi="仿宋_GB2312" w:eastAsia="仿宋_GB2312" w:cs="仿宋_GB2312"/>
          <w:color w:val="000000"/>
          <w:sz w:val="18"/>
          <w:szCs w:val="18"/>
        </w:rPr>
        <w:t>前述基准价格是指由发包人在招标文件或专用合同条款中给定的材料、工程设备的价格，该价格原则上应当按照省级或行业建设主管部门或其授权的工程造价管理机构发布的信息价编制。</w:t>
      </w:r>
    </w:p>
    <w:p w14:paraId="43D8A72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（3）施工机械台班单价或施工机械使用费发生变化超过省级或行业建设主管部门或其授权的工程造价管理机构规定的范围时，按规定调整合同价格。</w:t>
      </w:r>
    </w:p>
    <w:p w14:paraId="6D1A2C6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第3种方式：专用合同条款约定的其他方式。</w:t>
      </w:r>
    </w:p>
    <w:p w14:paraId="563FF95D">
      <w:pPr>
        <w:pStyle w:val="6"/>
        <w:spacing w:before="120" w:after="120"/>
        <w:ind w:left="0" w:firstLine="360" w:firstLineChars="200"/>
        <w:rPr>
          <w:rFonts w:ascii="仿宋_GB2312" w:hAnsi="仿宋_GB2312" w:eastAsia="仿宋_GB2312" w:cs="仿宋_GB2312"/>
          <w:b w:val="0"/>
          <w:color w:val="000000"/>
          <w:sz w:val="18"/>
          <w:szCs w:val="18"/>
        </w:rPr>
      </w:pPr>
      <w:bookmarkStart w:id="681" w:name="_Toc351203579"/>
      <w:bookmarkStart w:id="682" w:name="_Toc337558798"/>
      <w:bookmarkStart w:id="683" w:name="_Toc296503093"/>
      <w:bookmarkStart w:id="684" w:name="_Toc296346594"/>
      <w:r>
        <w:rPr>
          <w:rFonts w:hint="eastAsia" w:ascii="仿宋_GB2312" w:hAnsi="仿宋_GB2312" w:eastAsia="仿宋_GB2312" w:cs="仿宋_GB2312"/>
          <w:b w:val="0"/>
          <w:color w:val="000000"/>
          <w:sz w:val="18"/>
          <w:szCs w:val="18"/>
        </w:rPr>
        <w:t>11.2法律变化引起的调整</w:t>
      </w:r>
      <w:bookmarkEnd w:id="681"/>
    </w:p>
    <w:bookmarkEnd w:id="682"/>
    <w:bookmarkEnd w:id="683"/>
    <w:bookmarkEnd w:id="684"/>
    <w:p w14:paraId="1CE2C26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AFBBBA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因法律变化引起的合同价格和工期调整，合同当事人无法达成一致的，由总监理工程师按第4.4款〔商定或确定〕的约定处理。</w:t>
      </w:r>
    </w:p>
    <w:p w14:paraId="0DD846E2">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因承包人原因造成工期延误，在工期延误期间出现法律变化的，由此增加的费用和（或）延误的工期由承包人承担。</w:t>
      </w:r>
    </w:p>
    <w:p w14:paraId="7DA03C5D">
      <w:pPr>
        <w:pStyle w:val="5"/>
        <w:spacing w:before="120" w:after="120" w:line="240" w:lineRule="auto"/>
        <w:rPr>
          <w:rFonts w:ascii="仿宋_GB2312" w:hAnsi="仿宋_GB2312" w:eastAsia="仿宋_GB2312" w:cs="仿宋_GB2312"/>
          <w:b w:val="0"/>
          <w:color w:val="000000"/>
          <w:sz w:val="18"/>
          <w:szCs w:val="18"/>
        </w:rPr>
      </w:pPr>
      <w:bookmarkStart w:id="685" w:name="_Toc351203580"/>
      <w:bookmarkStart w:id="686" w:name="_Toc337558799"/>
      <w:bookmarkStart w:id="687" w:name="_Toc296346597"/>
      <w:bookmarkStart w:id="688" w:name="_Toc296503096"/>
      <w:r>
        <w:rPr>
          <w:rFonts w:hint="eastAsia" w:ascii="仿宋_GB2312" w:hAnsi="仿宋_GB2312" w:eastAsia="仿宋_GB2312" w:cs="仿宋_GB2312"/>
          <w:b w:val="0"/>
          <w:color w:val="000000"/>
          <w:sz w:val="18"/>
          <w:szCs w:val="18"/>
        </w:rPr>
        <w:t>12. 合同价格、计量与支付</w:t>
      </w:r>
      <w:bookmarkEnd w:id="685"/>
    </w:p>
    <w:bookmarkEnd w:id="686"/>
    <w:p w14:paraId="3BE5F4E6">
      <w:pPr>
        <w:pStyle w:val="6"/>
        <w:spacing w:before="120" w:after="120"/>
        <w:ind w:left="0" w:firstLine="360" w:firstLineChars="200"/>
        <w:rPr>
          <w:rFonts w:ascii="仿宋_GB2312" w:hAnsi="仿宋_GB2312" w:eastAsia="仿宋_GB2312" w:cs="仿宋_GB2312"/>
          <w:b w:val="0"/>
          <w:color w:val="000000"/>
          <w:sz w:val="18"/>
          <w:szCs w:val="18"/>
        </w:rPr>
      </w:pPr>
      <w:bookmarkStart w:id="689" w:name="_Toc351203581"/>
      <w:bookmarkStart w:id="690" w:name="_Toc337558800"/>
      <w:r>
        <w:rPr>
          <w:rFonts w:hint="eastAsia" w:ascii="仿宋_GB2312" w:hAnsi="仿宋_GB2312" w:eastAsia="仿宋_GB2312" w:cs="仿宋_GB2312"/>
          <w:b w:val="0"/>
          <w:color w:val="000000"/>
          <w:sz w:val="18"/>
          <w:szCs w:val="18"/>
        </w:rPr>
        <w:t>12.1 合同价</w:t>
      </w:r>
      <w:bookmarkEnd w:id="687"/>
      <w:bookmarkEnd w:id="688"/>
      <w:r>
        <w:rPr>
          <w:rFonts w:hint="eastAsia" w:ascii="仿宋_GB2312" w:hAnsi="仿宋_GB2312" w:eastAsia="仿宋_GB2312" w:cs="仿宋_GB2312"/>
          <w:b w:val="0"/>
          <w:color w:val="000000"/>
          <w:sz w:val="18"/>
          <w:szCs w:val="18"/>
        </w:rPr>
        <w:t>格形式</w:t>
      </w:r>
      <w:bookmarkEnd w:id="689"/>
    </w:p>
    <w:bookmarkEnd w:id="690"/>
    <w:p w14:paraId="48FD5F7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发包人和承包人应在合同协议书中选择下列一种合同价格形式： </w:t>
      </w:r>
    </w:p>
    <w:p w14:paraId="15F878F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1.单价合同</w:t>
      </w:r>
    </w:p>
    <w:p w14:paraId="67F249E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单价合同是指合同当事人约定以工程量清单及其综合单价进行合同价格计算、调整和确认的建设工程施工合同，</w:t>
      </w:r>
      <w:r>
        <w:rPr>
          <w:rFonts w:hint="eastAsia" w:ascii="仿宋_GB2312" w:hAnsi="仿宋_GB2312" w:eastAsia="仿宋_GB2312" w:cs="仿宋_GB2312"/>
          <w:sz w:val="18"/>
          <w:szCs w:val="18"/>
        </w:rPr>
        <w:t>在约定的范围内合同单价不作调整</w:t>
      </w:r>
      <w:r>
        <w:rPr>
          <w:rFonts w:hint="eastAsia" w:ascii="仿宋_GB2312" w:hAnsi="仿宋_GB2312" w:eastAsia="仿宋_GB2312" w:cs="仿宋_GB2312"/>
          <w:color w:val="000000"/>
          <w:kern w:val="0"/>
          <w:sz w:val="18"/>
          <w:szCs w:val="18"/>
        </w:rPr>
        <w:t>。合同当事人应在专用合同条款中约定综合单价包含的风险范围和风险费用的计算方法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kern w:val="0"/>
          <w:sz w:val="18"/>
          <w:szCs w:val="18"/>
        </w:rPr>
        <w:t>并约定风险范围以外的合同价格的调整方法，其中因市场价格波动引起的调整按第11.1款〔市场价格波动引起的调整〕约定执行。</w:t>
      </w:r>
    </w:p>
    <w:p w14:paraId="20ACC6A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2.总价合同</w:t>
      </w:r>
    </w:p>
    <w:p w14:paraId="35DCE72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总价合同是指合同当事人约定以施工图、已标价工程量清单或预算书及有关条件进行合同价格计算、调整和确认的建设工程施工合同，</w:t>
      </w:r>
      <w:r>
        <w:rPr>
          <w:rFonts w:hint="eastAsia" w:ascii="仿宋_GB2312" w:hAnsi="仿宋_GB2312" w:eastAsia="仿宋_GB2312" w:cs="仿宋_GB2312"/>
          <w:sz w:val="18"/>
          <w:szCs w:val="18"/>
        </w:rPr>
        <w:t>在约定的范围内合同总价不作调整</w:t>
      </w:r>
      <w:r>
        <w:rPr>
          <w:rFonts w:hint="eastAsia" w:ascii="仿宋_GB2312" w:hAnsi="仿宋_GB2312" w:eastAsia="仿宋_GB2312" w:cs="仿宋_GB2312"/>
          <w:color w:val="000000"/>
          <w:kern w:val="0"/>
          <w:sz w:val="18"/>
          <w:szCs w:val="18"/>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696099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3.其它价格形式</w:t>
      </w:r>
    </w:p>
    <w:p w14:paraId="763468B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合同当事人可在专用合同条款中约定其他合同价格形式。</w:t>
      </w:r>
    </w:p>
    <w:p w14:paraId="4A448310">
      <w:pPr>
        <w:pStyle w:val="6"/>
        <w:spacing w:before="120" w:after="120"/>
        <w:ind w:left="0" w:firstLine="360" w:firstLineChars="200"/>
        <w:rPr>
          <w:rFonts w:ascii="仿宋_GB2312" w:hAnsi="仿宋_GB2312" w:eastAsia="仿宋_GB2312" w:cs="仿宋_GB2312"/>
          <w:b w:val="0"/>
          <w:color w:val="000000"/>
          <w:sz w:val="18"/>
          <w:szCs w:val="18"/>
        </w:rPr>
      </w:pPr>
      <w:bookmarkStart w:id="691" w:name="_Toc296503097"/>
      <w:bookmarkStart w:id="692" w:name="_Toc296346598"/>
      <w:bookmarkStart w:id="693" w:name="_Toc351203582"/>
      <w:bookmarkStart w:id="694" w:name="_Toc337558801"/>
      <w:r>
        <w:rPr>
          <w:rFonts w:hint="eastAsia" w:ascii="仿宋_GB2312" w:hAnsi="仿宋_GB2312" w:eastAsia="仿宋_GB2312" w:cs="仿宋_GB2312"/>
          <w:b w:val="0"/>
          <w:color w:val="000000"/>
          <w:sz w:val="18"/>
          <w:szCs w:val="18"/>
        </w:rPr>
        <w:t>12.2预</w:t>
      </w:r>
      <w:bookmarkEnd w:id="691"/>
      <w:bookmarkEnd w:id="692"/>
      <w:bookmarkStart w:id="695" w:name="_Toc296346601"/>
      <w:bookmarkStart w:id="696" w:name="_Toc296503100"/>
      <w:r>
        <w:rPr>
          <w:rFonts w:hint="eastAsia" w:ascii="仿宋_GB2312" w:hAnsi="仿宋_GB2312" w:eastAsia="仿宋_GB2312" w:cs="仿宋_GB2312"/>
          <w:b w:val="0"/>
          <w:color w:val="000000"/>
          <w:sz w:val="18"/>
          <w:szCs w:val="18"/>
        </w:rPr>
        <w:t>付款</w:t>
      </w:r>
      <w:bookmarkEnd w:id="693"/>
    </w:p>
    <w:bookmarkEnd w:id="694"/>
    <w:bookmarkEnd w:id="695"/>
    <w:bookmarkEnd w:id="696"/>
    <w:p w14:paraId="40B72A8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12.2.</w:t>
      </w:r>
      <w:r>
        <w:rPr>
          <w:rFonts w:hint="eastAsia" w:ascii="仿宋_GB2312" w:hAnsi="仿宋_GB2312" w:eastAsia="仿宋_GB2312" w:cs="仿宋_GB2312"/>
          <w:color w:val="000000"/>
          <w:kern w:val="0"/>
          <w:sz w:val="18"/>
          <w:szCs w:val="18"/>
        </w:rPr>
        <w:t>1预付款的支付</w:t>
      </w:r>
    </w:p>
    <w:p w14:paraId="7EEFDBB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预付款的支付按照专用合同条款约定执行，但至迟应在开工通知载明的开工日期7天前支付。预付款应当用于材料、工程设备、施工设备的采购及修建临时工程、组织施工队伍进场等。</w:t>
      </w:r>
    </w:p>
    <w:p w14:paraId="10B654A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除专用合同条款另有约定外，预付款在进度付款中同比例扣回。</w:t>
      </w:r>
      <w:bookmarkEnd w:id="680"/>
      <w:r>
        <w:rPr>
          <w:rFonts w:hint="eastAsia" w:ascii="仿宋_GB2312" w:hAnsi="仿宋_GB2312" w:eastAsia="仿宋_GB2312" w:cs="仿宋_GB2312"/>
          <w:color w:val="000000"/>
          <w:kern w:val="0"/>
          <w:sz w:val="18"/>
          <w:szCs w:val="18"/>
        </w:rPr>
        <w:t>在颁发工程接收证书前，提前解除合同的，尚未扣完的预付款应与合同价款一并结算。</w:t>
      </w:r>
    </w:p>
    <w:p w14:paraId="5B1E44C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发包人逾期支付预付款超过7天的，承包人有权向发包人发出要求预付的催告通知，发包人收到通知后28天内仍未支付的，承包人有权暂停施工，并按第16.1.1项〔发包人违约的情形〕执行。</w:t>
      </w:r>
    </w:p>
    <w:p w14:paraId="1D5D06D9">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12.2.2 预付款担保</w:t>
      </w:r>
    </w:p>
    <w:p w14:paraId="0950126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7398F2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发包人在工程款中逐期扣回预付款后，预付款担保额度应相应减少，但剩余的预付款担保金额不得低于未被扣回的预付款金额。</w:t>
      </w:r>
    </w:p>
    <w:p w14:paraId="6634A2B6">
      <w:pPr>
        <w:pStyle w:val="6"/>
        <w:spacing w:before="120" w:after="120"/>
        <w:ind w:left="0" w:firstLine="360" w:firstLineChars="200"/>
        <w:rPr>
          <w:rFonts w:ascii="仿宋_GB2312" w:hAnsi="仿宋_GB2312" w:eastAsia="仿宋_GB2312" w:cs="仿宋_GB2312"/>
          <w:b w:val="0"/>
          <w:color w:val="000000"/>
          <w:sz w:val="18"/>
          <w:szCs w:val="18"/>
        </w:rPr>
      </w:pPr>
      <w:bookmarkStart w:id="697" w:name="_Toc351203583"/>
      <w:bookmarkStart w:id="698" w:name="_Toc337558802"/>
      <w:r>
        <w:rPr>
          <w:rFonts w:hint="eastAsia" w:ascii="仿宋_GB2312" w:hAnsi="仿宋_GB2312" w:eastAsia="仿宋_GB2312" w:cs="仿宋_GB2312"/>
          <w:b w:val="0"/>
          <w:color w:val="000000"/>
          <w:sz w:val="18"/>
          <w:szCs w:val="18"/>
        </w:rPr>
        <w:t>12.3计量</w:t>
      </w:r>
      <w:bookmarkEnd w:id="697"/>
    </w:p>
    <w:bookmarkEnd w:id="698"/>
    <w:p w14:paraId="3670075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12.3.1 计量原则</w:t>
      </w:r>
    </w:p>
    <w:p w14:paraId="15069C8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工程量计量按照合同约定的工程量计算规则、图纸及变更指示等进行计量。工程量计算规则应以相关的国家标准、行业标准等为依据，由合同当事人在专用合同条款中约定。</w:t>
      </w:r>
    </w:p>
    <w:p w14:paraId="5FCBB5D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12.3.2 计量周期</w:t>
      </w:r>
    </w:p>
    <w:p w14:paraId="5418264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除专用合同条款另有约定外，工程量的计量按月进行。</w:t>
      </w:r>
    </w:p>
    <w:p w14:paraId="41332D3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12.3.3 单价合同的计量</w:t>
      </w:r>
    </w:p>
    <w:p w14:paraId="017D9A0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除专用合同条款另有约定外，单价合同的计量按照本项约定执行：</w:t>
      </w:r>
    </w:p>
    <w:p w14:paraId="6AC10BF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（1）承包人应于每月25日向监理人报送上月20日至当月19日已完成的工程量报告，并附具进度付款申请单、已完成工程量报表和有关资料。</w:t>
      </w:r>
    </w:p>
    <w:p w14:paraId="1C8B936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D5B843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（3）监理人未在收到承包人提交的工程量报表后的7天内完成审核的，承包人报送的工程量报告中的工程量视为承包人实际完成的工程量，据此计算工程价款。</w:t>
      </w:r>
    </w:p>
    <w:p w14:paraId="6A428BD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12.3.4 总价合同的计量</w:t>
      </w:r>
    </w:p>
    <w:p w14:paraId="6D69696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除专用合同条款另有约定外，按月计量支付的总价合同，按照本项约定执行：</w:t>
      </w:r>
    </w:p>
    <w:p w14:paraId="7F3517B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（1）承包人应于每月25日向监理人报送上月20日至当月19日已完成的工程量报告，并附具进度付款申请单、已完成工程量报表和有关资料。</w:t>
      </w:r>
    </w:p>
    <w:p w14:paraId="5B7FFBB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510D7C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（3）监理人未在收到承包人提交的工程量报表后的7天内完成复核的，承包人提交的工程量报告中的工程量视为承包人实际完成的工程量。</w:t>
      </w:r>
    </w:p>
    <w:p w14:paraId="58C73F1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12.3.5 总价合同采用支付分解表计量支付的，可以按照第12.3.4项〔总价合同的计量〕约定进行计量，但合同价款按照支付分解表进行支付。</w:t>
      </w:r>
    </w:p>
    <w:p w14:paraId="3433B00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12.3.6 其他价格形式合同的计量</w:t>
      </w:r>
    </w:p>
    <w:p w14:paraId="6043C25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合同当事人可在专用合同条款中约定其他价格形式合同的计量方式和程序。</w:t>
      </w:r>
    </w:p>
    <w:p w14:paraId="37B43469">
      <w:pPr>
        <w:pStyle w:val="6"/>
        <w:spacing w:before="120" w:after="120"/>
        <w:ind w:left="0" w:firstLine="360" w:firstLineChars="200"/>
        <w:rPr>
          <w:rFonts w:ascii="仿宋_GB2312" w:hAnsi="仿宋_GB2312" w:eastAsia="仿宋_GB2312" w:cs="仿宋_GB2312"/>
          <w:b w:val="0"/>
          <w:color w:val="000000"/>
          <w:sz w:val="18"/>
          <w:szCs w:val="18"/>
        </w:rPr>
      </w:pPr>
      <w:bookmarkStart w:id="699" w:name="_Toc296503101"/>
      <w:bookmarkStart w:id="700" w:name="_Toc296346602"/>
      <w:bookmarkStart w:id="701" w:name="_Toc351203584"/>
      <w:bookmarkStart w:id="702" w:name="_Toc337558803"/>
      <w:r>
        <w:rPr>
          <w:rFonts w:hint="eastAsia" w:ascii="仿宋_GB2312" w:hAnsi="仿宋_GB2312" w:eastAsia="仿宋_GB2312" w:cs="仿宋_GB2312"/>
          <w:b w:val="0"/>
          <w:color w:val="000000"/>
          <w:sz w:val="18"/>
          <w:szCs w:val="18"/>
        </w:rPr>
        <w:t>12.4工程进度款支</w:t>
      </w:r>
      <w:bookmarkEnd w:id="699"/>
      <w:bookmarkEnd w:id="700"/>
      <w:r>
        <w:rPr>
          <w:rFonts w:hint="eastAsia" w:ascii="仿宋_GB2312" w:hAnsi="仿宋_GB2312" w:eastAsia="仿宋_GB2312" w:cs="仿宋_GB2312"/>
          <w:b w:val="0"/>
          <w:color w:val="000000"/>
          <w:sz w:val="18"/>
          <w:szCs w:val="18"/>
        </w:rPr>
        <w:t>付</w:t>
      </w:r>
      <w:bookmarkEnd w:id="701"/>
    </w:p>
    <w:bookmarkEnd w:id="702"/>
    <w:p w14:paraId="6FD743BB">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12.4</w:t>
      </w:r>
      <w:r>
        <w:rPr>
          <w:rFonts w:hint="eastAsia" w:ascii="仿宋_GB2312" w:hAnsi="仿宋_GB2312" w:eastAsia="仿宋_GB2312" w:cs="仿宋_GB2312"/>
          <w:color w:val="000000"/>
          <w:kern w:val="0"/>
          <w:sz w:val="18"/>
          <w:szCs w:val="18"/>
        </w:rPr>
        <w:t>.1 付款周期</w:t>
      </w:r>
    </w:p>
    <w:p w14:paraId="03D1EB8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除专用合同条款另有约定外，付款周期应按照第12.3.2项〔计量周期〕的约定与计量周期保持一致。</w:t>
      </w:r>
    </w:p>
    <w:p w14:paraId="071C608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12.4</w:t>
      </w:r>
      <w:r>
        <w:rPr>
          <w:rFonts w:hint="eastAsia" w:ascii="仿宋_GB2312" w:hAnsi="仿宋_GB2312" w:eastAsia="仿宋_GB2312" w:cs="仿宋_GB2312"/>
          <w:color w:val="000000"/>
          <w:kern w:val="0"/>
          <w:sz w:val="18"/>
          <w:szCs w:val="18"/>
        </w:rPr>
        <w:t>.2 进度付款申请单的编制</w:t>
      </w:r>
    </w:p>
    <w:p w14:paraId="6157F52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除专用合同条款另有约定外，进度付款申请单应包括下列内容：</w:t>
      </w:r>
    </w:p>
    <w:p w14:paraId="74F3625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（1）截至本次付款周期已完成工作对应的金额；</w:t>
      </w:r>
    </w:p>
    <w:p w14:paraId="3A829A1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（2）根据第10条〔变更〕应增加和扣减的变更金额；</w:t>
      </w:r>
    </w:p>
    <w:p w14:paraId="2EA861A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（3）根据第12.2款〔预付款〕约定应支付的预付款和扣减的返还预付款；</w:t>
      </w:r>
    </w:p>
    <w:p w14:paraId="1251A99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（4）根据第15.3款〔质量保证金〕约定应扣减的质量保证金；</w:t>
      </w:r>
    </w:p>
    <w:p w14:paraId="7E616E1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（5）根据第19条〔索赔〕应增加和扣减的索赔金额；</w:t>
      </w:r>
    </w:p>
    <w:p w14:paraId="42EE988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（6）对已签发的进度款支付证书中出现错误的修正，应在本次进度付款中支付或扣除的金额；</w:t>
      </w:r>
    </w:p>
    <w:p w14:paraId="1779E87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（7）根据合同约定应增加和扣减的其他金额。</w:t>
      </w:r>
    </w:p>
    <w:p w14:paraId="07019F8F">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12.4.3 进度付款申请单的提交</w:t>
      </w:r>
    </w:p>
    <w:p w14:paraId="65E6EA8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（1）单价合同进度付款申请单的提交</w:t>
      </w:r>
    </w:p>
    <w:p w14:paraId="5244E0D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BCAC78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（2）总价合同进度付款申请单的提交</w:t>
      </w:r>
    </w:p>
    <w:p w14:paraId="437C622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总价合同按月计量支付的，承包人按照第12.3.4项〔总价合同的计量〕约定的时间按月向监理人提交进度付款申请单，并附上已完成工程量报表和有关资料。</w:t>
      </w:r>
    </w:p>
    <w:p w14:paraId="15FB176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总价合同按支付分解表支付的，承包人应按照第12.4.6项〔支付分解表〕及第12.4.2项〔进度付款申请单的编制〕的约定向监理人提交进度付款申请单。</w:t>
      </w:r>
    </w:p>
    <w:p w14:paraId="70556AE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（3）其他价格形式合同的进度付款申请单的提交</w:t>
      </w:r>
    </w:p>
    <w:p w14:paraId="4680912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合同当事人可在专用合同条款中约定其他价格形式合同的进度付款申请单的编制和提交程序。</w:t>
      </w:r>
    </w:p>
    <w:p w14:paraId="04A31BA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12.4</w:t>
      </w:r>
      <w:r>
        <w:rPr>
          <w:rFonts w:hint="eastAsia" w:ascii="仿宋_GB2312" w:hAnsi="仿宋_GB2312" w:eastAsia="仿宋_GB2312" w:cs="仿宋_GB2312"/>
          <w:color w:val="000000"/>
          <w:kern w:val="0"/>
          <w:sz w:val="18"/>
          <w:szCs w:val="18"/>
        </w:rPr>
        <w:t>.4 进度款审核和支付</w:t>
      </w:r>
    </w:p>
    <w:p w14:paraId="1F1F866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26323D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9D1B57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（2）除专用合同条款另有约定外，发包人应在进度款支付证书或临时进度款支付证书签发后14天内完成支付，发包人逾期支付进度款的，应按照中国人民银行发布的同期同类贷款基准利率支付违约金。</w:t>
      </w:r>
    </w:p>
    <w:p w14:paraId="628565F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（3）发包人签发进度款支付证书或临时进度款支付证书，不表明发包人已同意、批准或接受了承包人完成的相应部分的工作。</w:t>
      </w:r>
    </w:p>
    <w:p w14:paraId="56C27F5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12.4.5 进度付款的修正</w:t>
      </w:r>
    </w:p>
    <w:p w14:paraId="079AC21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在对已签发的进度款支付证书进行阶段汇总和复核中发现错误、遗漏或重复的，发包人和承包人均有权提出修正申请。经发包人和承包人同意的修正，应在下期进度付款中支付或扣除。</w:t>
      </w:r>
    </w:p>
    <w:p w14:paraId="1038C69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12.4.6 支付分解表</w:t>
      </w:r>
    </w:p>
    <w:p w14:paraId="5C53EE5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1.支付分解表的编制要求</w:t>
      </w:r>
    </w:p>
    <w:p w14:paraId="57A012D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（1）支付分解表中所列的每期付款金额，应为第12.4.2项〔进度付款申请单的编制〕第（1）目的估算金额；</w:t>
      </w:r>
    </w:p>
    <w:p w14:paraId="6C29F48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（2）实际进度与施工进度计划不一致的，合同当事人可按照第4.4款〔商定或确定〕修改支付分解表；</w:t>
      </w:r>
    </w:p>
    <w:p w14:paraId="199AD6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（3）不采用支付分解表的，承包人应向发包人和监理人提交按季度编制的支付估算分解表，用于支付参考。</w:t>
      </w:r>
    </w:p>
    <w:p w14:paraId="27C3F71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2.总价合同支付分解表的编制与审批</w:t>
      </w:r>
    </w:p>
    <w:p w14:paraId="1B250DD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DBF6DF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（2）监理人应在收到支付分解表后7天内完成审核并报送发包人。发包人应在收到经监理人审核的支付分解表后7天内完成审批，经发包人批准的支付分解表为有约束力的支付分解表。</w:t>
      </w:r>
    </w:p>
    <w:p w14:paraId="781EF884">
      <w:pPr>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（3）发包人逾期未完成支付分解表审批的，也未及时要求承包人进行修正和提供补充资料的，则承包人提交的支付分解表视为已经获得发包人批准。</w:t>
      </w:r>
    </w:p>
    <w:p w14:paraId="2EFE8C8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3.单价合同的总价项目支付分解表的编制与审批</w:t>
      </w:r>
    </w:p>
    <w:p w14:paraId="633DFDD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4812084">
      <w:pPr>
        <w:pStyle w:val="6"/>
        <w:spacing w:before="120" w:after="120"/>
        <w:ind w:left="0" w:firstLine="360" w:firstLineChars="200"/>
        <w:rPr>
          <w:rFonts w:ascii="仿宋_GB2312" w:hAnsi="仿宋_GB2312" w:eastAsia="仿宋_GB2312" w:cs="仿宋_GB2312"/>
          <w:b w:val="0"/>
          <w:color w:val="000000"/>
          <w:sz w:val="18"/>
          <w:szCs w:val="18"/>
        </w:rPr>
      </w:pPr>
      <w:bookmarkStart w:id="703" w:name="_Toc351203585"/>
      <w:r>
        <w:rPr>
          <w:rFonts w:hint="eastAsia" w:ascii="仿宋_GB2312" w:hAnsi="仿宋_GB2312" w:eastAsia="仿宋_GB2312" w:cs="仿宋_GB2312"/>
          <w:b w:val="0"/>
          <w:color w:val="000000"/>
          <w:sz w:val="18"/>
          <w:szCs w:val="18"/>
        </w:rPr>
        <w:t>12.5支付账户</w:t>
      </w:r>
      <w:bookmarkEnd w:id="703"/>
    </w:p>
    <w:p w14:paraId="1BCD403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发包人应将合同价款支付至合同协议书中约定的承包人账户。</w:t>
      </w:r>
    </w:p>
    <w:p w14:paraId="64307DB5">
      <w:pPr>
        <w:pStyle w:val="5"/>
        <w:spacing w:before="120" w:after="120" w:line="240" w:lineRule="auto"/>
        <w:rPr>
          <w:rFonts w:ascii="仿宋_GB2312" w:hAnsi="仿宋_GB2312" w:eastAsia="仿宋_GB2312" w:cs="仿宋_GB2312"/>
          <w:b w:val="0"/>
          <w:color w:val="000000"/>
          <w:sz w:val="18"/>
          <w:szCs w:val="18"/>
        </w:rPr>
      </w:pPr>
      <w:bookmarkStart w:id="704" w:name="_Toc351203586"/>
      <w:bookmarkStart w:id="705" w:name="_Toc337558804"/>
      <w:bookmarkStart w:id="706" w:name="_Toc296346607"/>
      <w:bookmarkStart w:id="707" w:name="_Toc322522574"/>
      <w:bookmarkStart w:id="708" w:name="_Toc296503106"/>
      <w:r>
        <w:rPr>
          <w:rFonts w:hint="eastAsia" w:ascii="仿宋_GB2312" w:hAnsi="仿宋_GB2312" w:eastAsia="仿宋_GB2312" w:cs="仿宋_GB2312"/>
          <w:b w:val="0"/>
          <w:color w:val="000000"/>
          <w:sz w:val="18"/>
          <w:szCs w:val="18"/>
        </w:rPr>
        <w:t>13. 验收和工程试车</w:t>
      </w:r>
      <w:bookmarkEnd w:id="704"/>
    </w:p>
    <w:bookmarkEnd w:id="705"/>
    <w:bookmarkEnd w:id="706"/>
    <w:bookmarkEnd w:id="707"/>
    <w:bookmarkEnd w:id="708"/>
    <w:p w14:paraId="578FCBEF">
      <w:pPr>
        <w:pStyle w:val="6"/>
        <w:spacing w:before="120" w:after="120"/>
        <w:ind w:left="0" w:firstLine="360" w:firstLineChars="200"/>
        <w:rPr>
          <w:rFonts w:ascii="仿宋_GB2312" w:hAnsi="仿宋_GB2312" w:eastAsia="仿宋_GB2312" w:cs="仿宋_GB2312"/>
          <w:b w:val="0"/>
          <w:color w:val="000000"/>
          <w:sz w:val="18"/>
          <w:szCs w:val="18"/>
        </w:rPr>
      </w:pPr>
      <w:bookmarkStart w:id="709" w:name="_Toc351203587"/>
      <w:bookmarkStart w:id="710" w:name="_Toc337558805"/>
      <w:bookmarkStart w:id="711" w:name="_Toc296346611"/>
      <w:bookmarkStart w:id="712" w:name="_Toc296503110"/>
      <w:r>
        <w:rPr>
          <w:rFonts w:hint="eastAsia" w:ascii="仿宋_GB2312" w:hAnsi="仿宋_GB2312" w:eastAsia="仿宋_GB2312" w:cs="仿宋_GB2312"/>
          <w:b w:val="0"/>
          <w:color w:val="000000"/>
          <w:sz w:val="18"/>
          <w:szCs w:val="18"/>
        </w:rPr>
        <w:t>13.1分部分项工程验收</w:t>
      </w:r>
      <w:bookmarkEnd w:id="709"/>
    </w:p>
    <w:bookmarkEnd w:id="710"/>
    <w:p w14:paraId="1D293C3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13.1.1 分部分项工程质量应符合国家有关工程施工验收规范、标准及合同约定，承包人应按照施工组织设计的要求完成分部分项工程施工。</w:t>
      </w:r>
    </w:p>
    <w:p w14:paraId="3CA90A1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13.1.2 除专用合同条款另有约定外，分部分项工程经承包人自检合格并具备验收条件的，承包人应提前48小时通知监理人进行验收。</w:t>
      </w:r>
      <w:r>
        <w:rPr>
          <w:rFonts w:hint="eastAsia" w:ascii="仿宋_GB2312" w:hAnsi="仿宋_GB2312" w:eastAsia="仿宋_GB2312" w:cs="仿宋_GB2312"/>
          <w:color w:val="000000"/>
          <w:kern w:val="0"/>
          <w:sz w:val="18"/>
          <w:szCs w:val="18"/>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_GB2312" w:hAnsi="仿宋_GB2312" w:eastAsia="仿宋_GB2312" w:cs="仿宋_GB2312"/>
          <w:color w:val="000000"/>
          <w:sz w:val="18"/>
          <w:szCs w:val="18"/>
        </w:rPr>
        <w:t>分部分项工程未经验收的，不得进入下一道工序施工。</w:t>
      </w:r>
    </w:p>
    <w:p w14:paraId="196B1E6A">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分部分项工程的验收资料应当作为竣工资料的组成部分。</w:t>
      </w:r>
    </w:p>
    <w:p w14:paraId="22A8D626">
      <w:pPr>
        <w:pStyle w:val="6"/>
        <w:spacing w:before="120" w:after="120"/>
        <w:ind w:left="0" w:firstLine="360" w:firstLineChars="200"/>
        <w:rPr>
          <w:rFonts w:ascii="仿宋_GB2312" w:hAnsi="仿宋_GB2312" w:eastAsia="仿宋_GB2312" w:cs="仿宋_GB2312"/>
          <w:b w:val="0"/>
          <w:color w:val="000000"/>
          <w:sz w:val="18"/>
          <w:szCs w:val="18"/>
        </w:rPr>
      </w:pPr>
      <w:bookmarkStart w:id="713" w:name="_Toc351203588"/>
      <w:bookmarkStart w:id="714" w:name="_Toc337558806"/>
      <w:r>
        <w:rPr>
          <w:rFonts w:hint="eastAsia" w:ascii="仿宋_GB2312" w:hAnsi="仿宋_GB2312" w:eastAsia="仿宋_GB2312" w:cs="仿宋_GB2312"/>
          <w:b w:val="0"/>
          <w:color w:val="000000"/>
          <w:sz w:val="18"/>
          <w:szCs w:val="18"/>
        </w:rPr>
        <w:t>13.2竣工验收</w:t>
      </w:r>
      <w:bookmarkEnd w:id="713"/>
    </w:p>
    <w:bookmarkEnd w:id="711"/>
    <w:bookmarkEnd w:id="712"/>
    <w:bookmarkEnd w:id="714"/>
    <w:p w14:paraId="12C75F6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13.2.1竣工验收条件</w:t>
      </w:r>
    </w:p>
    <w:p w14:paraId="7C92348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工程具备以下条件的，承包人可以申请竣工验收：</w:t>
      </w:r>
    </w:p>
    <w:p w14:paraId="7CEA8CF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（1）除发包人同意的甩项工作和缺陷修补工作外，合同范围内的全部工程以及有关工作，包括合同要求的试验、试运行以及检验均已完成，并符合合同要求；</w:t>
      </w:r>
    </w:p>
    <w:p w14:paraId="535BC8F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（2）已按合同约定编制了甩项工作和缺陷修补工作清单以及相应的施工计划；</w:t>
      </w:r>
    </w:p>
    <w:p w14:paraId="7D8BDF8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（3）已按合同约定的内容和份数备齐竣工资料。</w:t>
      </w:r>
    </w:p>
    <w:p w14:paraId="43B84F1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13.2.2竣工验收程序</w:t>
      </w:r>
    </w:p>
    <w:p w14:paraId="117FAE3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除专用合同条款另有约定外，承包人申请竣工验收的，应当按照以下程序进行：</w:t>
      </w:r>
    </w:p>
    <w:p w14:paraId="53EDEC0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BB26E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7873D5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（3）竣工验收合格的，发包人应在验收合格后14天内向承包人签发工程接收证书。发包人无正当理由逾期不颁发工程接收证书的，自验收合格后第15天起视为已颁发工程接收证书。</w:t>
      </w:r>
    </w:p>
    <w:p w14:paraId="3A049D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5E6D6B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0C609C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除专用合同条款另有约定外，发包人不按照本项约定组织竣工验收、颁发工程接收证书的，每逾期一天，应以签约合同价为基数，按照中国人民银行发布的同期同类贷款基准利率支付违约金。</w:t>
      </w:r>
    </w:p>
    <w:p w14:paraId="2EAC92A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13.2.3竣工日期</w:t>
      </w:r>
    </w:p>
    <w:p w14:paraId="42DF21F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15" w:name="#go14"/>
      <w:bookmarkEnd w:id="715"/>
      <w:r>
        <w:rPr>
          <w:rFonts w:hint="eastAsia" w:ascii="仿宋_GB2312" w:hAnsi="仿宋_GB2312" w:eastAsia="仿宋_GB2312" w:cs="仿宋_GB2312"/>
          <w:color w:val="000000"/>
          <w:kern w:val="0"/>
          <w:sz w:val="18"/>
          <w:szCs w:val="18"/>
        </w:rPr>
        <w:t>收申请报告的日期为实际竣工日期；工程未经竣工验收，发包人擅自使用的，以转移占有工程之日为实际竣工日期。</w:t>
      </w:r>
    </w:p>
    <w:p w14:paraId="151D6C16">
      <w:pPr>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13.2.4 拒绝接收全部或部分工程</w:t>
      </w:r>
    </w:p>
    <w:p w14:paraId="1F9DB77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290702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13.2.5 移交、接收全部与部分工程</w:t>
      </w:r>
    </w:p>
    <w:p w14:paraId="2736063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除专用合同条款另有约定外，合同当事人应当在颁发工程接收证书后7天内完成工程的移交。</w:t>
      </w:r>
    </w:p>
    <w:p w14:paraId="6A5A627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发包人无正当理由不接收工程的，发包人自应当接收工程之日起，承担工程照管、成品保护、保管等与工程有关的各项费用，合同当事人可以在专用合同条款中另行约定发包人逾期接收工程的违约责任。</w:t>
      </w:r>
    </w:p>
    <w:p w14:paraId="7F1ED47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承包人无正当理由不移交工程的，承包人应承担工程照管、成品保护、保管等与工程有关的各项费用，合同当事人可以在专用合同条款中另行约定承包人无正当理由不移交工程的违约责任。</w:t>
      </w:r>
    </w:p>
    <w:p w14:paraId="5F824D9A">
      <w:pPr>
        <w:pStyle w:val="6"/>
        <w:spacing w:before="120" w:after="120"/>
        <w:ind w:left="0" w:firstLine="360" w:firstLineChars="200"/>
        <w:rPr>
          <w:rFonts w:ascii="仿宋_GB2312" w:hAnsi="仿宋_GB2312" w:eastAsia="仿宋_GB2312" w:cs="仿宋_GB2312"/>
          <w:b w:val="0"/>
          <w:color w:val="000000"/>
          <w:sz w:val="18"/>
          <w:szCs w:val="18"/>
        </w:rPr>
      </w:pPr>
      <w:bookmarkStart w:id="716" w:name="_Toc351203589"/>
      <w:bookmarkStart w:id="717" w:name="_Toc296346612"/>
      <w:bookmarkStart w:id="718" w:name="_Toc296503111"/>
      <w:bookmarkStart w:id="719" w:name="_Toc337558807"/>
      <w:r>
        <w:rPr>
          <w:rFonts w:hint="eastAsia" w:ascii="仿宋_GB2312" w:hAnsi="仿宋_GB2312" w:eastAsia="仿宋_GB2312" w:cs="仿宋_GB2312"/>
          <w:b w:val="0"/>
          <w:color w:val="000000"/>
          <w:sz w:val="18"/>
          <w:szCs w:val="18"/>
        </w:rPr>
        <w:t>13.3工程试车</w:t>
      </w:r>
      <w:bookmarkEnd w:id="716"/>
    </w:p>
    <w:bookmarkEnd w:id="717"/>
    <w:bookmarkEnd w:id="718"/>
    <w:bookmarkEnd w:id="719"/>
    <w:p w14:paraId="4701CE6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13.3.1试车程序</w:t>
      </w:r>
    </w:p>
    <w:p w14:paraId="5E2D311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工程需要试车的，除专用合同条款另有约定外，试车内容应与承包人承包范围相一致，试车费用由承包人承担。工程试车应按如下程序进行：</w:t>
      </w:r>
    </w:p>
    <w:p w14:paraId="60A99BB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BCAE70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9BC669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7175FD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13.3.2 试车中的责任</w:t>
      </w:r>
    </w:p>
    <w:p w14:paraId="49F312E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0F2EDF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8AE7ED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13.3.3 投料试车</w:t>
      </w:r>
    </w:p>
    <w:p w14:paraId="5C4464D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如需进行投料试车的，发包人应在工程竣工验收后组织投料试车。发包人要求在工程竣工验收前进行或需要承包人配合时，应征得承包人同意，并在专用合同条款中约定有关事项。</w:t>
      </w:r>
    </w:p>
    <w:p w14:paraId="135EE2F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C1C477B">
      <w:pPr>
        <w:pStyle w:val="6"/>
        <w:spacing w:before="120" w:after="120"/>
        <w:ind w:left="0" w:firstLine="360" w:firstLineChars="200"/>
        <w:rPr>
          <w:rFonts w:ascii="仿宋_GB2312" w:hAnsi="仿宋_GB2312" w:eastAsia="仿宋_GB2312" w:cs="仿宋_GB2312"/>
          <w:b w:val="0"/>
          <w:color w:val="000000"/>
          <w:sz w:val="18"/>
          <w:szCs w:val="18"/>
        </w:rPr>
      </w:pPr>
      <w:bookmarkStart w:id="720" w:name="_Toc351203590"/>
      <w:bookmarkStart w:id="721" w:name="_Toc337558808"/>
      <w:r>
        <w:rPr>
          <w:rFonts w:hint="eastAsia" w:ascii="仿宋_GB2312" w:hAnsi="仿宋_GB2312" w:eastAsia="仿宋_GB2312" w:cs="仿宋_GB2312"/>
          <w:b w:val="0"/>
          <w:color w:val="000000"/>
          <w:sz w:val="18"/>
          <w:szCs w:val="18"/>
        </w:rPr>
        <w:t>13.4提前交付单位工程的验收</w:t>
      </w:r>
      <w:bookmarkEnd w:id="720"/>
    </w:p>
    <w:bookmarkEnd w:id="721"/>
    <w:p w14:paraId="44047F7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13.4.1 发包人需要在工程竣工前使用单位工程的，或承包人提出提前交付已经竣工的单位工程且经发包人同意的，可进行单位工程验收，验收的程序按照第13.2款〔竣工验收〕的约定进行。</w:t>
      </w:r>
    </w:p>
    <w:p w14:paraId="03F5B72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验收合格后，由监理人向承包人出具经发包人签认的单位工程接收证书。已签发单位工程接收证书的单位工程由发包人负责照管。单位工程的验收成果和结论作为整体工程竣工验收申请报告的附件。</w:t>
      </w:r>
    </w:p>
    <w:p w14:paraId="79B404A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13.4.2 发包人要求在工程竣工前交付单位工程，由此导致承包人费用增加和（或）工期延误的，由发包人承担由此增加的费用和（或）延误的工期，并支付承包人合理的利润。</w:t>
      </w:r>
    </w:p>
    <w:p w14:paraId="017F6BA4">
      <w:pPr>
        <w:pStyle w:val="6"/>
        <w:spacing w:before="120" w:after="120"/>
        <w:ind w:left="0" w:firstLine="360" w:firstLineChars="200"/>
        <w:rPr>
          <w:rFonts w:ascii="仿宋_GB2312" w:hAnsi="仿宋_GB2312" w:eastAsia="仿宋_GB2312" w:cs="仿宋_GB2312"/>
          <w:b w:val="0"/>
          <w:color w:val="000000"/>
          <w:sz w:val="18"/>
          <w:szCs w:val="18"/>
        </w:rPr>
      </w:pPr>
      <w:bookmarkStart w:id="722" w:name="_Toc351203591"/>
      <w:r>
        <w:rPr>
          <w:rFonts w:hint="eastAsia" w:ascii="仿宋_GB2312" w:hAnsi="仿宋_GB2312" w:eastAsia="仿宋_GB2312" w:cs="仿宋_GB2312"/>
          <w:b w:val="0"/>
          <w:color w:val="000000"/>
          <w:sz w:val="18"/>
          <w:szCs w:val="18"/>
        </w:rPr>
        <w:t>13.5 施工期运行</w:t>
      </w:r>
      <w:bookmarkEnd w:id="722"/>
    </w:p>
    <w:p w14:paraId="1633AAA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AB073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13.5.2 在施工期运行中发现工程或工程设备损坏或存在缺陷的，由承包人按第15.2款〔缺陷责任期〕约定进行修复。</w:t>
      </w:r>
    </w:p>
    <w:p w14:paraId="5A756EA0">
      <w:pPr>
        <w:pStyle w:val="6"/>
        <w:spacing w:before="120" w:after="120"/>
        <w:ind w:left="0" w:firstLine="360" w:firstLineChars="200"/>
        <w:rPr>
          <w:rFonts w:ascii="仿宋_GB2312" w:hAnsi="仿宋_GB2312" w:eastAsia="仿宋_GB2312" w:cs="仿宋_GB2312"/>
          <w:b w:val="0"/>
          <w:color w:val="000000"/>
          <w:sz w:val="18"/>
          <w:szCs w:val="18"/>
        </w:rPr>
      </w:pPr>
      <w:bookmarkStart w:id="723" w:name="_Toc296503112"/>
      <w:bookmarkStart w:id="724" w:name="_Toc296346613"/>
      <w:bookmarkStart w:id="725" w:name="_Toc351203592"/>
      <w:bookmarkStart w:id="726" w:name="_Toc337558809"/>
      <w:r>
        <w:rPr>
          <w:rFonts w:hint="eastAsia" w:ascii="仿宋_GB2312" w:hAnsi="仿宋_GB2312" w:eastAsia="仿宋_GB2312" w:cs="仿宋_GB2312"/>
          <w:b w:val="0"/>
          <w:color w:val="000000"/>
          <w:sz w:val="18"/>
          <w:szCs w:val="18"/>
        </w:rPr>
        <w:t>13.6 竣工退</w:t>
      </w:r>
      <w:bookmarkEnd w:id="723"/>
      <w:bookmarkEnd w:id="724"/>
      <w:r>
        <w:rPr>
          <w:rFonts w:hint="eastAsia" w:ascii="仿宋_GB2312" w:hAnsi="仿宋_GB2312" w:eastAsia="仿宋_GB2312" w:cs="仿宋_GB2312"/>
          <w:b w:val="0"/>
          <w:color w:val="000000"/>
          <w:sz w:val="18"/>
          <w:szCs w:val="18"/>
        </w:rPr>
        <w:t>场</w:t>
      </w:r>
      <w:bookmarkEnd w:id="725"/>
    </w:p>
    <w:bookmarkEnd w:id="726"/>
    <w:p w14:paraId="3B7DADA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13.6.1 竣工退场</w:t>
      </w:r>
    </w:p>
    <w:p w14:paraId="1B19DBF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颁发工程接收证书后，承包人应按以下要求对施工现场进行清理：</w:t>
      </w:r>
    </w:p>
    <w:p w14:paraId="0D231CB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（1）施工现场内残留的垃圾已全部清除出场；</w:t>
      </w:r>
    </w:p>
    <w:p w14:paraId="4F7DCC7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（2）临时工程已拆除，场地已进行清理、平整或复原；</w:t>
      </w:r>
    </w:p>
    <w:p w14:paraId="530BE7A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（3）按合同约定应撤离的人员、承包人施工设备和剩余的材料，包括废弃的施工设备和材料，已按计划撤离施工现场；</w:t>
      </w:r>
    </w:p>
    <w:p w14:paraId="3BE9217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（4）施工现场周边及其附近道路、河道的施工堆积物，已全部清理；</w:t>
      </w:r>
    </w:p>
    <w:p w14:paraId="7A4B80E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（5）施工现场其他场地清理工作已全部完成。</w:t>
      </w:r>
    </w:p>
    <w:p w14:paraId="492257B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81BC91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13.6.2 地表还原</w:t>
      </w:r>
    </w:p>
    <w:p w14:paraId="493E3F2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承包人应按发包人要求恢复临时占地及清理场地，承包人未按发包人的要求恢复临时占地，或者场地清理未达到合同约定要求的，发包人有权委托其他人恢复或清理，所发生的费用由承包人承担。</w:t>
      </w:r>
    </w:p>
    <w:p w14:paraId="4FADCAFE">
      <w:pPr>
        <w:pStyle w:val="5"/>
        <w:spacing w:before="120" w:after="120" w:line="240" w:lineRule="auto"/>
        <w:rPr>
          <w:rFonts w:ascii="仿宋_GB2312" w:hAnsi="仿宋_GB2312" w:eastAsia="仿宋_GB2312" w:cs="仿宋_GB2312"/>
          <w:b w:val="0"/>
          <w:color w:val="000000"/>
          <w:sz w:val="18"/>
          <w:szCs w:val="18"/>
        </w:rPr>
      </w:pPr>
      <w:bookmarkStart w:id="727" w:name="_Toc351203593"/>
      <w:bookmarkStart w:id="728" w:name="_Toc337558810"/>
      <w:bookmarkStart w:id="729" w:name="_Toc296346614"/>
      <w:bookmarkStart w:id="730" w:name="_Toc296503113"/>
      <w:r>
        <w:rPr>
          <w:rFonts w:hint="eastAsia" w:ascii="仿宋_GB2312" w:hAnsi="仿宋_GB2312" w:eastAsia="仿宋_GB2312" w:cs="仿宋_GB2312"/>
          <w:b w:val="0"/>
          <w:color w:val="000000"/>
          <w:sz w:val="18"/>
          <w:szCs w:val="18"/>
        </w:rPr>
        <w:t>14. 竣工结算</w:t>
      </w:r>
      <w:bookmarkEnd w:id="727"/>
    </w:p>
    <w:bookmarkEnd w:id="728"/>
    <w:p w14:paraId="328426F3">
      <w:pPr>
        <w:pStyle w:val="6"/>
        <w:spacing w:before="120" w:after="120"/>
        <w:ind w:left="0" w:firstLine="360" w:firstLineChars="200"/>
        <w:rPr>
          <w:rFonts w:ascii="仿宋_GB2312" w:hAnsi="仿宋_GB2312" w:eastAsia="仿宋_GB2312" w:cs="仿宋_GB2312"/>
          <w:b w:val="0"/>
          <w:color w:val="000000"/>
          <w:sz w:val="18"/>
          <w:szCs w:val="18"/>
        </w:rPr>
      </w:pPr>
      <w:bookmarkStart w:id="731" w:name="_Toc351203594"/>
      <w:bookmarkStart w:id="732" w:name="_Toc337558811"/>
      <w:r>
        <w:rPr>
          <w:rFonts w:hint="eastAsia" w:ascii="仿宋_GB2312" w:hAnsi="仿宋_GB2312" w:eastAsia="仿宋_GB2312" w:cs="仿宋_GB2312"/>
          <w:b w:val="0"/>
          <w:color w:val="000000"/>
          <w:sz w:val="18"/>
          <w:szCs w:val="18"/>
        </w:rPr>
        <w:t>14.1 竣工结算申请</w:t>
      </w:r>
      <w:bookmarkEnd w:id="731"/>
    </w:p>
    <w:bookmarkEnd w:id="732"/>
    <w:p w14:paraId="7E28EBA0">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除专用合同条款另有约定外，</w:t>
      </w:r>
      <w:r>
        <w:rPr>
          <w:rFonts w:hint="eastAsia" w:ascii="仿宋_GB2312" w:hAnsi="仿宋_GB2312" w:eastAsia="仿宋_GB2312" w:cs="仿宋_GB2312"/>
          <w:color w:val="000000"/>
          <w:sz w:val="18"/>
          <w:szCs w:val="18"/>
        </w:rPr>
        <w:t>承包人应在工程竣工验收合格后28天内向发包人和监理人提交竣工结算申请单，并提交完整的结算资料，有关竣工结算申请单的资料清单和份数等要求由合同当事人在专用合同条款中约定。</w:t>
      </w:r>
    </w:p>
    <w:p w14:paraId="4AC92E39">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除专用合同条款另有约定外，竣工结算申请单应包括以下内容：</w:t>
      </w:r>
    </w:p>
    <w:p w14:paraId="7C46E318">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（1）竣工结算合同价格；</w:t>
      </w:r>
    </w:p>
    <w:p w14:paraId="5C7D18EE">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（2）发包人已支付承包人的款项；</w:t>
      </w:r>
    </w:p>
    <w:p w14:paraId="3464C609">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（3）应扣留的质量保证金。已缴纳履约保证金的或提供其他工程质量担保方式的除外； </w:t>
      </w:r>
    </w:p>
    <w:p w14:paraId="292EDDBA">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（4）发包人应支付承包人的合同价款。</w:t>
      </w:r>
    </w:p>
    <w:p w14:paraId="6EB5AB7F">
      <w:pPr>
        <w:pStyle w:val="6"/>
        <w:spacing w:before="120" w:after="120"/>
        <w:ind w:left="0" w:firstLine="360" w:firstLineChars="200"/>
        <w:rPr>
          <w:rFonts w:ascii="仿宋_GB2312" w:hAnsi="仿宋_GB2312" w:eastAsia="仿宋_GB2312" w:cs="仿宋_GB2312"/>
          <w:b w:val="0"/>
          <w:color w:val="000000"/>
          <w:sz w:val="18"/>
          <w:szCs w:val="18"/>
        </w:rPr>
      </w:pPr>
      <w:bookmarkStart w:id="733" w:name="_Toc351203595"/>
      <w:bookmarkStart w:id="734" w:name="_Toc337558812"/>
      <w:r>
        <w:rPr>
          <w:rFonts w:hint="eastAsia" w:ascii="仿宋_GB2312" w:hAnsi="仿宋_GB2312" w:eastAsia="仿宋_GB2312" w:cs="仿宋_GB2312"/>
          <w:b w:val="0"/>
          <w:color w:val="000000"/>
          <w:sz w:val="18"/>
          <w:szCs w:val="18"/>
        </w:rPr>
        <w:t>14.2 竣工结算审核</w:t>
      </w:r>
      <w:bookmarkEnd w:id="733"/>
    </w:p>
    <w:bookmarkEnd w:id="734"/>
    <w:p w14:paraId="57EDF64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_GB2312" w:hAnsi="仿宋_GB2312" w:eastAsia="仿宋_GB2312" w:cs="仿宋_GB2312"/>
          <w:color w:val="000000"/>
          <w:sz w:val="18"/>
          <w:szCs w:val="18"/>
        </w:rPr>
        <w:t>发包人对竣工</w:t>
      </w:r>
      <w:r>
        <w:rPr>
          <w:rFonts w:hint="eastAsia" w:ascii="仿宋_GB2312" w:hAnsi="仿宋_GB2312" w:eastAsia="仿宋_GB2312" w:cs="仿宋_GB2312"/>
          <w:color w:val="000000"/>
          <w:kern w:val="0"/>
          <w:sz w:val="18"/>
          <w:szCs w:val="18"/>
        </w:rPr>
        <w:t>结算</w:t>
      </w:r>
      <w:r>
        <w:rPr>
          <w:rFonts w:hint="eastAsia" w:ascii="仿宋_GB2312" w:hAnsi="仿宋_GB2312" w:eastAsia="仿宋_GB2312" w:cs="仿宋_GB2312"/>
          <w:color w:val="000000"/>
          <w:sz w:val="18"/>
          <w:szCs w:val="18"/>
        </w:rPr>
        <w:t>申请单有异议的，有权要求承包人进行修正和提供补充资料，承包人应提交修正后的竣工</w:t>
      </w:r>
      <w:r>
        <w:rPr>
          <w:rFonts w:hint="eastAsia" w:ascii="仿宋_GB2312" w:hAnsi="仿宋_GB2312" w:eastAsia="仿宋_GB2312" w:cs="仿宋_GB2312"/>
          <w:color w:val="000000"/>
          <w:kern w:val="0"/>
          <w:sz w:val="18"/>
          <w:szCs w:val="18"/>
        </w:rPr>
        <w:t>结算</w:t>
      </w:r>
      <w:r>
        <w:rPr>
          <w:rFonts w:hint="eastAsia" w:ascii="仿宋_GB2312" w:hAnsi="仿宋_GB2312" w:eastAsia="仿宋_GB2312" w:cs="仿宋_GB2312"/>
          <w:color w:val="000000"/>
          <w:sz w:val="18"/>
          <w:szCs w:val="18"/>
        </w:rPr>
        <w:t>申请单。</w:t>
      </w:r>
    </w:p>
    <w:p w14:paraId="63C86D0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32B15F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D4C220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55C6358">
      <w:pPr>
        <w:pStyle w:val="6"/>
        <w:spacing w:before="120" w:after="120"/>
        <w:ind w:left="0" w:firstLine="360" w:firstLineChars="200"/>
        <w:rPr>
          <w:rFonts w:ascii="仿宋_GB2312" w:hAnsi="仿宋_GB2312" w:eastAsia="仿宋_GB2312" w:cs="仿宋_GB2312"/>
          <w:b w:val="0"/>
          <w:color w:val="000000"/>
          <w:sz w:val="18"/>
          <w:szCs w:val="18"/>
        </w:rPr>
      </w:pPr>
      <w:bookmarkStart w:id="735" w:name="_Toc351203596"/>
      <w:bookmarkStart w:id="736" w:name="_Toc337558813"/>
      <w:r>
        <w:rPr>
          <w:rFonts w:hint="eastAsia" w:ascii="仿宋_GB2312" w:hAnsi="仿宋_GB2312" w:eastAsia="仿宋_GB2312" w:cs="仿宋_GB2312"/>
          <w:b w:val="0"/>
          <w:color w:val="000000"/>
          <w:sz w:val="18"/>
          <w:szCs w:val="18"/>
        </w:rPr>
        <w:t>14.3 甩项竣工协议</w:t>
      </w:r>
      <w:bookmarkEnd w:id="735"/>
    </w:p>
    <w:bookmarkEnd w:id="736"/>
    <w:p w14:paraId="3B393614">
      <w:pPr>
        <w:autoSpaceDE w:val="0"/>
        <w:autoSpaceDN w:val="0"/>
        <w:adjustRightInd w:val="0"/>
        <w:ind w:firstLine="352" w:firstLineChars="196"/>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发包人要求甩项竣工的，合同当事人应签订甩项竣工协议。在甩项竣工协议中应明确，合同当事人按照第14.1款〔竣工结算申请〕及14.2款〔竣工结算审核〕的约定，对已完合格工程进行结算，并支付相应合同价款。</w:t>
      </w:r>
    </w:p>
    <w:p w14:paraId="2D419244">
      <w:pPr>
        <w:pStyle w:val="6"/>
        <w:spacing w:before="120" w:after="120"/>
        <w:ind w:left="0" w:firstLine="360" w:firstLineChars="200"/>
        <w:rPr>
          <w:rFonts w:ascii="仿宋_GB2312" w:hAnsi="仿宋_GB2312" w:eastAsia="仿宋_GB2312" w:cs="仿宋_GB2312"/>
          <w:b w:val="0"/>
          <w:color w:val="000000"/>
          <w:sz w:val="18"/>
          <w:szCs w:val="18"/>
        </w:rPr>
      </w:pPr>
      <w:bookmarkStart w:id="737" w:name="_Toc351203597"/>
      <w:bookmarkStart w:id="738" w:name="_Toc337558814"/>
      <w:r>
        <w:rPr>
          <w:rFonts w:hint="eastAsia" w:ascii="仿宋_GB2312" w:hAnsi="仿宋_GB2312" w:eastAsia="仿宋_GB2312" w:cs="仿宋_GB2312"/>
          <w:b w:val="0"/>
          <w:color w:val="000000"/>
          <w:sz w:val="18"/>
          <w:szCs w:val="18"/>
        </w:rPr>
        <w:t>14.4 最终结清</w:t>
      </w:r>
      <w:bookmarkEnd w:id="737"/>
    </w:p>
    <w:bookmarkEnd w:id="738"/>
    <w:p w14:paraId="037AF98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14.4.1 最终结清申请单</w:t>
      </w:r>
    </w:p>
    <w:p w14:paraId="3337624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（1）除专用合同条款另有约定外，承包人应在缺陷责任期终止证书颁发后7天内，按专用合同条款约定的份数向发包人提交最终结清申请单，并提供相关证明材料。</w:t>
      </w:r>
    </w:p>
    <w:p w14:paraId="7B18FB2B">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w:t>
      </w:r>
      <w:r>
        <w:rPr>
          <w:rFonts w:hint="eastAsia" w:ascii="仿宋_GB2312" w:hAnsi="仿宋_GB2312" w:eastAsia="仿宋_GB2312" w:cs="仿宋_GB2312"/>
          <w:color w:val="000000"/>
          <w:kern w:val="0"/>
          <w:sz w:val="18"/>
          <w:szCs w:val="18"/>
        </w:rPr>
        <w:t>最终结清申请单</w:t>
      </w:r>
      <w:r>
        <w:rPr>
          <w:rFonts w:hint="eastAsia" w:ascii="仿宋_GB2312" w:hAnsi="仿宋_GB2312" w:eastAsia="仿宋_GB2312" w:cs="仿宋_GB2312"/>
          <w:color w:val="000000"/>
          <w:sz w:val="18"/>
          <w:szCs w:val="18"/>
        </w:rPr>
        <w:t>应列明质量保证金、应扣除的质量保证金、缺陷责任期内发生的增减费用。</w:t>
      </w:r>
    </w:p>
    <w:p w14:paraId="6011CA6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（2）发包人对最终结清申请单内容有异议的，有权要求承包人进行修正和提供补充资料，承包人应向发包人提交修正后的最终结清申请单。</w:t>
      </w:r>
    </w:p>
    <w:p w14:paraId="37D1421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14.4.2 最终结清证书和支付</w:t>
      </w:r>
    </w:p>
    <w:p w14:paraId="5BF6691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E4082B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FA5D6A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（3）承包人对发包人颁发的最终结清证书有异议的，按第20条〔争议解决〕的约定办理。</w:t>
      </w:r>
    </w:p>
    <w:p w14:paraId="15299905">
      <w:pPr>
        <w:pStyle w:val="5"/>
        <w:spacing w:before="120" w:after="120" w:line="240" w:lineRule="auto"/>
        <w:rPr>
          <w:rFonts w:ascii="仿宋_GB2312" w:hAnsi="仿宋_GB2312" w:eastAsia="仿宋_GB2312" w:cs="仿宋_GB2312"/>
          <w:b w:val="0"/>
          <w:color w:val="000000"/>
          <w:sz w:val="18"/>
          <w:szCs w:val="18"/>
        </w:rPr>
      </w:pPr>
      <w:bookmarkStart w:id="739" w:name="_Toc351203598"/>
      <w:bookmarkStart w:id="740" w:name="_Toc337558815"/>
      <w:r>
        <w:rPr>
          <w:rFonts w:hint="eastAsia" w:ascii="仿宋_GB2312" w:hAnsi="仿宋_GB2312" w:eastAsia="仿宋_GB2312" w:cs="仿宋_GB2312"/>
          <w:b w:val="0"/>
          <w:color w:val="000000"/>
          <w:sz w:val="18"/>
          <w:szCs w:val="18"/>
        </w:rPr>
        <w:t>15. 缺陷责任与保修</w:t>
      </w:r>
      <w:bookmarkEnd w:id="739"/>
    </w:p>
    <w:bookmarkEnd w:id="729"/>
    <w:bookmarkEnd w:id="730"/>
    <w:bookmarkEnd w:id="740"/>
    <w:p w14:paraId="6D735A62">
      <w:pPr>
        <w:pStyle w:val="6"/>
        <w:spacing w:before="120" w:after="120"/>
        <w:ind w:left="0" w:firstLine="360" w:firstLineChars="200"/>
        <w:rPr>
          <w:rFonts w:ascii="仿宋_GB2312" w:hAnsi="仿宋_GB2312" w:eastAsia="仿宋_GB2312" w:cs="仿宋_GB2312"/>
          <w:b w:val="0"/>
          <w:color w:val="000000"/>
          <w:sz w:val="18"/>
          <w:szCs w:val="18"/>
        </w:rPr>
      </w:pPr>
      <w:bookmarkStart w:id="741" w:name="_Toc351203599"/>
      <w:bookmarkStart w:id="742" w:name="_Toc337558816"/>
      <w:bookmarkStart w:id="743" w:name="_Toc296503114"/>
      <w:bookmarkStart w:id="744" w:name="_Toc296346615"/>
      <w:r>
        <w:rPr>
          <w:rFonts w:hint="eastAsia" w:ascii="仿宋_GB2312" w:hAnsi="仿宋_GB2312" w:eastAsia="仿宋_GB2312" w:cs="仿宋_GB2312"/>
          <w:b w:val="0"/>
          <w:color w:val="000000"/>
          <w:sz w:val="18"/>
          <w:szCs w:val="18"/>
        </w:rPr>
        <w:t>15.1 工程保修的原则</w:t>
      </w:r>
      <w:bookmarkEnd w:id="741"/>
    </w:p>
    <w:bookmarkEnd w:id="742"/>
    <w:p w14:paraId="063BFFA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在工程移交发包人后，因承包人原因产生的质量缺陷，承包人应承担质量缺陷责任和保修义务。缺陷责任期届满，承包人仍应按合同约定的工程各部位保修年限承担保修义务。</w:t>
      </w:r>
    </w:p>
    <w:p w14:paraId="02C04FEE">
      <w:pPr>
        <w:pStyle w:val="6"/>
        <w:spacing w:before="120" w:after="120"/>
        <w:ind w:left="0" w:firstLine="360" w:firstLineChars="200"/>
        <w:rPr>
          <w:rFonts w:ascii="仿宋_GB2312" w:hAnsi="仿宋_GB2312" w:eastAsia="仿宋_GB2312" w:cs="仿宋_GB2312"/>
          <w:b w:val="0"/>
          <w:color w:val="000000"/>
          <w:sz w:val="18"/>
          <w:szCs w:val="18"/>
        </w:rPr>
      </w:pPr>
      <w:bookmarkStart w:id="745" w:name="_Toc351203600"/>
      <w:bookmarkStart w:id="746" w:name="_Toc337558817"/>
      <w:r>
        <w:rPr>
          <w:rFonts w:hint="eastAsia" w:ascii="仿宋_GB2312" w:hAnsi="仿宋_GB2312" w:eastAsia="仿宋_GB2312" w:cs="仿宋_GB2312"/>
          <w:b w:val="0"/>
          <w:color w:val="000000"/>
          <w:sz w:val="18"/>
          <w:szCs w:val="18"/>
        </w:rPr>
        <w:t>15.2 缺陷责任期</w:t>
      </w:r>
      <w:bookmarkEnd w:id="743"/>
      <w:bookmarkEnd w:id="744"/>
      <w:bookmarkEnd w:id="745"/>
    </w:p>
    <w:bookmarkEnd w:id="746"/>
    <w:p w14:paraId="7FCD343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15.2.1 缺陷责任期从工程通过竣工验收之日起计算，合同当事人应在专用合同条款约定缺陷责任期的具体期限，但该期限最长不超过24个月。</w:t>
      </w:r>
    </w:p>
    <w:p w14:paraId="02728C7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88DD11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_GB2312" w:hAnsi="仿宋_GB2312" w:eastAsia="仿宋_GB2312" w:cs="仿宋_GB2312"/>
          <w:bCs/>
          <w:color w:val="000000"/>
          <w:sz w:val="18"/>
          <w:szCs w:val="18"/>
        </w:rPr>
        <w:t>包人延长缺陷责任期，</w:t>
      </w:r>
      <w:r>
        <w:rPr>
          <w:rFonts w:hint="eastAsia" w:ascii="仿宋_GB2312" w:hAnsi="仿宋_GB2312" w:eastAsia="仿宋_GB2312" w:cs="仿宋_GB2312"/>
          <w:color w:val="000000"/>
          <w:kern w:val="0"/>
          <w:sz w:val="18"/>
          <w:szCs w:val="18"/>
        </w:rPr>
        <w:t>并应在原缺陷责任期届满前发出延长通知。</w:t>
      </w:r>
      <w:r>
        <w:rPr>
          <w:rFonts w:hint="eastAsia" w:ascii="仿宋_GB2312" w:hAnsi="仿宋_GB2312" w:eastAsia="仿宋_GB2312" w:cs="仿宋_GB2312"/>
          <w:bCs/>
          <w:color w:val="000000"/>
          <w:sz w:val="18"/>
          <w:szCs w:val="18"/>
        </w:rPr>
        <w:t>但缺陷责任期（含延长部分）最长</w:t>
      </w:r>
      <w:r>
        <w:rPr>
          <w:rFonts w:hint="eastAsia" w:ascii="仿宋_GB2312" w:hAnsi="仿宋_GB2312" w:eastAsia="仿宋_GB2312" w:cs="仿宋_GB2312"/>
          <w:color w:val="000000"/>
          <w:kern w:val="0"/>
          <w:sz w:val="18"/>
          <w:szCs w:val="18"/>
        </w:rPr>
        <w:t>不能超过24个月。</w:t>
      </w:r>
    </w:p>
    <w:p w14:paraId="5C7F05E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由他人原因造成的缺陷，发包人负责组织维修，承包人不承担费用，且发包人不得从保证金中扣除费用。</w:t>
      </w:r>
    </w:p>
    <w:p w14:paraId="238D47D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15.2.3 任何一项缺陷或损坏修复后，经检查证明其影响了工程或工程设备的使用性能，承包人应重新进行合同约定的试验和试运行，试验和试运行的全部费用应由责任方承担。</w:t>
      </w:r>
    </w:p>
    <w:p w14:paraId="18BDA89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AB3EA07">
      <w:pPr>
        <w:pStyle w:val="6"/>
        <w:spacing w:before="120" w:after="120"/>
        <w:ind w:left="0" w:firstLine="360" w:firstLineChars="200"/>
        <w:rPr>
          <w:rFonts w:ascii="仿宋_GB2312" w:hAnsi="仿宋_GB2312" w:eastAsia="仿宋_GB2312" w:cs="仿宋_GB2312"/>
          <w:b w:val="0"/>
          <w:color w:val="000000"/>
          <w:sz w:val="18"/>
          <w:szCs w:val="18"/>
        </w:rPr>
      </w:pPr>
      <w:bookmarkStart w:id="747" w:name="_Toc351203601"/>
      <w:bookmarkStart w:id="748" w:name="_Toc337558818"/>
      <w:bookmarkStart w:id="749" w:name="_Toc296503115"/>
      <w:bookmarkStart w:id="750" w:name="_Toc296346616"/>
      <w:r>
        <w:rPr>
          <w:rFonts w:hint="eastAsia" w:ascii="仿宋_GB2312" w:hAnsi="仿宋_GB2312" w:eastAsia="仿宋_GB2312" w:cs="仿宋_GB2312"/>
          <w:b w:val="0"/>
          <w:color w:val="000000"/>
          <w:sz w:val="18"/>
          <w:szCs w:val="18"/>
        </w:rPr>
        <w:t>15.3 质量保证金</w:t>
      </w:r>
      <w:bookmarkEnd w:id="747"/>
    </w:p>
    <w:bookmarkEnd w:id="748"/>
    <w:p w14:paraId="2831BC8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经合同当事人协商一致扣留质量保证金的，应在专用合同条款中予以明确。</w:t>
      </w:r>
    </w:p>
    <w:p w14:paraId="7757C04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在工程项目竣工前，承包人已经提供履约担保的，发包人不得同时预留工程质量保证金。</w:t>
      </w:r>
    </w:p>
    <w:p w14:paraId="32171F3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15.3.1 承包人提供质量保证金的方式</w:t>
      </w:r>
    </w:p>
    <w:p w14:paraId="332E4ED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承包人提供质量保证金有以下三种方式：</w:t>
      </w:r>
    </w:p>
    <w:p w14:paraId="207B707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（1）质量保证金保函； </w:t>
      </w:r>
    </w:p>
    <w:p w14:paraId="13EBD92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（2）相应比例的工程款；</w:t>
      </w:r>
    </w:p>
    <w:p w14:paraId="48876C3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（3）双方约定的其他方式。</w:t>
      </w:r>
    </w:p>
    <w:p w14:paraId="04BCF1F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除专用合同条款另有约定外，质量保证金原则上采用上述第（1）种方式。</w:t>
      </w:r>
    </w:p>
    <w:p w14:paraId="7DC665A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15.3.2 质量保证金的扣留</w:t>
      </w:r>
    </w:p>
    <w:p w14:paraId="20F45DB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质量保证金的扣留有以下三种方式：</w:t>
      </w:r>
    </w:p>
    <w:p w14:paraId="424A4DD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（1）在支付工程进度款时逐次扣留，在此情形下，质量保证金的计算基数不包括预付款的支付、扣回以及价格调整的金额；</w:t>
      </w:r>
    </w:p>
    <w:p w14:paraId="76AF800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（2）工</w:t>
      </w:r>
      <w:bookmarkStart w:id="751" w:name="#go6"/>
      <w:bookmarkEnd w:id="751"/>
      <w:r>
        <w:rPr>
          <w:rFonts w:hint="eastAsia" w:ascii="仿宋_GB2312" w:hAnsi="仿宋_GB2312" w:eastAsia="仿宋_GB2312" w:cs="仿宋_GB2312"/>
          <w:color w:val="000000"/>
          <w:kern w:val="0"/>
          <w:sz w:val="18"/>
          <w:szCs w:val="18"/>
        </w:rPr>
        <w:t>程竣工结算时一次性扣留质量保证金；</w:t>
      </w:r>
    </w:p>
    <w:p w14:paraId="0B96E0F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（3）双方约定的其他扣留方式。</w:t>
      </w:r>
    </w:p>
    <w:p w14:paraId="06C5EBD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除专用合同条款另有约定外，质量保证金的扣留原则上采用上述第（1）种方式。</w:t>
      </w:r>
    </w:p>
    <w:p w14:paraId="35C63D9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w:t>
      </w:r>
      <w:bookmarkStart w:id="752" w:name="#go4"/>
      <w:bookmarkEnd w:id="752"/>
      <w:r>
        <w:rPr>
          <w:rFonts w:hint="eastAsia" w:ascii="仿宋_GB2312" w:hAnsi="仿宋_GB2312" w:eastAsia="仿宋_GB2312" w:cs="仿宋_GB2312"/>
          <w:color w:val="000000"/>
          <w:kern w:val="0"/>
          <w:sz w:val="18"/>
          <w:szCs w:val="18"/>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F93DB4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发包人在退还质量保证金的同时按照中国人民银行发布的同期同类贷款基准利率支付利息。</w:t>
      </w:r>
    </w:p>
    <w:p w14:paraId="163D45C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15.3.3 </w:t>
      </w:r>
      <w:r>
        <w:rPr>
          <w:rFonts w:hint="eastAsia" w:ascii="仿宋_GB2312" w:hAnsi="仿宋_GB2312" w:eastAsia="仿宋_GB2312" w:cs="仿宋_GB2312"/>
          <w:color w:val="000000"/>
          <w:sz w:val="18"/>
          <w:szCs w:val="18"/>
        </w:rPr>
        <w:t>质量保证金</w:t>
      </w:r>
      <w:r>
        <w:rPr>
          <w:rFonts w:hint="eastAsia" w:ascii="仿宋_GB2312" w:hAnsi="仿宋_GB2312" w:eastAsia="仿宋_GB2312" w:cs="仿宋_GB2312"/>
          <w:color w:val="000000"/>
          <w:kern w:val="0"/>
          <w:sz w:val="18"/>
          <w:szCs w:val="18"/>
        </w:rPr>
        <w:t>的退还</w:t>
      </w:r>
    </w:p>
    <w:p w14:paraId="586E3DD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缺陷责任期内，承包人认真履行合同约定的责任，到期后，承包人可向发包人申请返还保证金。</w:t>
      </w:r>
    </w:p>
    <w:p w14:paraId="2EFCD02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C178EE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发包人和承包人对保证金预留、返还以及工程维修质量、费用有争议的，按本合同第20条约定的争议和纠纷解决程序处理。</w:t>
      </w:r>
    </w:p>
    <w:p w14:paraId="7BF9ED44">
      <w:pPr>
        <w:pStyle w:val="6"/>
        <w:spacing w:before="120" w:after="120"/>
        <w:ind w:left="0" w:firstLine="360" w:firstLineChars="200"/>
        <w:rPr>
          <w:rFonts w:ascii="仿宋_GB2312" w:hAnsi="仿宋_GB2312" w:eastAsia="仿宋_GB2312" w:cs="仿宋_GB2312"/>
          <w:b w:val="0"/>
          <w:color w:val="000000"/>
          <w:sz w:val="18"/>
          <w:szCs w:val="18"/>
        </w:rPr>
      </w:pPr>
      <w:bookmarkStart w:id="753" w:name="_Toc351203602"/>
      <w:bookmarkStart w:id="754" w:name="_Toc337558819"/>
      <w:r>
        <w:rPr>
          <w:rFonts w:hint="eastAsia" w:ascii="仿宋_GB2312" w:hAnsi="仿宋_GB2312" w:eastAsia="仿宋_GB2312" w:cs="仿宋_GB2312"/>
          <w:b w:val="0"/>
          <w:color w:val="000000"/>
          <w:sz w:val="18"/>
          <w:szCs w:val="18"/>
        </w:rPr>
        <w:t>15.4 保修</w:t>
      </w:r>
      <w:bookmarkEnd w:id="753"/>
    </w:p>
    <w:bookmarkEnd w:id="749"/>
    <w:bookmarkEnd w:id="750"/>
    <w:bookmarkEnd w:id="754"/>
    <w:p w14:paraId="1197A6E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15.4.1保修责任</w:t>
      </w:r>
    </w:p>
    <w:p w14:paraId="22C9801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2ECF7D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发包人未经竣工验收擅自使用工程的，保修期自</w:t>
      </w:r>
      <w:r>
        <w:rPr>
          <w:rFonts w:hint="eastAsia" w:ascii="仿宋_GB2312" w:hAnsi="仿宋_GB2312" w:eastAsia="仿宋_GB2312" w:cs="仿宋_GB2312"/>
          <w:color w:val="000000"/>
          <w:kern w:val="0"/>
          <w:sz w:val="18"/>
          <w:szCs w:val="18"/>
        </w:rPr>
        <w:t>转移占有之日起算</w:t>
      </w:r>
      <w:r>
        <w:rPr>
          <w:rFonts w:hint="eastAsia" w:ascii="仿宋_GB2312" w:hAnsi="仿宋_GB2312" w:eastAsia="仿宋_GB2312" w:cs="仿宋_GB2312"/>
          <w:color w:val="000000"/>
          <w:sz w:val="18"/>
          <w:szCs w:val="18"/>
        </w:rPr>
        <w:t>。</w:t>
      </w:r>
    </w:p>
    <w:p w14:paraId="52FCB51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15.4.2 修复费用</w:t>
      </w:r>
    </w:p>
    <w:p w14:paraId="5DF23E7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保修期内，修复的费用按照以下约定处理：</w:t>
      </w:r>
    </w:p>
    <w:p w14:paraId="2436A2D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（1）保修期内，因承包人原因造成工程的缺陷、损坏，承包人应负责修复，并承担修复的费用以及因工程的缺陷、损坏造成的人身伤害和财产损失；</w:t>
      </w:r>
    </w:p>
    <w:p w14:paraId="1B9CE15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（2）保修期内，因发包人使用不当造成工程的缺陷、损坏，可以委托承包人修复，但发包人应承担修复的费用，并支付承包人合理利润；</w:t>
      </w:r>
    </w:p>
    <w:p w14:paraId="0AC74DF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（3）因其他原因造成工程的缺陷、损坏，可以委托承包人修复，发包人应承担修复的费用，并支付承包人合理的利润，因工程的缺陷、损坏造成的人身伤害和财产损失由责任方承担。</w:t>
      </w:r>
    </w:p>
    <w:p w14:paraId="2556315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15.4.3 修复通知</w:t>
      </w:r>
    </w:p>
    <w:p w14:paraId="175052D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A992C0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15.4.4 未能修复</w:t>
      </w:r>
    </w:p>
    <w:p w14:paraId="0D08C10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7FCAE3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15.4.5 承包人出入权</w:t>
      </w:r>
    </w:p>
    <w:p w14:paraId="58AC254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19BF5B9">
      <w:pPr>
        <w:pStyle w:val="5"/>
        <w:spacing w:before="120" w:after="120" w:line="240" w:lineRule="auto"/>
        <w:rPr>
          <w:rFonts w:ascii="仿宋_GB2312" w:hAnsi="仿宋_GB2312" w:eastAsia="仿宋_GB2312" w:cs="仿宋_GB2312"/>
          <w:b w:val="0"/>
          <w:color w:val="000000"/>
          <w:sz w:val="18"/>
          <w:szCs w:val="18"/>
        </w:rPr>
      </w:pPr>
      <w:bookmarkStart w:id="755" w:name="_Toc351203603"/>
      <w:bookmarkStart w:id="756" w:name="_Toc337558820"/>
      <w:r>
        <w:rPr>
          <w:rFonts w:hint="eastAsia" w:ascii="仿宋_GB2312" w:hAnsi="仿宋_GB2312" w:eastAsia="仿宋_GB2312" w:cs="仿宋_GB2312"/>
          <w:b w:val="0"/>
          <w:color w:val="000000"/>
          <w:sz w:val="18"/>
          <w:szCs w:val="18"/>
        </w:rPr>
        <w:t>16. 违约</w:t>
      </w:r>
      <w:bookmarkEnd w:id="755"/>
    </w:p>
    <w:bookmarkEnd w:id="756"/>
    <w:p w14:paraId="73F0F86E">
      <w:pPr>
        <w:pStyle w:val="6"/>
        <w:spacing w:before="120" w:after="120"/>
        <w:ind w:left="0" w:firstLine="360" w:firstLineChars="200"/>
        <w:rPr>
          <w:rFonts w:ascii="仿宋_GB2312" w:hAnsi="仿宋_GB2312" w:eastAsia="仿宋_GB2312" w:cs="仿宋_GB2312"/>
          <w:b w:val="0"/>
          <w:color w:val="000000"/>
          <w:sz w:val="18"/>
          <w:szCs w:val="18"/>
        </w:rPr>
      </w:pPr>
      <w:bookmarkStart w:id="757" w:name="_Toc296346630"/>
      <w:bookmarkStart w:id="758" w:name="_Toc296503129"/>
      <w:bookmarkStart w:id="759" w:name="_Toc351203604"/>
      <w:bookmarkStart w:id="760" w:name="_Toc337558821"/>
      <w:r>
        <w:rPr>
          <w:rFonts w:hint="eastAsia" w:ascii="仿宋_GB2312" w:hAnsi="仿宋_GB2312" w:eastAsia="仿宋_GB2312" w:cs="仿宋_GB2312"/>
          <w:b w:val="0"/>
          <w:color w:val="000000"/>
          <w:sz w:val="18"/>
          <w:szCs w:val="18"/>
        </w:rPr>
        <w:t>16.1 发</w:t>
      </w:r>
      <w:bookmarkEnd w:id="757"/>
      <w:bookmarkEnd w:id="758"/>
      <w:r>
        <w:rPr>
          <w:rFonts w:hint="eastAsia" w:ascii="仿宋_GB2312" w:hAnsi="仿宋_GB2312" w:eastAsia="仿宋_GB2312" w:cs="仿宋_GB2312"/>
          <w:b w:val="0"/>
          <w:color w:val="000000"/>
          <w:sz w:val="18"/>
          <w:szCs w:val="18"/>
        </w:rPr>
        <w:t>包人违约</w:t>
      </w:r>
      <w:bookmarkEnd w:id="759"/>
    </w:p>
    <w:bookmarkEnd w:id="760"/>
    <w:p w14:paraId="014E734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16.1.1 发包人违约的情形</w:t>
      </w:r>
    </w:p>
    <w:p w14:paraId="439C1EA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在合同履行过程中发生的下列情形，属于发包人违约：</w:t>
      </w:r>
    </w:p>
    <w:p w14:paraId="3B0A01B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（1）因发包人原因未能在计划开工日期前7天内下达开工通知的；</w:t>
      </w:r>
    </w:p>
    <w:p w14:paraId="0BA5E88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（2）因发包人原因未能按合同约定支付合同价款的；</w:t>
      </w:r>
    </w:p>
    <w:p w14:paraId="5D4752D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（3）发包人违反第10.1款〔变更的范围〕第（2）项约定，自行实施被取消的工作或转由他人实施的；</w:t>
      </w:r>
    </w:p>
    <w:p w14:paraId="5E9E601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（4）发包人提供的材料、工程设备的规格、数量或质量不符合合同约定，或因发包人原因导致交货日期延误或交货地点变更等情况的；</w:t>
      </w:r>
    </w:p>
    <w:p w14:paraId="4607E29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（5）因发包人违反合同约定造成暂停施工的；</w:t>
      </w:r>
    </w:p>
    <w:p w14:paraId="0889EC9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（6）发包人无正当理由没有在约定期限内发出复工指示，导致承包人无法复工的；</w:t>
      </w:r>
    </w:p>
    <w:p w14:paraId="1CB04231">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（7）发包人明确表示或者以其行为表明不履行合同主要义务的；</w:t>
      </w:r>
    </w:p>
    <w:p w14:paraId="6EC05E0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（8）发包人未能按照合同约定履行其他义务的。</w:t>
      </w:r>
    </w:p>
    <w:p w14:paraId="2FFF68D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71468E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16.1.2 发包人违约的责任</w:t>
      </w:r>
    </w:p>
    <w:p w14:paraId="463DD5E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发包人应承担因其违约给承包人增加的费用和（或）延误的工期，并支付承包人合理的利润。此外，合同当事人可在专用合同条款中另行约定发包人违约责任的承担方式和计算方法。</w:t>
      </w:r>
    </w:p>
    <w:p w14:paraId="7ED1FA2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16.1.3 因发包人违约解除合同</w:t>
      </w:r>
    </w:p>
    <w:p w14:paraId="74C0C24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43D0C84">
      <w:pPr>
        <w:autoSpaceDE w:val="0"/>
        <w:autoSpaceDN w:val="0"/>
        <w:adjustRightInd w:val="0"/>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16.1.4 因发包人违约解除合同后的付款</w:t>
      </w:r>
    </w:p>
    <w:p w14:paraId="293FA3E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承包人按照本款约定解除合同的，发包人应在解除合同后28天内支付下列款项，并解除履约担保：</w:t>
      </w:r>
    </w:p>
    <w:p w14:paraId="2E3EE0E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（1）合同解除前所完成工作的价款；</w:t>
      </w:r>
    </w:p>
    <w:p w14:paraId="2AEEA4D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（2）承包人为工程施工订购并已付款的材料、工程设备和其他物品的价款；</w:t>
      </w:r>
    </w:p>
    <w:p w14:paraId="0954F24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（3）承包人撤离施工现场以及遣散承包人人员的款项；</w:t>
      </w:r>
    </w:p>
    <w:p w14:paraId="3CD62F3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（4）按照合同约定在合同解除前应支付的违约金；</w:t>
      </w:r>
    </w:p>
    <w:p w14:paraId="6380B5E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（5）按照合同约定应当支付给承包人的其他款项；</w:t>
      </w:r>
    </w:p>
    <w:p w14:paraId="4873040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（6）按照合同约定应退还的质量保证金；</w:t>
      </w:r>
    </w:p>
    <w:p w14:paraId="406E7F1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（7）因解除合同给承包人造成的损失。</w:t>
      </w:r>
    </w:p>
    <w:p w14:paraId="0D38F05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合同当事人未能就解除合同后的结清达成一致的，按照第20条〔争议解决〕的约定处理。</w:t>
      </w:r>
    </w:p>
    <w:p w14:paraId="2671891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承包人应妥善做好已完工程和与工程有关的已购材料、工程设备的保护和移交工作，并将施工设备和人员撤出施工现场，发包人应为承包人撤出提供必要条件。</w:t>
      </w:r>
    </w:p>
    <w:p w14:paraId="4B235B85">
      <w:pPr>
        <w:pStyle w:val="6"/>
        <w:spacing w:before="120" w:after="120"/>
        <w:ind w:left="0" w:firstLine="360" w:firstLineChars="200"/>
        <w:rPr>
          <w:rFonts w:ascii="仿宋_GB2312" w:hAnsi="仿宋_GB2312" w:eastAsia="仿宋_GB2312" w:cs="仿宋_GB2312"/>
          <w:b w:val="0"/>
          <w:color w:val="000000"/>
          <w:sz w:val="18"/>
          <w:szCs w:val="18"/>
        </w:rPr>
      </w:pPr>
      <w:bookmarkStart w:id="761" w:name="_Toc351203605"/>
      <w:bookmarkStart w:id="762" w:name="_Toc296503131"/>
      <w:bookmarkStart w:id="763" w:name="_Toc337558822"/>
      <w:bookmarkStart w:id="764" w:name="_Toc296346632"/>
      <w:r>
        <w:rPr>
          <w:rFonts w:hint="eastAsia" w:ascii="仿宋_GB2312" w:hAnsi="仿宋_GB2312" w:eastAsia="仿宋_GB2312" w:cs="仿宋_GB2312"/>
          <w:b w:val="0"/>
          <w:color w:val="000000"/>
          <w:sz w:val="18"/>
          <w:szCs w:val="18"/>
        </w:rPr>
        <w:t>16.2 承包人违约</w:t>
      </w:r>
      <w:bookmarkEnd w:id="761"/>
    </w:p>
    <w:bookmarkEnd w:id="762"/>
    <w:bookmarkEnd w:id="763"/>
    <w:bookmarkEnd w:id="764"/>
    <w:p w14:paraId="4DE3138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16.2.1 承包人违约的情形</w:t>
      </w:r>
    </w:p>
    <w:p w14:paraId="7E8655D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在合同履行过程中发生的下列情形，属于承包人违约：</w:t>
      </w:r>
    </w:p>
    <w:p w14:paraId="0FC1534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（1）承包人违反合同约定进行转包或违法分包的；</w:t>
      </w:r>
    </w:p>
    <w:p w14:paraId="644BC40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（2）承包人违反合同约定采购和使用不合格的材料和工程设备的；</w:t>
      </w:r>
    </w:p>
    <w:p w14:paraId="445118C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（3）因承包人原因导致工程质量不符合合同要求的； </w:t>
      </w:r>
    </w:p>
    <w:p w14:paraId="5C7206B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（4）承包人违反第8.9款〔材料与设备专用要求〕的约定，未经批准，私自将已按照合同约定进入施工现场的材料或设备撤离施工现场的；</w:t>
      </w:r>
    </w:p>
    <w:p w14:paraId="5BF5F20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（5）承包人未能按施工进度计划及时完成合同约定的工作，造成工期延误的；</w:t>
      </w:r>
    </w:p>
    <w:p w14:paraId="7BE5AA3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（6）承包人在缺陷责任期及保修期内，未能在合理期限对工程缺陷进行修复，或拒绝按发包人要求进行修复的；</w:t>
      </w:r>
    </w:p>
    <w:p w14:paraId="4BE9A21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（7）承包人明确表示或者以其行为表明不履行合同主要义务的；</w:t>
      </w:r>
    </w:p>
    <w:p w14:paraId="0E3AEB2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（8）承包人未能按照合同约定履行其他义务的。</w:t>
      </w:r>
    </w:p>
    <w:p w14:paraId="04C5081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承包人发生除本项第（7）目约定以外的其他违约情况时，监理人可向承包人发出整改通知，要求其在指定的期限内改正。</w:t>
      </w:r>
    </w:p>
    <w:p w14:paraId="1125FE7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16.2.2 承包人违约的责任</w:t>
      </w:r>
    </w:p>
    <w:p w14:paraId="56ED13B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承包人应承担因其违约行为而增加的费用和（或）延误的工期。此外，合同当事人可在专用合同条款中另行约定承包人违约责任的承担方式和计算方法。</w:t>
      </w:r>
    </w:p>
    <w:p w14:paraId="2F893D9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16.2.3 因承包人违约解除合同</w:t>
      </w:r>
    </w:p>
    <w:p w14:paraId="609FF8D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9ACA7F6">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16.2.4因承包人违约解除合同后的处理</w:t>
      </w:r>
    </w:p>
    <w:p w14:paraId="3721F70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因承包人原因导致合同解除的，则合同当事人应在合同解除后28天内完成估价、付款和清算，并按以下约定执行：</w:t>
      </w:r>
    </w:p>
    <w:p w14:paraId="589A3C9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（1）合同解除后，按第4.4款〔商定或确定〕商定或确定承包人实际完成工作对应的合同价款，以及承包人已提供的材料、工程设备、施工设备和临时工程等的价值；</w:t>
      </w:r>
    </w:p>
    <w:p w14:paraId="296B426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（2）合同解除后，承包人应支付的违约金；</w:t>
      </w:r>
    </w:p>
    <w:p w14:paraId="4448DBC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（3）合同解除后，因解除合同给发包人造成的损失；</w:t>
      </w:r>
    </w:p>
    <w:p w14:paraId="7A66A11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（4）合同解除后，承包人应按照发包人要求和监理人的指示完成现场的清理和撤离；</w:t>
      </w:r>
    </w:p>
    <w:p w14:paraId="055D13A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（5）发包人和承包人应在合同解除后进行清算，出具最终结清付款证书，结清全部款项。</w:t>
      </w:r>
    </w:p>
    <w:p w14:paraId="5ADC0BA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因承包人违约解除合同的，发包人有权暂停对承包人的付款，查清各项付款和已扣款项。发包人和承包人未能就合同解除后的清算和款项支付达成一致的，按照第20条〔争议解决〕的约定处理。</w:t>
      </w:r>
    </w:p>
    <w:p w14:paraId="6F9F673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16.2.5采购合同权益转让</w:t>
      </w:r>
    </w:p>
    <w:p w14:paraId="30592FC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64D9388">
      <w:pPr>
        <w:pStyle w:val="6"/>
        <w:spacing w:before="120" w:after="120"/>
        <w:ind w:left="0" w:firstLine="360" w:firstLineChars="200"/>
        <w:rPr>
          <w:rFonts w:ascii="仿宋_GB2312" w:hAnsi="仿宋_GB2312" w:eastAsia="仿宋_GB2312" w:cs="仿宋_GB2312"/>
          <w:b w:val="0"/>
          <w:color w:val="000000"/>
          <w:sz w:val="18"/>
          <w:szCs w:val="18"/>
        </w:rPr>
      </w:pPr>
      <w:bookmarkStart w:id="765" w:name="_Toc351203606"/>
      <w:r>
        <w:rPr>
          <w:rFonts w:hint="eastAsia" w:ascii="仿宋_GB2312" w:hAnsi="仿宋_GB2312" w:eastAsia="仿宋_GB2312" w:cs="仿宋_GB2312"/>
          <w:b w:val="0"/>
          <w:color w:val="000000"/>
          <w:sz w:val="18"/>
          <w:szCs w:val="18"/>
        </w:rPr>
        <w:t>16.3 第三人造成的违约</w:t>
      </w:r>
      <w:bookmarkEnd w:id="765"/>
    </w:p>
    <w:p w14:paraId="2FDB663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在履行合同过程中，一方当事人因第三人的原因造成违约的，应当向对方当事人承担违约责任。一方当事人和第三人之间的纠纷，依照法律规定或者按照约定解决。</w:t>
      </w:r>
    </w:p>
    <w:p w14:paraId="748C242E">
      <w:pPr>
        <w:pStyle w:val="5"/>
        <w:spacing w:before="120" w:after="120" w:line="240" w:lineRule="auto"/>
        <w:rPr>
          <w:rFonts w:ascii="仿宋_GB2312" w:hAnsi="仿宋_GB2312" w:eastAsia="仿宋_GB2312" w:cs="仿宋_GB2312"/>
          <w:b w:val="0"/>
          <w:color w:val="000000"/>
          <w:sz w:val="18"/>
          <w:szCs w:val="18"/>
        </w:rPr>
      </w:pPr>
      <w:bookmarkStart w:id="766" w:name="_Toc296346617"/>
      <w:bookmarkStart w:id="767" w:name="_Toc337558823"/>
      <w:bookmarkStart w:id="768" w:name="_Toc351203607"/>
      <w:bookmarkStart w:id="769" w:name="_Toc296503116"/>
      <w:r>
        <w:rPr>
          <w:rFonts w:hint="eastAsia" w:ascii="仿宋_GB2312" w:hAnsi="仿宋_GB2312" w:eastAsia="仿宋_GB2312" w:cs="仿宋_GB2312"/>
          <w:b w:val="0"/>
          <w:color w:val="000000"/>
          <w:sz w:val="18"/>
          <w:szCs w:val="18"/>
        </w:rPr>
        <w:t>17. 不可抗力</w:t>
      </w:r>
      <w:bookmarkEnd w:id="766"/>
      <w:bookmarkEnd w:id="767"/>
      <w:bookmarkEnd w:id="768"/>
      <w:bookmarkEnd w:id="769"/>
    </w:p>
    <w:p w14:paraId="465F672D">
      <w:pPr>
        <w:pStyle w:val="6"/>
        <w:spacing w:before="120" w:after="120"/>
        <w:ind w:left="0" w:firstLine="360" w:firstLineChars="200"/>
        <w:rPr>
          <w:rFonts w:ascii="仿宋_GB2312" w:hAnsi="仿宋_GB2312" w:eastAsia="仿宋_GB2312" w:cs="仿宋_GB2312"/>
          <w:b w:val="0"/>
          <w:color w:val="000000"/>
          <w:sz w:val="18"/>
          <w:szCs w:val="18"/>
        </w:rPr>
      </w:pPr>
      <w:bookmarkStart w:id="770" w:name="_Toc351203608"/>
      <w:bookmarkStart w:id="771" w:name="_Toc296503117"/>
      <w:bookmarkStart w:id="772" w:name="_Toc337558824"/>
      <w:bookmarkStart w:id="773" w:name="_Toc296346618"/>
      <w:r>
        <w:rPr>
          <w:rFonts w:hint="eastAsia" w:ascii="仿宋_GB2312" w:hAnsi="仿宋_GB2312" w:eastAsia="仿宋_GB2312" w:cs="仿宋_GB2312"/>
          <w:b w:val="0"/>
          <w:color w:val="000000"/>
          <w:sz w:val="18"/>
          <w:szCs w:val="18"/>
        </w:rPr>
        <w:t>17.1 不可抗力的确认</w:t>
      </w:r>
      <w:bookmarkEnd w:id="770"/>
    </w:p>
    <w:bookmarkEnd w:id="771"/>
    <w:bookmarkEnd w:id="772"/>
    <w:bookmarkEnd w:id="773"/>
    <w:p w14:paraId="5490795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不可抗力是指合同当事人在签订合同时不可预见，在合同履行过程中不可避免且不能克服的自然灾害和社会性突发事件，如地震、海啸、瘟疫、骚乱、戒严、暴动、战争和专用合同条款中约定的其他情形。</w:t>
      </w:r>
    </w:p>
    <w:p w14:paraId="4F63BAD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C6B5F14">
      <w:pPr>
        <w:pStyle w:val="6"/>
        <w:spacing w:before="120" w:after="120"/>
        <w:ind w:left="0" w:firstLine="360" w:firstLineChars="200"/>
        <w:rPr>
          <w:rFonts w:ascii="仿宋_GB2312" w:hAnsi="仿宋_GB2312" w:eastAsia="仿宋_GB2312" w:cs="仿宋_GB2312"/>
          <w:b w:val="0"/>
          <w:color w:val="000000"/>
          <w:sz w:val="18"/>
          <w:szCs w:val="18"/>
        </w:rPr>
      </w:pPr>
      <w:bookmarkStart w:id="774" w:name="_Toc351203609"/>
      <w:bookmarkStart w:id="775" w:name="_Toc296503118"/>
      <w:bookmarkStart w:id="776" w:name="_Toc337558825"/>
      <w:bookmarkStart w:id="777" w:name="_Toc296346619"/>
      <w:r>
        <w:rPr>
          <w:rFonts w:hint="eastAsia" w:ascii="仿宋_GB2312" w:hAnsi="仿宋_GB2312" w:eastAsia="仿宋_GB2312" w:cs="仿宋_GB2312"/>
          <w:b w:val="0"/>
          <w:color w:val="000000"/>
          <w:sz w:val="18"/>
          <w:szCs w:val="18"/>
        </w:rPr>
        <w:t>17.2 不可抗力的通知</w:t>
      </w:r>
      <w:bookmarkEnd w:id="774"/>
    </w:p>
    <w:bookmarkEnd w:id="775"/>
    <w:bookmarkEnd w:id="776"/>
    <w:bookmarkEnd w:id="777"/>
    <w:p w14:paraId="2912DDA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合同一方当事人遇到不可抗力事件，使其履行合同义务受到阻碍时，应立即通知合同另一方当事人和监理人，书面说明不可抗力和受阻碍的详细情况，并提供必要的证明。</w:t>
      </w:r>
    </w:p>
    <w:p w14:paraId="51794BA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不可抗力持续发生的，合同一方当事人应及时向合同另一方当事人和监理人提交中间报告，说明不可抗力和履行合同受阻的情况，并于不可抗力事件结束后28天内提交最终报告及有关资料。</w:t>
      </w:r>
    </w:p>
    <w:p w14:paraId="00E8A3C1">
      <w:pPr>
        <w:pStyle w:val="6"/>
        <w:spacing w:before="120" w:after="120"/>
        <w:ind w:left="0" w:firstLine="360" w:firstLineChars="200"/>
        <w:rPr>
          <w:rFonts w:ascii="仿宋_GB2312" w:hAnsi="仿宋_GB2312" w:eastAsia="仿宋_GB2312" w:cs="仿宋_GB2312"/>
          <w:b w:val="0"/>
          <w:color w:val="000000"/>
          <w:sz w:val="18"/>
          <w:szCs w:val="18"/>
        </w:rPr>
      </w:pPr>
      <w:bookmarkStart w:id="778" w:name="_Toc351203610"/>
      <w:bookmarkStart w:id="779" w:name="_Toc296503119"/>
      <w:bookmarkStart w:id="780" w:name="_Toc296346620"/>
      <w:bookmarkStart w:id="781" w:name="_Toc337558826"/>
      <w:r>
        <w:rPr>
          <w:rFonts w:hint="eastAsia" w:ascii="仿宋_GB2312" w:hAnsi="仿宋_GB2312" w:eastAsia="仿宋_GB2312" w:cs="仿宋_GB2312"/>
          <w:b w:val="0"/>
          <w:color w:val="000000"/>
          <w:sz w:val="18"/>
          <w:szCs w:val="18"/>
        </w:rPr>
        <w:t>17.3 不可抗力后果的承担</w:t>
      </w:r>
      <w:bookmarkEnd w:id="778"/>
    </w:p>
    <w:bookmarkEnd w:id="779"/>
    <w:bookmarkEnd w:id="780"/>
    <w:bookmarkEnd w:id="781"/>
    <w:p w14:paraId="5A81386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17.3.1 不可抗力引起的后果及造成的损失由合同当事人按照法律规定及合同约定各自承担。不可抗力发生前已完成的工程应当按照合同约定进行计量支付。</w:t>
      </w:r>
    </w:p>
    <w:p w14:paraId="08A9E80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17.3.2 不可抗力导致的人员伤亡、财产损失、费用增加和（或）工期延误等后果，由合同当事人按以下原则承担：</w:t>
      </w:r>
    </w:p>
    <w:p w14:paraId="6BDCBB5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（1）永久工程、已运至施工现场的材料和工程设备的损坏，以及因工程损坏造成的第三人人员伤亡和财产损失由发包人承担；</w:t>
      </w:r>
    </w:p>
    <w:p w14:paraId="42E5015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（2）承包人施工设备的损坏由承包人承担；</w:t>
      </w:r>
    </w:p>
    <w:p w14:paraId="005653D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（3）发包人和承包人承担各自人员伤亡和财产的损失；</w:t>
      </w:r>
    </w:p>
    <w:p w14:paraId="33AA357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26D33A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（5）因不可抗力引起或将引起工期延误，发包人要求赶工的，由此增加的赶工费用由发包人承担；</w:t>
      </w:r>
    </w:p>
    <w:p w14:paraId="4900DB6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（6）承包人在停工期间按照发包人要求照管、清理和修复工程的费用由发包人承担。</w:t>
      </w:r>
    </w:p>
    <w:p w14:paraId="3FCD063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不可抗力发生后，合同当事人均应采取措施尽量避免和减少损失的扩大，任何一方当事人没有采取有效措施导致损失扩大的，应对扩大的损失承担责任。</w:t>
      </w:r>
    </w:p>
    <w:p w14:paraId="4663527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因合同一方迟延履行合同义务，在迟延履行期间遭遇不可抗力的，不免除其违约责任。</w:t>
      </w:r>
    </w:p>
    <w:p w14:paraId="0C526EB8">
      <w:pPr>
        <w:pStyle w:val="6"/>
        <w:spacing w:before="120" w:after="120"/>
        <w:ind w:left="0" w:firstLine="360" w:firstLineChars="200"/>
        <w:rPr>
          <w:rFonts w:ascii="仿宋_GB2312" w:hAnsi="仿宋_GB2312" w:eastAsia="仿宋_GB2312" w:cs="仿宋_GB2312"/>
          <w:b w:val="0"/>
          <w:color w:val="000000"/>
          <w:sz w:val="18"/>
          <w:szCs w:val="18"/>
        </w:rPr>
      </w:pPr>
      <w:bookmarkStart w:id="782" w:name="_Toc351203611"/>
      <w:bookmarkStart w:id="783" w:name="_Toc337558827"/>
      <w:r>
        <w:rPr>
          <w:rFonts w:hint="eastAsia" w:ascii="仿宋_GB2312" w:hAnsi="仿宋_GB2312" w:eastAsia="仿宋_GB2312" w:cs="仿宋_GB2312"/>
          <w:b w:val="0"/>
          <w:color w:val="000000"/>
          <w:sz w:val="18"/>
          <w:szCs w:val="18"/>
        </w:rPr>
        <w:t>17.4 因不可抗力解除合同</w:t>
      </w:r>
      <w:bookmarkEnd w:id="782"/>
    </w:p>
    <w:bookmarkEnd w:id="783"/>
    <w:p w14:paraId="28CE796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因不可抗力导致合同无法履行连续超过84天或累计超过140天的，发包人和承包人均有权解除合同。合同解除后，由双方当事人按照第4.4款〔商定或确定〕商定或确定发包人应支付的款项，该款项包括：</w:t>
      </w:r>
    </w:p>
    <w:p w14:paraId="06DB9D4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（1）合同解除前承包人已完成工作的价款；</w:t>
      </w:r>
    </w:p>
    <w:p w14:paraId="5DC4567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（2）承包人为工程订购的并已交付给承包人，或承包人有责任接受交付的材料、工程设备和其他物品的价款；</w:t>
      </w:r>
    </w:p>
    <w:p w14:paraId="10577AE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（3）发包人要求承包人退货或解除订货合同而产生的费用，或因不能退货或解除合同而产生的损失；</w:t>
      </w:r>
    </w:p>
    <w:p w14:paraId="02770BA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（4）承包人撤离施工现场以及遣散承包人人员的费用；</w:t>
      </w:r>
    </w:p>
    <w:p w14:paraId="0B775B62">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（5）按照合同约定在合同解除前应支付给承包人的其他款项；</w:t>
      </w:r>
    </w:p>
    <w:p w14:paraId="17912F0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（6）扣减承包人按照合同约定应向发包人支付的款项；</w:t>
      </w:r>
    </w:p>
    <w:p w14:paraId="135DFC7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（7）双方商定或确定的其他款项。</w:t>
      </w:r>
    </w:p>
    <w:p w14:paraId="7794F58B">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除专用合同条款另有约定外，合同解除后，发包人应在商定或确定上述款项后28天内完成上述款项的支付。</w:t>
      </w:r>
    </w:p>
    <w:p w14:paraId="47CE3FCA">
      <w:pPr>
        <w:pStyle w:val="5"/>
        <w:spacing w:before="120" w:after="120" w:line="240" w:lineRule="auto"/>
        <w:rPr>
          <w:rFonts w:ascii="仿宋_GB2312" w:hAnsi="仿宋_GB2312" w:eastAsia="仿宋_GB2312" w:cs="仿宋_GB2312"/>
          <w:b w:val="0"/>
          <w:color w:val="000000"/>
          <w:sz w:val="18"/>
          <w:szCs w:val="18"/>
        </w:rPr>
      </w:pPr>
      <w:bookmarkStart w:id="784" w:name="_Toc351203612"/>
      <w:bookmarkStart w:id="785" w:name="_Toc296346621"/>
      <w:bookmarkStart w:id="786" w:name="_Toc296503120"/>
      <w:bookmarkStart w:id="787" w:name="_Toc337558828"/>
      <w:r>
        <w:rPr>
          <w:rFonts w:hint="eastAsia" w:ascii="仿宋_GB2312" w:hAnsi="仿宋_GB2312" w:eastAsia="仿宋_GB2312" w:cs="仿宋_GB2312"/>
          <w:b w:val="0"/>
          <w:color w:val="000000"/>
          <w:sz w:val="18"/>
          <w:szCs w:val="18"/>
        </w:rPr>
        <w:t>18. 保险</w:t>
      </w:r>
      <w:bookmarkEnd w:id="784"/>
    </w:p>
    <w:bookmarkEnd w:id="785"/>
    <w:bookmarkEnd w:id="786"/>
    <w:bookmarkEnd w:id="787"/>
    <w:p w14:paraId="2D594567">
      <w:pPr>
        <w:pStyle w:val="6"/>
        <w:spacing w:before="120" w:after="120"/>
        <w:ind w:left="0" w:firstLine="360" w:firstLineChars="200"/>
        <w:rPr>
          <w:rFonts w:ascii="仿宋_GB2312" w:hAnsi="仿宋_GB2312" w:eastAsia="仿宋_GB2312" w:cs="仿宋_GB2312"/>
          <w:b w:val="0"/>
          <w:color w:val="000000"/>
          <w:sz w:val="18"/>
          <w:szCs w:val="18"/>
        </w:rPr>
      </w:pPr>
      <w:bookmarkStart w:id="788" w:name="_Toc351203613"/>
      <w:bookmarkStart w:id="789" w:name="_Toc296503121"/>
      <w:bookmarkStart w:id="790" w:name="_Toc296346622"/>
      <w:bookmarkStart w:id="791" w:name="_Toc337558829"/>
      <w:r>
        <w:rPr>
          <w:rFonts w:hint="eastAsia" w:ascii="仿宋_GB2312" w:hAnsi="仿宋_GB2312" w:eastAsia="仿宋_GB2312" w:cs="仿宋_GB2312"/>
          <w:b w:val="0"/>
          <w:color w:val="000000"/>
          <w:sz w:val="18"/>
          <w:szCs w:val="18"/>
        </w:rPr>
        <w:t>18.1 工程保险</w:t>
      </w:r>
      <w:bookmarkEnd w:id="788"/>
    </w:p>
    <w:bookmarkEnd w:id="789"/>
    <w:bookmarkEnd w:id="790"/>
    <w:bookmarkEnd w:id="791"/>
    <w:p w14:paraId="22418FB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除专用合同条款另有约定外，发包人应投保建筑工程一切险或安装工程一切险；发包人委托承包人投保的，因投保产生的保险费和其他相关费用由发包人承担。</w:t>
      </w:r>
    </w:p>
    <w:p w14:paraId="48942DF9">
      <w:pPr>
        <w:pStyle w:val="6"/>
        <w:spacing w:before="120" w:after="120"/>
        <w:ind w:left="0" w:firstLine="360" w:firstLineChars="200"/>
        <w:rPr>
          <w:rFonts w:ascii="仿宋_GB2312" w:hAnsi="仿宋_GB2312" w:eastAsia="仿宋_GB2312" w:cs="仿宋_GB2312"/>
          <w:b w:val="0"/>
          <w:color w:val="000000"/>
          <w:sz w:val="18"/>
          <w:szCs w:val="18"/>
        </w:rPr>
      </w:pPr>
      <w:bookmarkStart w:id="792" w:name="_Toc351203614"/>
      <w:bookmarkStart w:id="793" w:name="_Toc337558830"/>
      <w:bookmarkStart w:id="794" w:name="_Toc296503122"/>
      <w:bookmarkStart w:id="795" w:name="_Toc296346623"/>
      <w:r>
        <w:rPr>
          <w:rFonts w:hint="eastAsia" w:ascii="仿宋_GB2312" w:hAnsi="仿宋_GB2312" w:eastAsia="仿宋_GB2312" w:cs="仿宋_GB2312"/>
          <w:b w:val="0"/>
          <w:color w:val="000000"/>
          <w:sz w:val="18"/>
          <w:szCs w:val="18"/>
        </w:rPr>
        <w:t>18.2 工伤保险</w:t>
      </w:r>
      <w:bookmarkEnd w:id="792"/>
    </w:p>
    <w:bookmarkEnd w:id="793"/>
    <w:bookmarkEnd w:id="794"/>
    <w:bookmarkEnd w:id="795"/>
    <w:p w14:paraId="634E708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18.2.1 发包人应依照法律规定参加工伤保险，并为在施工现场的全部员工办理工伤保险，缴纳工伤保险费，并要求监理人及由发包人为履行合同聘请的第三方依法参加工伤保险。</w:t>
      </w:r>
    </w:p>
    <w:p w14:paraId="6C2E5D2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18.2.2 承包人应依照法律规定参加工伤保险，并为其履行合同的全部员工办理工伤保险，缴纳工伤保险费，并要求分包人及由承包人为履行合同聘请的第三方依法参加工伤保险。</w:t>
      </w:r>
    </w:p>
    <w:p w14:paraId="7A137FDB">
      <w:pPr>
        <w:pStyle w:val="6"/>
        <w:spacing w:before="120" w:after="120"/>
        <w:ind w:left="0" w:firstLine="360" w:firstLineChars="200"/>
        <w:rPr>
          <w:rFonts w:ascii="仿宋_GB2312" w:hAnsi="仿宋_GB2312" w:eastAsia="仿宋_GB2312" w:cs="仿宋_GB2312"/>
          <w:b w:val="0"/>
          <w:color w:val="000000"/>
          <w:sz w:val="18"/>
          <w:szCs w:val="18"/>
        </w:rPr>
      </w:pPr>
      <w:bookmarkStart w:id="796" w:name="_Toc351203615"/>
      <w:bookmarkStart w:id="797" w:name="_Toc296503125"/>
      <w:bookmarkStart w:id="798" w:name="_Toc337558831"/>
      <w:bookmarkStart w:id="799" w:name="_Toc296346626"/>
      <w:r>
        <w:rPr>
          <w:rFonts w:hint="eastAsia" w:ascii="仿宋_GB2312" w:hAnsi="仿宋_GB2312" w:eastAsia="仿宋_GB2312" w:cs="仿宋_GB2312"/>
          <w:b w:val="0"/>
          <w:color w:val="000000"/>
          <w:sz w:val="18"/>
          <w:szCs w:val="18"/>
        </w:rPr>
        <w:t>18.3其他保险</w:t>
      </w:r>
      <w:bookmarkEnd w:id="796"/>
    </w:p>
    <w:bookmarkEnd w:id="797"/>
    <w:bookmarkEnd w:id="798"/>
    <w:bookmarkEnd w:id="799"/>
    <w:p w14:paraId="13280D1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发包人和承包人可以为其施工现场的全部人员办理意外伤害保险并支付保险费，包括其员工及为履行合同聘请的第三方的人员，具体事项由合同当事人在专用合同条款约定。</w:t>
      </w:r>
    </w:p>
    <w:p w14:paraId="7B522312">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除专用合同条款另有约定外，承包人应为其施工设备等办理财产保险。</w:t>
      </w:r>
    </w:p>
    <w:p w14:paraId="7FFD46FE">
      <w:pPr>
        <w:pStyle w:val="6"/>
        <w:spacing w:before="120" w:after="120"/>
        <w:ind w:left="0" w:firstLine="360" w:firstLineChars="200"/>
        <w:rPr>
          <w:rFonts w:ascii="仿宋_GB2312" w:hAnsi="仿宋_GB2312" w:eastAsia="仿宋_GB2312" w:cs="仿宋_GB2312"/>
          <w:b w:val="0"/>
          <w:color w:val="000000"/>
          <w:sz w:val="18"/>
          <w:szCs w:val="18"/>
        </w:rPr>
      </w:pPr>
      <w:bookmarkStart w:id="800" w:name="_Toc351203616"/>
      <w:r>
        <w:rPr>
          <w:rFonts w:hint="eastAsia" w:ascii="仿宋_GB2312" w:hAnsi="仿宋_GB2312" w:eastAsia="仿宋_GB2312" w:cs="仿宋_GB2312"/>
          <w:b w:val="0"/>
          <w:color w:val="000000"/>
          <w:sz w:val="18"/>
          <w:szCs w:val="18"/>
        </w:rPr>
        <w:t>18.4持续保险</w:t>
      </w:r>
      <w:bookmarkEnd w:id="800"/>
    </w:p>
    <w:p w14:paraId="3EBB8F1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合同当事人应与保险人保持联系，使保险人能够随时了解工程实施中的变动，并确保按保险合同条款要求持续保险。</w:t>
      </w:r>
    </w:p>
    <w:p w14:paraId="14F4F941">
      <w:pPr>
        <w:pStyle w:val="6"/>
        <w:spacing w:before="120" w:after="120"/>
        <w:ind w:left="0" w:firstLine="360" w:firstLineChars="200"/>
        <w:rPr>
          <w:rFonts w:ascii="仿宋_GB2312" w:hAnsi="仿宋_GB2312" w:eastAsia="仿宋_GB2312" w:cs="仿宋_GB2312"/>
          <w:b w:val="0"/>
          <w:color w:val="000000"/>
          <w:sz w:val="18"/>
          <w:szCs w:val="18"/>
        </w:rPr>
      </w:pPr>
      <w:bookmarkStart w:id="801" w:name="_Toc351203617"/>
      <w:bookmarkStart w:id="802" w:name="_Toc337558832"/>
      <w:bookmarkStart w:id="803" w:name="_Toc296346627"/>
      <w:bookmarkStart w:id="804" w:name="_Toc296503126"/>
      <w:r>
        <w:rPr>
          <w:rFonts w:hint="eastAsia" w:ascii="仿宋_GB2312" w:hAnsi="仿宋_GB2312" w:eastAsia="仿宋_GB2312" w:cs="仿宋_GB2312"/>
          <w:b w:val="0"/>
          <w:color w:val="000000"/>
          <w:sz w:val="18"/>
          <w:szCs w:val="18"/>
        </w:rPr>
        <w:t>18.5 保险凭证</w:t>
      </w:r>
      <w:bookmarkEnd w:id="801"/>
    </w:p>
    <w:bookmarkEnd w:id="802"/>
    <w:bookmarkEnd w:id="803"/>
    <w:bookmarkEnd w:id="804"/>
    <w:p w14:paraId="24176750">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合同当事人应及时向另一方当事人提交其已投保的各项保险的凭证和保险单复印件。</w:t>
      </w:r>
    </w:p>
    <w:p w14:paraId="239D17A8">
      <w:pPr>
        <w:pStyle w:val="6"/>
        <w:spacing w:before="120" w:after="120"/>
        <w:ind w:left="0" w:firstLine="360" w:firstLineChars="200"/>
        <w:rPr>
          <w:rFonts w:ascii="仿宋_GB2312" w:hAnsi="仿宋_GB2312" w:eastAsia="仿宋_GB2312" w:cs="仿宋_GB2312"/>
          <w:b w:val="0"/>
          <w:color w:val="000000"/>
          <w:sz w:val="18"/>
          <w:szCs w:val="18"/>
        </w:rPr>
      </w:pPr>
      <w:bookmarkStart w:id="805" w:name="_Toc351203618"/>
      <w:bookmarkStart w:id="806" w:name="_Toc296503127"/>
      <w:bookmarkStart w:id="807" w:name="_Toc337558833"/>
      <w:bookmarkStart w:id="808" w:name="_Toc296346628"/>
      <w:r>
        <w:rPr>
          <w:rFonts w:hint="eastAsia" w:ascii="仿宋_GB2312" w:hAnsi="仿宋_GB2312" w:eastAsia="仿宋_GB2312" w:cs="仿宋_GB2312"/>
          <w:b w:val="0"/>
          <w:color w:val="000000"/>
          <w:sz w:val="18"/>
          <w:szCs w:val="18"/>
        </w:rPr>
        <w:t>18.6 未按约定投保的补救</w:t>
      </w:r>
      <w:bookmarkEnd w:id="805"/>
    </w:p>
    <w:bookmarkEnd w:id="806"/>
    <w:bookmarkEnd w:id="807"/>
    <w:bookmarkEnd w:id="808"/>
    <w:p w14:paraId="0B618E24">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18.6.1发包人未按合同约定办理保险，或未能使保险持续有效的，则承包人可代为办理，所需费用由发包人承担。发包人未按合同约定办理保险，导致未能得到足额赔偿的，由发包人负责补足。</w:t>
      </w:r>
    </w:p>
    <w:p w14:paraId="2C6E27BA">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18.6.2承包人未按合同约定办理保险，或未能使保险持续有效的，则发包人可代为办理，所需费用由承包人承担。承包人未按合同约定办理保险，导致未能得到足额赔偿的，由承包人负责补足。</w:t>
      </w:r>
    </w:p>
    <w:p w14:paraId="20AD4AD1">
      <w:pPr>
        <w:pStyle w:val="6"/>
        <w:spacing w:before="120" w:after="120"/>
        <w:ind w:left="0" w:firstLine="360" w:firstLineChars="200"/>
        <w:rPr>
          <w:rFonts w:ascii="仿宋_GB2312" w:hAnsi="仿宋_GB2312" w:eastAsia="仿宋_GB2312" w:cs="仿宋_GB2312"/>
          <w:b w:val="0"/>
          <w:color w:val="000000"/>
          <w:sz w:val="18"/>
          <w:szCs w:val="18"/>
        </w:rPr>
      </w:pPr>
      <w:bookmarkStart w:id="809" w:name="_Toc351203619"/>
      <w:bookmarkStart w:id="810" w:name="_Toc337558834"/>
      <w:r>
        <w:rPr>
          <w:rFonts w:hint="eastAsia" w:ascii="仿宋_GB2312" w:hAnsi="仿宋_GB2312" w:eastAsia="仿宋_GB2312" w:cs="仿宋_GB2312"/>
          <w:b w:val="0"/>
          <w:color w:val="000000"/>
          <w:sz w:val="18"/>
          <w:szCs w:val="18"/>
        </w:rPr>
        <w:t>18.7 通知义务</w:t>
      </w:r>
      <w:bookmarkEnd w:id="809"/>
    </w:p>
    <w:bookmarkEnd w:id="810"/>
    <w:p w14:paraId="2F595A9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除专用合同条款另有约定外，发包人变更除工伤保险之外的保险合同时，应事先征得承包人同意，并通知监理人；承包人变更除工伤保险之外的保险合同时，应事先征得发包人同意，并通知监理人。</w:t>
      </w:r>
    </w:p>
    <w:p w14:paraId="6FFFF1F6">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保险事故发生时，投保人应按照保险合同规定的条件和期限及时向保险人报告。发包人和承包人应当在知道保险事故发生后及时通知对方。</w:t>
      </w:r>
    </w:p>
    <w:p w14:paraId="0A827311">
      <w:pPr>
        <w:pStyle w:val="5"/>
        <w:spacing w:before="120" w:after="120" w:line="240" w:lineRule="auto"/>
        <w:rPr>
          <w:rFonts w:ascii="仿宋_GB2312" w:hAnsi="仿宋_GB2312" w:eastAsia="仿宋_GB2312" w:cs="仿宋_GB2312"/>
          <w:b w:val="0"/>
          <w:color w:val="000000"/>
          <w:sz w:val="18"/>
          <w:szCs w:val="18"/>
        </w:rPr>
      </w:pPr>
      <w:bookmarkStart w:id="811" w:name="_Toc351203620"/>
      <w:bookmarkStart w:id="812" w:name="_Toc296503140"/>
      <w:bookmarkStart w:id="813" w:name="_Toc296346641"/>
      <w:bookmarkStart w:id="814" w:name="_Toc337558835"/>
      <w:r>
        <w:rPr>
          <w:rFonts w:hint="eastAsia" w:ascii="仿宋_GB2312" w:hAnsi="仿宋_GB2312" w:eastAsia="仿宋_GB2312" w:cs="仿宋_GB2312"/>
          <w:b w:val="0"/>
          <w:color w:val="000000"/>
          <w:sz w:val="18"/>
          <w:szCs w:val="18"/>
        </w:rPr>
        <w:t>19. 索赔</w:t>
      </w:r>
      <w:bookmarkEnd w:id="811"/>
    </w:p>
    <w:bookmarkEnd w:id="812"/>
    <w:bookmarkEnd w:id="813"/>
    <w:bookmarkEnd w:id="814"/>
    <w:p w14:paraId="5C69C334">
      <w:pPr>
        <w:pStyle w:val="6"/>
        <w:spacing w:before="120" w:after="120"/>
        <w:ind w:left="0" w:firstLine="360" w:firstLineChars="200"/>
        <w:rPr>
          <w:rFonts w:ascii="仿宋_GB2312" w:hAnsi="仿宋_GB2312" w:eastAsia="仿宋_GB2312" w:cs="仿宋_GB2312"/>
          <w:b w:val="0"/>
          <w:color w:val="000000"/>
          <w:sz w:val="18"/>
          <w:szCs w:val="18"/>
        </w:rPr>
      </w:pPr>
      <w:bookmarkStart w:id="815" w:name="_Toc351203621"/>
      <w:bookmarkStart w:id="816" w:name="_Toc296503141"/>
      <w:bookmarkStart w:id="817" w:name="_Toc296346642"/>
      <w:bookmarkStart w:id="818" w:name="_Toc337558836"/>
      <w:r>
        <w:rPr>
          <w:rFonts w:hint="eastAsia" w:ascii="仿宋_GB2312" w:hAnsi="仿宋_GB2312" w:eastAsia="仿宋_GB2312" w:cs="仿宋_GB2312"/>
          <w:b w:val="0"/>
          <w:color w:val="000000"/>
          <w:sz w:val="18"/>
          <w:szCs w:val="18"/>
        </w:rPr>
        <w:t>19.1承包人的索赔</w:t>
      </w:r>
      <w:bookmarkEnd w:id="815"/>
    </w:p>
    <w:bookmarkEnd w:id="816"/>
    <w:bookmarkEnd w:id="817"/>
    <w:bookmarkEnd w:id="818"/>
    <w:p w14:paraId="0E2780D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根据合同约定，承包人认为有权得到追加付款和（或）延长工期的，应按以下程序向发包人提出索赔：</w:t>
      </w:r>
    </w:p>
    <w:p w14:paraId="3620CCF6">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6FDFBA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（2）承包人应在发出索赔意向通知书后28天内，向监理人正式递交索赔报告；索赔报告应详细说明索赔理由以及要求追加的付款金额和（或）延长的工期，并附必要的记录和证明材料；</w:t>
      </w:r>
    </w:p>
    <w:p w14:paraId="3B094B8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（3）索赔事件具有持续影响的，承包人应按合理时间间隔继续递交延续索赔通知，说明持续影响的实际情况和记录，列出累计的追加付款金额和（或）工期延长天数；</w:t>
      </w:r>
    </w:p>
    <w:p w14:paraId="79CFCCC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（4）在索赔事件影响结束后28天内，承包人应向监理人递交最终索赔报告，说明最终要求索赔的追加付款金额和（或）延长的工期，并附必要的记录和证明材料。</w:t>
      </w:r>
    </w:p>
    <w:p w14:paraId="1833EAFD">
      <w:pPr>
        <w:pStyle w:val="6"/>
        <w:spacing w:before="120" w:after="120"/>
        <w:ind w:left="0" w:firstLine="360" w:firstLineChars="200"/>
        <w:rPr>
          <w:rFonts w:ascii="仿宋_GB2312" w:hAnsi="仿宋_GB2312" w:eastAsia="仿宋_GB2312" w:cs="仿宋_GB2312"/>
          <w:b w:val="0"/>
          <w:color w:val="000000"/>
          <w:sz w:val="18"/>
          <w:szCs w:val="18"/>
        </w:rPr>
      </w:pPr>
      <w:bookmarkStart w:id="819" w:name="_Toc351203622"/>
      <w:bookmarkStart w:id="820" w:name="_Toc296346643"/>
      <w:bookmarkStart w:id="821" w:name="_Toc337558837"/>
      <w:bookmarkStart w:id="822" w:name="_Toc296503142"/>
      <w:r>
        <w:rPr>
          <w:rFonts w:hint="eastAsia" w:ascii="仿宋_GB2312" w:hAnsi="仿宋_GB2312" w:eastAsia="仿宋_GB2312" w:cs="仿宋_GB2312"/>
          <w:b w:val="0"/>
          <w:color w:val="000000"/>
          <w:sz w:val="18"/>
          <w:szCs w:val="18"/>
        </w:rPr>
        <w:t>19.2 对承包人索赔的处理</w:t>
      </w:r>
      <w:bookmarkEnd w:id="819"/>
    </w:p>
    <w:bookmarkEnd w:id="820"/>
    <w:bookmarkEnd w:id="821"/>
    <w:bookmarkEnd w:id="822"/>
    <w:p w14:paraId="3AE10D4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对承包人索赔的处理如下：</w:t>
      </w:r>
    </w:p>
    <w:p w14:paraId="71EB4D0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（1）监理人应在收到索赔报告后14天内完成审查并报送发包人。监理人对索赔报告存在异议的，有权要求承包人提交全部原始记录副本；</w:t>
      </w:r>
    </w:p>
    <w:p w14:paraId="02713A5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（2）发包人应在监理人收到索赔报告或有关索赔的进一步证明材料后的28天内，由监理人向承包人出具经发包人签认的索赔处理结果。发包人逾期答复的，则视为认可承包人的索赔要求；</w:t>
      </w:r>
    </w:p>
    <w:p w14:paraId="1D1C9DB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（3）承包人接受索赔处理结果的，索赔款项在当期进度款中进行支付；承包人不接受索赔处理结果的，按照第20条〔争议解决〕约定处理。</w:t>
      </w:r>
    </w:p>
    <w:p w14:paraId="1B8F7978">
      <w:pPr>
        <w:pStyle w:val="6"/>
        <w:spacing w:before="120" w:after="120"/>
        <w:ind w:left="0" w:firstLine="360" w:firstLineChars="200"/>
        <w:rPr>
          <w:rFonts w:ascii="仿宋_GB2312" w:hAnsi="仿宋_GB2312" w:eastAsia="仿宋_GB2312" w:cs="仿宋_GB2312"/>
          <w:b w:val="0"/>
          <w:color w:val="000000"/>
          <w:sz w:val="18"/>
          <w:szCs w:val="18"/>
        </w:rPr>
      </w:pPr>
      <w:bookmarkStart w:id="823" w:name="_Toc351203623"/>
      <w:bookmarkStart w:id="824" w:name="_Toc296503143"/>
      <w:bookmarkStart w:id="825" w:name="_Toc337558838"/>
      <w:bookmarkStart w:id="826" w:name="_Toc296346644"/>
      <w:r>
        <w:rPr>
          <w:rFonts w:hint="eastAsia" w:ascii="仿宋_GB2312" w:hAnsi="仿宋_GB2312" w:eastAsia="仿宋_GB2312" w:cs="仿宋_GB2312"/>
          <w:b w:val="0"/>
          <w:color w:val="000000"/>
          <w:sz w:val="18"/>
          <w:szCs w:val="18"/>
        </w:rPr>
        <w:t>19.3发包人的索赔</w:t>
      </w:r>
      <w:bookmarkEnd w:id="823"/>
    </w:p>
    <w:bookmarkEnd w:id="824"/>
    <w:bookmarkEnd w:id="825"/>
    <w:bookmarkEnd w:id="826"/>
    <w:p w14:paraId="0488050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根据合同约定，发包人认为有权得到赔付金额和（或）延长缺陷责任期的，监理人应向承包人发出通知并附有详细的证明。</w:t>
      </w:r>
    </w:p>
    <w:p w14:paraId="4270149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4EBDC19">
      <w:pPr>
        <w:pStyle w:val="6"/>
        <w:spacing w:before="120" w:after="120"/>
        <w:ind w:left="0" w:firstLine="360" w:firstLineChars="200"/>
        <w:rPr>
          <w:rFonts w:ascii="仿宋_GB2312" w:hAnsi="仿宋_GB2312" w:eastAsia="仿宋_GB2312" w:cs="仿宋_GB2312"/>
          <w:b w:val="0"/>
          <w:color w:val="000000"/>
          <w:sz w:val="18"/>
          <w:szCs w:val="18"/>
        </w:rPr>
      </w:pPr>
      <w:bookmarkStart w:id="827" w:name="_Toc351203624"/>
      <w:bookmarkStart w:id="828" w:name="_Toc296346645"/>
      <w:bookmarkStart w:id="829" w:name="_Toc296503144"/>
      <w:bookmarkStart w:id="830" w:name="_Toc337558839"/>
      <w:r>
        <w:rPr>
          <w:rFonts w:hint="eastAsia" w:ascii="仿宋_GB2312" w:hAnsi="仿宋_GB2312" w:eastAsia="仿宋_GB2312" w:cs="仿宋_GB2312"/>
          <w:b w:val="0"/>
          <w:color w:val="000000"/>
          <w:sz w:val="18"/>
          <w:szCs w:val="18"/>
        </w:rPr>
        <w:t>19.4 对发包人索赔的处理</w:t>
      </w:r>
      <w:bookmarkEnd w:id="827"/>
    </w:p>
    <w:bookmarkEnd w:id="828"/>
    <w:bookmarkEnd w:id="829"/>
    <w:bookmarkEnd w:id="830"/>
    <w:p w14:paraId="6EF01E1F">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对发包人索赔的处理如下：</w:t>
      </w:r>
    </w:p>
    <w:p w14:paraId="64C211C3">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（1）承包人收到发包人提交的索赔报告后，应及时审查索赔报告的内容、查验发包人证明材料；</w:t>
      </w:r>
    </w:p>
    <w:p w14:paraId="51FA6F1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（2）承包人应在收到索赔报告或有关索赔的进一步证明材料后28天内，将索赔处理结果答复发包人。如果承包人未在上述期限内作出答复的，则视为对发包人索赔要求的认可；</w:t>
      </w:r>
    </w:p>
    <w:p w14:paraId="069ED36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（3）承包人接受索赔处理结果的，发包人可从应支付给承包人的合同价款中扣除赔付的金额或延长缺陷责任期；发包人不接受索赔处理结果的，按第20条〔争议解决〕约定处理。</w:t>
      </w:r>
    </w:p>
    <w:p w14:paraId="419892A2">
      <w:pPr>
        <w:pStyle w:val="6"/>
        <w:spacing w:before="120" w:after="120"/>
        <w:ind w:left="0" w:firstLine="360" w:firstLineChars="200"/>
        <w:rPr>
          <w:rFonts w:ascii="仿宋_GB2312" w:hAnsi="仿宋_GB2312" w:eastAsia="仿宋_GB2312" w:cs="仿宋_GB2312"/>
          <w:b w:val="0"/>
          <w:color w:val="000000"/>
          <w:sz w:val="18"/>
          <w:szCs w:val="18"/>
        </w:rPr>
      </w:pPr>
      <w:bookmarkStart w:id="831" w:name="_Toc351203625"/>
      <w:r>
        <w:rPr>
          <w:rFonts w:hint="eastAsia" w:ascii="仿宋_GB2312" w:hAnsi="仿宋_GB2312" w:eastAsia="仿宋_GB2312" w:cs="仿宋_GB2312"/>
          <w:b w:val="0"/>
          <w:color w:val="000000"/>
          <w:sz w:val="18"/>
          <w:szCs w:val="18"/>
        </w:rPr>
        <w:t>19.5 提出索赔的期限</w:t>
      </w:r>
      <w:bookmarkEnd w:id="831"/>
    </w:p>
    <w:p w14:paraId="19A3AEAF">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（1）承包人按第14.2款〔竣工结算审核〕约定接收竣工付款证书后，应被视为已无权再提出在工程接收证书颁发前所发生的任何索赔。</w:t>
      </w:r>
    </w:p>
    <w:p w14:paraId="2F312005">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（2）承包人按第14.4款〔最终结清〕提交的最终结清申请单中，只限于提出工程接收证书颁发后发生的索赔。提出索赔的期限自接受最终结清证书时终止。</w:t>
      </w:r>
    </w:p>
    <w:p w14:paraId="5F8E6C03">
      <w:pPr>
        <w:pStyle w:val="5"/>
        <w:spacing w:before="120" w:after="120" w:line="240" w:lineRule="auto"/>
        <w:rPr>
          <w:rFonts w:ascii="仿宋_GB2312" w:hAnsi="仿宋_GB2312" w:eastAsia="仿宋_GB2312" w:cs="仿宋_GB2312"/>
          <w:b w:val="0"/>
          <w:color w:val="000000"/>
          <w:sz w:val="18"/>
          <w:szCs w:val="18"/>
        </w:rPr>
      </w:pPr>
      <w:bookmarkStart w:id="832" w:name="_Toc351203626"/>
      <w:r>
        <w:rPr>
          <w:rFonts w:hint="eastAsia" w:ascii="仿宋_GB2312" w:hAnsi="仿宋_GB2312" w:eastAsia="仿宋_GB2312" w:cs="仿宋_GB2312"/>
          <w:b w:val="0"/>
          <w:color w:val="000000"/>
          <w:sz w:val="18"/>
          <w:szCs w:val="18"/>
        </w:rPr>
        <w:t>20</w:t>
      </w:r>
      <w:bookmarkStart w:id="833" w:name="_Toc337558840"/>
      <w:bookmarkStart w:id="834" w:name="_Toc296346647"/>
      <w:bookmarkStart w:id="835" w:name="_Toc296503146"/>
      <w:r>
        <w:rPr>
          <w:rFonts w:hint="eastAsia" w:ascii="仿宋_GB2312" w:hAnsi="仿宋_GB2312" w:eastAsia="仿宋_GB2312" w:cs="仿宋_GB2312"/>
          <w:b w:val="0"/>
          <w:color w:val="000000"/>
          <w:sz w:val="18"/>
          <w:szCs w:val="18"/>
        </w:rPr>
        <w:t>. 争议解决</w:t>
      </w:r>
      <w:bookmarkEnd w:id="832"/>
    </w:p>
    <w:bookmarkEnd w:id="833"/>
    <w:bookmarkEnd w:id="834"/>
    <w:bookmarkEnd w:id="835"/>
    <w:p w14:paraId="109CDC38">
      <w:pPr>
        <w:pStyle w:val="6"/>
        <w:spacing w:before="120" w:after="120"/>
        <w:ind w:left="0" w:firstLine="360" w:firstLineChars="200"/>
        <w:rPr>
          <w:rFonts w:ascii="仿宋_GB2312" w:hAnsi="仿宋_GB2312" w:eastAsia="仿宋_GB2312" w:cs="仿宋_GB2312"/>
          <w:b w:val="0"/>
          <w:color w:val="000000"/>
          <w:sz w:val="18"/>
          <w:szCs w:val="18"/>
        </w:rPr>
      </w:pPr>
      <w:bookmarkStart w:id="836" w:name="_Toc351203627"/>
      <w:bookmarkStart w:id="837" w:name="_Toc337558841"/>
      <w:bookmarkStart w:id="838" w:name="_Toc296346648"/>
      <w:bookmarkStart w:id="839" w:name="_Toc296503147"/>
      <w:r>
        <w:rPr>
          <w:rFonts w:hint="eastAsia" w:ascii="仿宋_GB2312" w:hAnsi="仿宋_GB2312" w:eastAsia="仿宋_GB2312" w:cs="仿宋_GB2312"/>
          <w:b w:val="0"/>
          <w:color w:val="000000"/>
          <w:sz w:val="18"/>
          <w:szCs w:val="18"/>
        </w:rPr>
        <w:t>20.1和解</w:t>
      </w:r>
      <w:bookmarkEnd w:id="836"/>
    </w:p>
    <w:bookmarkEnd w:id="837"/>
    <w:bookmarkEnd w:id="838"/>
    <w:bookmarkEnd w:id="839"/>
    <w:p w14:paraId="42C27DB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合同当事人可以就争议自行和解，自行和解达成协议的经双方签字并盖章后作为合同补充文件，双方均应遵照执行。</w:t>
      </w:r>
    </w:p>
    <w:p w14:paraId="09845637">
      <w:pPr>
        <w:pStyle w:val="6"/>
        <w:spacing w:before="120" w:after="120"/>
        <w:ind w:left="0" w:firstLine="360" w:firstLineChars="200"/>
        <w:rPr>
          <w:rFonts w:ascii="仿宋_GB2312" w:hAnsi="仿宋_GB2312" w:eastAsia="仿宋_GB2312" w:cs="仿宋_GB2312"/>
          <w:b w:val="0"/>
          <w:color w:val="000000"/>
          <w:sz w:val="18"/>
          <w:szCs w:val="18"/>
        </w:rPr>
      </w:pPr>
      <w:bookmarkStart w:id="840" w:name="_Toc351203628"/>
      <w:r>
        <w:rPr>
          <w:rFonts w:hint="eastAsia" w:ascii="仿宋_GB2312" w:hAnsi="仿宋_GB2312" w:eastAsia="仿宋_GB2312" w:cs="仿宋_GB2312"/>
          <w:b w:val="0"/>
          <w:color w:val="000000"/>
          <w:sz w:val="18"/>
          <w:szCs w:val="18"/>
        </w:rPr>
        <w:t>20</w:t>
      </w:r>
      <w:bookmarkStart w:id="841" w:name="_Toc296346649"/>
      <w:bookmarkStart w:id="842" w:name="_Toc337558842"/>
      <w:bookmarkStart w:id="843" w:name="_Toc296503148"/>
      <w:r>
        <w:rPr>
          <w:rFonts w:hint="eastAsia" w:ascii="仿宋_GB2312" w:hAnsi="仿宋_GB2312" w:eastAsia="仿宋_GB2312" w:cs="仿宋_GB2312"/>
          <w:b w:val="0"/>
          <w:color w:val="000000"/>
          <w:sz w:val="18"/>
          <w:szCs w:val="18"/>
        </w:rPr>
        <w:t>.2调解</w:t>
      </w:r>
      <w:bookmarkEnd w:id="840"/>
    </w:p>
    <w:bookmarkEnd w:id="841"/>
    <w:bookmarkEnd w:id="842"/>
    <w:bookmarkEnd w:id="843"/>
    <w:p w14:paraId="6526667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合同当事人可以就争议请求建设行政主管部门、行业协会或其他第三方进行调解，调解达成协议的，经双方签字并盖章后作为合同补充文件，双方均应遵照执行。</w:t>
      </w:r>
    </w:p>
    <w:p w14:paraId="62266EB0">
      <w:pPr>
        <w:pStyle w:val="6"/>
        <w:spacing w:before="120" w:after="120"/>
        <w:ind w:left="0" w:firstLine="360" w:firstLineChars="200"/>
        <w:rPr>
          <w:rFonts w:ascii="仿宋_GB2312" w:hAnsi="仿宋_GB2312" w:eastAsia="仿宋_GB2312" w:cs="仿宋_GB2312"/>
          <w:b w:val="0"/>
          <w:color w:val="000000"/>
          <w:sz w:val="18"/>
          <w:szCs w:val="18"/>
        </w:rPr>
      </w:pPr>
      <w:bookmarkStart w:id="844" w:name="_Toc351203629"/>
      <w:bookmarkStart w:id="845" w:name="_Toc337558843"/>
      <w:bookmarkStart w:id="846" w:name="_Toc296346650"/>
      <w:bookmarkStart w:id="847" w:name="_Toc296503149"/>
      <w:r>
        <w:rPr>
          <w:rFonts w:hint="eastAsia" w:ascii="仿宋_GB2312" w:hAnsi="仿宋_GB2312" w:eastAsia="仿宋_GB2312" w:cs="仿宋_GB2312"/>
          <w:b w:val="0"/>
          <w:color w:val="000000"/>
          <w:sz w:val="18"/>
          <w:szCs w:val="18"/>
        </w:rPr>
        <w:t>20.3争议评审</w:t>
      </w:r>
      <w:bookmarkEnd w:id="844"/>
    </w:p>
    <w:bookmarkEnd w:id="845"/>
    <w:bookmarkEnd w:id="846"/>
    <w:bookmarkEnd w:id="847"/>
    <w:p w14:paraId="750957C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合同当事人在专用合同条款中约定采取争议评审方式解决争议以及评审规则，并按下列约定执行： </w:t>
      </w:r>
    </w:p>
    <w:p w14:paraId="1272E77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20.3.1 争议评审小组的确定</w:t>
      </w:r>
    </w:p>
    <w:p w14:paraId="3446C18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合同当事人可以共同选择一名或三名争议评审员，组成争议评审小组。除专用合同条款另有约定外，合同当事人应当自合同签订后28天内，或者争议发生后14天内，选定争议评审员。</w:t>
      </w:r>
    </w:p>
    <w:p w14:paraId="53178B75">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1CDED3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除专用合同条款另有约定外，评审员报酬由发包人和承包人各承担一半。</w:t>
      </w:r>
    </w:p>
    <w:p w14:paraId="4CCE3FC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20.3.2 争议评审小组的决定</w:t>
      </w:r>
    </w:p>
    <w:p w14:paraId="524D5E9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1E74EF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20.3.3 争议评审小组决定的效力</w:t>
      </w:r>
    </w:p>
    <w:p w14:paraId="799867A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争议评审小组作出的书面决定经合同当事人签字确认后，对双方具有约束力，双方应遵照执行。</w:t>
      </w:r>
    </w:p>
    <w:p w14:paraId="18BC7BDA">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任何一方当事人不接受争议评审小组决定或不履行争议评审小组决定的，双方可选择采用其他争议解决方式。</w:t>
      </w:r>
    </w:p>
    <w:p w14:paraId="17ACC069">
      <w:pPr>
        <w:pStyle w:val="6"/>
        <w:spacing w:before="120" w:after="120"/>
        <w:ind w:left="0" w:firstLine="360" w:firstLineChars="200"/>
        <w:rPr>
          <w:rFonts w:ascii="仿宋_GB2312" w:hAnsi="仿宋_GB2312" w:eastAsia="仿宋_GB2312" w:cs="仿宋_GB2312"/>
          <w:b w:val="0"/>
          <w:color w:val="000000"/>
          <w:sz w:val="18"/>
          <w:szCs w:val="18"/>
        </w:rPr>
      </w:pPr>
      <w:bookmarkStart w:id="848" w:name="_Toc351203630"/>
      <w:bookmarkStart w:id="849" w:name="_Toc296503150"/>
      <w:bookmarkStart w:id="850" w:name="_Toc337558844"/>
      <w:bookmarkStart w:id="851" w:name="_Toc296346651"/>
      <w:r>
        <w:rPr>
          <w:rFonts w:hint="eastAsia" w:ascii="仿宋_GB2312" w:hAnsi="仿宋_GB2312" w:eastAsia="仿宋_GB2312" w:cs="仿宋_GB2312"/>
          <w:b w:val="0"/>
          <w:color w:val="000000"/>
          <w:sz w:val="18"/>
          <w:szCs w:val="18"/>
        </w:rPr>
        <w:t>20.4仲裁或诉讼</w:t>
      </w:r>
      <w:bookmarkEnd w:id="848"/>
    </w:p>
    <w:bookmarkEnd w:id="849"/>
    <w:bookmarkEnd w:id="850"/>
    <w:bookmarkEnd w:id="851"/>
    <w:p w14:paraId="1B025FD8">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因合同及合同有关事项产生的争议，合同当事人可以在专用合同条款中约定以下一种方式解决争议：</w:t>
      </w:r>
    </w:p>
    <w:p w14:paraId="5D2DADAC">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（1）向约定的仲裁委员会申请仲裁；</w:t>
      </w:r>
    </w:p>
    <w:p w14:paraId="1A3B9F6E">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（2）向有管辖权的人民法院起诉。</w:t>
      </w:r>
    </w:p>
    <w:p w14:paraId="55D49C96">
      <w:pPr>
        <w:pStyle w:val="6"/>
        <w:spacing w:before="120" w:after="120"/>
        <w:ind w:left="0" w:firstLine="360" w:firstLineChars="200"/>
        <w:rPr>
          <w:rFonts w:ascii="仿宋_GB2312" w:hAnsi="仿宋_GB2312" w:eastAsia="仿宋_GB2312" w:cs="仿宋_GB2312"/>
          <w:b w:val="0"/>
          <w:color w:val="000000"/>
          <w:sz w:val="18"/>
          <w:szCs w:val="18"/>
        </w:rPr>
      </w:pPr>
      <w:bookmarkStart w:id="852" w:name="_Toc351203631"/>
      <w:bookmarkStart w:id="853" w:name="_Toc296503152"/>
      <w:bookmarkStart w:id="854" w:name="_Toc337558845"/>
      <w:bookmarkStart w:id="855" w:name="_Toc296346653"/>
      <w:r>
        <w:rPr>
          <w:rFonts w:hint="eastAsia" w:ascii="仿宋_GB2312" w:hAnsi="仿宋_GB2312" w:eastAsia="仿宋_GB2312" w:cs="仿宋_GB2312"/>
          <w:b w:val="0"/>
          <w:color w:val="000000"/>
          <w:sz w:val="18"/>
          <w:szCs w:val="18"/>
        </w:rPr>
        <w:t>20.5争议解决条款效力</w:t>
      </w:r>
      <w:bookmarkEnd w:id="852"/>
    </w:p>
    <w:bookmarkEnd w:id="853"/>
    <w:bookmarkEnd w:id="854"/>
    <w:bookmarkEnd w:id="855"/>
    <w:p w14:paraId="2464877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合同有关争议解决的条款独立存在，合同的变更、解除、终止、无效或者被撤销均不影响其效力。 </w:t>
      </w:r>
    </w:p>
    <w:p w14:paraId="1B6949A7">
      <w:pPr>
        <w:rPr>
          <w:rFonts w:ascii="仿宋_GB2312" w:hAnsi="仿宋_GB2312" w:eastAsia="仿宋_GB2312" w:cs="仿宋_GB2312"/>
          <w:sz w:val="18"/>
          <w:szCs w:val="18"/>
        </w:rPr>
      </w:pPr>
      <w:r>
        <w:rPr>
          <w:rFonts w:hint="eastAsia" w:ascii="仿宋_GB2312" w:hAnsi="仿宋_GB2312" w:eastAsia="仿宋_GB2312" w:cs="仿宋_GB2312"/>
          <w:sz w:val="18"/>
          <w:szCs w:val="18"/>
        </w:rPr>
        <w:br w:type="page"/>
      </w:r>
    </w:p>
    <w:p w14:paraId="22285344">
      <w:pPr>
        <w:pStyle w:val="4"/>
        <w:jc w:val="center"/>
        <w:rPr>
          <w:rFonts w:ascii="仿宋" w:hAnsi="仿宋" w:eastAsia="仿宋" w:cs="仿宋"/>
          <w:sz w:val="40"/>
          <w:szCs w:val="40"/>
        </w:rPr>
      </w:pPr>
      <w:r>
        <w:rPr>
          <w:rFonts w:hint="eastAsia" w:ascii="仿宋" w:hAnsi="仿宋" w:eastAsia="仿宋" w:cs="仿宋"/>
          <w:sz w:val="40"/>
          <w:szCs w:val="40"/>
        </w:rPr>
        <w:t>第三部分 专用合同条款</w:t>
      </w:r>
    </w:p>
    <w:p w14:paraId="4184619C">
      <w:pPr>
        <w:pStyle w:val="5"/>
        <w:spacing w:before="120" w:after="120" w:line="240" w:lineRule="auto"/>
        <w:rPr>
          <w:rFonts w:ascii="仿宋_GB2312" w:hAnsi="仿宋_GB2312" w:eastAsia="仿宋_GB2312" w:cs="仿宋_GB2312"/>
          <w:b w:val="0"/>
          <w:color w:val="000000"/>
          <w:sz w:val="18"/>
          <w:szCs w:val="18"/>
        </w:rPr>
      </w:pPr>
      <w:bookmarkStart w:id="856" w:name="_Toc351203633"/>
      <w:r>
        <w:rPr>
          <w:rFonts w:hint="eastAsia" w:ascii="仿宋_GB2312" w:hAnsi="仿宋_GB2312" w:eastAsia="仿宋_GB2312" w:cs="仿宋_GB2312"/>
          <w:b w:val="0"/>
          <w:color w:val="000000"/>
          <w:sz w:val="18"/>
          <w:szCs w:val="18"/>
        </w:rPr>
        <w:t>1</w:t>
      </w:r>
      <w:bookmarkStart w:id="857" w:name="_Toc296944495"/>
      <w:bookmarkStart w:id="858" w:name="_Toc296891196"/>
      <w:bookmarkStart w:id="859" w:name="_Toc292559361"/>
      <w:bookmarkStart w:id="860" w:name="_Toc297120456"/>
      <w:bookmarkStart w:id="861" w:name="_Toc296346657"/>
      <w:bookmarkStart w:id="862" w:name="_Toc296890984"/>
      <w:bookmarkStart w:id="863" w:name="_Toc296347155"/>
      <w:bookmarkStart w:id="864" w:name="_Toc292559866"/>
      <w:bookmarkStart w:id="865" w:name="_Toc297048342"/>
      <w:bookmarkStart w:id="866" w:name="_Toc296503156"/>
      <w:r>
        <w:rPr>
          <w:rFonts w:hint="eastAsia" w:ascii="仿宋_GB2312" w:hAnsi="仿宋_GB2312" w:eastAsia="仿宋_GB2312" w:cs="仿宋_GB2312"/>
          <w:b w:val="0"/>
          <w:color w:val="000000"/>
          <w:sz w:val="18"/>
          <w:szCs w:val="18"/>
        </w:rPr>
        <w:t>. 一般约定</w:t>
      </w:r>
      <w:bookmarkEnd w:id="856"/>
    </w:p>
    <w:bookmarkEnd w:id="857"/>
    <w:bookmarkEnd w:id="858"/>
    <w:bookmarkEnd w:id="859"/>
    <w:bookmarkEnd w:id="860"/>
    <w:bookmarkEnd w:id="861"/>
    <w:bookmarkEnd w:id="862"/>
    <w:bookmarkEnd w:id="863"/>
    <w:bookmarkEnd w:id="864"/>
    <w:bookmarkEnd w:id="865"/>
    <w:bookmarkEnd w:id="866"/>
    <w:p w14:paraId="7D4381D3">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 词语定义</w:t>
      </w:r>
    </w:p>
    <w:p w14:paraId="213CA7AE">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1.1.1合同</w:t>
      </w:r>
    </w:p>
    <w:p w14:paraId="50E83126">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1.1.1.1其他合同文件包括：</w:t>
      </w:r>
      <w:r>
        <w:rPr>
          <w:rFonts w:hint="eastAsia" w:ascii="仿宋_GB2312" w:hAnsi="仿宋_GB2312" w:eastAsia="仿宋_GB2312" w:cs="仿宋_GB2312"/>
          <w:kern w:val="0"/>
          <w:sz w:val="18"/>
          <w:szCs w:val="18"/>
          <w:u w:val="single"/>
        </w:rPr>
        <w:t>施工组织</w:t>
      </w:r>
      <w:r>
        <w:fldChar w:fldCharType="begin"/>
      </w:r>
      <w:r>
        <w:instrText xml:space="preserve"> HYPERLINK "http://baike.baidu.com/view/14417.htm" \t "_blank" </w:instrText>
      </w:r>
      <w:r>
        <w:fldChar w:fldCharType="separate"/>
      </w:r>
      <w:r>
        <w:rPr>
          <w:rFonts w:hint="eastAsia" w:ascii="仿宋_GB2312" w:hAnsi="仿宋_GB2312" w:eastAsia="仿宋_GB2312" w:cs="仿宋_GB2312"/>
          <w:kern w:val="0"/>
          <w:sz w:val="18"/>
          <w:szCs w:val="18"/>
          <w:u w:val="single"/>
        </w:rPr>
        <w:t>设计</w:t>
      </w:r>
      <w:r>
        <w:rPr>
          <w:rFonts w:hint="eastAsia" w:ascii="仿宋_GB2312" w:hAnsi="仿宋_GB2312" w:eastAsia="仿宋_GB2312" w:cs="仿宋_GB2312"/>
          <w:kern w:val="0"/>
          <w:sz w:val="18"/>
          <w:szCs w:val="18"/>
          <w:u w:val="single"/>
        </w:rPr>
        <w:fldChar w:fldCharType="end"/>
      </w:r>
      <w:r>
        <w:rPr>
          <w:rFonts w:hint="eastAsia" w:ascii="仿宋_GB2312" w:hAnsi="仿宋_GB2312" w:eastAsia="仿宋_GB2312" w:cs="仿宋_GB2312"/>
          <w:kern w:val="0"/>
          <w:sz w:val="18"/>
          <w:szCs w:val="18"/>
          <w:u w:val="single"/>
        </w:rPr>
        <w:t>是用来指导</w:t>
      </w:r>
      <w:r>
        <w:fldChar w:fldCharType="begin"/>
      </w:r>
      <w:r>
        <w:instrText xml:space="preserve"> HYPERLINK "http://baike.baidu.com/view/1094820.htm" \t "_blank" </w:instrText>
      </w:r>
      <w:r>
        <w:fldChar w:fldCharType="separate"/>
      </w:r>
      <w:r>
        <w:rPr>
          <w:rFonts w:hint="eastAsia" w:ascii="仿宋_GB2312" w:hAnsi="仿宋_GB2312" w:eastAsia="仿宋_GB2312" w:cs="仿宋_GB2312"/>
          <w:kern w:val="0"/>
          <w:sz w:val="18"/>
          <w:szCs w:val="18"/>
          <w:u w:val="single"/>
        </w:rPr>
        <w:t>施工项目</w:t>
      </w:r>
      <w:r>
        <w:rPr>
          <w:rFonts w:hint="eastAsia" w:ascii="仿宋_GB2312" w:hAnsi="仿宋_GB2312" w:eastAsia="仿宋_GB2312" w:cs="仿宋_GB2312"/>
          <w:kern w:val="0"/>
          <w:sz w:val="18"/>
          <w:szCs w:val="18"/>
          <w:u w:val="single"/>
        </w:rPr>
        <w:fldChar w:fldCharType="end"/>
      </w:r>
      <w:r>
        <w:rPr>
          <w:rFonts w:hint="eastAsia" w:ascii="仿宋_GB2312" w:hAnsi="仿宋_GB2312" w:eastAsia="仿宋_GB2312" w:cs="仿宋_GB2312"/>
          <w:kern w:val="0"/>
          <w:sz w:val="18"/>
          <w:szCs w:val="18"/>
          <w:u w:val="single"/>
        </w:rPr>
        <w:t>全过程各项活动的技术、经济和组织的综合性文件。</w:t>
      </w:r>
      <w:r>
        <w:rPr>
          <w:rFonts w:hint="eastAsia" w:ascii="仿宋_GB2312" w:hAnsi="仿宋_GB2312" w:eastAsia="仿宋_GB2312" w:cs="仿宋_GB2312"/>
          <w:color w:val="000000"/>
          <w:sz w:val="18"/>
          <w:szCs w:val="18"/>
        </w:rPr>
        <w:t>。</w:t>
      </w:r>
    </w:p>
    <w:p w14:paraId="535B6DF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1.1.2 合同当事人及其他相关方</w:t>
      </w:r>
    </w:p>
    <w:p w14:paraId="2272E9F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1.1.2.</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监理人</w:t>
      </w:r>
      <w:r>
        <w:rPr>
          <w:rFonts w:hint="eastAsia" w:ascii="仿宋_GB2312" w:hAnsi="仿宋_GB2312" w:eastAsia="仿宋_GB2312" w:cs="仿宋_GB2312"/>
          <w:kern w:val="0"/>
          <w:sz w:val="18"/>
          <w:szCs w:val="18"/>
        </w:rPr>
        <w:t>（以下必须填写）</w:t>
      </w:r>
      <w:r>
        <w:rPr>
          <w:rFonts w:hint="eastAsia" w:ascii="仿宋_GB2312" w:hAnsi="仿宋_GB2312" w:eastAsia="仿宋_GB2312" w:cs="仿宋_GB2312"/>
          <w:color w:val="000000"/>
          <w:sz w:val="18"/>
          <w:szCs w:val="18"/>
        </w:rPr>
        <w:t>：</w:t>
      </w:r>
    </w:p>
    <w:p w14:paraId="48DD0430">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名    称：</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14DC940B">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资质类别和等级：</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1E1A77D1">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3115C8CB">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sz w:val="18"/>
          <w:szCs w:val="18"/>
          <w:highlight w:val="none"/>
        </w:rPr>
        <w:t>；</w:t>
      </w:r>
    </w:p>
    <w:p w14:paraId="735F1165">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01865E5E">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设计人</w:t>
      </w:r>
      <w:r>
        <w:rPr>
          <w:rFonts w:hint="eastAsia" w:ascii="仿宋_GB2312" w:hAnsi="仿宋_GB2312" w:eastAsia="仿宋_GB2312" w:cs="仿宋_GB2312"/>
          <w:kern w:val="0"/>
          <w:sz w:val="18"/>
          <w:szCs w:val="18"/>
          <w:highlight w:val="none"/>
        </w:rPr>
        <w:t>（以下必须填写）</w:t>
      </w:r>
      <w:r>
        <w:rPr>
          <w:rFonts w:hint="eastAsia" w:ascii="仿宋_GB2312" w:hAnsi="仿宋_GB2312" w:eastAsia="仿宋_GB2312" w:cs="仿宋_GB2312"/>
          <w:color w:val="000000"/>
          <w:sz w:val="18"/>
          <w:szCs w:val="18"/>
          <w:highlight w:val="none"/>
        </w:rPr>
        <w:t>：</w:t>
      </w:r>
    </w:p>
    <w:p w14:paraId="40565D0C">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名    称：</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45AFF8C3">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资质类别和等级：</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rPr>
        <w:t>；</w:t>
      </w:r>
    </w:p>
    <w:p w14:paraId="0848D89F">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15C7DF57">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225596B8">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7E17B55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工程和设备</w:t>
      </w:r>
    </w:p>
    <w:p w14:paraId="741F6472">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 xml:space="preserve"> 作为施工现场组成部分的其他场所包括：</w:t>
      </w:r>
      <w:r>
        <w:rPr>
          <w:rFonts w:hint="eastAsia" w:ascii="仿宋_GB2312" w:hAnsi="仿宋_GB2312" w:eastAsia="仿宋_GB2312" w:cs="仿宋_GB2312"/>
          <w:color w:val="000000"/>
          <w:sz w:val="18"/>
          <w:szCs w:val="18"/>
          <w:u w:val="single"/>
        </w:rPr>
        <w:t xml:space="preserve">    /     </w:t>
      </w:r>
      <w:r>
        <w:rPr>
          <w:rFonts w:hint="eastAsia" w:ascii="仿宋_GB2312" w:hAnsi="仿宋_GB2312" w:eastAsia="仿宋_GB2312" w:cs="仿宋_GB2312"/>
          <w:color w:val="000000"/>
          <w:sz w:val="18"/>
          <w:szCs w:val="18"/>
        </w:rPr>
        <w:t>。</w:t>
      </w:r>
    </w:p>
    <w:p w14:paraId="4890E23A">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 xml:space="preserve">2 </w:t>
      </w:r>
      <w:r>
        <w:rPr>
          <w:rFonts w:hint="eastAsia" w:ascii="仿宋_GB2312" w:hAnsi="仿宋_GB2312" w:eastAsia="仿宋_GB2312" w:cs="仿宋_GB2312"/>
          <w:color w:val="000000"/>
          <w:kern w:val="0"/>
          <w:sz w:val="18"/>
          <w:szCs w:val="18"/>
        </w:rPr>
        <w:t>永久占地包括：</w:t>
      </w:r>
      <w:r>
        <w:rPr>
          <w:rFonts w:hint="eastAsia" w:ascii="仿宋_GB2312" w:hAnsi="仿宋_GB2312" w:eastAsia="仿宋_GB2312" w:cs="仿宋_GB2312"/>
          <w:kern w:val="0"/>
          <w:sz w:val="18"/>
          <w:szCs w:val="18"/>
          <w:u w:val="single"/>
        </w:rPr>
        <w:t>施工范围内为实施本合同工程需永久占用的土地</w:t>
      </w:r>
      <w:r>
        <w:rPr>
          <w:rFonts w:hint="eastAsia" w:ascii="仿宋_GB2312" w:hAnsi="仿宋_GB2312" w:eastAsia="仿宋_GB2312" w:cs="仿宋_GB2312"/>
          <w:color w:val="000000"/>
          <w:kern w:val="0"/>
          <w:sz w:val="18"/>
          <w:szCs w:val="18"/>
        </w:rPr>
        <w:t>。</w:t>
      </w:r>
    </w:p>
    <w:p w14:paraId="6FB9C5DB">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.3 临时占地包括：</w:t>
      </w:r>
      <w:r>
        <w:rPr>
          <w:rFonts w:hint="eastAsia" w:ascii="仿宋_GB2312" w:hAnsi="仿宋_GB2312" w:eastAsia="仿宋_GB2312" w:cs="仿宋_GB2312"/>
          <w:kern w:val="0"/>
          <w:sz w:val="18"/>
          <w:szCs w:val="18"/>
          <w:u w:val="single"/>
        </w:rPr>
        <w:t>指永久占地之外为实施合同工程需临时占用的土地。</w:t>
      </w:r>
    </w:p>
    <w:p w14:paraId="413D67FB">
      <w:pPr>
        <w:spacing w:before="120" w:after="120"/>
        <w:ind w:firstLine="360" w:firstLineChars="200"/>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1.3法律</w:t>
      </w:r>
      <w:r>
        <w:rPr>
          <w:rFonts w:hint="eastAsia" w:ascii="仿宋_GB2312" w:hAnsi="仿宋_GB2312" w:eastAsia="仿宋_GB2312" w:cs="仿宋_GB2312"/>
          <w:color w:val="000000"/>
          <w:sz w:val="18"/>
          <w:szCs w:val="18"/>
          <w:lang w:val="en-US" w:eastAsia="zh-CN"/>
        </w:rPr>
        <w:t>及</w:t>
      </w:r>
      <w:r>
        <w:rPr>
          <w:rFonts w:hint="eastAsia" w:ascii="仿宋_GB2312" w:hAnsi="仿宋_GB2312" w:eastAsia="仿宋_GB2312" w:cs="仿宋_GB2312"/>
          <w:sz w:val="18"/>
          <w:szCs w:val="18"/>
        </w:rPr>
        <w:t>适用于合同的其他规范性文件：</w:t>
      </w:r>
    </w:p>
    <w:p w14:paraId="0720FEF8">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1.3.1  杭州市建设工程工程量清单计价实施细则》(杭建市发〔2018〕578号)；</w:t>
      </w:r>
    </w:p>
    <w:p w14:paraId="4321F653">
      <w:pPr>
        <w:autoSpaceDE w:val="0"/>
        <w:autoSpaceDN w:val="0"/>
        <w:adjustRightInd w:val="0"/>
        <w:ind w:firstLine="361" w:firstLineChars="200"/>
        <w:jc w:val="left"/>
        <w:rPr>
          <w:rFonts w:hint="eastAsia"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1.3.2  《关于进一步加强杭州市建设工程市场要素价格动态管理的指导意见》（杭建市发〔2018〕579号）；</w:t>
      </w:r>
    </w:p>
    <w:p w14:paraId="49B09366">
      <w:pPr>
        <w:pStyle w:val="42"/>
        <w:ind w:firstLine="361" w:firstLineChars="200"/>
        <w:rPr>
          <w:rFonts w:hint="eastAsia" w:ascii="仿宋_GB2312" w:hAnsi="仿宋_GB2312" w:eastAsia="仿宋_GB2312" w:cs="仿宋_GB2312"/>
          <w:b/>
          <w:kern w:val="2"/>
          <w:sz w:val="18"/>
          <w:szCs w:val="18"/>
          <w:highlight w:val="yellow"/>
          <w:u w:val="single"/>
        </w:rPr>
      </w:pPr>
      <w:r>
        <w:rPr>
          <w:rFonts w:hint="eastAsia" w:ascii="仿宋_GB2312" w:hAnsi="仿宋_GB2312" w:eastAsia="仿宋_GB2312" w:cs="仿宋_GB2312"/>
          <w:b/>
          <w:kern w:val="2"/>
          <w:sz w:val="18"/>
          <w:szCs w:val="18"/>
          <w:highlight w:val="yellow"/>
          <w:u w:val="single"/>
        </w:rPr>
        <w:t>1.3.</w:t>
      </w:r>
      <w:r>
        <w:rPr>
          <w:rFonts w:hint="eastAsia" w:ascii="仿宋_GB2312" w:hAnsi="仿宋_GB2312" w:eastAsia="仿宋_GB2312" w:cs="仿宋_GB2312"/>
          <w:b/>
          <w:kern w:val="2"/>
          <w:sz w:val="18"/>
          <w:szCs w:val="18"/>
          <w:highlight w:val="yellow"/>
          <w:u w:val="single"/>
          <w:lang w:val="en-US" w:eastAsia="zh-CN"/>
        </w:rPr>
        <w:t>3</w:t>
      </w:r>
      <w:r>
        <w:rPr>
          <w:rFonts w:hint="eastAsia" w:ascii="仿宋_GB2312" w:hAnsi="仿宋_GB2312" w:eastAsia="仿宋_GB2312" w:cs="仿宋_GB2312"/>
          <w:b/>
          <w:i w:val="0"/>
          <w:iCs w:val="0"/>
          <w:caps w:val="0"/>
          <w:spacing w:val="0"/>
          <w:kern w:val="2"/>
          <w:sz w:val="18"/>
          <w:szCs w:val="18"/>
          <w:highlight w:val="yellow"/>
          <w:u w:val="single"/>
          <w:shd w:val="clear" w:fill="auto"/>
        </w:rPr>
        <w:t>《关于贯彻《省厅调整安全文明施工费的通知》的通知》（杭建市发（2022） 54号）</w:t>
      </w:r>
    </w:p>
    <w:p w14:paraId="17BEB079">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1.3.</w:t>
      </w:r>
      <w:r>
        <w:rPr>
          <w:rFonts w:hint="eastAsia" w:ascii="仿宋_GB2312" w:hAnsi="仿宋_GB2312" w:eastAsia="仿宋_GB2312" w:cs="仿宋_GB2312"/>
          <w:b/>
          <w:sz w:val="18"/>
          <w:szCs w:val="18"/>
          <w:u w:val="single"/>
          <w:lang w:val="en-US" w:eastAsia="zh-CN"/>
        </w:rPr>
        <w:t>4</w:t>
      </w:r>
      <w:r>
        <w:rPr>
          <w:rFonts w:hint="eastAsia" w:ascii="仿宋_GB2312" w:hAnsi="仿宋_GB2312" w:eastAsia="仿宋_GB2312" w:cs="仿宋_GB2312"/>
          <w:b/>
          <w:sz w:val="18"/>
          <w:szCs w:val="18"/>
          <w:u w:val="single"/>
        </w:rPr>
        <w:t xml:space="preserve">  省市建设行政部门颁发的其他现行有效文件(包括但不仅限于以下文件)：</w:t>
      </w:r>
    </w:p>
    <w:p w14:paraId="61273846">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（1）《关于转发省建设厅&lt;关于进一步加强建筑施工领域企业安全生产工作的实施意见&gt;的通知》（杭建工发〔2011〕130号）；</w:t>
      </w:r>
    </w:p>
    <w:p w14:paraId="3653BC37">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（2）《关于进一步加强建设工程安全质量物联网管理应用平台建设的通知》（杭建工发〔2012〕426号）；</w:t>
      </w:r>
    </w:p>
    <w:p w14:paraId="247EA923">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（3）《关于开展建筑工程扬尘在线监测设施安装工作的通知》（杭建工〔2019〕103号）；</w:t>
      </w:r>
    </w:p>
    <w:p w14:paraId="4DE1C8CF">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（4）《关于巩固G20杭州峰会成果进一步加强建设工程文明施工管理的若干意见》（杭建工发〔2017〕112号）；</w:t>
      </w:r>
    </w:p>
    <w:p w14:paraId="13B3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u w:val="single"/>
        </w:rPr>
      </w:pPr>
      <w:r>
        <w:rPr>
          <w:rFonts w:hint="eastAsia" w:ascii="仿宋_GB2312" w:hAnsi="仿宋_GB2312" w:eastAsia="仿宋_GB2312" w:cs="仿宋_GB2312"/>
          <w:b/>
          <w:sz w:val="18"/>
          <w:szCs w:val="18"/>
          <w:u w:val="single"/>
        </w:rPr>
        <w:t xml:space="preserve">（5）《杭州市建设领域农民工“无欠薪”管理实施细则（试行）》（杭建市〔2018〕161号）； </w:t>
      </w:r>
    </w:p>
    <w:p w14:paraId="2B355B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spacing w:val="0"/>
          <w:sz w:val="18"/>
          <w:szCs w:val="18"/>
          <w:highlight w:val="yellow"/>
          <w:u w:val="single"/>
          <w:shd w:val="clear" w:fill="FFFFFF"/>
        </w:rPr>
        <w:t>（</w:t>
      </w:r>
      <w:r>
        <w:rPr>
          <w:rFonts w:hint="eastAsia" w:ascii="仿宋_GB2312" w:hAnsi="仿宋_GB2312" w:eastAsia="仿宋_GB2312" w:cs="仿宋_GB2312"/>
          <w:b/>
          <w:i w:val="0"/>
          <w:iCs w:val="0"/>
          <w:caps w:val="0"/>
          <w:spacing w:val="0"/>
          <w:sz w:val="18"/>
          <w:szCs w:val="18"/>
          <w:highlight w:val="yellow"/>
          <w:u w:val="single"/>
          <w:shd w:val="clear"/>
          <w:lang w:val="en-US" w:eastAsia="zh-CN"/>
        </w:rPr>
        <w:t>6</w:t>
      </w:r>
      <w:r>
        <w:rPr>
          <w:rFonts w:hint="eastAsia" w:ascii="仿宋_GB2312" w:hAnsi="仿宋_GB2312" w:eastAsia="仿宋_GB2312" w:cs="仿宋_GB2312"/>
          <w:b/>
          <w:i w:val="0"/>
          <w:iCs w:val="0"/>
          <w:caps w:val="0"/>
          <w:spacing w:val="0"/>
          <w:sz w:val="18"/>
          <w:szCs w:val="18"/>
          <w:highlight w:val="yellow"/>
          <w:u w:val="single"/>
          <w:shd w:val="clear" w:fill="FFFFFF"/>
        </w:rPr>
        <w:t>） 《杭州市建设工程渣土管理办法》（市政府令第192号）;</w:t>
      </w:r>
    </w:p>
    <w:p w14:paraId="244BD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w:t>
      </w:r>
      <w:r>
        <w:rPr>
          <w:rFonts w:hint="eastAsia" w:ascii="仿宋_GB2312" w:hAnsi="仿宋_GB2312" w:eastAsia="仿宋_GB2312" w:cs="仿宋_GB2312"/>
          <w:b/>
          <w:i w:val="0"/>
          <w:iCs w:val="0"/>
          <w:caps w:val="0"/>
          <w:spacing w:val="0"/>
          <w:sz w:val="18"/>
          <w:szCs w:val="18"/>
          <w:highlight w:val="yellow"/>
          <w:u w:val="single"/>
          <w:shd w:val="clear"/>
          <w:lang w:val="en-US" w:eastAsia="zh-CN"/>
        </w:rPr>
        <w:t>7</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市政府办公厅2022年5月15日发布的《杭州市人民政府办公厅关于进一步规范工程建筑垃圾管理的通知》</w:t>
      </w:r>
      <w:r>
        <w:rPr>
          <w:rFonts w:hint="eastAsia" w:ascii="仿宋_GB2312" w:hAnsi="仿宋_GB2312" w:eastAsia="仿宋_GB2312" w:cs="仿宋_GB2312"/>
          <w:b/>
          <w:i w:val="0"/>
          <w:iCs w:val="0"/>
          <w:caps w:val="0"/>
          <w:spacing w:val="0"/>
          <w:sz w:val="18"/>
          <w:szCs w:val="18"/>
          <w:highlight w:val="yellow"/>
          <w:u w:val="single"/>
          <w:shd w:val="clear" w:fill="FFFFFF"/>
        </w:rPr>
        <w:t>：</w:t>
      </w:r>
    </w:p>
    <w:p w14:paraId="74157E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w:t>
      </w:r>
      <w:r>
        <w:rPr>
          <w:rFonts w:hint="eastAsia" w:ascii="仿宋_GB2312" w:hAnsi="仿宋_GB2312" w:eastAsia="仿宋_GB2312" w:cs="仿宋_GB2312"/>
          <w:b/>
          <w:i w:val="0"/>
          <w:iCs w:val="0"/>
          <w:caps w:val="0"/>
          <w:spacing w:val="0"/>
          <w:sz w:val="18"/>
          <w:szCs w:val="18"/>
          <w:highlight w:val="yellow"/>
          <w:u w:val="single"/>
          <w:shd w:val="clear"/>
          <w:lang w:val="en-US" w:eastAsia="zh-CN"/>
        </w:rPr>
        <w:t>8</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《关于发布杭州市工程渣土消纳市场信息价的通知》（杭渣土领〔2020）1号）：</w:t>
      </w:r>
    </w:p>
    <w:p w14:paraId="14F73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w:t>
      </w:r>
      <w:r>
        <w:rPr>
          <w:rFonts w:hint="eastAsia" w:ascii="仿宋_GB2312" w:hAnsi="仿宋_GB2312" w:eastAsia="仿宋_GB2312" w:cs="仿宋_GB2312"/>
          <w:b/>
          <w:i w:val="0"/>
          <w:iCs w:val="0"/>
          <w:caps w:val="0"/>
          <w:spacing w:val="0"/>
          <w:sz w:val="18"/>
          <w:szCs w:val="18"/>
          <w:highlight w:val="yellow"/>
          <w:u w:val="single"/>
          <w:shd w:val="clear"/>
          <w:lang w:val="en-US" w:eastAsia="zh-CN"/>
        </w:rPr>
        <w:t>9</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市建委2020年10月30日发布的《关于明确杭州市</w:t>
      </w:r>
      <w:r>
        <w:rPr>
          <w:rFonts w:hint="eastAsia" w:ascii="仿宋_GB2312" w:hAnsi="仿宋_GB2312" w:eastAsia="仿宋_GB2312" w:cs="仿宋_GB2312"/>
          <w:b/>
          <w:i w:val="0"/>
          <w:iCs w:val="0"/>
          <w:caps w:val="0"/>
          <w:color w:val="021EAA"/>
          <w:spacing w:val="0"/>
          <w:sz w:val="18"/>
          <w:szCs w:val="18"/>
          <w:highlight w:val="yellow"/>
          <w:u w:val="single"/>
          <w:shd w:val="clear" w:fill="FFFFFF"/>
          <w:lang w:val="en-US" w:eastAsia="zh-CN"/>
        </w:rPr>
        <w:t>工程</w:t>
      </w:r>
      <w:r>
        <w:rPr>
          <w:rFonts w:hint="eastAsia" w:ascii="仿宋_GB2312" w:hAnsi="仿宋_GB2312" w:eastAsia="仿宋_GB2312" w:cs="仿宋_GB2312"/>
          <w:b/>
          <w:i w:val="0"/>
          <w:iCs w:val="0"/>
          <w:caps w:val="0"/>
          <w:color w:val="021EAA"/>
          <w:spacing w:val="0"/>
          <w:sz w:val="18"/>
          <w:szCs w:val="18"/>
          <w:highlight w:val="yellow"/>
          <w:u w:val="single"/>
          <w:shd w:val="clear" w:fill="FFFFFF"/>
        </w:rPr>
        <w:t>渣土运输及消纳项目计价清单编制和报价口径的通知》；</w:t>
      </w:r>
    </w:p>
    <w:p w14:paraId="7DA7C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（1</w:t>
      </w:r>
      <w:r>
        <w:rPr>
          <w:rFonts w:hint="eastAsia" w:ascii="仿宋_GB2312" w:hAnsi="仿宋_GB2312" w:eastAsia="仿宋_GB2312" w:cs="仿宋_GB2312"/>
          <w:b/>
          <w:i w:val="0"/>
          <w:iCs w:val="0"/>
          <w:caps w:val="0"/>
          <w:spacing w:val="0"/>
          <w:sz w:val="18"/>
          <w:szCs w:val="18"/>
          <w:highlight w:val="yellow"/>
          <w:u w:val="single"/>
          <w:shd w:val="clear"/>
          <w:lang w:val="en-US" w:eastAsia="zh-CN"/>
        </w:rPr>
        <w:t>0</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《关于转发〈关于在全省工程建设领域改革保证金制度的通知＞的通知》（杭建市通知〔2020）4号）；</w:t>
      </w:r>
    </w:p>
    <w:p w14:paraId="3E3DB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（1</w:t>
      </w:r>
      <w:r>
        <w:rPr>
          <w:rFonts w:hint="eastAsia" w:ascii="仿宋_GB2312" w:hAnsi="仿宋_GB2312" w:eastAsia="仿宋_GB2312" w:cs="仿宋_GB2312"/>
          <w:b/>
          <w:i w:val="0"/>
          <w:iCs w:val="0"/>
          <w:caps w:val="0"/>
          <w:spacing w:val="0"/>
          <w:sz w:val="18"/>
          <w:szCs w:val="18"/>
          <w:highlight w:val="yellow"/>
          <w:u w:val="single"/>
          <w:shd w:val="clear"/>
          <w:lang w:val="en-US" w:eastAsia="zh-CN"/>
        </w:rPr>
        <w:t>1</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《关于进一步提升杭州市市政道路建设质量管理的若干意见》（杭建工发〔2021）32号）；</w:t>
      </w:r>
    </w:p>
    <w:p w14:paraId="28E9B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(1</w:t>
      </w:r>
      <w:r>
        <w:rPr>
          <w:rFonts w:hint="eastAsia" w:ascii="仿宋_GB2312" w:hAnsi="仿宋_GB2312" w:eastAsia="仿宋_GB2312" w:cs="仿宋_GB2312"/>
          <w:b/>
          <w:i w:val="0"/>
          <w:iCs w:val="0"/>
          <w:caps w:val="0"/>
          <w:spacing w:val="0"/>
          <w:sz w:val="18"/>
          <w:szCs w:val="18"/>
          <w:highlight w:val="yellow"/>
          <w:u w:val="single"/>
          <w:shd w:val="clear"/>
          <w:lang w:val="en-US" w:eastAsia="zh-CN"/>
        </w:rPr>
        <w:t>2</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《关于全面推广应用承插型盘扣式脚手架的通知》(杭建工发〔2021) 358号)；</w:t>
      </w:r>
    </w:p>
    <w:p w14:paraId="7436C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yellow"/>
          <w:u w:val="single"/>
          <w:shd w:val="clear"/>
        </w:rPr>
      </w:pPr>
      <w:r>
        <w:rPr>
          <w:rFonts w:hint="eastAsia" w:ascii="仿宋_GB2312" w:hAnsi="仿宋_GB2312" w:eastAsia="仿宋_GB2312" w:cs="仿宋_GB2312"/>
          <w:b/>
          <w:i w:val="0"/>
          <w:iCs w:val="0"/>
          <w:caps w:val="0"/>
          <w:color w:val="021EAA"/>
          <w:spacing w:val="0"/>
          <w:sz w:val="18"/>
          <w:szCs w:val="18"/>
          <w:highlight w:val="yellow"/>
          <w:u w:val="single"/>
          <w:shd w:val="clear" w:fill="FFFFFF"/>
        </w:rPr>
        <w:t>(1</w:t>
      </w:r>
      <w:r>
        <w:rPr>
          <w:rFonts w:hint="eastAsia" w:ascii="仿宋_GB2312" w:hAnsi="仿宋_GB2312" w:eastAsia="仿宋_GB2312" w:cs="仿宋_GB2312"/>
          <w:b/>
          <w:i w:val="0"/>
          <w:iCs w:val="0"/>
          <w:caps w:val="0"/>
          <w:spacing w:val="0"/>
          <w:sz w:val="18"/>
          <w:szCs w:val="18"/>
          <w:highlight w:val="yellow"/>
          <w:u w:val="single"/>
          <w:shd w:val="clear"/>
          <w:lang w:val="en-US" w:eastAsia="zh-CN"/>
        </w:rPr>
        <w:t>3</w:t>
      </w:r>
      <w:r>
        <w:rPr>
          <w:rFonts w:hint="eastAsia" w:ascii="仿宋_GB2312" w:hAnsi="仿宋_GB2312" w:eastAsia="仿宋_GB2312" w:cs="仿宋_GB2312"/>
          <w:b/>
          <w:i w:val="0"/>
          <w:iCs w:val="0"/>
          <w:caps w:val="0"/>
          <w:color w:val="021EAA"/>
          <w:spacing w:val="0"/>
          <w:sz w:val="18"/>
          <w:szCs w:val="18"/>
          <w:highlight w:val="yellow"/>
          <w:u w:val="single"/>
          <w:shd w:val="clear" w:fill="FFFFFF"/>
        </w:rPr>
        <w:t>) 《关于明确杭州市建筑施工领域安全生产责任保险费用计取的通知》(杭建招标造价中心〔2021) 84号)；</w:t>
      </w:r>
    </w:p>
    <w:p w14:paraId="7928BFF2">
      <w:pPr>
        <w:autoSpaceDE w:val="0"/>
        <w:autoSpaceDN w:val="0"/>
        <w:adjustRightInd w:val="0"/>
        <w:ind w:firstLine="361" w:firstLineChars="200"/>
        <w:rPr>
          <w:rFonts w:hint="eastAsia" w:ascii="仿宋_GB2312" w:hAnsi="仿宋_GB2312" w:eastAsia="仿宋_GB2312" w:cs="仿宋_GB2312"/>
          <w:b/>
          <w:i w:val="0"/>
          <w:iCs w:val="0"/>
          <w:caps w:val="0"/>
          <w:spacing w:val="0"/>
          <w:sz w:val="18"/>
          <w:szCs w:val="18"/>
          <w:highlight w:val="yellow"/>
          <w:u w:val="single"/>
          <w:shd w:val="clear"/>
          <w:lang w:eastAsia="zh-CN"/>
        </w:rPr>
      </w:pPr>
      <w:r>
        <w:rPr>
          <w:rFonts w:hint="eastAsia" w:ascii="仿宋_GB2312" w:hAnsi="仿宋_GB2312" w:eastAsia="仿宋_GB2312" w:cs="仿宋_GB2312"/>
          <w:b/>
          <w:i w:val="0"/>
          <w:iCs w:val="0"/>
          <w:caps w:val="0"/>
          <w:spacing w:val="0"/>
          <w:sz w:val="18"/>
          <w:szCs w:val="18"/>
          <w:highlight w:val="yellow"/>
          <w:u w:val="single"/>
          <w:shd w:val="clear"/>
          <w:lang w:eastAsia="zh-CN"/>
        </w:rPr>
        <w:t>（</w:t>
      </w:r>
      <w:r>
        <w:rPr>
          <w:rFonts w:hint="eastAsia" w:ascii="仿宋_GB2312" w:hAnsi="仿宋_GB2312" w:eastAsia="仿宋_GB2312" w:cs="仿宋_GB2312"/>
          <w:b/>
          <w:i w:val="0"/>
          <w:iCs w:val="0"/>
          <w:caps w:val="0"/>
          <w:spacing w:val="0"/>
          <w:sz w:val="18"/>
          <w:szCs w:val="18"/>
          <w:highlight w:val="yellow"/>
          <w:u w:val="single"/>
          <w:shd w:val="clear"/>
          <w:lang w:val="en-US" w:eastAsia="zh-CN"/>
        </w:rPr>
        <w:t>14</w:t>
      </w:r>
      <w:r>
        <w:rPr>
          <w:rFonts w:hint="eastAsia" w:ascii="仿宋_GB2312" w:hAnsi="仿宋_GB2312" w:eastAsia="仿宋_GB2312" w:cs="仿宋_GB2312"/>
          <w:b/>
          <w:i w:val="0"/>
          <w:iCs w:val="0"/>
          <w:caps w:val="0"/>
          <w:spacing w:val="0"/>
          <w:sz w:val="18"/>
          <w:szCs w:val="18"/>
          <w:highlight w:val="yellow"/>
          <w:u w:val="single"/>
          <w:shd w:val="clear"/>
          <w:lang w:eastAsia="zh-CN"/>
        </w:rPr>
        <w:t>）关于进一步规范建设工程建筑垃圾处置相关事项的通知（杭建工〔2023〕169号）</w:t>
      </w:r>
    </w:p>
    <w:p w14:paraId="1100702C">
      <w:pPr>
        <w:autoSpaceDE w:val="0"/>
        <w:autoSpaceDN w:val="0"/>
        <w:adjustRightInd w:val="0"/>
        <w:ind w:firstLine="361" w:firstLineChars="200"/>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t>（</w:t>
      </w:r>
      <w:r>
        <w:rPr>
          <w:rFonts w:hint="eastAsia" w:ascii="仿宋_GB2312" w:hAnsi="仿宋_GB2312" w:eastAsia="仿宋_GB2312" w:cs="仿宋_GB2312"/>
          <w:b/>
          <w:kern w:val="2"/>
          <w:sz w:val="18"/>
          <w:szCs w:val="18"/>
          <w:u w:val="single"/>
          <w:lang w:val="en-US" w:eastAsia="zh-CN"/>
        </w:rPr>
        <w:t>15</w:t>
      </w:r>
      <w:r>
        <w:rPr>
          <w:rFonts w:hint="eastAsia" w:ascii="仿宋_GB2312" w:hAnsi="仿宋_GB2312" w:eastAsia="仿宋_GB2312" w:cs="仿宋_GB2312"/>
          <w:b/>
          <w:kern w:val="0"/>
          <w:sz w:val="18"/>
          <w:szCs w:val="18"/>
          <w:u w:val="single"/>
        </w:rPr>
        <w:t>）其他</w:t>
      </w:r>
      <w:r>
        <w:rPr>
          <w:rFonts w:hint="eastAsia" w:ascii="仿宋_GB2312" w:hAnsi="仿宋_GB2312" w:eastAsia="仿宋_GB2312" w:cs="仿宋_GB2312"/>
          <w:b/>
          <w:sz w:val="18"/>
          <w:szCs w:val="18"/>
          <w:u w:val="single"/>
        </w:rPr>
        <w:t>：</w:t>
      </w: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1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①</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w:t>
      </w:r>
      <w:r>
        <w:rPr>
          <w:rFonts w:hint="eastAsia" w:ascii="仿宋_GB2312" w:hAnsi="仿宋_GB2312" w:eastAsia="仿宋_GB2312" w:cs="仿宋_GB2312"/>
          <w:b/>
          <w:kern w:val="0"/>
          <w:sz w:val="18"/>
          <w:szCs w:val="18"/>
          <w:u w:val="single"/>
        </w:rPr>
        <w:t>杭州市人民政府办公厅关于印发杭州市建设工程推广应用预拌砂浆管理办法的通知》（杭政办函（2011）32号）</w:t>
      </w:r>
    </w:p>
    <w:p w14:paraId="2456B128">
      <w:pPr>
        <w:autoSpaceDE w:val="0"/>
        <w:autoSpaceDN w:val="0"/>
        <w:adjustRightInd w:val="0"/>
        <w:ind w:firstLine="356" w:firstLineChars="197"/>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fldChar w:fldCharType="begin"/>
      </w:r>
      <w:r>
        <w:rPr>
          <w:rFonts w:hint="eastAsia" w:ascii="仿宋_GB2312" w:hAnsi="仿宋_GB2312" w:eastAsia="仿宋_GB2312" w:cs="仿宋_GB2312"/>
          <w:b/>
          <w:kern w:val="0"/>
          <w:sz w:val="18"/>
          <w:szCs w:val="18"/>
          <w:u w:val="single"/>
        </w:rPr>
        <w:instrText xml:space="preserve"> = 2 \* GB3 \* MERGEFORMAT </w:instrText>
      </w:r>
      <w:r>
        <w:rPr>
          <w:rFonts w:hint="eastAsia" w:ascii="仿宋_GB2312" w:hAnsi="仿宋_GB2312" w:eastAsia="仿宋_GB2312" w:cs="仿宋_GB2312"/>
          <w:b/>
          <w:kern w:val="0"/>
          <w:sz w:val="18"/>
          <w:szCs w:val="18"/>
          <w:u w:val="single"/>
        </w:rPr>
        <w:fldChar w:fldCharType="separate"/>
      </w:r>
      <w:r>
        <w:rPr>
          <w:rFonts w:hint="eastAsia" w:ascii="仿宋_GB2312" w:hAnsi="仿宋_GB2312" w:eastAsia="仿宋_GB2312" w:cs="仿宋_GB2312"/>
          <w:b/>
          <w:kern w:val="0"/>
          <w:sz w:val="18"/>
          <w:szCs w:val="18"/>
          <w:u w:val="single"/>
        </w:rPr>
        <w:t>②</w:t>
      </w:r>
      <w:r>
        <w:rPr>
          <w:rFonts w:hint="eastAsia" w:ascii="仿宋_GB2312" w:hAnsi="仿宋_GB2312" w:eastAsia="仿宋_GB2312" w:cs="仿宋_GB2312"/>
          <w:b/>
          <w:kern w:val="0"/>
          <w:sz w:val="18"/>
          <w:szCs w:val="18"/>
          <w:u w:val="single"/>
        </w:rPr>
        <w:fldChar w:fldCharType="end"/>
      </w:r>
      <w:r>
        <w:rPr>
          <w:rFonts w:hint="eastAsia" w:ascii="仿宋_GB2312" w:hAnsi="仿宋_GB2312" w:eastAsia="仿宋_GB2312" w:cs="仿宋_GB2312"/>
          <w:b/>
          <w:kern w:val="0"/>
          <w:sz w:val="18"/>
          <w:szCs w:val="18"/>
          <w:u w:val="single"/>
        </w:rPr>
        <w:t>《关于落实建筑工棚安装空调事宜的通知》（</w:t>
      </w:r>
      <w:r>
        <w:rPr>
          <w:rFonts w:hint="eastAsia" w:ascii="仿宋_GB2312" w:hAnsi="仿宋_GB2312" w:eastAsia="仿宋_GB2312" w:cs="仿宋_GB2312"/>
          <w:b/>
          <w:sz w:val="18"/>
          <w:szCs w:val="18"/>
          <w:u w:val="single"/>
        </w:rPr>
        <w:t>杭建工发【2011】237号）</w:t>
      </w:r>
    </w:p>
    <w:p w14:paraId="7C66009A">
      <w:pPr>
        <w:autoSpaceDE w:val="0"/>
        <w:autoSpaceDN w:val="0"/>
        <w:adjustRightInd w:val="0"/>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3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③</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 xml:space="preserve">《关于进一步明确杭州市建设工程优质工程增加费计取规定的通知》（杭建市【2012】240号）       </w:t>
      </w:r>
    </w:p>
    <w:p w14:paraId="3FFB1394">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4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④</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《关于进一步加强杭州市建设工程安全文明施工费计取管理规定的通知》（杭建市〔2016〕25号）及《关于规范建设工程安全文明施工费计取的通知》（建建发[2015]517号）</w:t>
      </w:r>
    </w:p>
    <w:p w14:paraId="39ECA008">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5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⑤</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关于贯彻浙江省建设厅《关于建筑业实施营改增后浙江省建设工程计价规则调整》的通知（杭建市发[2016]216号）及系列文件</w:t>
      </w:r>
    </w:p>
    <w:p w14:paraId="2D48D4B2">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6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⑥</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《杭州市建筑市场管理若干规定》（杭州市人民政府令第277号）</w:t>
      </w:r>
    </w:p>
    <w:p w14:paraId="76FC8FCE">
      <w:pPr>
        <w:autoSpaceDE w:val="0"/>
        <w:autoSpaceDN w:val="0"/>
        <w:adjustRightInd w:val="0"/>
        <w:ind w:left="424" w:leftChars="202"/>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7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⑦</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《杭州市建设工程文明施工管理规定》（杭州市人民政府令第278号）</w:t>
      </w:r>
    </w:p>
    <w:p w14:paraId="576FB592">
      <w:pPr>
        <w:autoSpaceDE w:val="0"/>
        <w:autoSpaceDN w:val="0"/>
        <w:adjustRightInd w:val="0"/>
        <w:ind w:left="424" w:leftChars="202"/>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8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⑧</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浙江省、杭州市相关政策文件</w:t>
      </w:r>
    </w:p>
    <w:p w14:paraId="2303F15B">
      <w:pPr>
        <w:autoSpaceDE w:val="0"/>
        <w:autoSpaceDN w:val="0"/>
        <w:adjustRightInd w:val="0"/>
        <w:ind w:left="424" w:leftChars="202"/>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fldChar w:fldCharType="begin"/>
      </w:r>
      <w:r>
        <w:rPr>
          <w:rFonts w:hint="eastAsia" w:ascii="仿宋_GB2312" w:hAnsi="仿宋_GB2312" w:eastAsia="仿宋_GB2312" w:cs="仿宋_GB2312"/>
          <w:b/>
          <w:sz w:val="18"/>
          <w:szCs w:val="18"/>
          <w:u w:val="single"/>
        </w:rPr>
        <w:instrText xml:space="preserve"> = 9 \* GB3 \* MERGEFORMAT </w:instrText>
      </w:r>
      <w:r>
        <w:rPr>
          <w:rFonts w:hint="eastAsia" w:ascii="仿宋_GB2312" w:hAnsi="仿宋_GB2312" w:eastAsia="仿宋_GB2312" w:cs="仿宋_GB2312"/>
          <w:b/>
          <w:sz w:val="18"/>
          <w:szCs w:val="18"/>
          <w:u w:val="single"/>
        </w:rPr>
        <w:fldChar w:fldCharType="separate"/>
      </w:r>
      <w:r>
        <w:rPr>
          <w:rFonts w:hint="eastAsia" w:ascii="仿宋_GB2312" w:hAnsi="仿宋_GB2312" w:eastAsia="仿宋_GB2312" w:cs="仿宋_GB2312"/>
          <w:b/>
          <w:sz w:val="18"/>
          <w:szCs w:val="18"/>
          <w:u w:val="single"/>
        </w:rPr>
        <w:t>⑨</w:t>
      </w:r>
      <w:r>
        <w:rPr>
          <w:rFonts w:hint="eastAsia" w:ascii="仿宋_GB2312" w:hAnsi="仿宋_GB2312" w:eastAsia="仿宋_GB2312" w:cs="仿宋_GB2312"/>
          <w:b/>
          <w:sz w:val="18"/>
          <w:szCs w:val="18"/>
          <w:u w:val="single"/>
        </w:rPr>
        <w:fldChar w:fldCharType="end"/>
      </w:r>
      <w:r>
        <w:rPr>
          <w:rFonts w:hint="eastAsia" w:ascii="仿宋_GB2312" w:hAnsi="仿宋_GB2312" w:eastAsia="仿宋_GB2312" w:cs="仿宋_GB2312"/>
          <w:b/>
          <w:sz w:val="18"/>
          <w:szCs w:val="18"/>
          <w:u w:val="single"/>
        </w:rPr>
        <w:t>其他适用于本工程的法规文件。</w:t>
      </w:r>
    </w:p>
    <w:p w14:paraId="43F1FD55">
      <w:pPr>
        <w:autoSpaceDE w:val="0"/>
        <w:autoSpaceDN w:val="0"/>
        <w:adjustRightInd w:val="0"/>
        <w:ind w:left="424" w:leftChars="202"/>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以上文件若有新规定新要求并适用于本工程的，按新文件执行。 </w:t>
      </w:r>
    </w:p>
    <w:p w14:paraId="202E7C1E">
      <w:pPr>
        <w:autoSpaceDE w:val="0"/>
        <w:autoSpaceDN w:val="0"/>
        <w:adjustRightInd w:val="0"/>
        <w:ind w:left="424" w:leftChars="202"/>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1.3.4</w:t>
      </w:r>
      <w:r>
        <w:rPr>
          <w:rFonts w:hint="eastAsia" w:ascii="仿宋_GB2312" w:hAnsi="仿宋_GB2312" w:eastAsia="仿宋_GB2312" w:cs="仿宋_GB2312"/>
          <w:b/>
          <w:sz w:val="18"/>
          <w:szCs w:val="18"/>
          <w:lang w:val="en-US" w:eastAsia="zh-CN"/>
        </w:rPr>
        <w:t>5</w:t>
      </w:r>
      <w:r>
        <w:rPr>
          <w:rFonts w:hint="eastAsia" w:ascii="仿宋_GB2312" w:hAnsi="仿宋_GB2312" w:eastAsia="仿宋_GB2312" w:cs="仿宋_GB2312"/>
          <w:b/>
          <w:sz w:val="18"/>
          <w:szCs w:val="18"/>
        </w:rPr>
        <w:t xml:space="preserve"> 新工艺、新技术的约定：</w:t>
      </w:r>
      <w:r>
        <w:rPr>
          <w:rFonts w:hint="eastAsia" w:ascii="仿宋_GB2312" w:hAnsi="仿宋_GB2312" w:eastAsia="仿宋_GB2312" w:cs="仿宋_GB2312"/>
          <w:b/>
          <w:sz w:val="18"/>
          <w:szCs w:val="18"/>
          <w:u w:val="single"/>
        </w:rPr>
        <w:t xml:space="preserve">                        。</w:t>
      </w:r>
    </w:p>
    <w:p w14:paraId="16E1B059">
      <w:pPr>
        <w:autoSpaceDE w:val="0"/>
        <w:autoSpaceDN w:val="0"/>
        <w:adjustRightInd w:val="0"/>
        <w:ind w:left="424" w:leftChars="202"/>
        <w:jc w:val="left"/>
        <w:rPr>
          <w:rFonts w:hint="eastAsia" w:ascii="仿宋_GB2312" w:hAnsi="仿宋_GB2312" w:eastAsia="仿宋_GB2312" w:cs="仿宋_GB2312"/>
          <w:b/>
          <w:sz w:val="18"/>
          <w:szCs w:val="18"/>
          <w:u w:val="single"/>
        </w:rPr>
      </w:pPr>
      <w:r>
        <w:rPr>
          <w:rFonts w:hint="eastAsia" w:ascii="仿宋_GB2312" w:hAnsi="仿宋_GB2312" w:eastAsia="仿宋_GB2312" w:cs="仿宋_GB2312"/>
          <w:b/>
          <w:sz w:val="18"/>
          <w:szCs w:val="18"/>
        </w:rPr>
        <w:t>1.3.</w:t>
      </w:r>
      <w:r>
        <w:rPr>
          <w:rFonts w:hint="eastAsia" w:ascii="仿宋_GB2312" w:hAnsi="仿宋_GB2312" w:eastAsia="仿宋_GB2312" w:cs="仿宋_GB2312"/>
          <w:b/>
          <w:sz w:val="18"/>
          <w:szCs w:val="18"/>
          <w:lang w:val="en-US" w:eastAsia="zh-CN"/>
        </w:rPr>
        <w:t>6</w:t>
      </w:r>
      <w:r>
        <w:rPr>
          <w:rFonts w:hint="eastAsia" w:ascii="仿宋_GB2312" w:hAnsi="仿宋_GB2312" w:eastAsia="仿宋_GB2312" w:cs="仿宋_GB2312"/>
          <w:b/>
          <w:sz w:val="18"/>
          <w:szCs w:val="18"/>
        </w:rPr>
        <w:t xml:space="preserve">  其他：</w:t>
      </w:r>
      <w:r>
        <w:rPr>
          <w:rFonts w:hint="eastAsia" w:ascii="仿宋_GB2312" w:hAnsi="仿宋_GB2312" w:eastAsia="仿宋_GB2312" w:cs="仿宋_GB2312"/>
          <w:b/>
          <w:sz w:val="18"/>
          <w:szCs w:val="18"/>
          <w:u w:val="single"/>
        </w:rPr>
        <w:t xml:space="preserve">                                       。</w:t>
      </w:r>
    </w:p>
    <w:p w14:paraId="24C62F65">
      <w:pPr>
        <w:pStyle w:val="42"/>
        <w:autoSpaceDE w:val="0"/>
        <w:autoSpaceDN w:val="0"/>
        <w:adjustRightInd w:val="0"/>
        <w:ind w:left="0" w:leftChars="0" w:firstLine="361" w:firstLineChars="200"/>
        <w:rPr>
          <w:rFonts w:hint="eastAsia" w:eastAsia="仿宋_GB2312"/>
          <w:lang w:eastAsia="zh-CN"/>
        </w:rPr>
      </w:pPr>
      <w:r>
        <w:rPr>
          <w:rFonts w:hint="eastAsia" w:ascii="仿宋_GB2312" w:hAnsi="仿宋_GB2312" w:eastAsia="仿宋_GB2312" w:cs="仿宋_GB2312"/>
          <w:b/>
          <w:kern w:val="2"/>
          <w:sz w:val="18"/>
          <w:szCs w:val="18"/>
          <w:lang w:eastAsia="zh-CN"/>
        </w:rPr>
        <w:t>（</w:t>
      </w:r>
      <w:r>
        <w:rPr>
          <w:rFonts w:hint="eastAsia" w:ascii="仿宋_GB2312" w:hAnsi="仿宋_GB2312" w:eastAsia="仿宋_GB2312" w:cs="仿宋_GB2312"/>
          <w:b/>
          <w:kern w:val="2"/>
          <w:sz w:val="18"/>
          <w:szCs w:val="18"/>
        </w:rPr>
        <w:t>以上文件若有新规定新要求并适用于本工程的，按新文件执行。</w:t>
      </w:r>
      <w:r>
        <w:rPr>
          <w:rFonts w:hint="eastAsia" w:ascii="仿宋_GB2312" w:hAnsi="仿宋_GB2312" w:eastAsia="仿宋_GB2312" w:cs="仿宋_GB2312"/>
          <w:b/>
          <w:kern w:val="2"/>
          <w:sz w:val="18"/>
          <w:szCs w:val="18"/>
          <w:lang w:eastAsia="zh-CN"/>
        </w:rPr>
        <w:t>）</w:t>
      </w:r>
    </w:p>
    <w:p w14:paraId="708800C4">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 标准和规范</w:t>
      </w:r>
    </w:p>
    <w:p w14:paraId="1E9A8DF0">
      <w:pPr>
        <w:ind w:left="0" w:leftChars="0"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1.4.1适用于工程的标准规范包括：</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b/>
          <w:sz w:val="18"/>
          <w:szCs w:val="18"/>
          <w:u w:val="single"/>
        </w:rPr>
        <w:t xml:space="preserve">按通用条款约定    </w:t>
      </w:r>
      <w:r>
        <w:rPr>
          <w:rFonts w:hint="eastAsia" w:ascii="仿宋_GB2312" w:hAnsi="仿宋_GB2312" w:eastAsia="仿宋_GB2312" w:cs="仿宋_GB2312"/>
          <w:color w:val="000000"/>
          <w:sz w:val="18"/>
          <w:szCs w:val="18"/>
        </w:rPr>
        <w:t>。</w:t>
      </w:r>
    </w:p>
    <w:p w14:paraId="5F894D3B">
      <w:pPr>
        <w:ind w:firstLine="360" w:firstLineChars="200"/>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1.4.2 发包人提供国外标准、规范的名称：</w:t>
      </w:r>
      <w:r>
        <w:rPr>
          <w:rFonts w:hint="eastAsia" w:ascii="仿宋_GB2312" w:hAnsi="仿宋_GB2312" w:eastAsia="仿宋_GB2312" w:cs="仿宋_GB2312"/>
          <w:color w:val="000000"/>
          <w:kern w:val="0"/>
          <w:sz w:val="18"/>
          <w:szCs w:val="18"/>
          <w:u w:val="single"/>
        </w:rPr>
        <w:t xml:space="preserve">       /       </w:t>
      </w:r>
      <w:r>
        <w:rPr>
          <w:rFonts w:hint="eastAsia" w:ascii="仿宋_GB2312" w:hAnsi="仿宋_GB2312" w:eastAsia="仿宋_GB2312" w:cs="仿宋_GB2312"/>
          <w:color w:val="000000"/>
          <w:kern w:val="0"/>
          <w:sz w:val="18"/>
          <w:szCs w:val="18"/>
        </w:rPr>
        <w:t>；</w:t>
      </w:r>
    </w:p>
    <w:p w14:paraId="238F2167">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发包人提供国外标准、规范的份数：</w:t>
      </w:r>
      <w:r>
        <w:rPr>
          <w:rFonts w:hint="eastAsia" w:ascii="仿宋_GB2312" w:hAnsi="仿宋_GB2312" w:eastAsia="仿宋_GB2312" w:cs="仿宋_GB2312"/>
          <w:color w:val="000000"/>
          <w:kern w:val="0"/>
          <w:sz w:val="18"/>
          <w:szCs w:val="18"/>
          <w:u w:val="single"/>
        </w:rPr>
        <w:t xml:space="preserve">           /          </w:t>
      </w:r>
      <w:r>
        <w:rPr>
          <w:rFonts w:hint="eastAsia" w:ascii="仿宋_GB2312" w:hAnsi="仿宋_GB2312" w:eastAsia="仿宋_GB2312" w:cs="仿宋_GB2312"/>
          <w:color w:val="000000"/>
          <w:kern w:val="0"/>
          <w:sz w:val="18"/>
          <w:szCs w:val="18"/>
        </w:rPr>
        <w:t>；</w:t>
      </w:r>
    </w:p>
    <w:p w14:paraId="770FFD6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发包人提供国外标准、规范的名称：</w:t>
      </w:r>
      <w:r>
        <w:rPr>
          <w:rFonts w:hint="eastAsia" w:ascii="仿宋_GB2312" w:hAnsi="仿宋_GB2312" w:eastAsia="仿宋_GB2312" w:cs="仿宋_GB2312"/>
          <w:color w:val="000000"/>
          <w:kern w:val="0"/>
          <w:sz w:val="18"/>
          <w:szCs w:val="18"/>
          <w:u w:val="single"/>
        </w:rPr>
        <w:t xml:space="preserve">           /          </w:t>
      </w:r>
      <w:r>
        <w:rPr>
          <w:rFonts w:hint="eastAsia" w:ascii="仿宋_GB2312" w:hAnsi="仿宋_GB2312" w:eastAsia="仿宋_GB2312" w:cs="仿宋_GB2312"/>
          <w:color w:val="000000"/>
          <w:kern w:val="0"/>
          <w:sz w:val="18"/>
          <w:szCs w:val="18"/>
        </w:rPr>
        <w:t>。</w:t>
      </w:r>
    </w:p>
    <w:p w14:paraId="67ECECB3">
      <w:pPr>
        <w:ind w:left="0" w:leftChars="0"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1.4.3发包人对工程的技术标准和功能要求的特殊要求：</w:t>
      </w:r>
    </w:p>
    <w:p w14:paraId="17E4C079">
      <w:pPr>
        <w:ind w:firstLine="630" w:firstLineChars="35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b/>
          <w:bCs/>
          <w:sz w:val="18"/>
          <w:szCs w:val="18"/>
          <w:u w:val="single"/>
        </w:rPr>
        <w:t>详见设计文件和招标技术要求</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sz w:val="18"/>
          <w:szCs w:val="18"/>
        </w:rPr>
        <w:t>。</w:t>
      </w:r>
    </w:p>
    <w:p w14:paraId="5D486B98">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 合同文件的优先顺序</w:t>
      </w:r>
    </w:p>
    <w:p w14:paraId="5E728B2C">
      <w:pPr>
        <w:autoSpaceDE w:val="0"/>
        <w:autoSpaceDN w:val="0"/>
        <w:adjustRightInd w:val="0"/>
        <w:ind w:firstLine="358" w:firstLineChars="19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（1）</w:t>
      </w:r>
      <w:r>
        <w:rPr>
          <w:rFonts w:hint="eastAsia" w:ascii="仿宋_GB2312" w:hAnsi="仿宋_GB2312" w:eastAsia="仿宋_GB2312" w:cs="仿宋_GB2312"/>
          <w:b/>
          <w:kern w:val="0"/>
          <w:sz w:val="18"/>
          <w:szCs w:val="18"/>
          <w:u w:val="single"/>
        </w:rPr>
        <w:t>合同协议书</w:t>
      </w:r>
      <w:r>
        <w:rPr>
          <w:rFonts w:hint="eastAsia" w:ascii="仿宋_GB2312" w:hAnsi="仿宋_GB2312" w:eastAsia="仿宋_GB2312" w:cs="仿宋_GB2312"/>
          <w:b/>
          <w:kern w:val="0"/>
          <w:sz w:val="18"/>
          <w:szCs w:val="18"/>
        </w:rPr>
        <w:t>；</w:t>
      </w:r>
    </w:p>
    <w:p w14:paraId="60D5ED80">
      <w:pPr>
        <w:autoSpaceDE w:val="0"/>
        <w:autoSpaceDN w:val="0"/>
        <w:adjustRightInd w:val="0"/>
        <w:ind w:firstLine="358" w:firstLineChars="19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（2）</w:t>
      </w:r>
      <w:r>
        <w:rPr>
          <w:rFonts w:hint="eastAsia" w:ascii="仿宋_GB2312" w:hAnsi="仿宋_GB2312" w:eastAsia="仿宋_GB2312" w:cs="仿宋_GB2312"/>
          <w:b/>
          <w:kern w:val="0"/>
          <w:sz w:val="18"/>
          <w:szCs w:val="18"/>
          <w:u w:val="single"/>
        </w:rPr>
        <w:t>中标通知书（或项目发承包基本情况表）</w:t>
      </w:r>
      <w:r>
        <w:rPr>
          <w:rFonts w:hint="eastAsia" w:ascii="仿宋_GB2312" w:hAnsi="仿宋_GB2312" w:eastAsia="仿宋_GB2312" w:cs="仿宋_GB2312"/>
          <w:b/>
          <w:kern w:val="0"/>
          <w:sz w:val="18"/>
          <w:szCs w:val="18"/>
        </w:rPr>
        <w:t>；</w:t>
      </w:r>
    </w:p>
    <w:p w14:paraId="51BFBC1A">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（3）</w:t>
      </w:r>
      <w:r>
        <w:rPr>
          <w:rFonts w:hint="eastAsia" w:ascii="仿宋_GB2312" w:hAnsi="仿宋_GB2312" w:eastAsia="仿宋_GB2312" w:cs="仿宋_GB2312"/>
          <w:b/>
          <w:kern w:val="0"/>
          <w:sz w:val="18"/>
          <w:szCs w:val="18"/>
          <w:u w:val="single"/>
        </w:rPr>
        <w:t>投标函及其附录（如果有）</w:t>
      </w:r>
      <w:r>
        <w:rPr>
          <w:rFonts w:hint="eastAsia" w:ascii="仿宋_GB2312" w:hAnsi="仿宋_GB2312" w:eastAsia="仿宋_GB2312" w:cs="仿宋_GB2312"/>
          <w:b/>
          <w:kern w:val="0"/>
          <w:sz w:val="18"/>
          <w:szCs w:val="18"/>
        </w:rPr>
        <w:t>；</w:t>
      </w:r>
    </w:p>
    <w:p w14:paraId="5F0A6B3C">
      <w:pPr>
        <w:autoSpaceDE w:val="0"/>
        <w:autoSpaceDN w:val="0"/>
        <w:adjustRightInd w:val="0"/>
        <w:ind w:firstLine="358" w:firstLineChars="19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（4）</w:t>
      </w:r>
      <w:r>
        <w:rPr>
          <w:rFonts w:hint="eastAsia" w:ascii="仿宋_GB2312" w:hAnsi="仿宋_GB2312" w:eastAsia="仿宋_GB2312" w:cs="仿宋_GB2312"/>
          <w:b/>
          <w:kern w:val="0"/>
          <w:sz w:val="18"/>
          <w:szCs w:val="18"/>
          <w:u w:val="single"/>
        </w:rPr>
        <w:t>专用合同条款及其附件</w:t>
      </w:r>
      <w:r>
        <w:rPr>
          <w:rFonts w:hint="eastAsia" w:ascii="仿宋_GB2312" w:hAnsi="仿宋_GB2312" w:eastAsia="仿宋_GB2312" w:cs="仿宋_GB2312"/>
          <w:b/>
          <w:kern w:val="0"/>
          <w:sz w:val="18"/>
          <w:szCs w:val="18"/>
        </w:rPr>
        <w:t>；</w:t>
      </w:r>
    </w:p>
    <w:p w14:paraId="540C554E">
      <w:pPr>
        <w:autoSpaceDE w:val="0"/>
        <w:autoSpaceDN w:val="0"/>
        <w:adjustRightInd w:val="0"/>
        <w:ind w:firstLine="358" w:firstLineChars="19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（5）</w:t>
      </w:r>
      <w:r>
        <w:rPr>
          <w:rFonts w:hint="eastAsia" w:ascii="仿宋_GB2312" w:hAnsi="仿宋_GB2312" w:eastAsia="仿宋_GB2312" w:cs="仿宋_GB2312"/>
          <w:b/>
          <w:kern w:val="0"/>
          <w:sz w:val="18"/>
          <w:szCs w:val="18"/>
          <w:u w:val="single"/>
        </w:rPr>
        <w:t>通用合同条款</w:t>
      </w:r>
      <w:r>
        <w:rPr>
          <w:rFonts w:hint="eastAsia" w:ascii="仿宋_GB2312" w:hAnsi="仿宋_GB2312" w:eastAsia="仿宋_GB2312" w:cs="仿宋_GB2312"/>
          <w:b/>
          <w:kern w:val="0"/>
          <w:sz w:val="18"/>
          <w:szCs w:val="18"/>
        </w:rPr>
        <w:t>；</w:t>
      </w:r>
    </w:p>
    <w:p w14:paraId="34E61419">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（6）</w:t>
      </w:r>
      <w:r>
        <w:rPr>
          <w:rFonts w:hint="eastAsia" w:ascii="仿宋_GB2312" w:hAnsi="仿宋_GB2312" w:eastAsia="仿宋_GB2312" w:cs="仿宋_GB2312"/>
          <w:b/>
          <w:kern w:val="0"/>
          <w:sz w:val="18"/>
          <w:szCs w:val="18"/>
          <w:u w:val="single"/>
        </w:rPr>
        <w:t>技术标准和要求</w:t>
      </w:r>
      <w:r>
        <w:rPr>
          <w:rFonts w:hint="eastAsia" w:ascii="仿宋_GB2312" w:hAnsi="仿宋_GB2312" w:eastAsia="仿宋_GB2312" w:cs="仿宋_GB2312"/>
          <w:b/>
          <w:kern w:val="0"/>
          <w:sz w:val="18"/>
          <w:szCs w:val="18"/>
        </w:rPr>
        <w:t>；</w:t>
      </w:r>
    </w:p>
    <w:p w14:paraId="42DDACD0">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（7）</w:t>
      </w:r>
      <w:r>
        <w:rPr>
          <w:rFonts w:hint="eastAsia" w:ascii="仿宋_GB2312" w:hAnsi="仿宋_GB2312" w:eastAsia="仿宋_GB2312" w:cs="仿宋_GB2312"/>
          <w:b/>
          <w:kern w:val="0"/>
          <w:sz w:val="18"/>
          <w:szCs w:val="18"/>
          <w:u w:val="single"/>
        </w:rPr>
        <w:t>图纸；</w:t>
      </w:r>
    </w:p>
    <w:p w14:paraId="696AE35F">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（8）</w:t>
      </w:r>
      <w:r>
        <w:rPr>
          <w:rFonts w:hint="eastAsia" w:ascii="仿宋_GB2312" w:hAnsi="仿宋_GB2312" w:eastAsia="仿宋_GB2312" w:cs="仿宋_GB2312"/>
          <w:b/>
          <w:kern w:val="0"/>
          <w:sz w:val="18"/>
          <w:szCs w:val="18"/>
          <w:u w:val="single"/>
        </w:rPr>
        <w:t>已标价工程量清单或预算书</w:t>
      </w:r>
      <w:r>
        <w:rPr>
          <w:rFonts w:hint="eastAsia" w:ascii="仿宋_GB2312" w:hAnsi="仿宋_GB2312" w:eastAsia="仿宋_GB2312" w:cs="仿宋_GB2312"/>
          <w:b/>
          <w:kern w:val="0"/>
          <w:sz w:val="18"/>
          <w:szCs w:val="18"/>
        </w:rPr>
        <w:t>；</w:t>
      </w:r>
    </w:p>
    <w:p w14:paraId="7E3BF768">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（9）</w:t>
      </w:r>
      <w:r>
        <w:rPr>
          <w:rFonts w:hint="eastAsia" w:ascii="仿宋_GB2312" w:hAnsi="仿宋_GB2312" w:eastAsia="仿宋_GB2312" w:cs="仿宋_GB2312"/>
          <w:b/>
          <w:kern w:val="0"/>
          <w:sz w:val="18"/>
          <w:szCs w:val="18"/>
          <w:u w:val="single"/>
        </w:rPr>
        <w:t>其他合同文件</w:t>
      </w:r>
      <w:r>
        <w:rPr>
          <w:rFonts w:hint="eastAsia" w:ascii="仿宋_GB2312" w:hAnsi="仿宋_GB2312" w:eastAsia="仿宋_GB2312" w:cs="仿宋_GB2312"/>
          <w:b/>
          <w:kern w:val="0"/>
          <w:sz w:val="18"/>
          <w:szCs w:val="18"/>
        </w:rPr>
        <w:t>：</w:t>
      </w:r>
    </w:p>
    <w:p w14:paraId="2DECB171">
      <w:pPr>
        <w:ind w:firstLine="358" w:firstLineChars="198"/>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rPr>
        <w:t xml:space="preserve"> ①</w:t>
      </w:r>
      <w:r>
        <w:rPr>
          <w:rFonts w:hint="eastAsia" w:ascii="仿宋_GB2312" w:hAnsi="仿宋_GB2312" w:eastAsia="仿宋_GB2312" w:cs="仿宋_GB2312"/>
          <w:b/>
          <w:kern w:val="0"/>
          <w:sz w:val="18"/>
          <w:szCs w:val="18"/>
          <w:u w:val="single"/>
        </w:rPr>
        <w:t>施工组织设计</w:t>
      </w:r>
      <w:r>
        <w:rPr>
          <w:rFonts w:hint="eastAsia" w:ascii="仿宋_GB2312" w:hAnsi="仿宋_GB2312" w:eastAsia="仿宋_GB2312" w:cs="仿宋_GB2312"/>
          <w:b/>
          <w:kern w:val="0"/>
          <w:sz w:val="18"/>
          <w:szCs w:val="18"/>
        </w:rPr>
        <w:t>；</w:t>
      </w:r>
    </w:p>
    <w:p w14:paraId="3D5B7FB8">
      <w:pPr>
        <w:ind w:firstLine="358" w:firstLineChars="198"/>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 xml:space="preserve"> ②</w:t>
      </w:r>
      <w:r>
        <w:rPr>
          <w:rFonts w:hint="eastAsia" w:ascii="仿宋_GB2312" w:hAnsi="仿宋_GB2312" w:eastAsia="仿宋_GB2312" w:cs="仿宋_GB2312"/>
          <w:b/>
          <w:kern w:val="0"/>
          <w:sz w:val="18"/>
          <w:szCs w:val="18"/>
          <w:u w:val="single"/>
        </w:rPr>
        <w:t>其他：发包人、承包人有关工程的洽商、工程变更、询标纪要等书面协议或文件及招标文件、补充招标文件等相关文件</w:t>
      </w:r>
      <w:r>
        <w:rPr>
          <w:rFonts w:hint="eastAsia" w:ascii="仿宋_GB2312" w:hAnsi="仿宋_GB2312" w:eastAsia="仿宋_GB2312" w:cs="仿宋_GB2312"/>
          <w:b/>
          <w:kern w:val="0"/>
          <w:sz w:val="18"/>
          <w:szCs w:val="18"/>
        </w:rPr>
        <w:t>。</w:t>
      </w:r>
    </w:p>
    <w:p w14:paraId="7CCD44DD">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 图纸和承包人文件</w:t>
      </w:r>
      <w:r>
        <w:rPr>
          <w:rFonts w:hint="eastAsia" w:ascii="仿宋_GB2312" w:hAnsi="仿宋_GB2312" w:eastAsia="仿宋_GB2312" w:cs="仿宋_GB2312"/>
          <w:color w:val="000000"/>
          <w:sz w:val="18"/>
          <w:szCs w:val="18"/>
        </w:rPr>
        <w:tab/>
      </w:r>
    </w:p>
    <w:p w14:paraId="24D3AE1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1.6.1 图纸的提供</w:t>
      </w:r>
    </w:p>
    <w:p w14:paraId="6B8FC62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发包人向承包人提供图纸的期限：</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本合同签订后十四天内</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28F60570">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发包人向承包人提供图纸的数量：</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肆套（包括制作竣工图的原始施工图），如承包人额外需要提供施工图纸的，则额外增加的施工图纸的制作费由承包人承担</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39B59F7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发包人向承包人提供图纸的内容：</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施工图（详见签收表）</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6F86E7A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承包人文件</w:t>
      </w:r>
    </w:p>
    <w:p w14:paraId="2A3A30D7">
      <w:pPr>
        <w:ind w:left="596" w:leftChars="284"/>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需要由承包人提供的文件，包括：</w:t>
      </w:r>
      <w:r>
        <w:rPr>
          <w:rFonts w:hint="eastAsia" w:ascii="仿宋_GB2312" w:hAnsi="仿宋_GB2312" w:eastAsia="仿宋_GB2312" w:cs="仿宋_GB2312"/>
          <w:kern w:val="0"/>
          <w:sz w:val="18"/>
          <w:szCs w:val="18"/>
          <w:u w:val="single"/>
        </w:rPr>
        <w:t>施工组织设计、进度计划、发包人和政府规定要求必须提供的其他文件</w:t>
      </w:r>
      <w:r>
        <w:rPr>
          <w:rFonts w:hint="eastAsia" w:ascii="仿宋_GB2312" w:hAnsi="仿宋_GB2312" w:eastAsia="仿宋_GB2312" w:cs="仿宋_GB2312"/>
          <w:color w:val="000000"/>
          <w:sz w:val="18"/>
          <w:szCs w:val="18"/>
        </w:rPr>
        <w:t>；</w:t>
      </w:r>
    </w:p>
    <w:p w14:paraId="2799C39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承包人提供的文件的期限为：</w:t>
      </w:r>
      <w:r>
        <w:rPr>
          <w:rFonts w:hint="eastAsia" w:ascii="仿宋_GB2312" w:hAnsi="仿宋_GB2312" w:eastAsia="仿宋_GB2312" w:cs="仿宋_GB2312"/>
          <w:sz w:val="18"/>
          <w:szCs w:val="18"/>
          <w:u w:val="single"/>
        </w:rPr>
        <w:t>发包人提出要求后7天内</w:t>
      </w:r>
      <w:r>
        <w:rPr>
          <w:rFonts w:hint="eastAsia" w:ascii="仿宋_GB2312" w:hAnsi="仿宋_GB2312" w:eastAsia="仿宋_GB2312" w:cs="仿宋_GB2312"/>
          <w:color w:val="000000"/>
          <w:sz w:val="18"/>
          <w:szCs w:val="18"/>
        </w:rPr>
        <w:t>；</w:t>
      </w:r>
    </w:p>
    <w:p w14:paraId="4507AC5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承包人提供的文件的数量为：</w:t>
      </w:r>
      <w:r>
        <w:rPr>
          <w:rFonts w:hint="eastAsia" w:ascii="仿宋_GB2312" w:hAnsi="仿宋_GB2312" w:eastAsia="仿宋_GB2312" w:cs="仿宋_GB2312"/>
          <w:sz w:val="18"/>
          <w:szCs w:val="18"/>
          <w:u w:val="single"/>
        </w:rPr>
        <w:t xml:space="preserve">双方协商确定       </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3B2804B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承包人提供的文件的形式为：</w:t>
      </w:r>
      <w:r>
        <w:rPr>
          <w:rFonts w:hint="eastAsia" w:ascii="仿宋_GB2312" w:hAnsi="仿宋_GB2312" w:eastAsia="仿宋_GB2312" w:cs="仿宋_GB2312"/>
          <w:sz w:val="18"/>
          <w:szCs w:val="18"/>
          <w:u w:val="single"/>
        </w:rPr>
        <w:t xml:space="preserve">按发包人要求      </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56302A30">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发包人审批承包人文件的期限：</w:t>
      </w:r>
      <w:r>
        <w:rPr>
          <w:rFonts w:hint="eastAsia" w:ascii="仿宋_GB2312" w:hAnsi="仿宋_GB2312" w:eastAsia="仿宋_GB2312" w:cs="仿宋_GB2312"/>
          <w:sz w:val="18"/>
          <w:szCs w:val="18"/>
          <w:u w:val="single"/>
        </w:rPr>
        <w:t xml:space="preserve">收到后7天内     </w:t>
      </w:r>
      <w:r>
        <w:rPr>
          <w:rFonts w:hint="eastAsia" w:ascii="仿宋_GB2312" w:hAnsi="仿宋_GB2312" w:eastAsia="仿宋_GB2312" w:cs="仿宋_GB2312"/>
          <w:color w:val="000000"/>
          <w:sz w:val="18"/>
          <w:szCs w:val="18"/>
        </w:rPr>
        <w:t>。</w:t>
      </w:r>
    </w:p>
    <w:p w14:paraId="4E8D9AC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现场图纸准备</w:t>
      </w:r>
    </w:p>
    <w:p w14:paraId="40F62DB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关于现场图纸准备的约定：</w:t>
      </w:r>
      <w:r>
        <w:rPr>
          <w:rFonts w:hint="eastAsia" w:ascii="仿宋_GB2312" w:hAnsi="仿宋_GB2312" w:eastAsia="仿宋_GB2312" w:cs="仿宋_GB2312"/>
          <w:sz w:val="18"/>
          <w:szCs w:val="18"/>
          <w:u w:val="single"/>
        </w:rPr>
        <w:t>发包人、监理人及有关人员进行工程检查时使用的图纸由承包人提供</w:t>
      </w:r>
      <w:r>
        <w:rPr>
          <w:rFonts w:hint="eastAsia" w:ascii="仿宋_GB2312" w:hAnsi="仿宋_GB2312" w:eastAsia="仿宋_GB2312" w:cs="仿宋_GB2312"/>
          <w:color w:val="000000"/>
          <w:sz w:val="18"/>
          <w:szCs w:val="18"/>
        </w:rPr>
        <w:t>。</w:t>
      </w:r>
    </w:p>
    <w:p w14:paraId="55B30AE8">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1.7 联络</w:t>
      </w:r>
    </w:p>
    <w:p w14:paraId="72C11477">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1.7.1发包人和承包人应当在</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叁</w:t>
      </w:r>
      <w:r>
        <w:rPr>
          <w:rFonts w:hint="eastAsia" w:ascii="仿宋_GB2312" w:hAnsi="仿宋_GB2312" w:eastAsia="仿宋_GB2312" w:cs="仿宋_GB2312"/>
          <w:color w:val="000000"/>
          <w:kern w:val="0"/>
          <w:sz w:val="18"/>
          <w:szCs w:val="18"/>
        </w:rPr>
        <w:t>天内将与合同有关的通知、批准、证明、证书、指示、指令、要求、请求、同意、意见、确定和决定等书面函件送达对方当事人。</w:t>
      </w:r>
    </w:p>
    <w:p w14:paraId="44454CE5">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1.7.2 发包人接收文件的地点：</w:t>
      </w:r>
      <w:r>
        <w:rPr>
          <w:rFonts w:hint="eastAsia" w:ascii="仿宋_GB2312" w:hAnsi="仿宋_GB2312" w:eastAsia="仿宋_GB2312" w:cs="仿宋_GB2312"/>
          <w:sz w:val="18"/>
          <w:szCs w:val="18"/>
          <w:u w:val="single"/>
        </w:rPr>
        <w:t>上城区</w:t>
      </w:r>
      <w:r>
        <w:rPr>
          <w:rFonts w:hint="eastAsia" w:ascii="仿宋_GB2312" w:hAnsi="仿宋_GB2312" w:eastAsia="仿宋_GB2312" w:cs="仿宋_GB2312"/>
          <w:sz w:val="18"/>
          <w:szCs w:val="18"/>
          <w:u w:val="single"/>
          <w:lang w:val="en-US" w:eastAsia="zh-CN"/>
        </w:rPr>
        <w:t>基础设施改善中心</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kern w:val="0"/>
          <w:sz w:val="18"/>
          <w:szCs w:val="18"/>
        </w:rPr>
        <w:t>；</w:t>
      </w:r>
    </w:p>
    <w:p w14:paraId="487CCA79">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发包人指定的接收人为：</w:t>
      </w:r>
      <w:r>
        <w:rPr>
          <w:rFonts w:hint="eastAsia" w:ascii="仿宋_GB2312" w:hAnsi="仿宋_GB2312" w:eastAsia="仿宋_GB2312" w:cs="仿宋_GB2312"/>
          <w:color w:val="000000"/>
          <w:sz w:val="18"/>
          <w:szCs w:val="18"/>
          <w:u w:val="single"/>
        </w:rPr>
        <w:t>项目负责人（具体名字）   </w:t>
      </w:r>
      <w:r>
        <w:rPr>
          <w:rFonts w:hint="eastAsia" w:ascii="仿宋_GB2312" w:hAnsi="仿宋_GB2312" w:eastAsia="仿宋_GB2312" w:cs="仿宋_GB2312"/>
          <w:color w:val="000000"/>
          <w:kern w:val="0"/>
          <w:sz w:val="18"/>
          <w:szCs w:val="18"/>
        </w:rPr>
        <w:t>。</w:t>
      </w:r>
    </w:p>
    <w:p w14:paraId="327D9E0E">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承包人接收文件的地点：</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kern w:val="0"/>
          <w:sz w:val="18"/>
          <w:szCs w:val="18"/>
          <w:u w:val="single"/>
        </w:rPr>
        <w:t>承包人现场办公室</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kern w:val="0"/>
          <w:sz w:val="18"/>
          <w:szCs w:val="18"/>
        </w:rPr>
        <w:t>；</w:t>
      </w:r>
    </w:p>
    <w:p w14:paraId="32834446">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承包人指定的接收人为：</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待定   （写名字）</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kern w:val="0"/>
          <w:sz w:val="18"/>
          <w:szCs w:val="18"/>
        </w:rPr>
        <w:t>。</w:t>
      </w:r>
    </w:p>
    <w:p w14:paraId="547C25F7">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监理人接收文件的地点：</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监理人现场办公室</w:t>
      </w:r>
      <w:r>
        <w:rPr>
          <w:rFonts w:hint="eastAsia" w:ascii="仿宋_GB2312" w:hAnsi="仿宋_GB2312" w:eastAsia="仿宋_GB2312" w:cs="仿宋_GB2312"/>
          <w:color w:val="000000"/>
          <w:sz w:val="18"/>
          <w:szCs w:val="18"/>
          <w:u w:val="single"/>
        </w:rPr>
        <w:t>     </w:t>
      </w:r>
      <w:r>
        <w:rPr>
          <w:rFonts w:hint="eastAsia" w:ascii="仿宋_GB2312" w:hAnsi="仿宋_GB2312" w:eastAsia="仿宋_GB2312" w:cs="仿宋_GB2312"/>
          <w:color w:val="000000"/>
          <w:kern w:val="0"/>
          <w:sz w:val="18"/>
          <w:szCs w:val="18"/>
        </w:rPr>
        <w:t>；</w:t>
      </w:r>
    </w:p>
    <w:p w14:paraId="00B46986">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监理人指定的接收人为：</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sz w:val="18"/>
          <w:szCs w:val="18"/>
          <w:u w:val="single"/>
        </w:rPr>
        <w:t>待定   （写名字）</w:t>
      </w:r>
      <w:r>
        <w:rPr>
          <w:rFonts w:hint="eastAsia" w:ascii="仿宋_GB2312" w:hAnsi="仿宋_GB2312" w:eastAsia="仿宋_GB2312" w:cs="仿宋_GB2312"/>
          <w:color w:val="000000"/>
          <w:sz w:val="18"/>
          <w:szCs w:val="18"/>
          <w:u w:val="single"/>
        </w:rPr>
        <w:t xml:space="preserve">    </w:t>
      </w:r>
      <w:r>
        <w:rPr>
          <w:rFonts w:hint="eastAsia" w:ascii="仿宋_GB2312" w:hAnsi="仿宋_GB2312" w:eastAsia="仿宋_GB2312" w:cs="仿宋_GB2312"/>
          <w:color w:val="000000"/>
          <w:kern w:val="0"/>
          <w:sz w:val="18"/>
          <w:szCs w:val="18"/>
        </w:rPr>
        <w:t>。</w:t>
      </w:r>
    </w:p>
    <w:p w14:paraId="25D28717">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8</w:t>
      </w:r>
      <w:r>
        <w:rPr>
          <w:rFonts w:hint="eastAsia" w:ascii="仿宋_GB2312" w:hAnsi="仿宋_GB2312" w:eastAsia="仿宋_GB2312" w:cs="仿宋_GB2312"/>
          <w:color w:val="000000"/>
          <w:sz w:val="18"/>
          <w:szCs w:val="18"/>
        </w:rPr>
        <w:t xml:space="preserve"> 交通运输</w:t>
      </w:r>
    </w:p>
    <w:p w14:paraId="573EB6AD">
      <w:pPr>
        <w:ind w:firstLine="360" w:firstLineChars="200"/>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t>1</w:t>
      </w:r>
      <w:bookmarkStart w:id="867" w:name="_Toc304295521"/>
      <w:bookmarkStart w:id="868" w:name="_Toc303539100"/>
      <w:bookmarkStart w:id="869" w:name="_Toc318581155"/>
      <w:bookmarkStart w:id="870" w:name="_Toc312677986"/>
      <w:bookmarkStart w:id="871" w:name="_Toc300934943"/>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.1 出入现场的权利</w:t>
      </w:r>
    </w:p>
    <w:p w14:paraId="1CC13DAC">
      <w:pPr>
        <w:ind w:left="596" w:leftChars="284"/>
        <w:rPr>
          <w:rFonts w:ascii="仿宋_GB2312" w:hAnsi="仿宋_GB2312" w:eastAsia="仿宋_GB2312" w:cs="仿宋_GB2312"/>
          <w:color w:val="000000"/>
          <w:sz w:val="18"/>
          <w:szCs w:val="18"/>
          <w:u w:val="single"/>
        </w:rPr>
      </w:pPr>
      <w:r>
        <w:rPr>
          <w:rFonts w:hint="eastAsia" w:ascii="仿宋_GB2312" w:hAnsi="仿宋_GB2312" w:eastAsia="仿宋_GB2312" w:cs="仿宋_GB2312"/>
          <w:sz w:val="18"/>
          <w:szCs w:val="18"/>
        </w:rPr>
        <w:t>关于出入现场的权利的约定：</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sz w:val="18"/>
          <w:szCs w:val="18"/>
        </w:rPr>
        <w:t>。</w:t>
      </w:r>
    </w:p>
    <w:bookmarkEnd w:id="867"/>
    <w:bookmarkEnd w:id="868"/>
    <w:bookmarkEnd w:id="869"/>
    <w:bookmarkEnd w:id="870"/>
    <w:bookmarkEnd w:id="871"/>
    <w:p w14:paraId="347510E2">
      <w:pPr>
        <w:ind w:firstLine="360" w:firstLineChars="200"/>
        <w:jc w:val="left"/>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t>1</w:t>
      </w:r>
      <w:bookmarkStart w:id="872" w:name="_Toc304295522"/>
      <w:bookmarkStart w:id="873" w:name="_Toc312677987"/>
      <w:bookmarkStart w:id="874" w:name="_Toc303539101"/>
      <w:bookmarkStart w:id="875" w:name="_Toc318581156"/>
      <w:bookmarkStart w:id="876" w:name="_Toc300934944"/>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 xml:space="preserve"> 场内交通</w:t>
      </w:r>
    </w:p>
    <w:p w14:paraId="12E6307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关于场外交通和场内交通的边界的约定：</w:t>
      </w:r>
      <w:r>
        <w:rPr>
          <w:rFonts w:hint="eastAsia" w:ascii="仿宋_GB2312" w:hAnsi="仿宋_GB2312" w:eastAsia="仿宋_GB2312" w:cs="仿宋_GB2312"/>
          <w:kern w:val="0"/>
          <w:sz w:val="18"/>
          <w:szCs w:val="18"/>
          <w:u w:val="single"/>
        </w:rPr>
        <w:t>以施工现场围墙（挡）为界</w:t>
      </w:r>
      <w:r>
        <w:rPr>
          <w:rFonts w:hint="eastAsia" w:ascii="仿宋_GB2312" w:hAnsi="仿宋_GB2312" w:eastAsia="仿宋_GB2312" w:cs="仿宋_GB2312"/>
          <w:sz w:val="18"/>
          <w:szCs w:val="18"/>
        </w:rPr>
        <w:t>。</w:t>
      </w:r>
    </w:p>
    <w:p w14:paraId="4E9FE811">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关于发包人向承包人免费提供满足工程施工需要的场内道路和交通设施的约定：</w:t>
      </w:r>
      <w:r>
        <w:rPr>
          <w:rFonts w:hint="eastAsia" w:ascii="仿宋_GB2312" w:hAnsi="仿宋_GB2312" w:eastAsia="仿宋_GB2312" w:cs="仿宋_GB2312"/>
          <w:sz w:val="18"/>
          <w:szCs w:val="18"/>
          <w:u w:val="single"/>
        </w:rPr>
        <w:t>利用现有的场内道路和交通设施，如需新建，承包人自行建设，并承担费用</w:t>
      </w:r>
      <w:r>
        <w:rPr>
          <w:rFonts w:hint="eastAsia" w:ascii="仿宋_GB2312" w:hAnsi="仿宋_GB2312" w:eastAsia="仿宋_GB2312" w:cs="仿宋_GB2312"/>
          <w:sz w:val="18"/>
          <w:szCs w:val="18"/>
        </w:rPr>
        <w:t>。</w:t>
      </w:r>
      <w:bookmarkEnd w:id="872"/>
      <w:bookmarkEnd w:id="873"/>
      <w:bookmarkEnd w:id="874"/>
      <w:bookmarkEnd w:id="875"/>
      <w:bookmarkEnd w:id="876"/>
      <w:bookmarkStart w:id="877" w:name="_Toc318581157"/>
    </w:p>
    <w:p w14:paraId="5C08C8BF">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 xml:space="preserve">8.3 </w:t>
      </w:r>
      <w:r>
        <w:rPr>
          <w:rFonts w:hint="eastAsia" w:ascii="仿宋_GB2312" w:hAnsi="仿宋_GB2312" w:eastAsia="仿宋_GB2312" w:cs="仿宋_GB2312"/>
          <w:sz w:val="18"/>
          <w:szCs w:val="18"/>
        </w:rPr>
        <w:t>超大件和超重件的运输</w:t>
      </w:r>
    </w:p>
    <w:p w14:paraId="22D6D39D">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运输超大件或超重件所需的道路和桥梁临时加固改造费用和其他有关费用由</w:t>
      </w:r>
      <w:r>
        <w:rPr>
          <w:rFonts w:hint="eastAsia" w:ascii="仿宋_GB2312" w:hAnsi="仿宋_GB2312" w:eastAsia="仿宋_GB2312" w:cs="仿宋_GB2312"/>
          <w:sz w:val="18"/>
          <w:szCs w:val="18"/>
          <w:u w:val="single"/>
        </w:rPr>
        <w:t xml:space="preserve">   承包人  </w:t>
      </w:r>
      <w:r>
        <w:rPr>
          <w:rFonts w:hint="eastAsia" w:ascii="仿宋_GB2312" w:hAnsi="仿宋_GB2312" w:eastAsia="仿宋_GB2312" w:cs="仿宋_GB2312"/>
          <w:sz w:val="18"/>
          <w:szCs w:val="18"/>
        </w:rPr>
        <w:t>承担。</w:t>
      </w:r>
    </w:p>
    <w:p w14:paraId="680F1ADF">
      <w:pPr>
        <w:ind w:firstLine="361" w:firstLineChars="200"/>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本工程的超大件：</w:t>
      </w:r>
      <w:r>
        <w:rPr>
          <w:rFonts w:hint="eastAsia" w:ascii="仿宋_GB2312" w:hAnsi="仿宋_GB2312" w:eastAsia="仿宋_GB2312" w:cs="仿宋_GB2312"/>
          <w:b/>
          <w:sz w:val="18"/>
          <w:szCs w:val="18"/>
          <w:u w:val="single"/>
        </w:rPr>
        <w:t xml:space="preserve"> 见设计施工图                       </w:t>
      </w:r>
      <w:r>
        <w:rPr>
          <w:rFonts w:hint="eastAsia" w:ascii="仿宋_GB2312" w:hAnsi="仿宋_GB2312" w:eastAsia="仿宋_GB2312" w:cs="仿宋_GB2312"/>
          <w:b/>
          <w:sz w:val="18"/>
          <w:szCs w:val="18"/>
        </w:rPr>
        <w:t>。</w:t>
      </w:r>
    </w:p>
    <w:p w14:paraId="405205B0">
      <w:pPr>
        <w:ind w:firstLine="361" w:firstLineChars="200"/>
        <w:jc w:val="left"/>
        <w:rPr>
          <w:rFonts w:ascii="仿宋_GB2312" w:hAnsi="仿宋_GB2312" w:eastAsia="仿宋_GB2312" w:cs="仿宋_GB2312"/>
          <w:sz w:val="18"/>
          <w:szCs w:val="18"/>
        </w:rPr>
      </w:pPr>
      <w:r>
        <w:rPr>
          <w:rFonts w:hint="eastAsia" w:ascii="仿宋_GB2312" w:hAnsi="仿宋_GB2312" w:eastAsia="仿宋_GB2312" w:cs="仿宋_GB2312"/>
          <w:b/>
          <w:sz w:val="18"/>
          <w:szCs w:val="18"/>
        </w:rPr>
        <w:t>本工程的超重件：</w:t>
      </w:r>
      <w:r>
        <w:rPr>
          <w:rFonts w:hint="eastAsia" w:ascii="仿宋_GB2312" w:hAnsi="仿宋_GB2312" w:eastAsia="仿宋_GB2312" w:cs="仿宋_GB2312"/>
          <w:b/>
          <w:sz w:val="18"/>
          <w:szCs w:val="18"/>
          <w:u w:val="single"/>
        </w:rPr>
        <w:t xml:space="preserve"> 见设计施工图</w:t>
      </w:r>
      <w:r>
        <w:rPr>
          <w:rFonts w:hint="eastAsia" w:ascii="仿宋_GB2312" w:hAnsi="仿宋_GB2312" w:eastAsia="仿宋_GB2312" w:cs="仿宋_GB2312"/>
          <w:sz w:val="18"/>
          <w:szCs w:val="18"/>
        </w:rPr>
        <w:t>。</w:t>
      </w:r>
    </w:p>
    <w:bookmarkEnd w:id="877"/>
    <w:p w14:paraId="44AD43DC">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9</w:t>
      </w:r>
      <w:r>
        <w:rPr>
          <w:rFonts w:hint="eastAsia" w:ascii="仿宋_GB2312" w:hAnsi="仿宋_GB2312" w:eastAsia="仿宋_GB2312" w:cs="仿宋_GB2312"/>
          <w:color w:val="000000"/>
          <w:sz w:val="18"/>
          <w:szCs w:val="18"/>
        </w:rPr>
        <w:t xml:space="preserve"> 知识产权</w:t>
      </w:r>
    </w:p>
    <w:p w14:paraId="41B62650">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9</w:t>
      </w:r>
      <w:r>
        <w:rPr>
          <w:rFonts w:hint="eastAsia" w:ascii="仿宋_GB2312" w:hAnsi="仿宋_GB2312" w:eastAsia="仿宋_GB2312" w:cs="仿宋_GB2312"/>
          <w:color w:val="000000"/>
          <w:sz w:val="18"/>
          <w:szCs w:val="18"/>
        </w:rPr>
        <w:t>.1关于发包人提供给承包人的图纸、发包人为实施工程自行编制或委托编制的技术规范以及反映发包人关于合同要求或其他类似性质的文件的著作权的归属：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46C47C3D">
      <w:pPr>
        <w:ind w:left="596" w:leftChars="284"/>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关于发包人提供的上述文件的使用限制的要求：</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2F72057F">
      <w:pPr>
        <w:ind w:left="0" w:leftChars="0"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9</w:t>
      </w:r>
      <w:r>
        <w:rPr>
          <w:rFonts w:hint="eastAsia" w:ascii="仿宋_GB2312" w:hAnsi="仿宋_GB2312" w:eastAsia="仿宋_GB2312" w:cs="仿宋_GB2312"/>
          <w:color w:val="000000"/>
          <w:sz w:val="18"/>
          <w:szCs w:val="18"/>
        </w:rPr>
        <w:t>.2 关于承包人为实施工程所编制文件的著作权的归属：</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3896EB7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关于承包人提供的上述文件的使用限制的要求：</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627592AF">
      <w:pPr>
        <w:ind w:firstLine="360" w:firstLineChars="200"/>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9</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承包人在施工过程中所采用的专利、专有技术、技术秘密的使用费的承担方式：</w:t>
      </w:r>
      <w:r>
        <w:rPr>
          <w:rFonts w:hint="eastAsia" w:ascii="仿宋_GB2312" w:hAnsi="仿宋_GB2312" w:eastAsia="仿宋_GB2312" w:cs="仿宋_GB2312"/>
          <w:b/>
          <w:sz w:val="18"/>
          <w:szCs w:val="18"/>
          <w:u w:val="single"/>
        </w:rPr>
        <w:t xml:space="preserve">（除发包人指明外）承包人在施工过程中所采用的专利、专有技术、技术秘密的使用费包含在合同价款内  </w:t>
      </w:r>
      <w:r>
        <w:rPr>
          <w:rFonts w:hint="eastAsia" w:ascii="仿宋_GB2312" w:hAnsi="仿宋_GB2312" w:eastAsia="仿宋_GB2312" w:cs="仿宋_GB2312"/>
          <w:color w:val="000000"/>
          <w:kern w:val="0"/>
          <w:sz w:val="18"/>
          <w:szCs w:val="18"/>
        </w:rPr>
        <w:t>。</w:t>
      </w:r>
    </w:p>
    <w:p w14:paraId="6690BAA3">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10</w:t>
      </w:r>
      <w:r>
        <w:rPr>
          <w:rFonts w:hint="eastAsia" w:ascii="仿宋_GB2312" w:hAnsi="仿宋_GB2312" w:eastAsia="仿宋_GB2312" w:cs="仿宋_GB2312"/>
          <w:color w:val="000000"/>
          <w:sz w:val="18"/>
          <w:szCs w:val="18"/>
        </w:rPr>
        <w:t>工程量清单错误的修正</w:t>
      </w:r>
    </w:p>
    <w:p w14:paraId="5C377C1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出现工程量清单错误时，是否调整合同价格：</w:t>
      </w:r>
      <w:r>
        <w:rPr>
          <w:rFonts w:hint="eastAsia" w:ascii="仿宋_GB2312" w:hAnsi="仿宋_GB2312" w:eastAsia="仿宋_GB2312" w:cs="仿宋_GB2312"/>
          <w:color w:val="000000"/>
          <w:sz w:val="18"/>
          <w:szCs w:val="18"/>
          <w:u w:val="single"/>
        </w:rPr>
        <w:t xml:space="preserve">      是      </w:t>
      </w:r>
      <w:r>
        <w:rPr>
          <w:rFonts w:hint="eastAsia" w:ascii="仿宋_GB2312" w:hAnsi="仿宋_GB2312" w:eastAsia="仿宋_GB2312" w:cs="仿宋_GB2312"/>
          <w:color w:val="000000"/>
          <w:kern w:val="0"/>
          <w:sz w:val="18"/>
          <w:szCs w:val="18"/>
        </w:rPr>
        <w:t>。</w:t>
      </w:r>
    </w:p>
    <w:p w14:paraId="21023111">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允许调整合同价格的工程量偏差范围：</w:t>
      </w:r>
      <w:r>
        <w:rPr>
          <w:rFonts w:hint="eastAsia" w:ascii="仿宋_GB2312" w:hAnsi="仿宋_GB2312" w:eastAsia="仿宋_GB2312" w:cs="仿宋_GB2312"/>
          <w:sz w:val="18"/>
          <w:szCs w:val="18"/>
          <w:u w:val="single"/>
        </w:rPr>
        <w:t>按10.4条执行</w:t>
      </w:r>
      <w:r>
        <w:rPr>
          <w:rFonts w:hint="eastAsia" w:ascii="仿宋_GB2312" w:hAnsi="仿宋_GB2312" w:eastAsia="仿宋_GB2312" w:cs="仿宋_GB2312"/>
          <w:color w:val="000000"/>
          <w:kern w:val="0"/>
          <w:sz w:val="18"/>
          <w:szCs w:val="18"/>
        </w:rPr>
        <w:t>。</w:t>
      </w:r>
    </w:p>
    <w:p w14:paraId="57E73E30">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bCs/>
          <w:sz w:val="18"/>
          <w:szCs w:val="18"/>
        </w:rPr>
        <w:t>调整合同价格的</w:t>
      </w:r>
      <w:r>
        <w:rPr>
          <w:rFonts w:hint="eastAsia" w:ascii="仿宋_GB2312" w:hAnsi="仿宋_GB2312" w:eastAsia="仿宋_GB2312" w:cs="仿宋_GB2312"/>
          <w:b/>
          <w:bCs/>
          <w:kern w:val="0"/>
          <w:sz w:val="18"/>
          <w:szCs w:val="18"/>
        </w:rPr>
        <w:t>修正时间：</w:t>
      </w:r>
      <w:r>
        <w:rPr>
          <w:rFonts w:hint="eastAsia" w:ascii="仿宋_GB2312" w:hAnsi="仿宋_GB2312" w:eastAsia="仿宋_GB2312" w:cs="仿宋_GB2312"/>
          <w:sz w:val="18"/>
          <w:szCs w:val="18"/>
          <w:u w:val="single"/>
        </w:rPr>
        <w:t>发生时双方协商确定</w:t>
      </w:r>
      <w:r>
        <w:rPr>
          <w:rFonts w:hint="eastAsia" w:ascii="仿宋_GB2312" w:hAnsi="仿宋_GB2312" w:eastAsia="仿宋_GB2312" w:cs="仿宋_GB2312"/>
          <w:bCs/>
          <w:sz w:val="18"/>
          <w:szCs w:val="18"/>
        </w:rPr>
        <w:t xml:space="preserve">。 </w:t>
      </w:r>
    </w:p>
    <w:p w14:paraId="6D41BF32">
      <w:pPr>
        <w:pStyle w:val="5"/>
        <w:numPr>
          <w:ilvl w:val="0"/>
          <w:numId w:val="2"/>
        </w:numPr>
        <w:spacing w:before="120" w:after="120" w:line="240" w:lineRule="auto"/>
        <w:rPr>
          <w:rFonts w:hint="eastAsia" w:ascii="仿宋_GB2312" w:hAnsi="仿宋_GB2312" w:eastAsia="仿宋_GB2312" w:cs="仿宋_GB2312"/>
          <w:b w:val="0"/>
          <w:color w:val="000000"/>
          <w:sz w:val="18"/>
          <w:szCs w:val="18"/>
        </w:rPr>
      </w:pPr>
      <w:bookmarkStart w:id="878" w:name="_Toc351203634"/>
      <w:bookmarkStart w:id="879" w:name="_Toc292559362"/>
      <w:bookmarkStart w:id="880" w:name="_Toc296944496"/>
      <w:bookmarkStart w:id="881" w:name="_Toc296346658"/>
      <w:bookmarkStart w:id="882" w:name="_Toc296347156"/>
      <w:bookmarkStart w:id="883" w:name="_Toc296890985"/>
      <w:bookmarkStart w:id="884" w:name="_Toc296503157"/>
      <w:bookmarkStart w:id="885" w:name="_Toc297048343"/>
      <w:bookmarkStart w:id="886" w:name="_Toc292559867"/>
      <w:bookmarkStart w:id="887" w:name="_Toc297120457"/>
      <w:bookmarkStart w:id="888" w:name="_Toc296891197"/>
      <w:r>
        <w:rPr>
          <w:rFonts w:hint="eastAsia" w:ascii="仿宋_GB2312" w:hAnsi="仿宋_GB2312" w:eastAsia="仿宋_GB2312" w:cs="仿宋_GB2312"/>
          <w:b w:val="0"/>
          <w:color w:val="000000"/>
          <w:sz w:val="18"/>
          <w:szCs w:val="18"/>
        </w:rPr>
        <w:t>发包人</w:t>
      </w:r>
      <w:bookmarkEnd w:id="878"/>
    </w:p>
    <w:p w14:paraId="003DA17E">
      <w:pPr>
        <w:ind w:firstLine="361" w:firstLineChars="200"/>
        <w:rPr>
          <w:rFonts w:hint="eastAsia" w:ascii="仿宋_GB2312" w:hAnsi="仿宋_GB2312" w:eastAsia="仿宋_GB2312" w:cs="仿宋_GB2312"/>
          <w:b/>
          <w:bCs/>
          <w:color w:val="000000"/>
          <w:sz w:val="18"/>
          <w:szCs w:val="18"/>
          <w:highlight w:val="yellow"/>
          <w:u w:val="single"/>
        </w:rPr>
      </w:pPr>
      <w:r>
        <w:rPr>
          <w:rFonts w:hint="eastAsia" w:ascii="仿宋_GB2312" w:hAnsi="仿宋_GB2312" w:eastAsia="仿宋_GB2312" w:cs="仿宋_GB2312"/>
          <w:b/>
          <w:bCs/>
          <w:i w:val="0"/>
          <w:iCs w:val="0"/>
          <w:caps w:val="0"/>
          <w:color w:val="000000"/>
          <w:spacing w:val="0"/>
          <w:sz w:val="18"/>
          <w:szCs w:val="18"/>
          <w:highlight w:val="yellow"/>
          <w:u w:val="single"/>
          <w:shd w:val="clear" w:fill="auto"/>
        </w:rPr>
        <w:t>发包人有权开展现场检查，督促承包人落实规范垃圾处置合同分包、车辆装载、车辆冲洗和规范消纳等措施。</w:t>
      </w:r>
    </w:p>
    <w:bookmarkEnd w:id="879"/>
    <w:bookmarkEnd w:id="880"/>
    <w:bookmarkEnd w:id="881"/>
    <w:bookmarkEnd w:id="882"/>
    <w:bookmarkEnd w:id="883"/>
    <w:bookmarkEnd w:id="884"/>
    <w:bookmarkEnd w:id="885"/>
    <w:bookmarkEnd w:id="886"/>
    <w:bookmarkEnd w:id="887"/>
    <w:bookmarkEnd w:id="888"/>
    <w:p w14:paraId="3436A794">
      <w:pPr>
        <w:pStyle w:val="6"/>
        <w:spacing w:before="120" w:after="120"/>
        <w:ind w:left="0" w:firstLine="361" w:firstLineChars="200"/>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 xml:space="preserve"> </w:t>
      </w:r>
      <w:r>
        <w:rPr>
          <w:rFonts w:hint="eastAsia" w:ascii="仿宋_GB2312" w:hAnsi="仿宋_GB2312" w:eastAsia="仿宋_GB2312" w:cs="仿宋_GB2312"/>
          <w:b w:val="0"/>
          <w:color w:val="000000"/>
          <w:sz w:val="18"/>
          <w:szCs w:val="18"/>
        </w:rPr>
        <w:t>发包人代表</w:t>
      </w:r>
      <w:r>
        <w:rPr>
          <w:rFonts w:hint="eastAsia" w:ascii="仿宋_GB2312" w:hAnsi="仿宋_GB2312" w:eastAsia="仿宋_GB2312" w:cs="仿宋_GB2312"/>
          <w:b w:val="0"/>
          <w:sz w:val="18"/>
          <w:szCs w:val="18"/>
        </w:rPr>
        <w:t>（按各项目负责人填写）</w:t>
      </w:r>
    </w:p>
    <w:p w14:paraId="081DF39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发包人代表：</w:t>
      </w:r>
    </w:p>
    <w:p w14:paraId="79D1FD4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    名：</w:t>
      </w:r>
      <w:r>
        <w:rPr>
          <w:rFonts w:hint="eastAsia" w:ascii="仿宋_GB2312" w:hAnsi="仿宋_GB2312" w:eastAsia="仿宋_GB2312" w:cs="仿宋_GB2312"/>
          <w:color w:val="000000"/>
          <w:sz w:val="18"/>
          <w:szCs w:val="18"/>
          <w:u w:val="single"/>
        </w:rPr>
        <w:t>     </w:t>
      </w:r>
      <w:r>
        <w:rPr>
          <w:rFonts w:hint="eastAsia" w:ascii="仿宋_GB2312" w:hAnsi="仿宋_GB2312" w:eastAsia="仿宋_GB2312" w:cs="仿宋_GB2312"/>
          <w:color w:val="000000"/>
          <w:sz w:val="18"/>
          <w:szCs w:val="18"/>
        </w:rPr>
        <w:t>；</w:t>
      </w:r>
    </w:p>
    <w:p w14:paraId="1374435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w:t>
      </w:r>
      <w:r>
        <w:rPr>
          <w:rFonts w:hint="eastAsia" w:ascii="仿宋_GB2312" w:hAnsi="仿宋_GB2312" w:eastAsia="仿宋_GB2312" w:cs="仿宋_GB2312"/>
          <w:color w:val="000000"/>
          <w:sz w:val="18"/>
          <w:szCs w:val="18"/>
          <w:u w:val="single"/>
        </w:rPr>
        <w:t>      </w:t>
      </w:r>
      <w:r>
        <w:rPr>
          <w:rFonts w:hint="eastAsia" w:ascii="仿宋_GB2312" w:hAnsi="仿宋_GB2312" w:eastAsia="仿宋_GB2312" w:cs="仿宋_GB2312"/>
          <w:color w:val="000000"/>
          <w:sz w:val="18"/>
          <w:szCs w:val="18"/>
        </w:rPr>
        <w:t>；</w:t>
      </w:r>
    </w:p>
    <w:p w14:paraId="5BB91DD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    务：</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4B70183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r>
        <w:rPr>
          <w:rFonts w:hint="eastAsia" w:ascii="仿宋_GB2312" w:hAnsi="仿宋_GB2312" w:eastAsia="仿宋_GB2312" w:cs="仿宋_GB2312"/>
          <w:color w:val="000000"/>
          <w:sz w:val="18"/>
          <w:szCs w:val="18"/>
          <w:u w:val="single"/>
        </w:rPr>
        <w:t>     </w:t>
      </w:r>
      <w:r>
        <w:rPr>
          <w:rFonts w:hint="eastAsia" w:ascii="仿宋_GB2312" w:hAnsi="仿宋_GB2312" w:eastAsia="仿宋_GB2312" w:cs="仿宋_GB2312"/>
          <w:color w:val="000000"/>
          <w:sz w:val="18"/>
          <w:szCs w:val="18"/>
        </w:rPr>
        <w:t>；</w:t>
      </w:r>
    </w:p>
    <w:p w14:paraId="084B908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电子信箱：</w:t>
      </w:r>
      <w:r>
        <w:rPr>
          <w:rFonts w:hint="eastAsia" w:ascii="仿宋_GB2312" w:hAnsi="仿宋_GB2312" w:eastAsia="仿宋_GB2312" w:cs="仿宋_GB2312"/>
          <w:color w:val="000000"/>
          <w:sz w:val="18"/>
          <w:szCs w:val="18"/>
          <w:u w:val="single"/>
        </w:rPr>
        <w:t>     </w:t>
      </w:r>
      <w:r>
        <w:rPr>
          <w:rFonts w:hint="eastAsia" w:ascii="仿宋_GB2312" w:hAnsi="仿宋_GB2312" w:eastAsia="仿宋_GB2312" w:cs="仿宋_GB2312"/>
          <w:color w:val="000000"/>
          <w:sz w:val="18"/>
          <w:szCs w:val="18"/>
        </w:rPr>
        <w:t>；</w:t>
      </w:r>
    </w:p>
    <w:p w14:paraId="7D3E7076">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通信地址：</w:t>
      </w:r>
      <w:r>
        <w:rPr>
          <w:rFonts w:hint="eastAsia" w:ascii="仿宋_GB2312" w:hAnsi="仿宋_GB2312" w:eastAsia="仿宋_GB2312" w:cs="仿宋_GB2312"/>
          <w:sz w:val="18"/>
          <w:szCs w:val="18"/>
          <w:u w:val="single"/>
        </w:rPr>
        <w:t>杭州市上城区码头路8号</w:t>
      </w:r>
      <w:r>
        <w:rPr>
          <w:rFonts w:hint="eastAsia" w:ascii="仿宋_GB2312" w:hAnsi="仿宋_GB2312" w:eastAsia="仿宋_GB2312" w:cs="仿宋_GB2312"/>
          <w:color w:val="000000"/>
          <w:sz w:val="18"/>
          <w:szCs w:val="18"/>
        </w:rPr>
        <w:t>。</w:t>
      </w:r>
    </w:p>
    <w:p w14:paraId="084D00E3">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发包人对发包人代表的授权范围如下：</w:t>
      </w:r>
      <w:r>
        <w:rPr>
          <w:rFonts w:hint="eastAsia" w:ascii="仿宋_GB2312" w:hAnsi="仿宋_GB2312" w:eastAsia="仿宋_GB2312" w:cs="仿宋_GB2312"/>
          <w:b/>
          <w:bCs/>
          <w:color w:val="000000"/>
          <w:sz w:val="18"/>
          <w:szCs w:val="18"/>
          <w:u w:val="single"/>
        </w:rPr>
        <w:t>对质量、成本、安全、进度进行全面管理，涉及合同价格变更、安全事故、质量事故等重大事项的处理须经发包人领导班子签字同意</w:t>
      </w:r>
      <w:r>
        <w:rPr>
          <w:rFonts w:hint="eastAsia" w:ascii="仿宋_GB2312" w:hAnsi="仿宋_GB2312" w:eastAsia="仿宋_GB2312" w:cs="仿宋_GB2312"/>
          <w:color w:val="000000"/>
          <w:sz w:val="18"/>
          <w:szCs w:val="18"/>
          <w:u w:val="single"/>
        </w:rPr>
        <w:t>。</w:t>
      </w:r>
    </w:p>
    <w:p w14:paraId="78BA5970">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u w:val="single"/>
        </w:rPr>
        <w:t>（1）督促承包人按照合同约定的工期、施工进度、施工图纸、质量技术标准、施工工艺、安全与环保生产条件、劳工保护规定等进行施工,发出指令，代表发包人检查工程进度、参与材料与设备的验收，对承包人的违反合同约定或法律法规规定的行为发出工程变更联系单，对工程涉及的设计、工艺等问题提出处理建议。</w:t>
      </w:r>
    </w:p>
    <w:p w14:paraId="15A61C41">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u w:val="single"/>
        </w:rPr>
        <w:t>（2）代为签收承包人、项目经理送达的工程变更联系单或者文件。</w:t>
      </w:r>
    </w:p>
    <w:p w14:paraId="632525FD">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u w:val="single"/>
        </w:rPr>
        <w:t>（3）代表发包人检查工程质量、监督工程施工安全，处理工程中涉及质量、安全的有关问题，并就质量、安全等方面发出指令。代表发包人参与基础工程、中间工程、隐蔽工程、整体工程施工质量的验收。</w:t>
      </w:r>
    </w:p>
    <w:p w14:paraId="578D9959">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u w:val="single"/>
        </w:rPr>
        <w:t>（4）有关确认工期延长、增加工程价款的工程变更联系单或其他文件，同意豁免承包人任何经济责任、违约责任的工程变更联系单或其他文件，暂停或终止施工的工程变更联系单或其他文件，对合同条款的实质性变更文件，均必须由发包人、</w:t>
      </w:r>
      <w:r>
        <w:rPr>
          <w:rFonts w:hint="eastAsia" w:ascii="仿宋_GB2312" w:hAnsi="仿宋_GB2312" w:eastAsia="仿宋_GB2312" w:cs="仿宋_GB2312"/>
          <w:b/>
          <w:bCs/>
          <w:color w:val="000000"/>
          <w:sz w:val="18"/>
          <w:szCs w:val="18"/>
          <w:u w:val="single"/>
        </w:rPr>
        <w:t>代建方工程师签字并加盖发包人、代建方公章后方能生效</w:t>
      </w:r>
      <w:r>
        <w:rPr>
          <w:rFonts w:hint="eastAsia" w:ascii="仿宋_GB2312" w:hAnsi="仿宋_GB2312" w:eastAsia="仿宋_GB2312" w:cs="仿宋_GB2312"/>
          <w:color w:val="000000"/>
          <w:sz w:val="18"/>
          <w:szCs w:val="18"/>
          <w:u w:val="single"/>
        </w:rPr>
        <w:t>，否则无效，且不能作为竣工结算的有效依据，即使承包人已经送达或者发包人委派的工程师已经签署文件。</w:t>
      </w:r>
    </w:p>
    <w:p w14:paraId="25B3482D">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施工现场、施工条件和基础资料的提供</w:t>
      </w:r>
    </w:p>
    <w:p w14:paraId="148E8B0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.1 提供施工现场</w:t>
      </w:r>
    </w:p>
    <w:p w14:paraId="448F122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关于发包人移交施工现场的期限要求：</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7B9DBE7D">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.2 提供施工条件</w:t>
      </w:r>
    </w:p>
    <w:p w14:paraId="6B274742">
      <w:pPr>
        <w:autoSpaceDE w:val="0"/>
        <w:autoSpaceDN w:val="0"/>
        <w:adjustRightInd w:val="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关于发包人应负责提供施工所需要的条件，包括：</w:t>
      </w:r>
      <w:r>
        <w:rPr>
          <w:rFonts w:hint="eastAsia" w:ascii="仿宋_GB2312" w:hAnsi="仿宋_GB2312" w:eastAsia="仿宋_GB2312" w:cs="仿宋_GB2312"/>
          <w:sz w:val="18"/>
          <w:szCs w:val="18"/>
          <w:u w:val="single"/>
        </w:rPr>
        <w:t>除通用合同条款第2.4.2条规定外，开工日3天前，由发包人组织设计人、承包人、监理单位进行图纸会审，设计人向承包人进行设计交底</w:t>
      </w:r>
      <w:r>
        <w:rPr>
          <w:rFonts w:hint="eastAsia" w:ascii="仿宋_GB2312" w:hAnsi="仿宋_GB2312" w:eastAsia="仿宋_GB2312" w:cs="仿宋_GB2312"/>
          <w:sz w:val="18"/>
          <w:szCs w:val="18"/>
        </w:rPr>
        <w:t>。</w:t>
      </w:r>
    </w:p>
    <w:p w14:paraId="6C729E04">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（1）施工场地具备施工条件的要求及完成的时间：在开工前提供符合开工条件的施工场地。临时设施的搭建原则在红线范围内解决。若在红线范围外由承包人与其他单位协商解决。</w:t>
      </w:r>
    </w:p>
    <w:p w14:paraId="385706D2">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（2）将施工所需的水、电、电讯线路接至施工场地的时间、地点和供应要求：开工前临时电接至现场。由承包人接至场内相关费用自行承担。</w:t>
      </w:r>
    </w:p>
    <w:p w14:paraId="33CD8046">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（3）施工场地与公共道路的通道开通时间和要求：开工前7 天开通，需满足施工的实际运输要求，但施工期间的维护及相应费用由承包人承担。</w:t>
      </w:r>
    </w:p>
    <w:p w14:paraId="572A4B91">
      <w:pPr>
        <w:autoSpaceDE w:val="0"/>
        <w:autoSpaceDN w:val="0"/>
        <w:adjustRightInd w:val="0"/>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（4）工程地质和地下管线资料的提供时间：工程地质报告及地下管线资料（除招标时已提供的以外）开工前提供。承包人收到发包人提交的资料后7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w:t>
      </w:r>
    </w:p>
    <w:p w14:paraId="6226DED8">
      <w:pPr>
        <w:autoSpaceDE w:val="0"/>
        <w:autoSpaceDN w:val="0"/>
        <w:adjustRightInd w:val="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包人如发现施工场地周围可能存在资料中未反映的地下管网线的，应立即停止施工并向发包人及相关单位书面报告，待确认安全后方可施工，否则，因施工损坏地下管网线的，由承包人承担责任。</w:t>
      </w:r>
    </w:p>
    <w:p w14:paraId="52D9C681">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（5）由发包人办理的施工所需证件、批件的名称和完成时间：开工前陆续提供，承包人应协助发包人办理。</w:t>
      </w:r>
    </w:p>
    <w:p w14:paraId="152AC6AF">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（6）水准点与座标控制点交验要求：开工前3 天，将水准点和坐标控制点以书面形式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p>
    <w:p w14:paraId="045CEA63">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7）协调处理施工场地周围地下管线和邻近建筑物、构筑物（含文物保护建筑）、古树名木的保护工作：承包人在施工前对场地周围建筑物和地下管线提出保护方案后，发包人须及时会同有关部门进行审核，以便承包人进行施工，确保其安全正常进行。</w:t>
      </w:r>
    </w:p>
    <w:p w14:paraId="642C3A70">
      <w:pPr>
        <w:autoSpaceDE w:val="0"/>
        <w:autoSpaceDN w:val="0"/>
        <w:adjustRightInd w:val="0"/>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（8）发包人委托承包人办理的工作：应由承包人负责办理其他与施工及施工验收有关的手续，相关费用已包含在合同价款中</w:t>
      </w:r>
      <w:r>
        <w:rPr>
          <w:rFonts w:hint="eastAsia" w:ascii="仿宋_GB2312" w:hAnsi="仿宋_GB2312" w:eastAsia="仿宋_GB2312" w:cs="仿宋_GB2312"/>
          <w:color w:val="000000"/>
          <w:sz w:val="18"/>
          <w:szCs w:val="18"/>
        </w:rPr>
        <w:t>。</w:t>
      </w:r>
    </w:p>
    <w:p w14:paraId="638D0821">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资金来源证明及支付担保</w:t>
      </w:r>
    </w:p>
    <w:p w14:paraId="0B952F7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发包人提供资金来源证明的期限要求：</w:t>
      </w:r>
      <w:r>
        <w:rPr>
          <w:rFonts w:hint="eastAsia" w:ascii="仿宋_GB2312" w:hAnsi="仿宋_GB2312" w:eastAsia="仿宋_GB2312" w:cs="仿宋_GB2312"/>
          <w:sz w:val="18"/>
          <w:szCs w:val="18"/>
          <w:u w:val="single"/>
        </w:rPr>
        <w:t>招标核准登记时已提供</w:t>
      </w:r>
      <w:r>
        <w:rPr>
          <w:rFonts w:hint="eastAsia" w:ascii="仿宋_GB2312" w:hAnsi="仿宋_GB2312" w:eastAsia="仿宋_GB2312" w:cs="仿宋_GB2312"/>
          <w:color w:val="000000"/>
          <w:sz w:val="18"/>
          <w:szCs w:val="18"/>
        </w:rPr>
        <w:t>。</w:t>
      </w:r>
    </w:p>
    <w:p w14:paraId="56FC1B0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发包人是否提供支付担保：</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color w:val="000000"/>
          <w:sz w:val="18"/>
          <w:szCs w:val="18"/>
          <w:u w:val="single"/>
        </w:rPr>
        <w:t xml:space="preserve">          </w:t>
      </w:r>
      <w:r>
        <w:rPr>
          <w:rFonts w:hint="eastAsia" w:ascii="仿宋_GB2312" w:hAnsi="仿宋_GB2312" w:eastAsia="仿宋_GB2312" w:cs="仿宋_GB2312"/>
          <w:color w:val="000000"/>
          <w:sz w:val="18"/>
          <w:szCs w:val="18"/>
        </w:rPr>
        <w:t>。</w:t>
      </w:r>
    </w:p>
    <w:p w14:paraId="4F0880FE">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发包人提供支付担保的形式：</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sz w:val="18"/>
          <w:szCs w:val="18"/>
        </w:rPr>
        <w:t>。</w:t>
      </w:r>
    </w:p>
    <w:p w14:paraId="4F083D1A">
      <w:pPr>
        <w:pStyle w:val="5"/>
        <w:spacing w:before="120" w:after="120" w:line="240" w:lineRule="auto"/>
        <w:rPr>
          <w:rFonts w:ascii="仿宋_GB2312" w:hAnsi="仿宋_GB2312" w:eastAsia="仿宋_GB2312" w:cs="仿宋_GB2312"/>
          <w:b w:val="0"/>
          <w:color w:val="000000"/>
          <w:sz w:val="18"/>
          <w:szCs w:val="18"/>
        </w:rPr>
      </w:pPr>
      <w:bookmarkStart w:id="889" w:name="_Toc351203635"/>
      <w:r>
        <w:rPr>
          <w:rFonts w:hint="eastAsia" w:ascii="仿宋_GB2312" w:hAnsi="仿宋_GB2312" w:eastAsia="仿宋_GB2312" w:cs="仿宋_GB2312"/>
          <w:b w:val="0"/>
          <w:color w:val="000000"/>
          <w:sz w:val="18"/>
          <w:szCs w:val="18"/>
        </w:rPr>
        <w:t>3</w:t>
      </w:r>
      <w:bookmarkStart w:id="890" w:name="_Toc296944497"/>
      <w:bookmarkStart w:id="891" w:name="_Toc296890986"/>
      <w:bookmarkStart w:id="892" w:name="_Toc296891198"/>
      <w:bookmarkStart w:id="893" w:name="_Toc296347157"/>
      <w:bookmarkStart w:id="894" w:name="_Toc296346659"/>
      <w:bookmarkStart w:id="895" w:name="_Toc296503158"/>
      <w:bookmarkStart w:id="896" w:name="_Toc292559363"/>
      <w:bookmarkStart w:id="897" w:name="_Toc297120458"/>
      <w:bookmarkStart w:id="898" w:name="_Toc297048344"/>
      <w:bookmarkStart w:id="899" w:name="_Toc292559868"/>
      <w:r>
        <w:rPr>
          <w:rFonts w:hint="eastAsia" w:ascii="仿宋_GB2312" w:hAnsi="仿宋_GB2312" w:eastAsia="仿宋_GB2312" w:cs="仿宋_GB2312"/>
          <w:b w:val="0"/>
          <w:color w:val="000000"/>
          <w:sz w:val="18"/>
          <w:szCs w:val="18"/>
        </w:rPr>
        <w:t>. 承包人</w:t>
      </w:r>
      <w:bookmarkEnd w:id="889"/>
    </w:p>
    <w:bookmarkEnd w:id="890"/>
    <w:bookmarkEnd w:id="891"/>
    <w:bookmarkEnd w:id="892"/>
    <w:bookmarkEnd w:id="893"/>
    <w:bookmarkEnd w:id="894"/>
    <w:bookmarkEnd w:id="895"/>
    <w:bookmarkEnd w:id="896"/>
    <w:bookmarkEnd w:id="897"/>
    <w:bookmarkEnd w:id="898"/>
    <w:bookmarkEnd w:id="899"/>
    <w:p w14:paraId="653F49C1">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3.1 承包人的一般义务</w:t>
      </w:r>
    </w:p>
    <w:p w14:paraId="00DC7E42">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1</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sz w:val="18"/>
          <w:szCs w:val="18"/>
        </w:rPr>
        <w:t>承包人提交的竣工资料的内容：</w:t>
      </w:r>
      <w:r>
        <w:rPr>
          <w:rFonts w:hint="eastAsia" w:ascii="仿宋_GB2312" w:hAnsi="仿宋_GB2312" w:eastAsia="仿宋_GB2312" w:cs="仿宋_GB2312"/>
          <w:b/>
          <w:bCs/>
          <w:sz w:val="18"/>
          <w:szCs w:val="18"/>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仿宋_GB2312" w:hAnsi="仿宋_GB2312" w:eastAsia="仿宋_GB2312" w:cs="仿宋_GB2312"/>
          <w:color w:val="000000"/>
          <w:sz w:val="18"/>
          <w:szCs w:val="18"/>
        </w:rPr>
        <w:t>。</w:t>
      </w:r>
    </w:p>
    <w:p w14:paraId="508D96A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承包人需要提交的竣工资料套数：</w:t>
      </w:r>
      <w:r>
        <w:rPr>
          <w:rFonts w:hint="eastAsia" w:ascii="仿宋_GB2312" w:hAnsi="仿宋_GB2312" w:eastAsia="仿宋_GB2312" w:cs="仿宋_GB2312"/>
          <w:sz w:val="18"/>
          <w:szCs w:val="18"/>
          <w:u w:val="single"/>
        </w:rPr>
        <w:t>一式肆份，同时提供电子文档</w:t>
      </w:r>
      <w:r>
        <w:rPr>
          <w:rFonts w:hint="eastAsia" w:ascii="仿宋_GB2312" w:hAnsi="仿宋_GB2312" w:eastAsia="仿宋_GB2312" w:cs="仿宋_GB2312"/>
          <w:color w:val="000000"/>
          <w:sz w:val="18"/>
          <w:szCs w:val="18"/>
        </w:rPr>
        <w:t>。</w:t>
      </w:r>
    </w:p>
    <w:p w14:paraId="5F5A9B8E">
      <w:pPr>
        <w:ind w:left="638" w:leftChars="304"/>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承包人提交的竣工资料的费用承担：</w:t>
      </w:r>
      <w:r>
        <w:rPr>
          <w:rFonts w:hint="eastAsia" w:ascii="仿宋_GB2312" w:hAnsi="仿宋_GB2312" w:eastAsia="仿宋_GB2312" w:cs="仿宋_GB2312"/>
          <w:sz w:val="18"/>
          <w:szCs w:val="18"/>
          <w:u w:val="single"/>
        </w:rPr>
        <w:t>承包人承担</w:t>
      </w:r>
      <w:r>
        <w:rPr>
          <w:rFonts w:hint="eastAsia" w:ascii="仿宋_GB2312" w:hAnsi="仿宋_GB2312" w:eastAsia="仿宋_GB2312" w:cs="仿宋_GB2312"/>
          <w:color w:val="000000"/>
          <w:sz w:val="18"/>
          <w:szCs w:val="18"/>
        </w:rPr>
        <w:t>。</w:t>
      </w:r>
    </w:p>
    <w:p w14:paraId="4EA1E634">
      <w:pPr>
        <w:ind w:left="638" w:leftChars="304"/>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承包人提交的竣工资料移交时间：</w:t>
      </w:r>
      <w:r>
        <w:rPr>
          <w:rFonts w:hint="eastAsia" w:ascii="仿宋_GB2312" w:hAnsi="仿宋_GB2312" w:eastAsia="仿宋_GB2312" w:cs="仿宋_GB2312"/>
          <w:sz w:val="18"/>
          <w:szCs w:val="18"/>
          <w:u w:val="single"/>
        </w:rPr>
        <w:t>合同规定的工程竣工前7天</w:t>
      </w:r>
      <w:r>
        <w:rPr>
          <w:rFonts w:hint="eastAsia" w:ascii="仿宋_GB2312" w:hAnsi="仿宋_GB2312" w:eastAsia="仿宋_GB2312" w:cs="仿宋_GB2312"/>
          <w:color w:val="000000"/>
          <w:sz w:val="18"/>
          <w:szCs w:val="18"/>
        </w:rPr>
        <w:t>。</w:t>
      </w:r>
    </w:p>
    <w:p w14:paraId="0BA78CF6">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承包人提交的竣工资料形式要求：</w:t>
      </w:r>
      <w:r>
        <w:rPr>
          <w:rFonts w:hint="eastAsia" w:ascii="仿宋_GB2312" w:hAnsi="仿宋_GB2312" w:eastAsia="仿宋_GB2312" w:cs="仿宋_GB2312"/>
          <w:sz w:val="18"/>
          <w:szCs w:val="18"/>
          <w:u w:val="single"/>
        </w:rPr>
        <w:t>向发包方提供竣工图、竣工资料及竣工验收报告，并附光盘（含影像资料、图片等）</w:t>
      </w:r>
      <w:r>
        <w:rPr>
          <w:rFonts w:hint="eastAsia" w:ascii="仿宋_GB2312" w:hAnsi="仿宋_GB2312" w:eastAsia="仿宋_GB2312" w:cs="仿宋_GB2312"/>
          <w:color w:val="000000"/>
          <w:sz w:val="18"/>
          <w:szCs w:val="18"/>
        </w:rPr>
        <w:t>。</w:t>
      </w:r>
    </w:p>
    <w:p w14:paraId="139DAE97">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）承包人应履行的其他义务：</w:t>
      </w:r>
    </w:p>
    <w:p w14:paraId="514B6748">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① 根据工程需要，提供和维修非夜间施工使用的照明、围栏设施，并负责安全保卫。</w:t>
      </w:r>
    </w:p>
    <w:p w14:paraId="05B48CD2">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② 将施工所需的水、电、电讯线路接至施工场地，费用已包含在投标报价中。</w:t>
      </w:r>
    </w:p>
    <w:p w14:paraId="09554855">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③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353FD98E">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④ 施工场地清洁卫生要求：按浙江省、杭州市标化工地管理的有关要求、规定执行。所发生的各项清理费用、临时性收费、临时性占用场地费、临时性设施费及不可预见的费用，均已包括在合同总价内。</w:t>
      </w:r>
    </w:p>
    <w:p w14:paraId="00925A53">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⑤ 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25EC76C5">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⑥ 参加发包人召开的与本工程相关的会议，并作好会前有关资料的准备。在保修期内要及时做好回访工作，属保修责任范围的事项应及时按质检标准修好。</w:t>
      </w:r>
    </w:p>
    <w:p w14:paraId="449A705F">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⑦ 在工程实施过程中，要自始至终将安全和质量管理放在首位；除按发包人要求做好安全质量管理外，应采取应急预警措施以确保本项目工程的安全和质量以及周边建筑物、构筑物及市政设施的安全。</w:t>
      </w:r>
    </w:p>
    <w:p w14:paraId="7C4E2859">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⑧ 由于承包人施工原因，引起第三方与发包人或承包人的纠纷或第三方向发包人或承包人提出的索赔等，由承包人全权负责解决并承担全部责任，由此引起的一切后果与发包人无关。</w:t>
      </w:r>
    </w:p>
    <w:p w14:paraId="66F251F1">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⑨ 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425A14C9">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⑩ 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14:paraId="2FC15ECD">
      <w:pPr>
        <w:ind w:firstLine="360" w:firstLineChars="200"/>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⑪ 上述（包括但不限于）各条款涉及的各类费用均已包括在合同价款内，发包人不再向承包人另行支付。且如果因此类原因导致工期延误，工期不予顺延，并由承包人承担相应的责任及费用。</w:t>
      </w:r>
    </w:p>
    <w:p w14:paraId="3F18F20D">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kern w:val="0"/>
          <w:sz w:val="18"/>
          <w:szCs w:val="18"/>
          <w:u w:val="single"/>
        </w:rPr>
        <w:t>⑫ 承包人对其递交的变更、签证、结算资料的合法性、真实性、完整性负责，并不由于发包人和监理人的签认免除承包人的责任</w:t>
      </w:r>
      <w:r>
        <w:rPr>
          <w:rFonts w:hint="eastAsia" w:ascii="仿宋_GB2312" w:hAnsi="仿宋_GB2312" w:eastAsia="仿宋_GB2312" w:cs="仿宋_GB2312"/>
          <w:sz w:val="18"/>
          <w:szCs w:val="18"/>
        </w:rPr>
        <w:t>。</w:t>
      </w:r>
    </w:p>
    <w:p w14:paraId="783AE82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kern w:val="0"/>
          <w:sz w:val="18"/>
          <w:szCs w:val="18"/>
          <w:u w:val="single"/>
        </w:rPr>
        <w:t xml:space="preserve">⑬ </w:t>
      </w:r>
      <w:r>
        <w:rPr>
          <w:rFonts w:hint="eastAsia" w:ascii="仿宋_GB2312" w:hAnsi="仿宋_GB2312" w:eastAsia="仿宋_GB2312" w:cs="仿宋_GB2312"/>
          <w:b/>
          <w:sz w:val="18"/>
          <w:szCs w:val="18"/>
          <w:u w:val="single"/>
          <w:lang w:val="zh-CN"/>
        </w:rPr>
        <w:t>未按要求落实安全文明施工措施的，如产生</w:t>
      </w:r>
      <w:r>
        <w:rPr>
          <w:rFonts w:hint="eastAsia" w:ascii="仿宋_GB2312" w:hAnsi="仿宋_GB2312" w:eastAsia="仿宋_GB2312" w:cs="仿宋_GB2312"/>
          <w:b/>
          <w:sz w:val="18"/>
          <w:szCs w:val="18"/>
          <w:u w:val="single"/>
          <w:lang w:val="en-US" w:eastAsia="zh-CN"/>
        </w:rPr>
        <w:t>被</w:t>
      </w:r>
      <w:r>
        <w:rPr>
          <w:rFonts w:hint="eastAsia" w:ascii="仿宋_GB2312" w:hAnsi="仿宋_GB2312" w:eastAsia="仿宋_GB2312" w:cs="仿宋_GB2312"/>
          <w:b/>
          <w:sz w:val="18"/>
          <w:szCs w:val="18"/>
          <w:u w:val="single"/>
          <w:lang w:val="zh-CN"/>
        </w:rPr>
        <w:t>数字城管或其他方式被投诉反映的</w:t>
      </w:r>
      <w:r>
        <w:rPr>
          <w:rFonts w:hint="eastAsia" w:ascii="仿宋_GB2312" w:hAnsi="仿宋_GB2312" w:eastAsia="仿宋_GB2312" w:cs="仿宋_GB2312"/>
          <w:b/>
          <w:sz w:val="18"/>
          <w:szCs w:val="18"/>
          <w:u w:val="single"/>
          <w:lang w:val="en-US" w:eastAsia="zh-CN"/>
        </w:rPr>
        <w:t>情况</w:t>
      </w:r>
      <w:r>
        <w:rPr>
          <w:rFonts w:hint="eastAsia" w:ascii="仿宋_GB2312" w:hAnsi="仿宋_GB2312" w:eastAsia="仿宋_GB2312" w:cs="仿宋_GB2312"/>
          <w:b/>
          <w:sz w:val="18"/>
          <w:szCs w:val="18"/>
          <w:u w:val="single"/>
          <w:lang w:val="zh-CN"/>
        </w:rPr>
        <w:t>，接到通知后2个小时内进行现场核实确认，确认后必须在限定时间内整改到位并进行回复。未及时整改或整改不到位或被二次投诉的，每发生一起</w:t>
      </w:r>
      <w:r>
        <w:rPr>
          <w:rFonts w:hint="eastAsia" w:ascii="仿宋_GB2312" w:hAnsi="仿宋_GB2312" w:eastAsia="仿宋_GB2312" w:cs="仿宋_GB2312"/>
          <w:b/>
          <w:sz w:val="18"/>
          <w:szCs w:val="18"/>
          <w:u w:val="single"/>
          <w:lang w:val="en-US" w:eastAsia="zh-CN"/>
        </w:rPr>
        <w:t>支付违约金</w:t>
      </w:r>
      <w:r>
        <w:rPr>
          <w:rFonts w:hint="eastAsia" w:ascii="仿宋_GB2312" w:hAnsi="仿宋_GB2312" w:eastAsia="仿宋_GB2312" w:cs="仿宋_GB2312"/>
          <w:b/>
          <w:sz w:val="18"/>
          <w:szCs w:val="18"/>
          <w:u w:val="single"/>
          <w:lang w:val="zh-CN"/>
        </w:rPr>
        <w:t>1000元（多次同个地点投拆，扣款累计3次）；拒绝整改的，每发生一起</w:t>
      </w:r>
      <w:r>
        <w:rPr>
          <w:rFonts w:hint="eastAsia" w:ascii="仿宋_GB2312" w:hAnsi="仿宋_GB2312" w:eastAsia="仿宋_GB2312" w:cs="仿宋_GB2312"/>
          <w:b/>
          <w:sz w:val="18"/>
          <w:szCs w:val="18"/>
          <w:u w:val="single"/>
          <w:lang w:val="en-US" w:eastAsia="zh-CN"/>
        </w:rPr>
        <w:t>支付违约金</w:t>
      </w:r>
      <w:r>
        <w:rPr>
          <w:rFonts w:hint="eastAsia" w:ascii="仿宋_GB2312" w:hAnsi="仿宋_GB2312" w:eastAsia="仿宋_GB2312" w:cs="仿宋_GB2312"/>
          <w:b/>
          <w:sz w:val="18"/>
          <w:szCs w:val="18"/>
          <w:u w:val="single"/>
          <w:lang w:val="zh-CN"/>
        </w:rPr>
        <w:t>5000元；该笔</w:t>
      </w:r>
      <w:r>
        <w:rPr>
          <w:rFonts w:hint="eastAsia" w:ascii="仿宋_GB2312" w:hAnsi="仿宋_GB2312" w:eastAsia="仿宋_GB2312" w:cs="仿宋_GB2312"/>
          <w:b/>
          <w:sz w:val="18"/>
          <w:szCs w:val="18"/>
          <w:u w:val="single"/>
          <w:lang w:val="en-US" w:eastAsia="zh-CN"/>
        </w:rPr>
        <w:t>违约金</w:t>
      </w:r>
      <w:r>
        <w:rPr>
          <w:rFonts w:hint="eastAsia" w:ascii="仿宋_GB2312" w:hAnsi="仿宋_GB2312" w:eastAsia="仿宋_GB2312" w:cs="仿宋_GB2312"/>
          <w:b/>
          <w:sz w:val="18"/>
          <w:szCs w:val="18"/>
          <w:u w:val="single"/>
          <w:lang w:val="zh-CN"/>
        </w:rPr>
        <w:t>从合同中扣除并作为委托其他单位代整改费用。</w:t>
      </w:r>
    </w:p>
    <w:p w14:paraId="117AFE51">
      <w:pPr>
        <w:ind w:firstLine="361" w:firstLineChars="200"/>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其他：承包人应当在工程开工建设前，到项目所在地商业银行开设农民工工资专用账户，专项用于支付该工程建设项目农民工工资。</w:t>
      </w:r>
    </w:p>
    <w:p w14:paraId="72D11AC0">
      <w:pPr>
        <w:ind w:firstLine="361" w:firstLineChars="200"/>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承包人应建立实名制电子考勤系统，做好与杭州市智慧工地实名制管理应用系统以及全国建筑工人管理服务信息平台的数据对接工作。</w:t>
      </w:r>
    </w:p>
    <w:p w14:paraId="4D599C41">
      <w:pPr>
        <w:ind w:firstLine="361" w:firstLineChars="200"/>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承包人应及时向项目所在地保证金管理部门缴存农民工工资保证金，并做好分包单位农民工工资保证金缴存的查验工作。</w:t>
      </w:r>
    </w:p>
    <w:p w14:paraId="21FF776D">
      <w:pPr>
        <w:ind w:firstLine="361" w:firstLineChars="200"/>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1CA4764C">
      <w:pPr>
        <w:ind w:firstLine="361" w:firstLineChars="200"/>
        <w:rPr>
          <w:rFonts w:hint="eastAsia"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6FA9A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yellow"/>
          <w:u w:val="single"/>
          <w:lang w:val="zh-CN"/>
        </w:rPr>
      </w:pPr>
      <w:r>
        <w:rPr>
          <w:rFonts w:hint="eastAsia" w:ascii="仿宋_GB2312" w:hAnsi="仿宋_GB2312" w:eastAsia="仿宋_GB2312" w:cs="仿宋_GB2312"/>
          <w:b/>
          <w:i w:val="0"/>
          <w:iCs w:val="0"/>
          <w:caps w:val="0"/>
          <w:color w:val="021EAA"/>
          <w:spacing w:val="0"/>
          <w:sz w:val="18"/>
          <w:szCs w:val="18"/>
          <w:highlight w:val="yellow"/>
          <w:u w:val="single"/>
          <w:shd w:val="clear" w:fill="FFFFFF"/>
          <w:lang w:val="zh-CN"/>
        </w:rPr>
        <w:t>承包人应规范建筑垃圾处置分包合同管理，建筑垃圾运输业务应当发包给本工程建筑垃圾处置证核准确定的运输单位。</w:t>
      </w:r>
    </w:p>
    <w:p w14:paraId="7E822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yellow"/>
          <w:u w:val="single"/>
          <w:lang w:val="zh-CN"/>
        </w:rPr>
      </w:pPr>
      <w:r>
        <w:rPr>
          <w:rFonts w:hint="eastAsia" w:ascii="仿宋_GB2312" w:hAnsi="仿宋_GB2312" w:eastAsia="仿宋_GB2312" w:cs="仿宋_GB2312"/>
          <w:b/>
          <w:i w:val="0"/>
          <w:iCs w:val="0"/>
          <w:caps w:val="0"/>
          <w:color w:val="021EAA"/>
          <w:spacing w:val="0"/>
          <w:sz w:val="18"/>
          <w:szCs w:val="18"/>
          <w:highlight w:val="yellow"/>
          <w:u w:val="single"/>
          <w:shd w:val="clear" w:fill="FFFFFF"/>
          <w:lang w:val="zh-CN"/>
        </w:rPr>
        <w:t>承包人负责根据施工合同约定和相关法律法规要求，编制工程建筑垃圾处置方案，向项目所在地城管部门进行备案，并在工地出入口做好公示及日常维护工作。</w:t>
      </w:r>
    </w:p>
    <w:p w14:paraId="23FEA3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yellow"/>
          <w:u w:val="single"/>
          <w:lang w:val="zh-CN"/>
        </w:rPr>
      </w:pPr>
      <w:r>
        <w:rPr>
          <w:rFonts w:hint="eastAsia" w:ascii="仿宋_GB2312" w:hAnsi="仿宋_GB2312" w:eastAsia="仿宋_GB2312" w:cs="仿宋_GB2312"/>
          <w:b/>
          <w:i w:val="0"/>
          <w:iCs w:val="0"/>
          <w:caps w:val="0"/>
          <w:color w:val="021EAA"/>
          <w:spacing w:val="0"/>
          <w:sz w:val="18"/>
          <w:szCs w:val="18"/>
          <w:highlight w:val="yellow"/>
          <w:u w:val="single"/>
          <w:shd w:val="clear" w:fill="FFFFFF"/>
          <w:lang w:val="zh-CN"/>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4A91B187">
      <w:pPr>
        <w:ind w:firstLine="361" w:firstLineChars="200"/>
        <w:rPr>
          <w:rFonts w:hint="eastAsia" w:ascii="仿宋_GB2312" w:hAnsi="仿宋_GB2312" w:eastAsia="仿宋_GB2312" w:cs="仿宋_GB2312"/>
          <w:b/>
          <w:i w:val="0"/>
          <w:iCs w:val="0"/>
          <w:caps w:val="0"/>
          <w:spacing w:val="0"/>
          <w:sz w:val="18"/>
          <w:szCs w:val="18"/>
          <w:u w:val="single"/>
          <w:shd w:val="clear"/>
          <w:lang w:val="zh-CN"/>
        </w:rPr>
      </w:pPr>
      <w:r>
        <w:rPr>
          <w:rFonts w:hint="eastAsia" w:ascii="仿宋_GB2312" w:hAnsi="仿宋_GB2312" w:eastAsia="仿宋_GB2312" w:cs="仿宋_GB2312"/>
          <w:b/>
          <w:i w:val="0"/>
          <w:iCs w:val="0"/>
          <w:caps w:val="0"/>
          <w:color w:val="021EAA"/>
          <w:spacing w:val="0"/>
          <w:sz w:val="18"/>
          <w:szCs w:val="18"/>
          <w:highlight w:val="yellow"/>
          <w:u w:val="single"/>
          <w:shd w:val="clear" w:fill="FFFFFF"/>
          <w:lang w:val="zh-CN"/>
        </w:rPr>
        <w:t>承包人与运输、处置单位结算相关费用前应当查验接纳回执。</w:t>
      </w:r>
    </w:p>
    <w:p w14:paraId="4451AF79">
      <w:pPr>
        <w:pStyle w:val="42"/>
        <w:rPr>
          <w:lang w:val="zh-CN"/>
        </w:rPr>
      </w:pPr>
    </w:p>
    <w:p w14:paraId="3696932B">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 项目经理</w:t>
      </w:r>
    </w:p>
    <w:p w14:paraId="38FC601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 xml:space="preserve">3.2.1 </w:t>
      </w:r>
      <w:r>
        <w:rPr>
          <w:rFonts w:hint="eastAsia" w:ascii="仿宋_GB2312" w:hAnsi="仿宋_GB2312" w:eastAsia="仿宋_GB2312" w:cs="仿宋_GB2312"/>
          <w:color w:val="000000"/>
          <w:sz w:val="18"/>
          <w:szCs w:val="18"/>
        </w:rPr>
        <w:t>项目经理</w:t>
      </w:r>
      <w:r>
        <w:rPr>
          <w:rFonts w:hint="eastAsia" w:ascii="仿宋_GB2312" w:hAnsi="仿宋_GB2312" w:eastAsia="仿宋_GB2312" w:cs="仿宋_GB2312"/>
          <w:kern w:val="0"/>
          <w:sz w:val="18"/>
          <w:szCs w:val="18"/>
        </w:rPr>
        <w:t>（以下必须填写）</w:t>
      </w:r>
      <w:r>
        <w:rPr>
          <w:rFonts w:hint="eastAsia" w:ascii="仿宋_GB2312" w:hAnsi="仿宋_GB2312" w:eastAsia="仿宋_GB2312" w:cs="仿宋_GB2312"/>
          <w:color w:val="000000"/>
          <w:sz w:val="18"/>
          <w:szCs w:val="18"/>
        </w:rPr>
        <w:t>：</w:t>
      </w:r>
    </w:p>
    <w:p w14:paraId="6A4DF4A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    名：</w:t>
      </w:r>
      <w:r>
        <w:rPr>
          <w:rFonts w:hint="eastAsia" w:ascii="仿宋_GB2312" w:hAnsi="仿宋_GB2312" w:eastAsia="仿宋_GB2312" w:cs="仿宋_GB2312"/>
          <w:color w:val="000000"/>
          <w:sz w:val="18"/>
          <w:szCs w:val="18"/>
          <w:u w:val="single"/>
          <w:lang w:val="en-US" w:eastAsia="zh-CN"/>
        </w:rPr>
        <w:t xml:space="preserve">                 </w:t>
      </w:r>
      <w:r>
        <w:rPr>
          <w:rFonts w:hint="eastAsia" w:ascii="仿宋_GB2312" w:hAnsi="仿宋_GB2312" w:eastAsia="仿宋_GB2312" w:cs="仿宋_GB2312"/>
          <w:color w:val="000000"/>
          <w:sz w:val="18"/>
          <w:szCs w:val="18"/>
          <w:u w:val="single"/>
        </w:rPr>
        <w:t xml:space="preserve">         </w:t>
      </w:r>
      <w:r>
        <w:rPr>
          <w:rFonts w:hint="eastAsia" w:ascii="仿宋_GB2312" w:hAnsi="仿宋_GB2312" w:eastAsia="仿宋_GB2312" w:cs="仿宋_GB2312"/>
          <w:color w:val="000000"/>
          <w:sz w:val="18"/>
          <w:szCs w:val="18"/>
        </w:rPr>
        <w:t>；</w:t>
      </w:r>
    </w:p>
    <w:p w14:paraId="6409193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w:t>
      </w:r>
      <w:r>
        <w:rPr>
          <w:rFonts w:hint="eastAsia" w:ascii="仿宋_GB2312" w:hAnsi="仿宋_GB2312" w:eastAsia="仿宋_GB2312" w:cs="仿宋_GB2312"/>
          <w:color w:val="000000"/>
          <w:sz w:val="18"/>
          <w:szCs w:val="18"/>
          <w:u w:val="single"/>
          <w:lang w:val="en-US" w:eastAsia="zh-CN"/>
        </w:rPr>
        <w:t xml:space="preserve">                                   </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74DE60ED">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建造师执业资格等级：</w:t>
      </w:r>
      <w:r>
        <w:rPr>
          <w:rFonts w:hint="eastAsia" w:ascii="仿宋_GB2312" w:hAnsi="仿宋_GB2312" w:eastAsia="仿宋_GB2312" w:cs="仿宋_GB2312"/>
          <w:color w:val="000000"/>
          <w:sz w:val="18"/>
          <w:szCs w:val="18"/>
          <w:u w:val="single"/>
          <w:lang w:val="en-US" w:eastAsia="zh-CN"/>
        </w:rPr>
        <w:t xml:space="preserve">                        </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rPr>
        <w:t>；</w:t>
      </w:r>
    </w:p>
    <w:p w14:paraId="053C42B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建造师注册证书号：</w:t>
      </w:r>
      <w:r>
        <w:rPr>
          <w:rFonts w:hint="eastAsia" w:ascii="仿宋_GB2312" w:hAnsi="仿宋_GB2312" w:eastAsia="仿宋_GB2312" w:cs="仿宋_GB2312"/>
          <w:color w:val="000000"/>
          <w:sz w:val="18"/>
          <w:szCs w:val="18"/>
          <w:u w:val="single"/>
        </w:rPr>
        <w:t></w:t>
      </w:r>
      <w:r>
        <w:rPr>
          <w:rFonts w:hint="eastAsia" w:ascii="仿宋_GB2312" w:hAnsi="仿宋_GB2312" w:eastAsia="仿宋_GB2312" w:cs="仿宋_GB2312"/>
          <w:color w:val="000000"/>
          <w:sz w:val="18"/>
          <w:szCs w:val="18"/>
          <w:u w:val="single"/>
          <w:lang w:val="en-US" w:eastAsia="zh-CN"/>
        </w:rPr>
        <w:t xml:space="preserve">                         </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sz w:val="18"/>
          <w:szCs w:val="18"/>
        </w:rPr>
        <w:t>；</w:t>
      </w:r>
    </w:p>
    <w:p w14:paraId="3178B4E8">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建造师执业印章号：</w:t>
      </w:r>
      <w:r>
        <w:rPr>
          <w:rFonts w:hint="eastAsia" w:ascii="仿宋_GB2312" w:hAnsi="仿宋_GB2312" w:eastAsia="仿宋_GB2312" w:cs="仿宋_GB2312"/>
          <w:color w:val="000000"/>
          <w:sz w:val="18"/>
          <w:szCs w:val="18"/>
          <w:u w:val="single"/>
        </w:rPr>
        <w:t> </w:t>
      </w:r>
      <w:r>
        <w:rPr>
          <w:rFonts w:hint="eastAsia" w:ascii="仿宋_GB2312" w:hAnsi="仿宋_GB2312" w:eastAsia="仿宋_GB2312" w:cs="仿宋_GB2312"/>
          <w:color w:val="000000"/>
          <w:sz w:val="18"/>
          <w:szCs w:val="18"/>
        </w:rPr>
        <w:t>；</w:t>
      </w:r>
    </w:p>
    <w:p w14:paraId="74AEC51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安全生产考核合格证书号：</w:t>
      </w:r>
      <w:r>
        <w:rPr>
          <w:rFonts w:hint="eastAsia" w:ascii="仿宋_GB2312" w:hAnsi="仿宋_GB2312" w:eastAsia="仿宋_GB2312" w:cs="仿宋_GB2312"/>
          <w:color w:val="000000"/>
          <w:sz w:val="18"/>
          <w:szCs w:val="18"/>
          <w:u w:val="single"/>
        </w:rPr>
        <w:t> </w:t>
      </w:r>
      <w:r>
        <w:rPr>
          <w:rFonts w:hint="eastAsia" w:ascii="仿宋_GB2312" w:hAnsi="仿宋_GB2312" w:eastAsia="仿宋_GB2312" w:cs="仿宋_GB2312"/>
          <w:color w:val="000000"/>
          <w:sz w:val="18"/>
          <w:szCs w:val="18"/>
        </w:rPr>
        <w:t>；</w:t>
      </w:r>
    </w:p>
    <w:p w14:paraId="49AEB63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r>
        <w:rPr>
          <w:rFonts w:hint="eastAsia" w:ascii="仿宋_GB2312" w:hAnsi="仿宋_GB2312" w:eastAsia="仿宋_GB2312" w:cs="仿宋_GB2312"/>
          <w:color w:val="000000"/>
          <w:sz w:val="18"/>
          <w:szCs w:val="18"/>
          <w:u w:val="single"/>
        </w:rPr>
        <w:t>         </w:t>
      </w:r>
      <w:r>
        <w:rPr>
          <w:rFonts w:hint="eastAsia" w:ascii="仿宋_GB2312" w:hAnsi="仿宋_GB2312" w:eastAsia="仿宋_GB2312" w:cs="仿宋_GB2312"/>
          <w:color w:val="000000"/>
          <w:sz w:val="18"/>
          <w:szCs w:val="18"/>
        </w:rPr>
        <w:t>；</w:t>
      </w:r>
    </w:p>
    <w:p w14:paraId="17F9B1F3">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电子信箱：</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2D3CC945">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通信地址：</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782B1DE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承包人对项目经理的授权范围如下：</w:t>
      </w:r>
      <w:r>
        <w:rPr>
          <w:rFonts w:hint="eastAsia" w:ascii="仿宋_GB2312" w:hAnsi="仿宋_GB2312" w:eastAsia="仿宋_GB2312" w:cs="仿宋_GB2312"/>
          <w:sz w:val="18"/>
          <w:szCs w:val="18"/>
          <w:u w:val="single"/>
        </w:rPr>
        <w:t>全面负责本工程的质量、安全、工期及成本控制</w:t>
      </w:r>
      <w:r>
        <w:rPr>
          <w:rFonts w:hint="eastAsia" w:ascii="仿宋_GB2312" w:hAnsi="仿宋_GB2312" w:eastAsia="仿宋_GB2312" w:cs="仿宋_GB2312"/>
          <w:color w:val="000000"/>
          <w:sz w:val="18"/>
          <w:szCs w:val="18"/>
        </w:rPr>
        <w:t>。</w:t>
      </w:r>
    </w:p>
    <w:p w14:paraId="55F6FFF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关于项目经理每月在施工现场的时间要求：</w:t>
      </w:r>
      <w:r>
        <w:rPr>
          <w:rFonts w:hint="eastAsia" w:ascii="仿宋_GB2312" w:hAnsi="仿宋_GB2312" w:eastAsia="仿宋_GB2312" w:cs="仿宋_GB2312"/>
          <w:sz w:val="18"/>
          <w:szCs w:val="18"/>
          <w:u w:val="single"/>
        </w:rPr>
        <w:t>到位率为80%以上(按每月25天，每天工作8小时考勤)，重要施工工序或环节时项目经理、技术负责人等必须到场</w:t>
      </w:r>
      <w:r>
        <w:rPr>
          <w:rFonts w:hint="eastAsia" w:ascii="仿宋_GB2312" w:hAnsi="仿宋_GB2312" w:eastAsia="仿宋_GB2312" w:cs="仿宋_GB2312"/>
          <w:color w:val="000000"/>
          <w:sz w:val="18"/>
          <w:szCs w:val="18"/>
        </w:rPr>
        <w:t>。</w:t>
      </w:r>
    </w:p>
    <w:p w14:paraId="4EE3D7AC">
      <w:pPr>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承包人未提交劳动合同，</w:t>
      </w:r>
      <w:r>
        <w:rPr>
          <w:rFonts w:hint="eastAsia" w:ascii="仿宋_GB2312" w:hAnsi="仿宋_GB2312" w:eastAsia="仿宋_GB2312" w:cs="仿宋_GB2312"/>
          <w:color w:val="000000"/>
          <w:kern w:val="0"/>
          <w:sz w:val="18"/>
          <w:szCs w:val="18"/>
          <w:lang w:val="en-US" w:eastAsia="zh-CN"/>
        </w:rPr>
        <w:t>或者</w:t>
      </w:r>
      <w:r>
        <w:rPr>
          <w:rFonts w:hint="eastAsia" w:ascii="仿宋_GB2312" w:hAnsi="仿宋_GB2312" w:eastAsia="仿宋_GB2312" w:cs="仿宋_GB2312"/>
          <w:color w:val="000000"/>
          <w:kern w:val="0"/>
          <w:sz w:val="18"/>
          <w:szCs w:val="18"/>
        </w:rPr>
        <w:t>没有为项目经理缴纳社会保险证明的违约责任：</w:t>
      </w:r>
      <w:r>
        <w:rPr>
          <w:rFonts w:hint="eastAsia" w:ascii="仿宋_GB2312" w:hAnsi="仿宋_GB2312" w:eastAsia="仿宋_GB2312" w:cs="仿宋_GB2312"/>
          <w:color w:val="000000"/>
          <w:kern w:val="0"/>
          <w:sz w:val="18"/>
          <w:szCs w:val="18"/>
          <w:lang w:val="en-US" w:eastAsia="zh-CN"/>
        </w:rPr>
        <w:t>发包人有权</w:t>
      </w:r>
      <w:r>
        <w:rPr>
          <w:rFonts w:hint="eastAsia" w:ascii="仿宋_GB2312" w:hAnsi="仿宋_GB2312" w:eastAsia="仿宋_GB2312" w:cs="仿宋_GB2312"/>
          <w:sz w:val="18"/>
          <w:szCs w:val="18"/>
          <w:u w:val="single"/>
        </w:rPr>
        <w:t>责令承包人</w:t>
      </w:r>
      <w:r>
        <w:rPr>
          <w:rFonts w:hint="eastAsia" w:ascii="仿宋_GB2312" w:hAnsi="仿宋_GB2312" w:eastAsia="仿宋_GB2312" w:cs="仿宋_GB2312"/>
          <w:sz w:val="18"/>
          <w:szCs w:val="18"/>
          <w:u w:val="single"/>
          <w:lang w:val="en-US" w:eastAsia="zh-CN"/>
        </w:rPr>
        <w:t>第一时间</w:t>
      </w:r>
      <w:r>
        <w:rPr>
          <w:rFonts w:hint="eastAsia" w:ascii="仿宋_GB2312" w:hAnsi="仿宋_GB2312" w:eastAsia="仿宋_GB2312" w:cs="仿宋_GB2312"/>
          <w:sz w:val="18"/>
          <w:szCs w:val="18"/>
          <w:u w:val="single"/>
        </w:rPr>
        <w:t>改正，并从结算款中扣除1万元的违约金</w:t>
      </w:r>
      <w:r>
        <w:rPr>
          <w:rFonts w:hint="eastAsia" w:ascii="仿宋_GB2312" w:hAnsi="仿宋_GB2312" w:eastAsia="仿宋_GB2312" w:cs="仿宋_GB2312"/>
          <w:color w:val="000000"/>
          <w:sz w:val="18"/>
          <w:szCs w:val="18"/>
        </w:rPr>
        <w:t>。</w:t>
      </w:r>
    </w:p>
    <w:p w14:paraId="17AD3725">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kern w:val="0"/>
          <w:sz w:val="18"/>
          <w:szCs w:val="18"/>
        </w:rPr>
        <w:t>项目经理未经批准，擅自离开施工现场的违约责任：</w:t>
      </w:r>
      <w:r>
        <w:rPr>
          <w:rFonts w:hint="eastAsia" w:ascii="仿宋_GB2312" w:hAnsi="仿宋_GB2312" w:eastAsia="仿宋_GB2312" w:cs="仿宋_GB2312"/>
          <w:sz w:val="18"/>
          <w:szCs w:val="18"/>
          <w:u w:val="single"/>
        </w:rPr>
        <w:t>按违约金人民币2000元/天从结算款中扣除</w:t>
      </w:r>
      <w:r>
        <w:rPr>
          <w:rFonts w:hint="eastAsia" w:ascii="仿宋_GB2312" w:hAnsi="仿宋_GB2312" w:eastAsia="仿宋_GB2312" w:cs="仿宋_GB2312"/>
          <w:color w:val="000000"/>
          <w:sz w:val="18"/>
          <w:szCs w:val="18"/>
        </w:rPr>
        <w:t>。</w:t>
      </w:r>
    </w:p>
    <w:p w14:paraId="4BB3597E">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承包人擅自更换项目经理的违约责任：</w:t>
      </w:r>
    </w:p>
    <w:p w14:paraId="520CAAE7">
      <w:pPr>
        <w:ind w:firstLine="361" w:firstLineChars="200"/>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（1）</w:t>
      </w:r>
      <w:r>
        <w:rPr>
          <w:rFonts w:hint="eastAsia" w:ascii="仿宋_GB2312" w:hAnsi="仿宋_GB2312" w:eastAsia="仿宋_GB2312" w:cs="仿宋_GB2312"/>
          <w:b/>
          <w:kern w:val="0"/>
          <w:sz w:val="18"/>
          <w:szCs w:val="18"/>
        </w:rPr>
        <w:t>承包人确需更换项目经理的，继任项目经理注册执业资格、管理经验的约定：</w:t>
      </w:r>
      <w:r>
        <w:rPr>
          <w:rFonts w:hint="eastAsia" w:ascii="仿宋_GB2312" w:hAnsi="仿宋_GB2312" w:eastAsia="仿宋_GB2312" w:cs="仿宋_GB2312"/>
          <w:b/>
          <w:kern w:val="0"/>
          <w:sz w:val="18"/>
          <w:szCs w:val="18"/>
          <w:u w:val="single"/>
        </w:rPr>
        <w:t>不得低于原项目经理的注册执业资格、管理经验</w:t>
      </w:r>
      <w:r>
        <w:rPr>
          <w:rFonts w:hint="eastAsia" w:ascii="仿宋_GB2312" w:hAnsi="仿宋_GB2312" w:eastAsia="仿宋_GB2312" w:cs="仿宋_GB2312"/>
          <w:b/>
          <w:bCs/>
          <w:color w:val="000000"/>
          <w:sz w:val="18"/>
          <w:szCs w:val="18"/>
          <w:u w:val="single"/>
        </w:rPr>
        <w:t>且需提前7日书面通知发包人</w:t>
      </w:r>
      <w:r>
        <w:rPr>
          <w:rFonts w:hint="eastAsia" w:ascii="仿宋_GB2312" w:hAnsi="仿宋_GB2312" w:eastAsia="仿宋_GB2312" w:cs="仿宋_GB2312"/>
          <w:b/>
          <w:kern w:val="0"/>
          <w:sz w:val="18"/>
          <w:szCs w:val="18"/>
        </w:rPr>
        <w:t>。</w:t>
      </w:r>
    </w:p>
    <w:p w14:paraId="36B24C84">
      <w:pP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 xml:space="preserve">   （2）</w:t>
      </w:r>
      <w:r>
        <w:rPr>
          <w:rFonts w:hint="eastAsia" w:ascii="仿宋_GB2312" w:hAnsi="仿宋_GB2312" w:eastAsia="仿宋_GB2312" w:cs="仿宋_GB2312"/>
          <w:sz w:val="18"/>
          <w:szCs w:val="18"/>
        </w:rPr>
        <w:t>承包人擅自更换项目经理的违约责任：</w:t>
      </w:r>
      <w:r>
        <w:rPr>
          <w:rFonts w:hint="eastAsia" w:ascii="仿宋_GB2312" w:hAnsi="仿宋_GB2312" w:eastAsia="仿宋_GB2312" w:cs="仿宋_GB2312"/>
          <w:sz w:val="18"/>
          <w:szCs w:val="18"/>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仿宋_GB2312" w:hAnsi="仿宋_GB2312" w:eastAsia="仿宋_GB2312" w:cs="仿宋_GB2312"/>
          <w:sz w:val="18"/>
          <w:szCs w:val="18"/>
        </w:rPr>
        <w:t>。</w:t>
      </w:r>
    </w:p>
    <w:p w14:paraId="15CE152F">
      <w:pPr>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3.2.</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承包人无正当理由拒绝更换项目经理的违约责任：</w:t>
      </w:r>
      <w:r>
        <w:rPr>
          <w:rFonts w:hint="eastAsia" w:ascii="仿宋_GB2312" w:hAnsi="仿宋_GB2312" w:eastAsia="仿宋_GB2312" w:cs="仿宋_GB2312"/>
          <w:sz w:val="18"/>
          <w:szCs w:val="18"/>
          <w:u w:val="single"/>
        </w:rPr>
        <w:t>从结算款中扣除5万元/人/次的违约金</w:t>
      </w:r>
      <w:r>
        <w:rPr>
          <w:rFonts w:hint="eastAsia" w:ascii="仿宋_GB2312" w:hAnsi="仿宋_GB2312" w:eastAsia="仿宋_GB2312" w:cs="仿宋_GB2312"/>
          <w:color w:val="000000"/>
          <w:sz w:val="18"/>
          <w:szCs w:val="18"/>
        </w:rPr>
        <w:t>。</w:t>
      </w:r>
    </w:p>
    <w:p w14:paraId="4D097079">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3.3 承包人人员</w:t>
      </w:r>
    </w:p>
    <w:p w14:paraId="76B3983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3.3.1 承包人提交项目管理机构及施工现场管理人员安排报告的期限：</w:t>
      </w:r>
      <w:r>
        <w:rPr>
          <w:rFonts w:hint="eastAsia" w:ascii="仿宋_GB2312" w:hAnsi="仿宋_GB2312" w:eastAsia="仿宋_GB2312" w:cs="仿宋_GB2312"/>
          <w:sz w:val="18"/>
          <w:szCs w:val="18"/>
          <w:u w:val="single"/>
        </w:rPr>
        <w:t>合同生效后7天内</w:t>
      </w:r>
      <w:r>
        <w:rPr>
          <w:rFonts w:hint="eastAsia" w:ascii="仿宋_GB2312" w:hAnsi="仿宋_GB2312" w:eastAsia="仿宋_GB2312" w:cs="仿宋_GB2312"/>
          <w:color w:val="000000"/>
          <w:sz w:val="18"/>
          <w:szCs w:val="18"/>
        </w:rPr>
        <w:t>。</w:t>
      </w:r>
    </w:p>
    <w:p w14:paraId="2B0FA1C4">
      <w:pPr>
        <w:ind w:firstLine="361" w:firstLineChars="200"/>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3.3.2 承包人需更换主要施工管理人员的，继任人员的数量、注册执业资格、管理经验的约定：</w:t>
      </w:r>
      <w:r>
        <w:rPr>
          <w:rFonts w:hint="eastAsia" w:ascii="仿宋_GB2312" w:hAnsi="仿宋_GB2312" w:eastAsia="仿宋_GB2312" w:cs="仿宋_GB2312"/>
          <w:b/>
          <w:color w:val="000000"/>
          <w:sz w:val="18"/>
          <w:szCs w:val="18"/>
          <w:u w:val="single"/>
        </w:rPr>
        <w:t>不得低于原主要施工管理人员的数量、注册执业资格、管理经验。</w:t>
      </w:r>
    </w:p>
    <w:p w14:paraId="32CF7E6B">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3.3.3 承包人无正当理由拒绝撤换主要施工管理人员的违约责任：</w:t>
      </w:r>
      <w:r>
        <w:rPr>
          <w:rFonts w:hint="eastAsia" w:ascii="仿宋_GB2312" w:hAnsi="仿宋_GB2312" w:eastAsia="仿宋_GB2312" w:cs="仿宋_GB2312"/>
          <w:color w:val="000000"/>
          <w:sz w:val="18"/>
          <w:szCs w:val="18"/>
          <w:u w:val="single"/>
        </w:rPr>
        <w:t>从结算款中扣除2万元/人/次的违约金。</w:t>
      </w:r>
    </w:p>
    <w:p w14:paraId="41FD571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3.3.4 承包人主要施工管理人员离开施工现场的批准要求：</w:t>
      </w:r>
      <w:r>
        <w:rPr>
          <w:rFonts w:hint="eastAsia" w:ascii="仿宋_GB2312" w:hAnsi="仿宋_GB2312" w:eastAsia="仿宋_GB2312" w:cs="仿宋_GB2312"/>
          <w:color w:val="000000"/>
          <w:sz w:val="18"/>
          <w:szCs w:val="18"/>
          <w:u w:val="single"/>
        </w:rPr>
        <w:t>按通用条款执行</w:t>
      </w:r>
      <w:r>
        <w:rPr>
          <w:rFonts w:hint="eastAsia" w:ascii="仿宋_GB2312" w:hAnsi="仿宋_GB2312" w:eastAsia="仿宋_GB2312" w:cs="仿宋_GB2312"/>
          <w:color w:val="000000"/>
          <w:sz w:val="18"/>
          <w:szCs w:val="18"/>
        </w:rPr>
        <w:t>。</w:t>
      </w:r>
    </w:p>
    <w:p w14:paraId="760840E3">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3.3.5承包人擅自更换主要施工管理人员的违约责任：</w:t>
      </w:r>
      <w:r>
        <w:rPr>
          <w:rFonts w:hint="eastAsia" w:ascii="仿宋_GB2312" w:hAnsi="仿宋_GB2312" w:eastAsia="仿宋_GB2312" w:cs="仿宋_GB2312"/>
          <w:sz w:val="18"/>
          <w:szCs w:val="18"/>
          <w:u w:val="single"/>
        </w:rPr>
        <w:t>在施工期间不准更换，特殊情况要求更换的，须经发包人同意备案。承包人更换技术负责人、施工员的将被视为承包人违约，并按照2000元/人/次付给发包人违约金</w:t>
      </w:r>
      <w:r>
        <w:rPr>
          <w:rFonts w:hint="eastAsia" w:ascii="仿宋_GB2312" w:hAnsi="仿宋_GB2312" w:eastAsia="仿宋_GB2312" w:cs="仿宋_GB2312"/>
          <w:sz w:val="18"/>
          <w:szCs w:val="18"/>
        </w:rPr>
        <w:t>。</w:t>
      </w:r>
    </w:p>
    <w:p w14:paraId="2612BC84">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US" w:eastAsia="zh-CN"/>
        </w:rPr>
        <w:t>3.3.6</w:t>
      </w:r>
      <w:r>
        <w:rPr>
          <w:rFonts w:hint="eastAsia" w:ascii="仿宋_GB2312" w:hAnsi="仿宋_GB2312" w:eastAsia="仿宋_GB2312" w:cs="仿宋_GB2312"/>
          <w:color w:val="000000"/>
          <w:sz w:val="18"/>
          <w:szCs w:val="18"/>
        </w:rPr>
        <w:t>承包人主要施工管理人员擅自离开施工现场的违约责任：</w:t>
      </w:r>
      <w:r>
        <w:rPr>
          <w:rFonts w:hint="eastAsia" w:ascii="仿宋_GB2312" w:hAnsi="仿宋_GB2312" w:eastAsia="仿宋_GB2312" w:cs="仿宋_GB2312"/>
          <w:sz w:val="18"/>
          <w:szCs w:val="18"/>
          <w:u w:val="single"/>
        </w:rPr>
        <w:t>若技术负责人、施工员出勤率不足投标承诺，支付违约金1000元人民币/天/人；安全员、质检员、材料员出勤率不足投标承诺，支付违约金800元人民币/天/人</w:t>
      </w:r>
      <w:r>
        <w:rPr>
          <w:rFonts w:hint="eastAsia" w:ascii="仿宋_GB2312" w:hAnsi="仿宋_GB2312" w:eastAsia="仿宋_GB2312" w:cs="仿宋_GB2312"/>
          <w:sz w:val="18"/>
          <w:szCs w:val="18"/>
        </w:rPr>
        <w:t>。</w:t>
      </w:r>
    </w:p>
    <w:p w14:paraId="4D1DCBC9">
      <w:pPr>
        <w:ind w:firstLine="360" w:firstLineChars="200"/>
        <w:rPr>
          <w:highlight w:val="cyan"/>
        </w:rPr>
      </w:pPr>
      <w:r>
        <w:rPr>
          <w:rFonts w:hint="eastAsia" w:ascii="仿宋_GB2312" w:hAnsi="仿宋_GB2312" w:eastAsia="仿宋_GB2312" w:cs="仿宋_GB2312"/>
          <w:color w:val="000000"/>
          <w:sz w:val="18"/>
          <w:szCs w:val="18"/>
          <w:highlight w:val="cyan"/>
          <w:lang w:val="en-US" w:eastAsia="zh-CN"/>
        </w:rPr>
        <w:t>3.3.7</w:t>
      </w:r>
      <w:r>
        <w:rPr>
          <w:rFonts w:hint="eastAsia" w:ascii="仿宋_GB2312" w:hAnsi="仿宋_GB2312" w:eastAsia="仿宋_GB2312" w:cs="仿宋_GB2312"/>
          <w:color w:val="000000"/>
          <w:sz w:val="18"/>
          <w:szCs w:val="18"/>
          <w:highlight w:val="cyan"/>
        </w:rPr>
        <w:t>承包人</w:t>
      </w:r>
      <w:r>
        <w:rPr>
          <w:rFonts w:hint="eastAsia" w:ascii="仿宋_GB2312" w:hAnsi="仿宋_GB2312" w:eastAsia="仿宋_GB2312" w:cs="仿宋_GB2312"/>
          <w:color w:val="000000"/>
          <w:sz w:val="18"/>
          <w:szCs w:val="18"/>
          <w:highlight w:val="cyan"/>
          <w:lang w:val="en-US" w:eastAsia="zh-CN"/>
        </w:rPr>
        <w:t>应确保工程现场项目经理、技术负责人等实际管理人员与投标文件内容一致，并对所提交的施工组织设计、专项方案等资料进行仔细核对，若出现现场实际人员与投标文件不一致，或相关资料上出现负责人于投标文件不一致的，发包人可将上述行为视为承包人未经发包人同意擅自更换项目经理，有权对承包人进行相应处罚。</w:t>
      </w:r>
    </w:p>
    <w:p w14:paraId="3BE9208A">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bookmarkStart w:id="900" w:name="_Toc297216151"/>
      <w:bookmarkStart w:id="901" w:name="_Toc296346660"/>
      <w:bookmarkStart w:id="902" w:name="_Toc296503159"/>
      <w:bookmarkStart w:id="903" w:name="_Toc297123492"/>
      <w:bookmarkStart w:id="904" w:name="_Toc312677988"/>
      <w:bookmarkStart w:id="905" w:name="_Toc300934945"/>
      <w:bookmarkStart w:id="906" w:name="_Toc297048345"/>
      <w:bookmarkStart w:id="907" w:name="_Toc296890987"/>
      <w:bookmarkStart w:id="908" w:name="_Toc292559869"/>
      <w:bookmarkStart w:id="909" w:name="_Toc292559364"/>
      <w:bookmarkStart w:id="910" w:name="_Toc297120459"/>
      <w:bookmarkStart w:id="911" w:name="_Toc296347158"/>
      <w:bookmarkStart w:id="912" w:name="_Toc296944498"/>
      <w:bookmarkStart w:id="913" w:name="_Toc304295523"/>
      <w:bookmarkStart w:id="914" w:name="_Toc296891199"/>
      <w:bookmarkStart w:id="915" w:name="_Toc303539102"/>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 xml:space="preserve"> 分包</w:t>
      </w:r>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79A62A07">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w:t>
      </w:r>
      <w:bookmarkStart w:id="916" w:name="_Toc296346661"/>
      <w:bookmarkStart w:id="917" w:name="_Toc292559365"/>
      <w:bookmarkStart w:id="918" w:name="_Toc297048346"/>
      <w:bookmarkStart w:id="919" w:name="_Toc292559870"/>
      <w:bookmarkStart w:id="920" w:name="_Toc297123493"/>
      <w:bookmarkStart w:id="921" w:name="_Toc296944499"/>
      <w:bookmarkStart w:id="922" w:name="_Toc297120460"/>
      <w:bookmarkStart w:id="923" w:name="_Toc303539103"/>
      <w:bookmarkStart w:id="924" w:name="_Toc304295524"/>
      <w:bookmarkStart w:id="925" w:name="_Toc296890988"/>
      <w:bookmarkStart w:id="926" w:name="_Toc296347159"/>
      <w:bookmarkStart w:id="927" w:name="_Toc300934946"/>
      <w:bookmarkStart w:id="928" w:name="_Toc296503160"/>
      <w:bookmarkStart w:id="929" w:name="_Toc296891200"/>
      <w:bookmarkStart w:id="930" w:name="_Toc297216152"/>
      <w:bookmarkStart w:id="931" w:name="_Toc318581158"/>
      <w:bookmarkStart w:id="932" w:name="_Toc312677989"/>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.1 分包的一般约定</w:t>
      </w:r>
    </w:p>
    <w:p w14:paraId="0547C0ED">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禁止分包的工程包括：</w:t>
      </w:r>
      <w:r>
        <w:rPr>
          <w:rFonts w:hint="eastAsia" w:ascii="仿宋_GB2312" w:hAnsi="仿宋_GB2312" w:eastAsia="仿宋_GB2312" w:cs="仿宋_GB2312"/>
          <w:sz w:val="18"/>
          <w:szCs w:val="18"/>
          <w:u w:val="single"/>
        </w:rPr>
        <w:t>主体结构、关键性工作</w:t>
      </w:r>
      <w:r>
        <w:rPr>
          <w:rFonts w:hint="eastAsia" w:ascii="仿宋_GB2312" w:hAnsi="仿宋_GB2312" w:eastAsia="仿宋_GB2312" w:cs="仿宋_GB2312"/>
          <w:color w:val="000000"/>
          <w:sz w:val="18"/>
          <w:szCs w:val="18"/>
        </w:rPr>
        <w:t>。</w:t>
      </w:r>
    </w:p>
    <w:p w14:paraId="144FA181">
      <w:pPr>
        <w:ind w:firstLine="360" w:firstLineChars="200"/>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sz w:val="18"/>
          <w:szCs w:val="18"/>
        </w:rPr>
        <w:t>主体结构、关键性工作的范围：</w:t>
      </w:r>
      <w:r>
        <w:rPr>
          <w:rFonts w:hint="eastAsia" w:ascii="仿宋_GB2312" w:hAnsi="仿宋_GB2312" w:eastAsia="仿宋_GB2312" w:cs="仿宋_GB2312"/>
          <w:sz w:val="18"/>
          <w:szCs w:val="18"/>
          <w:u w:val="single"/>
        </w:rPr>
        <w:t>发生时双方协商确定</w:t>
      </w:r>
      <w:r>
        <w:rPr>
          <w:rFonts w:hint="eastAsia" w:ascii="仿宋_GB2312" w:hAnsi="仿宋_GB2312" w:eastAsia="仿宋_GB2312" w:cs="仿宋_GB2312"/>
          <w:color w:val="000000"/>
          <w:sz w:val="18"/>
          <w:szCs w:val="18"/>
        </w:rPr>
        <w: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Start w:id="933" w:name="_Toc296891201"/>
      <w:bookmarkStart w:id="934" w:name="_Toc296503161"/>
      <w:bookmarkStart w:id="935" w:name="_Toc304295525"/>
      <w:bookmarkStart w:id="936" w:name="_Toc297048347"/>
      <w:bookmarkStart w:id="937" w:name="_Toc296347160"/>
      <w:bookmarkStart w:id="938" w:name="_Toc296890989"/>
      <w:bookmarkStart w:id="939" w:name="_Toc297120461"/>
      <w:bookmarkStart w:id="940" w:name="_Toc297216153"/>
      <w:bookmarkStart w:id="941" w:name="_Toc303539104"/>
      <w:bookmarkStart w:id="942" w:name="_Toc300934947"/>
      <w:bookmarkStart w:id="943" w:name="_Toc296944500"/>
      <w:bookmarkStart w:id="944" w:name="_Toc296346662"/>
      <w:bookmarkStart w:id="945" w:name="_Toc297123494"/>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14:paraId="2D483208">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3</w:t>
      </w:r>
      <w:bookmarkStart w:id="946" w:name="_Toc312677990"/>
      <w:bookmarkStart w:id="947" w:name="_Toc318581159"/>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.2分包的确定</w:t>
      </w:r>
    </w:p>
    <w:p w14:paraId="3F5B094B">
      <w:pPr>
        <w:ind w:firstLine="360" w:firstLineChars="200"/>
        <w:rPr>
          <w:rFonts w:ascii="仿宋_GB2312" w:hAnsi="仿宋_GB2312" w:eastAsia="仿宋_GB2312" w:cs="仿宋_GB2312"/>
          <w:color w:val="000000"/>
          <w:sz w:val="18"/>
          <w:szCs w:val="18"/>
          <w:u w:val="single"/>
        </w:rPr>
      </w:pPr>
      <w:r>
        <w:rPr>
          <w:rFonts w:hint="eastAsia" w:ascii="仿宋_GB2312" w:hAnsi="仿宋_GB2312" w:eastAsia="仿宋_GB2312" w:cs="仿宋_GB2312"/>
          <w:sz w:val="18"/>
          <w:szCs w:val="18"/>
        </w:rPr>
        <w:t>允许分包的专业工程包括：</w:t>
      </w:r>
      <w:r>
        <w:rPr>
          <w:rFonts w:hint="eastAsia" w:ascii="仿宋_GB2312" w:hAnsi="仿宋_GB2312" w:eastAsia="仿宋_GB2312" w:cs="仿宋_GB2312"/>
          <w:sz w:val="18"/>
          <w:szCs w:val="18"/>
          <w:u w:val="single"/>
        </w:rPr>
        <w:t>未经发包人同意，承包人不得将承包工程的任何部分分包，如发现擅自分包，除立即取消分包人的分包资格外，承包人还应按合同价的10%向发包人支付违约金</w:t>
      </w:r>
      <w:r>
        <w:rPr>
          <w:rFonts w:hint="eastAsia" w:ascii="仿宋_GB2312" w:hAnsi="仿宋_GB2312" w:eastAsia="仿宋_GB2312" w:cs="仿宋_GB2312"/>
          <w:color w:val="000000"/>
          <w:sz w:val="18"/>
          <w:szCs w:val="18"/>
        </w:rPr>
        <w:t>。</w:t>
      </w:r>
    </w:p>
    <w:p w14:paraId="58D21DC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其他关于分包的约定：</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color w:val="000000"/>
          <w:sz w:val="18"/>
          <w:szCs w:val="18"/>
        </w:rPr>
        <w:t>。</w:t>
      </w:r>
    </w:p>
    <w:p w14:paraId="4D2EE80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 xml:space="preserve"> 分包合同价款</w:t>
      </w:r>
    </w:p>
    <w:p w14:paraId="7612583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关于分包合同价款支付的约定：</w:t>
      </w:r>
      <w:r>
        <w:rPr>
          <w:rFonts w:hint="eastAsia" w:ascii="仿宋_GB2312" w:hAnsi="仿宋_GB2312" w:eastAsia="仿宋_GB2312" w:cs="仿宋_GB2312"/>
          <w:b/>
          <w:sz w:val="18"/>
          <w:szCs w:val="18"/>
          <w:u w:val="single"/>
        </w:rPr>
        <w:t></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bookmarkEnd w:id="946"/>
    <w:bookmarkEnd w:id="947"/>
    <w:p w14:paraId="332A137A">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（实行分包单位农民工工资委托施工总承包单位代发制度）。</w:t>
      </w:r>
    </w:p>
    <w:p w14:paraId="1D38199B">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 xml:space="preserve"> 工程照管与成品、半成品保护</w:t>
      </w:r>
    </w:p>
    <w:p w14:paraId="097D9D97">
      <w:pPr>
        <w:spacing w:before="120" w:after="120"/>
        <w:ind w:firstLine="360" w:firstLineChars="200"/>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kern w:val="0"/>
          <w:sz w:val="18"/>
          <w:szCs w:val="18"/>
        </w:rPr>
        <w:t>承包人负责照管工程及工程相关的材料、工程设备的起始时间：</w:t>
      </w:r>
      <w:r>
        <w:rPr>
          <w:rFonts w:hint="eastAsia" w:ascii="仿宋_GB2312" w:hAnsi="仿宋_GB2312" w:eastAsia="仿宋_GB2312" w:cs="仿宋_GB2312"/>
          <w:kern w:val="0"/>
          <w:sz w:val="18"/>
          <w:szCs w:val="18"/>
          <w:u w:val="single"/>
        </w:rPr>
        <w:t>按通用条款执行</w:t>
      </w:r>
      <w:r>
        <w:rPr>
          <w:rFonts w:hint="eastAsia" w:ascii="仿宋_GB2312" w:hAnsi="仿宋_GB2312" w:eastAsia="仿宋_GB2312" w:cs="仿宋_GB2312"/>
          <w:color w:val="000000"/>
          <w:kern w:val="0"/>
          <w:sz w:val="18"/>
          <w:szCs w:val="18"/>
        </w:rPr>
        <w:t>。</w:t>
      </w:r>
    </w:p>
    <w:p w14:paraId="32486CD6">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color w:val="000000"/>
          <w:sz w:val="18"/>
          <w:szCs w:val="18"/>
          <w:lang w:val="en-US" w:eastAsia="zh-CN"/>
        </w:rPr>
        <w:t>6</w:t>
      </w:r>
      <w:r>
        <w:rPr>
          <w:rFonts w:hint="eastAsia" w:ascii="仿宋_GB2312" w:hAnsi="仿宋_GB2312" w:eastAsia="仿宋_GB2312" w:cs="仿宋_GB2312"/>
          <w:color w:val="000000"/>
          <w:sz w:val="18"/>
          <w:szCs w:val="18"/>
        </w:rPr>
        <w:t xml:space="preserve"> 履约担保</w:t>
      </w:r>
    </w:p>
    <w:p w14:paraId="71942E41">
      <w:pPr>
        <w:ind w:firstLine="361"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b/>
          <w:bCs/>
          <w:color w:val="000000"/>
          <w:sz w:val="18"/>
          <w:szCs w:val="18"/>
          <w:highlight w:val="none"/>
        </w:rPr>
        <w:t>承包人是否提供履约担保：</w:t>
      </w:r>
      <w:r>
        <w:rPr>
          <w:rFonts w:hint="eastAsia" w:ascii="仿宋_GB2312" w:hAnsi="仿宋_GB2312" w:eastAsia="仿宋_GB2312" w:cs="仿宋_GB2312"/>
          <w:b/>
          <w:bCs/>
          <w:kern w:val="0"/>
          <w:sz w:val="18"/>
          <w:szCs w:val="18"/>
          <w:highlight w:val="none"/>
          <w:u w:val="single"/>
        </w:rPr>
        <w:t>在合同签订前，提交合同价款2%的</w:t>
      </w:r>
      <w:r>
        <w:rPr>
          <w:rFonts w:hint="eastAsia" w:ascii="仿宋_GB2312" w:hAnsi="仿宋_GB2312" w:eastAsia="仿宋_GB2312" w:cs="仿宋_GB2312"/>
          <w:b/>
          <w:bCs/>
          <w:kern w:val="0"/>
          <w:sz w:val="18"/>
          <w:szCs w:val="18"/>
          <w:highlight w:val="none"/>
          <w:u w:val="single"/>
          <w:lang w:val="en-US" w:eastAsia="zh-CN"/>
        </w:rPr>
        <w:t>履约保证金或</w:t>
      </w:r>
      <w:r>
        <w:rPr>
          <w:rFonts w:hint="eastAsia" w:ascii="仿宋_GB2312" w:hAnsi="仿宋_GB2312" w:eastAsia="仿宋_GB2312" w:cs="仿宋_GB2312"/>
          <w:b/>
          <w:bCs/>
          <w:kern w:val="0"/>
          <w:sz w:val="18"/>
          <w:szCs w:val="18"/>
          <w:highlight w:val="none"/>
          <w:u w:val="single"/>
        </w:rPr>
        <w:t>履约保函及投标风险保证金（若有</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color w:val="000000"/>
          <w:sz w:val="18"/>
          <w:szCs w:val="18"/>
          <w:highlight w:val="none"/>
        </w:rPr>
        <w:t>。</w:t>
      </w:r>
    </w:p>
    <w:p w14:paraId="3B70071E">
      <w:pPr>
        <w:ind w:firstLine="361" w:firstLineChars="200"/>
        <w:jc w:val="left"/>
        <w:rPr>
          <w:rFonts w:ascii="仿宋_GB2312" w:hAnsi="仿宋_GB2312" w:eastAsia="仿宋_GB2312" w:cs="仿宋_GB2312"/>
          <w:color w:val="000000"/>
          <w:sz w:val="18"/>
          <w:szCs w:val="18"/>
          <w:highlight w:val="cyan"/>
        </w:rPr>
      </w:pPr>
      <w:r>
        <w:rPr>
          <w:rFonts w:hint="eastAsia" w:ascii="仿宋_GB2312" w:hAnsi="仿宋_GB2312" w:eastAsia="仿宋_GB2312" w:cs="仿宋_GB2312"/>
          <w:b/>
          <w:color w:val="000000"/>
          <w:sz w:val="18"/>
          <w:szCs w:val="18"/>
          <w:highlight w:val="cyan"/>
        </w:rPr>
        <w:t>承包人提供履约担保的形式、金额及期限的：</w:t>
      </w:r>
      <w:r>
        <w:rPr>
          <w:rFonts w:hint="eastAsia" w:ascii="仿宋_GB2312" w:hAnsi="仿宋_GB2312" w:eastAsia="仿宋_GB2312" w:cs="仿宋_GB2312"/>
          <w:b/>
          <w:kern w:val="0"/>
          <w:sz w:val="18"/>
          <w:szCs w:val="18"/>
          <w:highlight w:val="cyan"/>
          <w:u w:val="single"/>
        </w:rPr>
        <w:t>在合同生效前，中标人应按中标价的2%的金额以转账支票、电汇</w:t>
      </w:r>
      <w:r>
        <w:rPr>
          <w:rFonts w:hint="eastAsia" w:ascii="仿宋_GB2312" w:hAnsi="仿宋_GB2312" w:eastAsia="仿宋_GB2312" w:cs="仿宋_GB2312"/>
          <w:b/>
          <w:kern w:val="0"/>
          <w:sz w:val="18"/>
          <w:szCs w:val="18"/>
          <w:highlight w:val="cyan"/>
          <w:u w:val="single"/>
          <w:lang w:eastAsia="zh-CN"/>
        </w:rPr>
        <w:t>、</w:t>
      </w:r>
      <w:r>
        <w:rPr>
          <w:rFonts w:hint="eastAsia" w:ascii="仿宋_GB2312" w:hAnsi="仿宋_GB2312" w:eastAsia="仿宋_GB2312" w:cs="仿宋_GB2312"/>
          <w:b/>
          <w:kern w:val="0"/>
          <w:sz w:val="18"/>
          <w:szCs w:val="18"/>
          <w:highlight w:val="cyan"/>
          <w:u w:val="single"/>
        </w:rPr>
        <w:t>银行保函</w:t>
      </w:r>
      <w:r>
        <w:rPr>
          <w:rFonts w:hint="eastAsia" w:ascii="仿宋_GB2312" w:hAnsi="仿宋_GB2312" w:eastAsia="仿宋_GB2312" w:cs="仿宋_GB2312"/>
          <w:b/>
          <w:kern w:val="0"/>
          <w:sz w:val="18"/>
          <w:szCs w:val="18"/>
          <w:highlight w:val="cyan"/>
          <w:u w:val="single"/>
          <w:lang w:eastAsia="zh-CN"/>
        </w:rPr>
        <w:t>、</w:t>
      </w:r>
      <w:r>
        <w:rPr>
          <w:rFonts w:hint="eastAsia" w:ascii="仿宋_GB2312" w:hAnsi="仿宋_GB2312" w:eastAsia="仿宋_GB2312" w:cs="仿宋_GB2312"/>
          <w:b/>
          <w:kern w:val="0"/>
          <w:sz w:val="18"/>
          <w:szCs w:val="18"/>
          <w:highlight w:val="cyan"/>
          <w:u w:val="single"/>
          <w:lang w:val="en-US" w:eastAsia="zh-CN"/>
        </w:rPr>
        <w:t>保险机构保证保险保单或融资担保公司保函</w:t>
      </w:r>
      <w:r>
        <w:rPr>
          <w:rFonts w:hint="eastAsia" w:ascii="仿宋_GB2312" w:hAnsi="仿宋_GB2312" w:eastAsia="仿宋_GB2312" w:cs="仿宋_GB2312"/>
          <w:b/>
          <w:kern w:val="0"/>
          <w:sz w:val="18"/>
          <w:szCs w:val="18"/>
          <w:highlight w:val="cyan"/>
          <w:u w:val="single"/>
        </w:rPr>
        <w:t>的形式向发包人提交履约担保，保函期限为合同工期加6个月（实际时间自工程开工之日起至工程决算送审）</w:t>
      </w:r>
      <w:r>
        <w:rPr>
          <w:rFonts w:hint="eastAsia" w:ascii="仿宋_GB2312" w:hAnsi="仿宋_GB2312" w:eastAsia="仿宋_GB2312" w:cs="仿宋_GB2312"/>
          <w:color w:val="000000"/>
          <w:sz w:val="18"/>
          <w:szCs w:val="18"/>
          <w:highlight w:val="cyan"/>
        </w:rPr>
        <w:t>。</w:t>
      </w:r>
    </w:p>
    <w:p w14:paraId="3636164B">
      <w:pPr>
        <w:ind w:firstLine="361" w:firstLineChars="200"/>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若承包人未提供履约担保，则发包人有权拒付工程款（包括预付款）。</w:t>
      </w:r>
    </w:p>
    <w:p w14:paraId="32865BB4">
      <w:pPr>
        <w:pStyle w:val="5"/>
        <w:spacing w:before="120" w:after="120" w:line="240" w:lineRule="auto"/>
        <w:rPr>
          <w:rFonts w:ascii="仿宋_GB2312" w:hAnsi="仿宋_GB2312" w:eastAsia="仿宋_GB2312" w:cs="仿宋_GB2312"/>
          <w:b w:val="0"/>
          <w:color w:val="000000"/>
          <w:sz w:val="18"/>
          <w:szCs w:val="18"/>
        </w:rPr>
      </w:pPr>
      <w:bookmarkStart w:id="948" w:name="_Toc351203636"/>
      <w:r>
        <w:rPr>
          <w:rFonts w:hint="eastAsia" w:ascii="仿宋_GB2312" w:hAnsi="仿宋_GB2312" w:eastAsia="仿宋_GB2312" w:cs="仿宋_GB2312"/>
          <w:b w:val="0"/>
          <w:color w:val="000000"/>
          <w:sz w:val="18"/>
          <w:szCs w:val="18"/>
        </w:rPr>
        <w:t>4</w:t>
      </w:r>
      <w:bookmarkStart w:id="949" w:name="_Toc296347161"/>
      <w:bookmarkStart w:id="950" w:name="_Toc292559871"/>
      <w:bookmarkStart w:id="951" w:name="_Toc292559366"/>
      <w:bookmarkStart w:id="952" w:name="_Toc296891202"/>
      <w:bookmarkStart w:id="953" w:name="_Toc297048348"/>
      <w:bookmarkStart w:id="954" w:name="_Toc296944501"/>
      <w:bookmarkStart w:id="955" w:name="_Toc297120462"/>
      <w:bookmarkStart w:id="956" w:name="_Toc296890990"/>
      <w:bookmarkStart w:id="957" w:name="_Toc296503162"/>
      <w:bookmarkStart w:id="958" w:name="_Toc296346663"/>
      <w:bookmarkStart w:id="959" w:name="_Toc267251413"/>
      <w:r>
        <w:rPr>
          <w:rFonts w:hint="eastAsia" w:ascii="仿宋_GB2312" w:hAnsi="仿宋_GB2312" w:eastAsia="仿宋_GB2312" w:cs="仿宋_GB2312"/>
          <w:b w:val="0"/>
          <w:color w:val="000000"/>
          <w:sz w:val="18"/>
          <w:szCs w:val="18"/>
        </w:rPr>
        <w:t>. 监</w:t>
      </w:r>
      <w:bookmarkEnd w:id="949"/>
      <w:bookmarkEnd w:id="950"/>
      <w:bookmarkEnd w:id="951"/>
      <w:bookmarkEnd w:id="952"/>
      <w:bookmarkEnd w:id="953"/>
      <w:bookmarkEnd w:id="954"/>
      <w:bookmarkEnd w:id="955"/>
      <w:bookmarkEnd w:id="956"/>
      <w:bookmarkEnd w:id="957"/>
      <w:bookmarkEnd w:id="958"/>
      <w:bookmarkEnd w:id="959"/>
      <w:r>
        <w:rPr>
          <w:rFonts w:hint="eastAsia" w:ascii="仿宋_GB2312" w:hAnsi="仿宋_GB2312" w:eastAsia="仿宋_GB2312" w:cs="仿宋_GB2312"/>
          <w:b w:val="0"/>
          <w:color w:val="000000"/>
          <w:sz w:val="18"/>
          <w:szCs w:val="18"/>
        </w:rPr>
        <w:t>理人</w:t>
      </w:r>
      <w:bookmarkEnd w:id="948"/>
    </w:p>
    <w:p w14:paraId="6C417709">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4.1监理人的一般规定</w:t>
      </w:r>
    </w:p>
    <w:p w14:paraId="6702F62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关于监理人的监理内容：</w:t>
      </w:r>
      <w:r>
        <w:rPr>
          <w:rFonts w:hint="eastAsia" w:ascii="仿宋_GB2312" w:hAnsi="仿宋_GB2312" w:eastAsia="仿宋_GB2312" w:cs="仿宋_GB2312"/>
          <w:sz w:val="18"/>
          <w:szCs w:val="18"/>
          <w:u w:val="single"/>
        </w:rPr>
        <w:t>按监理合同约定实行</w:t>
      </w:r>
      <w:r>
        <w:rPr>
          <w:rFonts w:hint="eastAsia" w:ascii="仿宋_GB2312" w:hAnsi="仿宋_GB2312" w:eastAsia="仿宋_GB2312" w:cs="仿宋_GB2312"/>
          <w:color w:val="000000"/>
          <w:sz w:val="18"/>
          <w:szCs w:val="18"/>
        </w:rPr>
        <w:t>。</w:t>
      </w:r>
    </w:p>
    <w:p w14:paraId="29501C9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关于监理人的监理权限：</w:t>
      </w:r>
      <w:r>
        <w:rPr>
          <w:rFonts w:hint="eastAsia" w:ascii="仿宋_GB2312" w:hAnsi="仿宋_GB2312" w:eastAsia="仿宋_GB2312" w:cs="仿宋_GB2312"/>
          <w:sz w:val="18"/>
          <w:szCs w:val="18"/>
          <w:u w:val="single"/>
        </w:rPr>
        <w:t>按监理合同约定实行</w:t>
      </w:r>
      <w:r>
        <w:rPr>
          <w:rFonts w:hint="eastAsia" w:ascii="仿宋_GB2312" w:hAnsi="仿宋_GB2312" w:eastAsia="仿宋_GB2312" w:cs="仿宋_GB2312"/>
          <w:color w:val="000000"/>
          <w:sz w:val="18"/>
          <w:szCs w:val="18"/>
        </w:rPr>
        <w:t xml:space="preserve">。 </w:t>
      </w:r>
    </w:p>
    <w:p w14:paraId="33AB440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关于监理人在施工现场的办公场所、生活场所的提供和费用承担的约定：</w:t>
      </w:r>
      <w:r>
        <w:rPr>
          <w:rFonts w:hint="eastAsia" w:ascii="仿宋_GB2312" w:hAnsi="仿宋_GB2312" w:eastAsia="仿宋_GB2312" w:cs="仿宋_GB2312"/>
          <w:sz w:val="18"/>
          <w:szCs w:val="18"/>
          <w:u w:val="single"/>
        </w:rPr>
        <w:t>监理人在施工现场的办公场所、生活场所由承包人免费提供，如有其它费用由监理人自行承担</w:t>
      </w:r>
      <w:r>
        <w:rPr>
          <w:rFonts w:hint="eastAsia" w:ascii="仿宋_GB2312" w:hAnsi="仿宋_GB2312" w:eastAsia="仿宋_GB2312" w:cs="仿宋_GB2312"/>
          <w:color w:val="000000"/>
          <w:sz w:val="18"/>
          <w:szCs w:val="18"/>
        </w:rPr>
        <w:t>。</w:t>
      </w:r>
    </w:p>
    <w:p w14:paraId="16B49ABF">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4.2 监理人员</w:t>
      </w:r>
    </w:p>
    <w:p w14:paraId="5AA2BE92">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总监理工程师</w:t>
      </w:r>
      <w:r>
        <w:rPr>
          <w:rFonts w:hint="eastAsia" w:ascii="仿宋_GB2312" w:hAnsi="仿宋_GB2312" w:eastAsia="仿宋_GB2312" w:cs="仿宋_GB2312"/>
          <w:kern w:val="0"/>
          <w:sz w:val="18"/>
          <w:szCs w:val="18"/>
        </w:rPr>
        <w:t>（以下必须填写）</w:t>
      </w:r>
      <w:r>
        <w:rPr>
          <w:rFonts w:hint="eastAsia" w:ascii="仿宋_GB2312" w:hAnsi="仿宋_GB2312" w:eastAsia="仿宋_GB2312" w:cs="仿宋_GB2312"/>
          <w:color w:val="000000"/>
          <w:sz w:val="18"/>
          <w:szCs w:val="18"/>
        </w:rPr>
        <w:t>：</w:t>
      </w:r>
    </w:p>
    <w:p w14:paraId="50B14114">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    名：</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347B5E29">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    务：</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0B09362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监理工程师执业资格证书号：</w:t>
      </w:r>
      <w:r>
        <w:rPr>
          <w:rFonts w:hint="eastAsia" w:ascii="仿宋_GB2312" w:hAnsi="仿宋_GB2312" w:eastAsia="仿宋_GB2312" w:cs="仿宋_GB2312"/>
          <w:color w:val="000000"/>
          <w:sz w:val="18"/>
          <w:szCs w:val="18"/>
          <w:u w:val="single"/>
        </w:rPr>
        <w:t> </w:t>
      </w:r>
      <w:r>
        <w:rPr>
          <w:rFonts w:hint="eastAsia" w:ascii="仿宋_GB2312" w:hAnsi="仿宋_GB2312" w:eastAsia="仿宋_GB2312" w:cs="仿宋_GB2312"/>
          <w:color w:val="000000"/>
          <w:sz w:val="18"/>
          <w:szCs w:val="18"/>
        </w:rPr>
        <w:t>；</w:t>
      </w:r>
    </w:p>
    <w:p w14:paraId="508AE77F">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5AE0B6C7">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电子信箱：</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0191F83C">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通信地址：</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5AA19942">
      <w:pPr>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关于监理人的其他约定：</w:t>
      </w:r>
      <w:r>
        <w:rPr>
          <w:rFonts w:hint="eastAsia" w:ascii="仿宋_GB2312" w:hAnsi="仿宋_GB2312" w:eastAsia="仿宋_GB2312" w:cs="仿宋_GB2312"/>
          <w:color w:val="000000"/>
          <w:sz w:val="18"/>
          <w:szCs w:val="18"/>
          <w:u w:val="single"/>
        </w:rPr>
        <w:t>   </w:t>
      </w:r>
      <w:r>
        <w:rPr>
          <w:rFonts w:hint="eastAsia" w:ascii="仿宋_GB2312" w:hAnsi="仿宋_GB2312" w:eastAsia="仿宋_GB2312" w:cs="仿宋_GB2312"/>
          <w:color w:val="000000"/>
          <w:sz w:val="18"/>
          <w:szCs w:val="18"/>
        </w:rPr>
        <w:t>。</w:t>
      </w:r>
    </w:p>
    <w:p w14:paraId="2EFDF095">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商定或确定</w:t>
      </w:r>
    </w:p>
    <w:p w14:paraId="010D6D1C">
      <w:pPr>
        <w:ind w:firstLine="360" w:firstLineChars="200"/>
        <w:rPr>
          <w:rFonts w:ascii="仿宋_GB2312" w:hAnsi="仿宋_GB2312" w:eastAsia="仿宋_GB2312" w:cs="仿宋_GB2312"/>
          <w:color w:val="000000"/>
          <w:sz w:val="18"/>
          <w:szCs w:val="18"/>
        </w:rPr>
      </w:pPr>
      <w:bookmarkStart w:id="960" w:name="_Toc267251418"/>
      <w:r>
        <w:rPr>
          <w:rFonts w:hint="eastAsia" w:ascii="仿宋_GB2312" w:hAnsi="仿宋_GB2312" w:eastAsia="仿宋_GB2312" w:cs="仿宋_GB2312"/>
          <w:color w:val="000000"/>
          <w:sz w:val="18"/>
          <w:szCs w:val="18"/>
        </w:rPr>
        <w:t>在发包人和承包人不能通过协商达成一致意见时，发包人授权监理人对以下事项进行确定：</w:t>
      </w:r>
    </w:p>
    <w:p w14:paraId="2CBDE30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7F8DAA72">
      <w:pPr>
        <w:pStyle w:val="5"/>
        <w:spacing w:before="120" w:after="120" w:line="240" w:lineRule="auto"/>
        <w:rPr>
          <w:rFonts w:ascii="仿宋_GB2312" w:hAnsi="仿宋_GB2312" w:eastAsia="仿宋_GB2312" w:cs="仿宋_GB2312"/>
          <w:b w:val="0"/>
          <w:color w:val="000000"/>
          <w:sz w:val="18"/>
          <w:szCs w:val="18"/>
        </w:rPr>
      </w:pPr>
      <w:bookmarkStart w:id="961" w:name="_Toc351203637"/>
      <w:r>
        <w:rPr>
          <w:rFonts w:hint="eastAsia" w:ascii="仿宋_GB2312" w:hAnsi="仿宋_GB2312" w:eastAsia="仿宋_GB2312" w:cs="仿宋_GB2312"/>
          <w:b w:val="0"/>
          <w:color w:val="000000"/>
          <w:sz w:val="18"/>
          <w:szCs w:val="18"/>
        </w:rPr>
        <w:t>5</w:t>
      </w:r>
      <w:bookmarkEnd w:id="960"/>
      <w:bookmarkStart w:id="962" w:name="_Toc297048349"/>
      <w:bookmarkStart w:id="963" w:name="_Toc296944502"/>
      <w:bookmarkStart w:id="964" w:name="_Toc297120463"/>
      <w:bookmarkStart w:id="965" w:name="_Toc296347162"/>
      <w:bookmarkStart w:id="966" w:name="_Toc296890991"/>
      <w:bookmarkStart w:id="967" w:name="_Toc292559367"/>
      <w:bookmarkStart w:id="968" w:name="_Toc296891203"/>
      <w:bookmarkStart w:id="969" w:name="_Toc292559872"/>
      <w:bookmarkStart w:id="970" w:name="_Toc296503163"/>
      <w:bookmarkStart w:id="971" w:name="_Toc296346664"/>
      <w:r>
        <w:rPr>
          <w:rFonts w:hint="eastAsia" w:ascii="仿宋_GB2312" w:hAnsi="仿宋_GB2312" w:eastAsia="仿宋_GB2312" w:cs="仿宋_GB2312"/>
          <w:b w:val="0"/>
          <w:color w:val="000000"/>
          <w:sz w:val="18"/>
          <w:szCs w:val="18"/>
        </w:rPr>
        <w:t>. 工程质量</w:t>
      </w:r>
      <w:bookmarkEnd w:id="961"/>
    </w:p>
    <w:p w14:paraId="4CFA362A">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5.1 质量要求</w:t>
      </w:r>
    </w:p>
    <w:p w14:paraId="0EABD749">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5</w:t>
      </w:r>
      <w:bookmarkStart w:id="972" w:name="_Toc297123496"/>
      <w:bookmarkStart w:id="973" w:name="_Toc312677997"/>
      <w:bookmarkStart w:id="974" w:name="_Toc297216155"/>
      <w:bookmarkStart w:id="975" w:name="_Toc318581164"/>
      <w:bookmarkStart w:id="976" w:name="_Toc300934949"/>
      <w:bookmarkStart w:id="977" w:name="_Toc304295527"/>
      <w:bookmarkStart w:id="978" w:name="_Toc303539106"/>
      <w:r>
        <w:rPr>
          <w:rFonts w:hint="eastAsia" w:ascii="仿宋_GB2312" w:hAnsi="仿宋_GB2312" w:eastAsia="仿宋_GB2312" w:cs="仿宋_GB2312"/>
          <w:sz w:val="18"/>
          <w:szCs w:val="18"/>
        </w:rPr>
        <w:t>.1.1 特殊质量标准和要求：</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w:t>
      </w:r>
    </w:p>
    <w:p w14:paraId="398F8AEE">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关于工程奖项的约定：</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w:t>
      </w:r>
    </w:p>
    <w:p w14:paraId="531E847A">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隐蔽工程检查</w:t>
      </w:r>
    </w:p>
    <w:p w14:paraId="1AF719B8">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.2承包人提前通知监理人隐蔽工程检查的期限的约定：</w:t>
      </w:r>
      <w:r>
        <w:rPr>
          <w:rFonts w:hint="eastAsia" w:ascii="仿宋_GB2312" w:hAnsi="仿宋_GB2312" w:eastAsia="仿宋_GB2312" w:cs="仿宋_GB2312"/>
          <w:sz w:val="18"/>
          <w:szCs w:val="18"/>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_GB2312" w:hAnsi="仿宋_GB2312" w:eastAsia="仿宋_GB2312" w:cs="仿宋_GB2312"/>
          <w:sz w:val="18"/>
          <w:szCs w:val="18"/>
        </w:rPr>
        <w:t>。</w:t>
      </w:r>
    </w:p>
    <w:p w14:paraId="38F7EEE4">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监理人不能按时进行检查时，应提前</w:t>
      </w:r>
      <w:r>
        <w:rPr>
          <w:rFonts w:hint="eastAsia" w:ascii="仿宋_GB2312" w:hAnsi="仿宋_GB2312" w:eastAsia="仿宋_GB2312" w:cs="仿宋_GB2312"/>
          <w:sz w:val="18"/>
          <w:szCs w:val="18"/>
          <w:u w:val="single"/>
        </w:rPr>
        <w:t xml:space="preserve">  24  </w:t>
      </w:r>
      <w:r>
        <w:rPr>
          <w:rFonts w:hint="eastAsia" w:ascii="仿宋_GB2312" w:hAnsi="仿宋_GB2312" w:eastAsia="仿宋_GB2312" w:cs="仿宋_GB2312"/>
          <w:sz w:val="18"/>
          <w:szCs w:val="18"/>
        </w:rPr>
        <w:t>小时向发包人与承包人提交书面延期要求。</w:t>
      </w:r>
    </w:p>
    <w:p w14:paraId="40176D8B">
      <w:pPr>
        <w:ind w:firstLine="360" w:firstLineChars="200"/>
        <w:jc w:val="left"/>
        <w:rPr>
          <w:rFonts w:hint="default" w:eastAsia="仿宋_GB2312"/>
          <w:lang w:val="en-US" w:eastAsia="zh-CN"/>
        </w:rPr>
      </w:pPr>
      <w:r>
        <w:rPr>
          <w:rFonts w:hint="eastAsia" w:ascii="仿宋_GB2312" w:hAnsi="仿宋_GB2312" w:eastAsia="仿宋_GB2312" w:cs="仿宋_GB2312"/>
          <w:sz w:val="18"/>
          <w:szCs w:val="18"/>
        </w:rPr>
        <w:t>关于监理人不能按时进行检查而延期</w:t>
      </w:r>
      <w:r>
        <w:rPr>
          <w:rFonts w:hint="eastAsia" w:ascii="仿宋_GB2312" w:hAnsi="仿宋_GB2312" w:eastAsia="仿宋_GB2312" w:cs="仿宋_GB2312"/>
          <w:sz w:val="18"/>
          <w:szCs w:val="18"/>
          <w:lang w:val="en-US" w:eastAsia="zh-CN"/>
        </w:rPr>
        <w:t>的</w:t>
      </w:r>
      <w:r>
        <w:rPr>
          <w:rFonts w:hint="eastAsia" w:ascii="仿宋_GB2312" w:hAnsi="仿宋_GB2312" w:eastAsia="仿宋_GB2312" w:cs="仿宋_GB2312"/>
          <w:sz w:val="18"/>
          <w:szCs w:val="18"/>
        </w:rPr>
        <w:t>最长</w:t>
      </w:r>
      <w:r>
        <w:rPr>
          <w:rFonts w:hint="eastAsia" w:ascii="仿宋_GB2312" w:hAnsi="仿宋_GB2312" w:eastAsia="仿宋_GB2312" w:cs="仿宋_GB2312"/>
          <w:sz w:val="18"/>
          <w:szCs w:val="18"/>
          <w:lang w:val="en-US" w:eastAsia="zh-CN"/>
        </w:rPr>
        <w:t>时间</w:t>
      </w:r>
      <w:r>
        <w:rPr>
          <w:rFonts w:hint="eastAsia" w:ascii="仿宋_GB2312" w:hAnsi="仿宋_GB2312" w:eastAsia="仿宋_GB2312" w:cs="仿宋_GB2312"/>
          <w:sz w:val="18"/>
          <w:szCs w:val="18"/>
        </w:rPr>
        <w:t>不得超过：</w:t>
      </w:r>
      <w:r>
        <w:rPr>
          <w:rFonts w:hint="eastAsia" w:ascii="仿宋_GB2312" w:hAnsi="仿宋_GB2312" w:eastAsia="仿宋_GB2312" w:cs="仿宋_GB2312"/>
          <w:sz w:val="18"/>
          <w:szCs w:val="18"/>
          <w:u w:val="single"/>
        </w:rPr>
        <w:t xml:space="preserve">   48    </w:t>
      </w:r>
      <w:r>
        <w:rPr>
          <w:rFonts w:hint="eastAsia" w:ascii="仿宋_GB2312" w:hAnsi="仿宋_GB2312" w:eastAsia="仿宋_GB2312" w:cs="仿宋_GB2312"/>
          <w:sz w:val="18"/>
          <w:szCs w:val="18"/>
        </w:rPr>
        <w:t>小时（</w:t>
      </w:r>
      <w:r>
        <w:rPr>
          <w:rFonts w:ascii="仿宋_GB2312" w:hAnsi="仿宋_GB2312" w:eastAsia="仿宋_GB2312" w:cs="仿宋_GB2312"/>
          <w:sz w:val="18"/>
          <w:szCs w:val="18"/>
          <w:u w:val="single"/>
        </w:rPr>
        <w:t>自</w:t>
      </w:r>
      <w:r>
        <w:rPr>
          <w:rFonts w:hint="eastAsia" w:ascii="仿宋_GB2312" w:hAnsi="仿宋_GB2312" w:eastAsia="仿宋_GB2312" w:cs="仿宋_GB2312"/>
          <w:sz w:val="18"/>
          <w:szCs w:val="18"/>
          <w:u w:val="single"/>
          <w:lang w:val="en-US" w:eastAsia="zh-CN"/>
        </w:rPr>
        <w:t>检查通知中确定的</w:t>
      </w:r>
      <w:r>
        <w:rPr>
          <w:rFonts w:hint="eastAsia" w:ascii="仿宋_GB2312" w:hAnsi="仿宋_GB2312" w:eastAsia="仿宋_GB2312" w:cs="仿宋_GB2312"/>
          <w:sz w:val="18"/>
          <w:szCs w:val="18"/>
          <w:u w:val="single"/>
        </w:rPr>
        <w:t>检查</w:t>
      </w:r>
      <w:r>
        <w:rPr>
          <w:rFonts w:hint="eastAsia" w:ascii="仿宋_GB2312" w:hAnsi="仿宋_GB2312" w:eastAsia="仿宋_GB2312" w:cs="仿宋_GB2312"/>
          <w:sz w:val="18"/>
          <w:szCs w:val="18"/>
          <w:u w:val="single"/>
          <w:lang w:val="en-US" w:eastAsia="zh-CN"/>
        </w:rPr>
        <w:t>之日</w:t>
      </w:r>
      <w:r>
        <w:rPr>
          <w:rFonts w:ascii="仿宋_GB2312" w:hAnsi="仿宋_GB2312" w:eastAsia="仿宋_GB2312" w:cs="仿宋_GB2312"/>
          <w:sz w:val="18"/>
          <w:szCs w:val="18"/>
          <w:u w:val="single"/>
        </w:rPr>
        <w:t>起算</w:t>
      </w:r>
      <w:r>
        <w:rPr>
          <w:rFonts w:hint="eastAsia" w:ascii="仿宋_GB2312" w:hAnsi="仿宋_GB2312" w:eastAsia="仿宋_GB2312" w:cs="仿宋_GB2312"/>
          <w:sz w:val="18"/>
          <w:szCs w:val="18"/>
        </w:rPr>
        <w:t>）。</w:t>
      </w:r>
    </w:p>
    <w:p w14:paraId="0E9A7536">
      <w:pPr>
        <w:pStyle w:val="5"/>
        <w:spacing w:before="120" w:after="120" w:line="240" w:lineRule="auto"/>
        <w:rPr>
          <w:rFonts w:ascii="仿宋_GB2312" w:hAnsi="仿宋_GB2312" w:eastAsia="仿宋_GB2312" w:cs="仿宋_GB2312"/>
          <w:b w:val="0"/>
          <w:color w:val="000000"/>
          <w:sz w:val="18"/>
          <w:szCs w:val="18"/>
        </w:rPr>
      </w:pPr>
      <w:bookmarkStart w:id="979" w:name="_Toc351203638"/>
      <w:r>
        <w:rPr>
          <w:rFonts w:hint="eastAsia" w:ascii="仿宋_GB2312" w:hAnsi="仿宋_GB2312" w:eastAsia="仿宋_GB2312" w:cs="仿宋_GB2312"/>
          <w:b w:val="0"/>
          <w:color w:val="000000"/>
          <w:sz w:val="18"/>
          <w:szCs w:val="18"/>
        </w:rPr>
        <w:t>6. 安全文明施工与环境保护</w:t>
      </w:r>
      <w:bookmarkEnd w:id="979"/>
    </w:p>
    <w:p w14:paraId="78E9893B">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6.1安全文明施工</w:t>
      </w:r>
    </w:p>
    <w:p w14:paraId="0709D1B0">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6.1.1</w:t>
      </w:r>
      <w:r>
        <w:rPr>
          <w:rFonts w:hint="eastAsia" w:ascii="仿宋_GB2312" w:hAnsi="仿宋_GB2312" w:eastAsia="仿宋_GB2312" w:cs="仿宋_GB2312"/>
          <w:color w:val="000000"/>
          <w:sz w:val="18"/>
          <w:szCs w:val="18"/>
        </w:rPr>
        <w:t xml:space="preserve"> 项目安全生产的达标目标及相应事项的约定：</w:t>
      </w:r>
      <w:r>
        <w:rPr>
          <w:rFonts w:hint="eastAsia" w:ascii="仿宋_GB2312" w:hAnsi="仿宋_GB2312" w:eastAsia="仿宋_GB2312" w:cs="仿宋_GB2312"/>
          <w:b/>
          <w:sz w:val="18"/>
          <w:szCs w:val="18"/>
          <w:u w:val="single"/>
        </w:rPr>
        <w:t>施工现场按照《建筑施工安全检查标准》（JGJ59-2011）评定达到“合格”标准。《建设工程质量安全文明施工责任书》、《工程廉政责任书》作为施工合同附件，由施工合同的发包人、承包人双方共同签署。</w:t>
      </w:r>
      <w:r>
        <w:rPr>
          <w:rFonts w:hint="eastAsia" w:ascii="仿宋_GB2312" w:hAnsi="仿宋_GB2312" w:eastAsia="仿宋_GB2312" w:cs="仿宋_GB2312"/>
          <w:sz w:val="18"/>
          <w:szCs w:val="18"/>
        </w:rPr>
        <w:t>。</w:t>
      </w:r>
    </w:p>
    <w:p w14:paraId="46932473">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6.1.</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 xml:space="preserve"> 关于治安保卫的特别约定：</w:t>
      </w:r>
      <w:r>
        <w:rPr>
          <w:rFonts w:hint="eastAsia" w:ascii="仿宋_GB2312" w:hAnsi="仿宋_GB2312" w:eastAsia="仿宋_GB2312" w:cs="仿宋_GB2312"/>
          <w:sz w:val="18"/>
          <w:szCs w:val="18"/>
          <w:u w:val="single"/>
        </w:rPr>
        <w:t xml:space="preserve">按通用条款执行   </w:t>
      </w:r>
      <w:r>
        <w:rPr>
          <w:rFonts w:hint="eastAsia" w:ascii="仿宋_GB2312" w:hAnsi="仿宋_GB2312" w:eastAsia="仿宋_GB2312" w:cs="仿宋_GB2312"/>
          <w:sz w:val="18"/>
          <w:szCs w:val="18"/>
        </w:rPr>
        <w:t>。</w:t>
      </w:r>
    </w:p>
    <w:p w14:paraId="617533F6">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关于编制施工场地治安管理计划的约定：</w:t>
      </w:r>
      <w:r>
        <w:rPr>
          <w:rFonts w:hint="eastAsia" w:ascii="仿宋_GB2312" w:hAnsi="仿宋_GB2312" w:eastAsia="仿宋_GB2312" w:cs="仿宋_GB2312"/>
          <w:sz w:val="18"/>
          <w:szCs w:val="18"/>
          <w:u w:val="single"/>
        </w:rPr>
        <w:t xml:space="preserve">按通用条款执行   </w:t>
      </w:r>
      <w:r>
        <w:rPr>
          <w:rFonts w:hint="eastAsia" w:ascii="仿宋_GB2312" w:hAnsi="仿宋_GB2312" w:eastAsia="仿宋_GB2312" w:cs="仿宋_GB2312"/>
          <w:sz w:val="18"/>
          <w:szCs w:val="18"/>
        </w:rPr>
        <w:t>。</w:t>
      </w:r>
    </w:p>
    <w:p w14:paraId="420673DB">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6.1.</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 xml:space="preserve"> 文明施工</w:t>
      </w:r>
    </w:p>
    <w:p w14:paraId="18D4F059">
      <w:pPr>
        <w:ind w:firstLine="356" w:firstLineChars="198"/>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合同当事人对文明施工的要求：</w:t>
      </w:r>
    </w:p>
    <w:p w14:paraId="6739A751">
      <w:pPr>
        <w:ind w:firstLine="358" w:firstLineChars="198"/>
        <w:jc w:val="left"/>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rPr>
        <w:t>（1）</w:t>
      </w:r>
      <w:r>
        <w:rPr>
          <w:rFonts w:hint="eastAsia" w:ascii="仿宋_GB2312" w:hAnsi="仿宋_GB2312" w:eastAsia="仿宋_GB2312" w:cs="仿宋_GB2312"/>
          <w:b/>
          <w:sz w:val="18"/>
          <w:szCs w:val="18"/>
          <w:u w:val="single"/>
          <w:lang w:val="zh-CN"/>
        </w:rPr>
        <w:t>遵守地方政府和有关部门对施工场地交通、环卫、安全和施工噪音等管理规定，并办理相关审批手续</w:t>
      </w:r>
      <w:r>
        <w:rPr>
          <w:rFonts w:hint="eastAsia" w:ascii="仿宋_GB2312" w:hAnsi="仿宋_GB2312" w:eastAsia="仿宋_GB2312" w:cs="仿宋_GB2312"/>
          <w:b/>
          <w:sz w:val="18"/>
          <w:szCs w:val="18"/>
          <w:lang w:val="zh-CN"/>
        </w:rPr>
        <w:t>。</w:t>
      </w:r>
    </w:p>
    <w:p w14:paraId="43C9DB79">
      <w:pPr>
        <w:ind w:firstLine="358" w:firstLineChars="198"/>
        <w:jc w:val="left"/>
        <w:rPr>
          <w:rFonts w:ascii="仿宋_GB2312" w:hAnsi="仿宋_GB2312" w:eastAsia="仿宋_GB2312" w:cs="仿宋_GB2312"/>
          <w:b/>
          <w:sz w:val="18"/>
          <w:szCs w:val="18"/>
          <w:lang w:val="zh-CN"/>
        </w:rPr>
      </w:pPr>
      <w:r>
        <w:rPr>
          <w:rFonts w:hint="eastAsia" w:ascii="仿宋_GB2312" w:hAnsi="仿宋_GB2312" w:eastAsia="仿宋_GB2312" w:cs="仿宋_GB2312"/>
          <w:b/>
          <w:sz w:val="18"/>
          <w:szCs w:val="18"/>
          <w:u w:val="single"/>
          <w:lang w:val="zh-CN"/>
        </w:rPr>
        <w:t>（2）承包人应采取有效措施尽量减小尘土和噪音污染，需要进行夜间作业时应经有关部门批准</w:t>
      </w:r>
      <w:r>
        <w:rPr>
          <w:rFonts w:hint="eastAsia" w:ascii="仿宋_GB2312" w:hAnsi="仿宋_GB2312" w:eastAsia="仿宋_GB2312" w:cs="仿宋_GB2312"/>
          <w:b/>
          <w:sz w:val="18"/>
          <w:szCs w:val="18"/>
          <w:lang w:val="zh-CN"/>
        </w:rPr>
        <w:t>。</w:t>
      </w:r>
    </w:p>
    <w:p w14:paraId="5C67CF9F">
      <w:pPr>
        <w:ind w:firstLine="358" w:firstLineChars="198"/>
        <w:jc w:val="left"/>
        <w:rPr>
          <w:rFonts w:ascii="仿宋_GB2312" w:hAnsi="仿宋_GB2312" w:eastAsia="仿宋_GB2312" w:cs="仿宋_GB2312"/>
          <w:b/>
          <w:sz w:val="18"/>
          <w:szCs w:val="18"/>
          <w:u w:val="single"/>
          <w:lang w:val="zh-CN"/>
        </w:rPr>
      </w:pPr>
      <w:r>
        <w:rPr>
          <w:rFonts w:hint="eastAsia" w:ascii="仿宋_GB2312" w:hAnsi="仿宋_GB2312" w:eastAsia="仿宋_GB2312" w:cs="仿宋_GB2312"/>
          <w:b/>
          <w:sz w:val="18"/>
          <w:szCs w:val="18"/>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仿宋_GB2312" w:hAnsi="仿宋_GB2312" w:eastAsia="仿宋_GB2312" w:cs="仿宋_GB2312"/>
          <w:b/>
          <w:sz w:val="18"/>
          <w:szCs w:val="18"/>
          <w:lang w:val="zh-CN"/>
        </w:rPr>
        <w:t xml:space="preserve">。 </w:t>
      </w:r>
    </w:p>
    <w:p w14:paraId="4896472A">
      <w:pPr>
        <w:ind w:firstLine="358" w:firstLineChars="198"/>
        <w:jc w:val="left"/>
        <w:outlineLvl w:val="0"/>
        <w:rPr>
          <w:rFonts w:ascii="仿宋_GB2312" w:hAnsi="仿宋_GB2312" w:eastAsia="仿宋_GB2312" w:cs="仿宋_GB2312"/>
          <w:b/>
          <w:sz w:val="18"/>
          <w:szCs w:val="18"/>
          <w:u w:val="single"/>
          <w:lang w:val="zh-CN"/>
        </w:rPr>
      </w:pPr>
      <w:bookmarkStart w:id="980" w:name="_Toc8494"/>
      <w:bookmarkStart w:id="981" w:name="_Toc23269"/>
      <w:r>
        <w:rPr>
          <w:rFonts w:hint="eastAsia" w:ascii="仿宋_GB2312" w:hAnsi="仿宋_GB2312" w:eastAsia="仿宋_GB2312" w:cs="仿宋_GB2312"/>
          <w:b/>
          <w:sz w:val="18"/>
          <w:szCs w:val="18"/>
          <w:u w:val="single"/>
          <w:lang w:val="zh-CN"/>
        </w:rPr>
        <w:t>（4）上述手续办理费用约定如下： 由承包人支付。</w:t>
      </w:r>
      <w:bookmarkEnd w:id="980"/>
      <w:bookmarkEnd w:id="981"/>
    </w:p>
    <w:p w14:paraId="26796267">
      <w:pPr>
        <w:ind w:firstLine="361" w:firstLineChars="200"/>
        <w:jc w:val="left"/>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u w:val="single"/>
        </w:rPr>
        <w:t xml:space="preserve">（5）其他：                                        </w:t>
      </w:r>
      <w:r>
        <w:rPr>
          <w:rFonts w:hint="eastAsia" w:ascii="仿宋_GB2312" w:hAnsi="仿宋_GB2312" w:eastAsia="仿宋_GB2312" w:cs="仿宋_GB2312"/>
          <w:b/>
          <w:kern w:val="0"/>
          <w:sz w:val="18"/>
          <w:szCs w:val="18"/>
        </w:rPr>
        <w:t>。</w:t>
      </w:r>
    </w:p>
    <w:p w14:paraId="675DADC8">
      <w:pPr>
        <w:ind w:firstLine="360" w:firstLineChars="20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6.1.</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关于安全文明施工费支付比例和支付期限的约定：</w:t>
      </w:r>
      <w:r>
        <w:rPr>
          <w:rFonts w:hint="eastAsia" w:ascii="仿宋_GB2312" w:hAnsi="仿宋_GB2312" w:eastAsia="仿宋_GB2312" w:cs="仿宋_GB2312"/>
          <w:sz w:val="18"/>
          <w:szCs w:val="18"/>
          <w:highlight w:val="none"/>
          <w:u w:val="single"/>
        </w:rPr>
        <w:t xml:space="preserve">不单独拆分支付安全文明施工费 </w:t>
      </w:r>
      <w:r>
        <w:rPr>
          <w:rFonts w:hint="eastAsia" w:ascii="仿宋_GB2312" w:hAnsi="仿宋_GB2312" w:eastAsia="仿宋_GB2312" w:cs="仿宋_GB2312"/>
          <w:sz w:val="18"/>
          <w:szCs w:val="18"/>
          <w:highlight w:val="none"/>
        </w:rPr>
        <w:t>。</w:t>
      </w:r>
    </w:p>
    <w:p w14:paraId="3EED044A">
      <w:pPr>
        <w:pStyle w:val="42"/>
        <w:ind w:firstLine="360" w:firstLineChars="200"/>
        <w:rPr>
          <w:rFonts w:hint="default" w:eastAsia="仿宋_GB2312"/>
          <w:highlight w:val="none"/>
          <w:lang w:val="en-US" w:eastAsia="zh-CN"/>
        </w:rPr>
      </w:pPr>
      <w:r>
        <w:rPr>
          <w:rFonts w:hint="eastAsia" w:ascii="仿宋_GB2312" w:hAnsi="仿宋_GB2312" w:eastAsia="仿宋_GB2312" w:cs="仿宋_GB2312"/>
          <w:sz w:val="18"/>
          <w:szCs w:val="18"/>
          <w:highlight w:val="none"/>
        </w:rPr>
        <w:t>6.1.</w:t>
      </w:r>
      <w:r>
        <w:rPr>
          <w:rFonts w:hint="eastAsia" w:ascii="仿宋_GB2312" w:hAnsi="仿宋_GB2312" w:eastAsia="仿宋_GB2312" w:cs="仿宋_GB2312"/>
          <w:sz w:val="18"/>
          <w:szCs w:val="18"/>
          <w:highlight w:val="none"/>
          <w:lang w:val="en-US" w:eastAsia="zh-CN"/>
        </w:rPr>
        <w:t>5发包人或监理单位在日常巡查、抽检、飞检中发现有安全文明施工不符合相关要求的，或被数字城管以案卷形式及各类投诉反映的安全文明施工问题，以500元/次/处进行处罚；相同或类似问题重复出现、情况严重、产生恶劣影响、或被市区级相关部门通报的，以5000元/次/处进行处罚；相关问题出现3次及以上，发包人有权单方解除合同，一切损失由承包人自行承担。</w:t>
      </w:r>
    </w:p>
    <w:bookmarkEnd w:id="972"/>
    <w:bookmarkEnd w:id="973"/>
    <w:bookmarkEnd w:id="974"/>
    <w:bookmarkEnd w:id="975"/>
    <w:bookmarkEnd w:id="976"/>
    <w:bookmarkEnd w:id="977"/>
    <w:bookmarkEnd w:id="978"/>
    <w:p w14:paraId="1CF47D48">
      <w:pPr>
        <w:pStyle w:val="5"/>
        <w:spacing w:before="120" w:after="120" w:line="240" w:lineRule="auto"/>
        <w:rPr>
          <w:rFonts w:ascii="仿宋_GB2312" w:hAnsi="仿宋_GB2312" w:eastAsia="仿宋_GB2312" w:cs="仿宋_GB2312"/>
          <w:b w:val="0"/>
          <w:color w:val="000000"/>
          <w:sz w:val="18"/>
          <w:szCs w:val="18"/>
        </w:rPr>
      </w:pPr>
      <w:bookmarkStart w:id="982" w:name="_Toc351203639"/>
      <w:r>
        <w:rPr>
          <w:rFonts w:hint="eastAsia" w:ascii="仿宋_GB2312" w:hAnsi="仿宋_GB2312" w:eastAsia="仿宋_GB2312" w:cs="仿宋_GB2312"/>
          <w:b w:val="0"/>
          <w:color w:val="000000"/>
          <w:sz w:val="18"/>
          <w:szCs w:val="18"/>
        </w:rPr>
        <w:t>7. 工期和进度</w:t>
      </w:r>
      <w:bookmarkEnd w:id="982"/>
    </w:p>
    <w:p w14:paraId="2C1177DE">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7.1 施工组织设计</w:t>
      </w:r>
    </w:p>
    <w:p w14:paraId="15B7645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 xml:space="preserve">7.1.1 </w:t>
      </w:r>
      <w:r>
        <w:rPr>
          <w:rFonts w:hint="eastAsia" w:ascii="仿宋_GB2312" w:hAnsi="仿宋_GB2312" w:eastAsia="仿宋_GB2312" w:cs="仿宋_GB2312"/>
          <w:color w:val="000000"/>
          <w:sz w:val="18"/>
          <w:szCs w:val="18"/>
        </w:rPr>
        <w:t>合</w:t>
      </w:r>
      <w:r>
        <w:rPr>
          <w:rFonts w:hint="eastAsia" w:ascii="仿宋_GB2312" w:hAnsi="仿宋_GB2312" w:eastAsia="仿宋_GB2312" w:cs="仿宋_GB2312"/>
          <w:color w:val="000000"/>
          <w:kern w:val="0"/>
          <w:sz w:val="18"/>
          <w:szCs w:val="18"/>
        </w:rPr>
        <w:t>同当事人约定的施工组织设计应包括的其他内容：</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sz w:val="18"/>
          <w:szCs w:val="18"/>
        </w:rPr>
        <w:t>。</w:t>
      </w:r>
    </w:p>
    <w:p w14:paraId="2A37D120">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7.1.2</w:t>
      </w:r>
      <w:r>
        <w:rPr>
          <w:rFonts w:hint="eastAsia" w:ascii="仿宋_GB2312" w:hAnsi="仿宋_GB2312" w:eastAsia="仿宋_GB2312" w:cs="仿宋_GB2312"/>
          <w:color w:val="000000"/>
          <w:kern w:val="0"/>
          <w:sz w:val="18"/>
          <w:szCs w:val="18"/>
        </w:rPr>
        <w:t>施工组织设计的提交和修改</w:t>
      </w:r>
    </w:p>
    <w:p w14:paraId="43E2BC73">
      <w:pPr>
        <w:autoSpaceDE w:val="0"/>
        <w:autoSpaceDN w:val="0"/>
        <w:adjustRightInd w:val="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承包人提交详细施工组织设计的期限的约定：</w:t>
      </w:r>
      <w:r>
        <w:rPr>
          <w:rFonts w:hint="eastAsia" w:ascii="仿宋_GB2312" w:hAnsi="仿宋_GB2312" w:eastAsia="仿宋_GB2312" w:cs="仿宋_GB2312"/>
          <w:b/>
          <w:sz w:val="18"/>
          <w:szCs w:val="18"/>
          <w:u w:val="single"/>
        </w:rPr>
        <w:t>合同签订后 7 天内提供</w:t>
      </w:r>
      <w:r>
        <w:rPr>
          <w:rFonts w:hint="eastAsia" w:ascii="仿宋_GB2312" w:hAnsi="仿宋_GB2312" w:eastAsia="仿宋_GB2312" w:cs="仿宋_GB2312"/>
          <w:b/>
          <w:kern w:val="0"/>
          <w:sz w:val="18"/>
          <w:szCs w:val="18"/>
          <w:u w:val="single"/>
        </w:rPr>
        <w:t>详细</w:t>
      </w:r>
      <w:r>
        <w:rPr>
          <w:rFonts w:hint="eastAsia" w:ascii="仿宋_GB2312" w:hAnsi="仿宋_GB2312" w:eastAsia="仿宋_GB2312" w:cs="仿宋_GB2312"/>
          <w:b/>
          <w:sz w:val="18"/>
          <w:szCs w:val="18"/>
          <w:u w:val="single"/>
        </w:rPr>
        <w:t xml:space="preserve">施工组织设计（施工方案）和进度计划   </w:t>
      </w:r>
      <w:r>
        <w:rPr>
          <w:rFonts w:hint="eastAsia" w:ascii="仿宋_GB2312" w:hAnsi="仿宋_GB2312" w:eastAsia="仿宋_GB2312" w:cs="仿宋_GB2312"/>
          <w:sz w:val="18"/>
          <w:szCs w:val="18"/>
        </w:rPr>
        <w:t>。</w:t>
      </w:r>
    </w:p>
    <w:p w14:paraId="66B7B452">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发包人和监理人在收到详细的施工组织设计后确认或提出修改意见的期限：</w:t>
      </w:r>
      <w:r>
        <w:rPr>
          <w:rFonts w:hint="eastAsia" w:ascii="仿宋_GB2312" w:hAnsi="仿宋_GB2312" w:eastAsia="仿宋_GB2312" w:cs="仿宋_GB2312"/>
          <w:b/>
          <w:sz w:val="18"/>
          <w:szCs w:val="18"/>
          <w:u w:val="single"/>
        </w:rPr>
        <w:t>收到施工组织设计后 7天内</w:t>
      </w:r>
      <w:r>
        <w:rPr>
          <w:rFonts w:hint="eastAsia" w:ascii="仿宋_GB2312" w:hAnsi="仿宋_GB2312" w:eastAsia="仿宋_GB2312" w:cs="仿宋_GB2312"/>
          <w:sz w:val="18"/>
          <w:szCs w:val="18"/>
        </w:rPr>
        <w:t>。</w:t>
      </w:r>
    </w:p>
    <w:p w14:paraId="68279642">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bookmarkStart w:id="983" w:name="_Toc304295541"/>
      <w:bookmarkStart w:id="984" w:name="_Toc312677479"/>
      <w:bookmarkStart w:id="985" w:name="_Toc297123514"/>
      <w:bookmarkStart w:id="986" w:name="_Toc297216173"/>
      <w:bookmarkStart w:id="987" w:name="_Toc300934966"/>
      <w:bookmarkStart w:id="988" w:name="_Toc303539123"/>
      <w:bookmarkStart w:id="989" w:name="_Toc312678005"/>
      <w:r>
        <w:rPr>
          <w:rFonts w:hint="eastAsia" w:ascii="仿宋_GB2312" w:hAnsi="仿宋_GB2312" w:eastAsia="仿宋_GB2312" w:cs="仿宋_GB2312"/>
          <w:color w:val="000000"/>
          <w:sz w:val="18"/>
          <w:szCs w:val="18"/>
        </w:rPr>
        <w:t>.2 施工进度计划</w:t>
      </w:r>
    </w:p>
    <w:p w14:paraId="0F6E54E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7.2.</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 xml:space="preserve"> 施工进度计划的修订</w:t>
      </w:r>
    </w:p>
    <w:p w14:paraId="4FF0D769">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发包人和监理人在收到修订的施工进度计划后确认或提出修改意见的期限：</w:t>
      </w:r>
      <w:r>
        <w:rPr>
          <w:rFonts w:hint="eastAsia" w:ascii="仿宋_GB2312" w:hAnsi="仿宋_GB2312" w:eastAsia="仿宋_GB2312" w:cs="仿宋_GB2312"/>
          <w:sz w:val="18"/>
          <w:szCs w:val="18"/>
          <w:u w:val="single"/>
        </w:rPr>
        <w:t>收到修订的施工进度计划后7 天内</w:t>
      </w:r>
      <w:r>
        <w:rPr>
          <w:rFonts w:hint="eastAsia" w:ascii="仿宋_GB2312" w:hAnsi="仿宋_GB2312" w:eastAsia="仿宋_GB2312" w:cs="仿宋_GB2312"/>
          <w:sz w:val="18"/>
          <w:szCs w:val="18"/>
        </w:rPr>
        <w:t>。</w:t>
      </w:r>
    </w:p>
    <w:p w14:paraId="5EE5FB1A">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7.3 开工</w:t>
      </w:r>
    </w:p>
    <w:p w14:paraId="75D25FD4">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7.3.1 开工准备</w:t>
      </w:r>
    </w:p>
    <w:p w14:paraId="0A0EA122">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color w:val="000000"/>
          <w:sz w:val="18"/>
          <w:szCs w:val="18"/>
        </w:rPr>
        <w:t>关于承包人提交</w:t>
      </w:r>
      <w:r>
        <w:rPr>
          <w:rFonts w:hint="eastAsia" w:ascii="仿宋_GB2312" w:hAnsi="仿宋_GB2312" w:eastAsia="仿宋_GB2312" w:cs="仿宋_GB2312"/>
          <w:color w:val="000000"/>
          <w:kern w:val="0"/>
          <w:sz w:val="18"/>
          <w:szCs w:val="18"/>
        </w:rPr>
        <w:t>工程开工报审表的期限：</w:t>
      </w:r>
      <w:r>
        <w:rPr>
          <w:rFonts w:hint="eastAsia" w:ascii="仿宋_GB2312" w:hAnsi="仿宋_GB2312" w:eastAsia="仿宋_GB2312" w:cs="仿宋_GB2312"/>
          <w:sz w:val="18"/>
          <w:szCs w:val="18"/>
          <w:u w:val="single"/>
        </w:rPr>
        <w:t>开工前 3天</w:t>
      </w:r>
      <w:r>
        <w:rPr>
          <w:rFonts w:hint="eastAsia" w:ascii="仿宋_GB2312" w:hAnsi="仿宋_GB2312" w:eastAsia="仿宋_GB2312" w:cs="仿宋_GB2312"/>
          <w:sz w:val="18"/>
          <w:szCs w:val="18"/>
        </w:rPr>
        <w:t>。</w:t>
      </w:r>
    </w:p>
    <w:p w14:paraId="2A3586F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关于发包人应完成的其他开工准备工作及期限：</w:t>
      </w:r>
      <w:r>
        <w:rPr>
          <w:rFonts w:hint="eastAsia" w:ascii="仿宋_GB2312" w:hAnsi="仿宋_GB2312" w:eastAsia="仿宋_GB2312" w:cs="仿宋_GB2312"/>
          <w:sz w:val="18"/>
          <w:szCs w:val="18"/>
          <w:u w:val="single"/>
        </w:rPr>
        <w:t>开工前 3天</w:t>
      </w:r>
      <w:r>
        <w:rPr>
          <w:rFonts w:hint="eastAsia" w:ascii="仿宋_GB2312" w:hAnsi="仿宋_GB2312" w:eastAsia="仿宋_GB2312" w:cs="仿宋_GB2312"/>
          <w:sz w:val="18"/>
          <w:szCs w:val="18"/>
        </w:rPr>
        <w:t>。</w:t>
      </w:r>
    </w:p>
    <w:p w14:paraId="23C81FC6">
      <w:pPr>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关于承包人应完成的其他开工准备工作及期限：</w:t>
      </w:r>
      <w:r>
        <w:rPr>
          <w:rFonts w:hint="eastAsia" w:ascii="仿宋_GB2312" w:hAnsi="仿宋_GB2312" w:eastAsia="仿宋_GB2312" w:cs="仿宋_GB2312"/>
          <w:sz w:val="18"/>
          <w:szCs w:val="18"/>
          <w:u w:val="single"/>
        </w:rPr>
        <w:t>开工前 3天</w:t>
      </w:r>
      <w:r>
        <w:rPr>
          <w:rFonts w:hint="eastAsia" w:ascii="仿宋_GB2312" w:hAnsi="仿宋_GB2312" w:eastAsia="仿宋_GB2312" w:cs="仿宋_GB2312"/>
          <w:sz w:val="18"/>
          <w:szCs w:val="18"/>
        </w:rPr>
        <w:t>。</w:t>
      </w:r>
    </w:p>
    <w:p w14:paraId="5CD127B8">
      <w:pPr>
        <w:pStyle w:val="42"/>
        <w:ind w:left="0" w:leftChars="0" w:firstLine="360" w:firstLineChars="200"/>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承包人应按合同进度计划的要求，在开工前及时配置施工设备和修建临时设施（本工程承包人需配置面积不小于200平方米的临时办公场所，场地由承包人自行解决）。</w:t>
      </w:r>
    </w:p>
    <w:p w14:paraId="4033810C">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7.3.2开工通知</w:t>
      </w:r>
    </w:p>
    <w:p w14:paraId="4E26483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因发包人原因造成监理人未能在计划开工日期之日起</w:t>
      </w:r>
      <w:r>
        <w:rPr>
          <w:rFonts w:hint="eastAsia" w:ascii="仿宋_GB2312" w:hAnsi="仿宋_GB2312" w:eastAsia="仿宋_GB2312" w:cs="仿宋_GB2312"/>
          <w:sz w:val="18"/>
          <w:szCs w:val="18"/>
          <w:u w:val="single"/>
        </w:rPr>
        <w:t xml:space="preserve">  90 </w:t>
      </w:r>
      <w:r>
        <w:rPr>
          <w:rFonts w:hint="eastAsia" w:ascii="仿宋_GB2312" w:hAnsi="仿宋_GB2312" w:eastAsia="仿宋_GB2312" w:cs="仿宋_GB2312"/>
          <w:color w:val="000000"/>
          <w:sz w:val="18"/>
          <w:szCs w:val="18"/>
        </w:rPr>
        <w:t>天内发出开工通知的，承包人有权提出价格调整要求，或者解除合同。</w:t>
      </w:r>
    </w:p>
    <w:bookmarkEnd w:id="983"/>
    <w:bookmarkEnd w:id="984"/>
    <w:bookmarkEnd w:id="985"/>
    <w:bookmarkEnd w:id="986"/>
    <w:bookmarkEnd w:id="987"/>
    <w:bookmarkEnd w:id="988"/>
    <w:bookmarkEnd w:id="989"/>
    <w:p w14:paraId="5C7E6E18">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7.4 测量放线</w:t>
      </w:r>
    </w:p>
    <w:p w14:paraId="3867FE0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7.4.1发包人通过监理人向承包人提供测量基准点、基准线和水准点及其书面资料的期限：</w:t>
      </w:r>
      <w:r>
        <w:rPr>
          <w:rFonts w:hint="eastAsia" w:ascii="仿宋_GB2312" w:hAnsi="仿宋_GB2312" w:eastAsia="仿宋_GB2312" w:cs="仿宋_GB2312"/>
          <w:sz w:val="18"/>
          <w:szCs w:val="18"/>
          <w:u w:val="single"/>
        </w:rPr>
        <w:t>开工前 7 天</w:t>
      </w:r>
      <w:r>
        <w:rPr>
          <w:rFonts w:hint="eastAsia" w:ascii="仿宋_GB2312" w:hAnsi="仿宋_GB2312" w:eastAsia="仿宋_GB2312" w:cs="仿宋_GB2312"/>
          <w:sz w:val="18"/>
          <w:szCs w:val="18"/>
        </w:rPr>
        <w:t>。</w:t>
      </w:r>
    </w:p>
    <w:p w14:paraId="16657B60">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bookmarkStart w:id="990" w:name="_Toc312677484"/>
      <w:bookmarkStart w:id="991" w:name="_Toc303539125"/>
      <w:bookmarkStart w:id="992" w:name="_Toc297216175"/>
      <w:bookmarkStart w:id="993" w:name="_Toc300934968"/>
      <w:bookmarkStart w:id="994" w:name="_Toc304295546"/>
      <w:bookmarkStart w:id="995" w:name="_Toc312678010"/>
      <w:bookmarkStart w:id="996" w:name="_Toc297123516"/>
      <w:r>
        <w:rPr>
          <w:rFonts w:hint="eastAsia" w:ascii="仿宋_GB2312" w:hAnsi="仿宋_GB2312" w:eastAsia="仿宋_GB2312" w:cs="仿宋_GB2312"/>
          <w:color w:val="000000"/>
          <w:sz w:val="18"/>
          <w:szCs w:val="18"/>
        </w:rPr>
        <w:t>.5 工期延误</w:t>
      </w:r>
    </w:p>
    <w:bookmarkEnd w:id="990"/>
    <w:bookmarkEnd w:id="991"/>
    <w:bookmarkEnd w:id="992"/>
    <w:bookmarkEnd w:id="993"/>
    <w:bookmarkEnd w:id="994"/>
    <w:bookmarkEnd w:id="995"/>
    <w:bookmarkEnd w:id="996"/>
    <w:p w14:paraId="6849ED59">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7.5.1 因发包人原因导致工期延误</w:t>
      </w:r>
    </w:p>
    <w:p w14:paraId="40170B27">
      <w:pPr>
        <w:ind w:firstLine="356" w:firstLineChars="198"/>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（7）因发包人原因导致工期延误的其他情形：</w:t>
      </w:r>
    </w:p>
    <w:p w14:paraId="0A1C8B35">
      <w:pPr>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①重大设计变更引起的工期延误                        </w:t>
      </w:r>
      <w:r>
        <w:rPr>
          <w:rFonts w:hint="eastAsia" w:ascii="仿宋_GB2312" w:hAnsi="仿宋_GB2312" w:eastAsia="仿宋_GB2312" w:cs="仿宋_GB2312"/>
          <w:b/>
          <w:sz w:val="18"/>
          <w:szCs w:val="18"/>
        </w:rPr>
        <w:t>；</w:t>
      </w:r>
    </w:p>
    <w:p w14:paraId="4F7F65F1">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②其他： /                                        </w:t>
      </w:r>
      <w:r>
        <w:rPr>
          <w:rFonts w:hint="eastAsia" w:ascii="仿宋_GB2312" w:hAnsi="仿宋_GB2312" w:eastAsia="仿宋_GB2312" w:cs="仿宋_GB2312"/>
          <w:b/>
          <w:sz w:val="18"/>
          <w:szCs w:val="18"/>
        </w:rPr>
        <w:t>。</w:t>
      </w:r>
    </w:p>
    <w:p w14:paraId="0A6A2BE9">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w:t>
      </w:r>
      <w:bookmarkStart w:id="997" w:name="_Toc312677486"/>
      <w:bookmarkStart w:id="998" w:name="_Toc312678012"/>
      <w:bookmarkStart w:id="999" w:name="_Toc318581169"/>
      <w:bookmarkStart w:id="1000" w:name="_Toc300934970"/>
      <w:bookmarkStart w:id="1001" w:name="_Toc304295548"/>
      <w:bookmarkStart w:id="1002" w:name="_Toc297216177"/>
      <w:bookmarkStart w:id="1003" w:name="_Toc297123518"/>
      <w:bookmarkStart w:id="1004" w:name="_Toc303539127"/>
      <w:r>
        <w:rPr>
          <w:rFonts w:hint="eastAsia" w:ascii="仿宋_GB2312" w:hAnsi="仿宋_GB2312" w:eastAsia="仿宋_GB2312" w:cs="仿宋_GB2312"/>
          <w:sz w:val="18"/>
          <w:szCs w:val="18"/>
        </w:rPr>
        <w:t>.5.2 因承包人原因导致工期延误</w:t>
      </w:r>
    </w:p>
    <w:bookmarkEnd w:id="997"/>
    <w:bookmarkEnd w:id="998"/>
    <w:bookmarkEnd w:id="999"/>
    <w:p w14:paraId="2B7D8E6E">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因</w:t>
      </w:r>
      <w:bookmarkStart w:id="1005" w:name="_Toc312677487"/>
      <w:bookmarkStart w:id="1006" w:name="_Toc312678013"/>
      <w:bookmarkStart w:id="1007" w:name="_Toc318581170"/>
      <w:r>
        <w:rPr>
          <w:rFonts w:hint="eastAsia" w:ascii="仿宋_GB2312" w:hAnsi="仿宋_GB2312" w:eastAsia="仿宋_GB2312" w:cs="仿宋_GB2312"/>
          <w:sz w:val="18"/>
          <w:szCs w:val="18"/>
        </w:rPr>
        <w:t>承包人原因造成工期延误，逾期竣工违约金的计算方法为：</w:t>
      </w:r>
    </w:p>
    <w:p w14:paraId="5ABC53E1">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u w:val="single"/>
        </w:rPr>
        <w:t>工期延误10天以内每延误一天，按0.5万/天向发包人支付违约金，延误10天以外20天以内每延误一天，按1万/天向发包人支付违约金，延迟</w:t>
      </w:r>
      <w:r>
        <w:rPr>
          <w:rFonts w:ascii="仿宋_GB2312" w:hAnsi="仿宋_GB2312" w:eastAsia="仿宋_GB2312" w:cs="仿宋_GB2312"/>
          <w:sz w:val="18"/>
          <w:szCs w:val="18"/>
          <w:u w:val="single"/>
        </w:rPr>
        <w:t>20天以外30天以内每延误一天，按1.5万/天向发包人支付违约金</w:t>
      </w:r>
      <w:r>
        <w:rPr>
          <w:rFonts w:hint="eastAsia" w:ascii="仿宋_GB2312" w:hAnsi="仿宋_GB2312" w:eastAsia="仿宋_GB2312" w:cs="仿宋_GB2312"/>
          <w:sz w:val="18"/>
          <w:szCs w:val="18"/>
          <w:u w:val="single"/>
          <w:lang w:eastAsia="zh-CN"/>
        </w:rPr>
        <w:t>，</w:t>
      </w:r>
      <w:r>
        <w:rPr>
          <w:rFonts w:hint="eastAsia" w:ascii="仿宋_GB2312" w:hAnsi="仿宋_GB2312" w:eastAsia="仿宋_GB2312" w:cs="仿宋_GB2312"/>
          <w:sz w:val="18"/>
          <w:szCs w:val="18"/>
          <w:u w:val="single"/>
        </w:rPr>
        <w:t>以此类推，按倍数支付违约金。工期延误超过60天的，发包人同时有权解除合同</w:t>
      </w:r>
      <w:r>
        <w:rPr>
          <w:rFonts w:hint="eastAsia" w:ascii="仿宋_GB2312" w:hAnsi="仿宋_GB2312" w:eastAsia="仿宋_GB2312" w:cs="仿宋_GB2312"/>
          <w:sz w:val="18"/>
          <w:szCs w:val="18"/>
        </w:rPr>
        <w:t>。</w:t>
      </w:r>
      <w:bookmarkEnd w:id="1000"/>
      <w:bookmarkEnd w:id="1001"/>
      <w:bookmarkEnd w:id="1002"/>
      <w:bookmarkEnd w:id="1003"/>
      <w:bookmarkEnd w:id="1004"/>
      <w:bookmarkEnd w:id="1005"/>
      <w:bookmarkEnd w:id="1006"/>
    </w:p>
    <w:bookmarkEnd w:id="1007"/>
    <w:p w14:paraId="189EBC90">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因承包人原因造成工期延误，逾</w:t>
      </w:r>
      <w:bookmarkStart w:id="1008" w:name="_Toc312678014"/>
      <w:bookmarkStart w:id="1009" w:name="_Toc318581171"/>
      <w:r>
        <w:rPr>
          <w:rFonts w:hint="eastAsia" w:ascii="仿宋_GB2312" w:hAnsi="仿宋_GB2312" w:eastAsia="仿宋_GB2312" w:cs="仿宋_GB2312"/>
          <w:sz w:val="18"/>
          <w:szCs w:val="18"/>
        </w:rPr>
        <w:t>期竣工违约金的上限</w:t>
      </w:r>
      <w:bookmarkEnd w:id="1008"/>
      <w:bookmarkEnd w:id="1009"/>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u w:val="single"/>
        </w:rPr>
        <w:t>合同总价的20%。</w:t>
      </w:r>
    </w:p>
    <w:p w14:paraId="2ED4147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bookmarkStart w:id="1010" w:name="_Toc303539128"/>
      <w:bookmarkStart w:id="1011" w:name="_Toc300934971"/>
      <w:bookmarkStart w:id="1012" w:name="_Toc297123519"/>
      <w:bookmarkStart w:id="1013" w:name="_Toc297216178"/>
      <w:bookmarkStart w:id="1014" w:name="_Toc312678015"/>
      <w:bookmarkStart w:id="1015" w:name="_Toc304295549"/>
      <w:r>
        <w:rPr>
          <w:rFonts w:hint="eastAsia" w:ascii="仿宋_GB2312" w:hAnsi="仿宋_GB2312" w:eastAsia="仿宋_GB2312" w:cs="仿宋_GB2312"/>
          <w:color w:val="000000"/>
          <w:sz w:val="18"/>
          <w:szCs w:val="18"/>
        </w:rPr>
        <w:t>.6 不</w:t>
      </w:r>
      <w:bookmarkEnd w:id="1010"/>
      <w:bookmarkEnd w:id="1011"/>
      <w:bookmarkEnd w:id="1012"/>
      <w:bookmarkEnd w:id="1013"/>
      <w:bookmarkEnd w:id="1014"/>
      <w:bookmarkEnd w:id="1015"/>
      <w:r>
        <w:rPr>
          <w:rFonts w:hint="eastAsia" w:ascii="仿宋_GB2312" w:hAnsi="仿宋_GB2312" w:eastAsia="仿宋_GB2312" w:cs="仿宋_GB2312"/>
          <w:color w:val="000000"/>
          <w:sz w:val="18"/>
          <w:szCs w:val="18"/>
        </w:rPr>
        <w:t>利物质条件</w:t>
      </w:r>
    </w:p>
    <w:p w14:paraId="284F8767">
      <w:pPr>
        <w:ind w:firstLine="356" w:firstLineChars="198"/>
        <w:jc w:val="left"/>
        <w:rPr>
          <w:rFonts w:ascii="仿宋_GB2312" w:hAnsi="仿宋_GB2312" w:eastAsia="仿宋_GB2312" w:cs="仿宋_GB2312"/>
          <w:sz w:val="18"/>
          <w:szCs w:val="18"/>
        </w:rPr>
      </w:pPr>
      <w:bookmarkStart w:id="1016" w:name="_Toc318581172"/>
      <w:bookmarkStart w:id="1017" w:name="_Toc297216179"/>
      <w:bookmarkStart w:id="1018" w:name="_Toc300934972"/>
      <w:bookmarkStart w:id="1019" w:name="_Toc312678016"/>
      <w:bookmarkStart w:id="1020" w:name="_Toc304295550"/>
      <w:bookmarkStart w:id="1021" w:name="_Toc303539129"/>
      <w:bookmarkStart w:id="1022" w:name="_Toc297123520"/>
      <w:r>
        <w:rPr>
          <w:rFonts w:hint="eastAsia" w:ascii="仿宋_GB2312" w:hAnsi="仿宋_GB2312" w:eastAsia="仿宋_GB2312" w:cs="仿宋_GB2312"/>
          <w:sz w:val="18"/>
          <w:szCs w:val="18"/>
        </w:rPr>
        <w:t>不利物质条件的其他情形和有关约定：</w:t>
      </w:r>
      <w:bookmarkEnd w:id="1016"/>
      <w:bookmarkEnd w:id="1017"/>
      <w:bookmarkEnd w:id="1018"/>
      <w:bookmarkEnd w:id="1019"/>
      <w:bookmarkEnd w:id="1020"/>
      <w:bookmarkEnd w:id="1021"/>
      <w:bookmarkEnd w:id="1022"/>
    </w:p>
    <w:p w14:paraId="4972FC6B">
      <w:pPr>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（1）施工场地周围地下管线                            </w:t>
      </w:r>
      <w:r>
        <w:rPr>
          <w:rFonts w:hint="eastAsia" w:ascii="仿宋_GB2312" w:hAnsi="仿宋_GB2312" w:eastAsia="仿宋_GB2312" w:cs="仿宋_GB2312"/>
          <w:b/>
          <w:sz w:val="18"/>
          <w:szCs w:val="18"/>
        </w:rPr>
        <w:t>；</w:t>
      </w:r>
    </w:p>
    <w:p w14:paraId="708899AF">
      <w:pPr>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（2）地下障碍物和污染物                              </w:t>
      </w:r>
      <w:r>
        <w:rPr>
          <w:rFonts w:hint="eastAsia" w:ascii="仿宋_GB2312" w:hAnsi="仿宋_GB2312" w:eastAsia="仿宋_GB2312" w:cs="仿宋_GB2312"/>
          <w:b/>
          <w:sz w:val="18"/>
          <w:szCs w:val="18"/>
        </w:rPr>
        <w:t>；</w:t>
      </w:r>
    </w:p>
    <w:p w14:paraId="29B621A6">
      <w:pPr>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（3）邻近建筑物、构筑物的保护要求                    </w:t>
      </w:r>
      <w:r>
        <w:rPr>
          <w:rFonts w:hint="eastAsia" w:ascii="仿宋_GB2312" w:hAnsi="仿宋_GB2312" w:eastAsia="仿宋_GB2312" w:cs="仿宋_GB2312"/>
          <w:b/>
          <w:sz w:val="18"/>
          <w:szCs w:val="18"/>
        </w:rPr>
        <w:t>；</w:t>
      </w:r>
    </w:p>
    <w:p w14:paraId="044A3C4A">
      <w:pPr>
        <w:ind w:firstLine="358" w:firstLineChars="198"/>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（4）其他：/                                        </w:t>
      </w:r>
      <w:r>
        <w:rPr>
          <w:rFonts w:hint="eastAsia" w:ascii="仿宋_GB2312" w:hAnsi="仿宋_GB2312" w:eastAsia="仿宋_GB2312" w:cs="仿宋_GB2312"/>
          <w:b/>
          <w:sz w:val="18"/>
          <w:szCs w:val="18"/>
        </w:rPr>
        <w:t>。</w:t>
      </w:r>
    </w:p>
    <w:p w14:paraId="1AC180C2">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bookmarkStart w:id="1023" w:name="_Toc297123521"/>
      <w:bookmarkStart w:id="1024" w:name="_Toc304295551"/>
      <w:bookmarkStart w:id="1025" w:name="_Toc300934973"/>
      <w:bookmarkStart w:id="1026" w:name="_Toc312678017"/>
      <w:bookmarkStart w:id="1027" w:name="_Toc297216180"/>
      <w:bookmarkStart w:id="1028" w:name="_Toc303539130"/>
      <w:r>
        <w:rPr>
          <w:rFonts w:hint="eastAsia" w:ascii="仿宋_GB2312" w:hAnsi="仿宋_GB2312" w:eastAsia="仿宋_GB2312" w:cs="仿宋_GB2312"/>
          <w:color w:val="000000"/>
          <w:sz w:val="18"/>
          <w:szCs w:val="18"/>
        </w:rPr>
        <w:t>.7异常恶劣的气候条件</w:t>
      </w:r>
    </w:p>
    <w:bookmarkEnd w:id="1023"/>
    <w:bookmarkEnd w:id="1024"/>
    <w:bookmarkEnd w:id="1025"/>
    <w:bookmarkEnd w:id="1026"/>
    <w:bookmarkEnd w:id="1027"/>
    <w:bookmarkEnd w:id="1028"/>
    <w:p w14:paraId="6851DBF7">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发包人和承包人同意以下情形视为异常恶劣的气候条件：</w:t>
      </w:r>
    </w:p>
    <w:p w14:paraId="7FFC6956">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u w:val="single"/>
        </w:rPr>
        <w:t>日最高气温达到40度及以上的天气；启动台风橙色及以上的预警的天气；启动防汛预案一级响应的天气；启动防冻预案一级响应的天气 。</w:t>
      </w:r>
      <w:r>
        <w:rPr>
          <w:rFonts w:hint="eastAsia" w:ascii="仿宋_GB2312" w:hAnsi="仿宋_GB2312" w:eastAsia="仿宋_GB2312" w:cs="仿宋_GB2312"/>
          <w:color w:val="000000"/>
          <w:sz w:val="18"/>
          <w:szCs w:val="18"/>
        </w:rPr>
        <w:t>7.9 提前竣工的奖励</w:t>
      </w:r>
    </w:p>
    <w:p w14:paraId="4C87FD35">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w:t>
      </w: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提前竣工的奖励：</w:t>
      </w:r>
      <w:r>
        <w:rPr>
          <w:rFonts w:hint="eastAsia" w:ascii="仿宋_GB2312" w:hAnsi="仿宋_GB2312" w:eastAsia="仿宋_GB2312" w:cs="仿宋_GB2312"/>
          <w:sz w:val="18"/>
          <w:szCs w:val="18"/>
          <w:u w:val="single"/>
        </w:rPr>
        <w:t>建设单位在参建各方确认是否可行后，有权对项目实施提出合理的节点工期。如节点工期未完成的，可参照项目总工期相关处罚条款进行处置</w:t>
      </w:r>
      <w:r>
        <w:rPr>
          <w:rFonts w:hint="eastAsia" w:ascii="仿宋_GB2312" w:hAnsi="仿宋_GB2312" w:eastAsia="仿宋_GB2312" w:cs="仿宋_GB2312"/>
          <w:sz w:val="18"/>
          <w:szCs w:val="18"/>
        </w:rPr>
        <w:t>。</w:t>
      </w:r>
    </w:p>
    <w:p w14:paraId="5C4DD3ED">
      <w:pPr>
        <w:pStyle w:val="5"/>
        <w:spacing w:before="120" w:after="120" w:line="240" w:lineRule="auto"/>
        <w:rPr>
          <w:rFonts w:ascii="仿宋_GB2312" w:hAnsi="仿宋_GB2312" w:eastAsia="仿宋_GB2312" w:cs="仿宋_GB2312"/>
          <w:b w:val="0"/>
          <w:color w:val="000000"/>
          <w:sz w:val="18"/>
          <w:szCs w:val="18"/>
        </w:rPr>
      </w:pPr>
      <w:bookmarkStart w:id="1029" w:name="_Toc351203640"/>
      <w:r>
        <w:rPr>
          <w:rFonts w:hint="eastAsia" w:ascii="仿宋_GB2312" w:hAnsi="仿宋_GB2312" w:eastAsia="仿宋_GB2312" w:cs="仿宋_GB2312"/>
          <w:b w:val="0"/>
          <w:color w:val="000000"/>
          <w:sz w:val="18"/>
          <w:szCs w:val="18"/>
        </w:rPr>
        <w:t>8. 材料与设备</w:t>
      </w:r>
      <w:bookmarkEnd w:id="1029"/>
    </w:p>
    <w:bookmarkEnd w:id="962"/>
    <w:bookmarkEnd w:id="963"/>
    <w:bookmarkEnd w:id="964"/>
    <w:bookmarkEnd w:id="965"/>
    <w:bookmarkEnd w:id="966"/>
    <w:bookmarkEnd w:id="967"/>
    <w:bookmarkEnd w:id="968"/>
    <w:bookmarkEnd w:id="969"/>
    <w:bookmarkEnd w:id="970"/>
    <w:bookmarkEnd w:id="971"/>
    <w:p w14:paraId="460B3710">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bookmarkStart w:id="1030" w:name="_Toc297120467"/>
      <w:bookmarkStart w:id="1031" w:name="_Toc292559372"/>
      <w:bookmarkStart w:id="1032" w:name="_Toc297216186"/>
      <w:bookmarkStart w:id="1033" w:name="_Toc296503167"/>
      <w:bookmarkStart w:id="1034" w:name="_Toc292559877"/>
      <w:bookmarkStart w:id="1035" w:name="_Toc296346668"/>
      <w:bookmarkStart w:id="1036" w:name="_Toc312677493"/>
      <w:bookmarkStart w:id="1037" w:name="_Toc300934979"/>
      <w:bookmarkStart w:id="1038" w:name="_Toc280868654"/>
      <w:bookmarkStart w:id="1039" w:name="_Toc312678019"/>
      <w:bookmarkStart w:id="1040" w:name="_Toc297123527"/>
      <w:bookmarkStart w:id="1041" w:name="_Toc304295556"/>
      <w:bookmarkStart w:id="1042" w:name="_Toc297048353"/>
      <w:bookmarkStart w:id="1043" w:name="_Toc303539136"/>
      <w:bookmarkStart w:id="1044" w:name="_Toc296890995"/>
      <w:bookmarkStart w:id="1045" w:name="_Toc296891207"/>
      <w:bookmarkStart w:id="1046" w:name="_Toc296347166"/>
      <w:bookmarkStart w:id="1047" w:name="_Toc296944506"/>
      <w:bookmarkStart w:id="1048" w:name="_Toc280868655"/>
      <w:bookmarkStart w:id="1049" w:name="_Toc280868656"/>
      <w:bookmarkStart w:id="1050" w:name="_Toc267251424"/>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材料与工程设备的保管与使用</w:t>
      </w:r>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14:paraId="0929FFDA">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8</w:t>
      </w:r>
      <w:bookmarkStart w:id="1051" w:name="_Toc292559373"/>
      <w:bookmarkStart w:id="1052" w:name="_Toc292559878"/>
      <w:bookmarkStart w:id="1053" w:name="_Toc300934980"/>
      <w:bookmarkStart w:id="1054" w:name="_Toc296891208"/>
      <w:bookmarkStart w:id="1055" w:name="_Toc303539137"/>
      <w:bookmarkStart w:id="1056" w:name="_Toc297123528"/>
      <w:bookmarkStart w:id="1057" w:name="_Toc318581173"/>
      <w:bookmarkStart w:id="1058" w:name="_Toc297120468"/>
      <w:bookmarkStart w:id="1059" w:name="_Toc296944507"/>
      <w:bookmarkStart w:id="1060" w:name="_Toc312677494"/>
      <w:bookmarkStart w:id="1061" w:name="_Toc296347167"/>
      <w:bookmarkStart w:id="1062" w:name="_Toc304295557"/>
      <w:bookmarkStart w:id="1063" w:name="_Toc296503168"/>
      <w:bookmarkStart w:id="1064" w:name="_Toc296346669"/>
      <w:bookmarkStart w:id="1065" w:name="_Toc296890996"/>
      <w:bookmarkStart w:id="1066" w:name="_Toc297048354"/>
      <w:bookmarkStart w:id="1067" w:name="_Toc297216187"/>
      <w:bookmarkStart w:id="1068" w:name="_Toc312678020"/>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.1发包人供应的材料设备的保管费用的承担：</w:t>
      </w:r>
      <w:r>
        <w:rPr>
          <w:rFonts w:hint="eastAsia" w:ascii="仿宋_GB2312" w:hAnsi="仿宋_GB2312" w:eastAsia="仿宋_GB2312" w:cs="仿宋_GB2312"/>
          <w:sz w:val="18"/>
          <w:szCs w:val="18"/>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仿宋_GB2312" w:hAnsi="仿宋_GB2312" w:eastAsia="仿宋_GB2312" w:cs="仿宋_GB2312"/>
          <w:sz w:val="18"/>
          <w:szCs w:val="18"/>
        </w:rPr>
        <w:t>。</w:t>
      </w:r>
      <w:bookmarkEnd w:id="1051"/>
      <w:bookmarkEnd w:id="1052"/>
    </w:p>
    <w:p w14:paraId="334AD861">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样品</w:t>
      </w:r>
    </w:p>
    <w:p w14:paraId="267EBEE7">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ab/>
      </w:r>
      <w:r>
        <w:rPr>
          <w:rFonts w:hint="eastAsia" w:ascii="仿宋_GB2312" w:hAnsi="仿宋_GB2312" w:eastAsia="仿宋_GB2312" w:cs="仿宋_GB2312"/>
          <w:color w:val="000000"/>
          <w:kern w:val="0"/>
          <w:sz w:val="18"/>
          <w:szCs w:val="18"/>
        </w:rPr>
        <w:t>样品的报送与封存</w:t>
      </w:r>
    </w:p>
    <w:p w14:paraId="59D233CD">
      <w:pPr>
        <w:autoSpaceDE w:val="0"/>
        <w:autoSpaceDN w:val="0"/>
        <w:adjustRightInd w:val="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需要承包人报送样品的材料或工程设备，样品的种类、名称、规格、数量要求：</w:t>
      </w:r>
      <w:r>
        <w:rPr>
          <w:rFonts w:hint="eastAsia" w:ascii="仿宋_GB2312" w:hAnsi="仿宋_GB2312" w:eastAsia="仿宋_GB2312" w:cs="仿宋_GB2312"/>
          <w:sz w:val="18"/>
          <w:szCs w:val="18"/>
          <w:u w:val="single"/>
        </w:rPr>
        <w:t>按有关规定和监理人要求执行</w:t>
      </w:r>
      <w:r>
        <w:rPr>
          <w:rFonts w:hint="eastAsia" w:ascii="仿宋_GB2312" w:hAnsi="仿宋_GB2312" w:eastAsia="仿宋_GB2312" w:cs="仿宋_GB2312"/>
          <w:sz w:val="18"/>
          <w:szCs w:val="18"/>
        </w:rPr>
        <w:t>。</w:t>
      </w:r>
    </w:p>
    <w:p w14:paraId="50DF1F56">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施工设备和临时设施</w:t>
      </w:r>
    </w:p>
    <w:p w14:paraId="5014EB50">
      <w:pPr>
        <w:autoSpaceDE w:val="0"/>
        <w:autoSpaceDN w:val="0"/>
        <w:adjustRightInd w:val="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8.</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.1 承包人提供的施工设备和临时设施</w:t>
      </w:r>
    </w:p>
    <w:p w14:paraId="6DA56FF7">
      <w:pPr>
        <w:autoSpaceDE w:val="0"/>
        <w:autoSpaceDN w:val="0"/>
        <w:adjustRightInd w:val="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关于修建临时设施费用承担的约定：</w:t>
      </w:r>
      <w:r>
        <w:rPr>
          <w:rFonts w:hint="eastAsia" w:ascii="仿宋_GB2312" w:hAnsi="仿宋_GB2312" w:eastAsia="仿宋_GB2312" w:cs="仿宋_GB2312"/>
          <w:sz w:val="18"/>
          <w:szCs w:val="18"/>
          <w:u w:val="single"/>
        </w:rPr>
        <w:t>按通用合同条款约定</w:t>
      </w:r>
      <w:r>
        <w:rPr>
          <w:rFonts w:hint="eastAsia" w:ascii="仿宋_GB2312" w:hAnsi="仿宋_GB2312" w:eastAsia="仿宋_GB2312" w:cs="仿宋_GB2312"/>
          <w:sz w:val="18"/>
          <w:szCs w:val="18"/>
        </w:rPr>
        <w:t>。</w:t>
      </w:r>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14:paraId="2F2D63CF">
      <w:pPr>
        <w:pStyle w:val="5"/>
        <w:spacing w:before="120" w:after="120" w:line="240" w:lineRule="auto"/>
        <w:rPr>
          <w:rFonts w:ascii="仿宋_GB2312" w:hAnsi="仿宋_GB2312" w:eastAsia="仿宋_GB2312" w:cs="仿宋_GB2312"/>
          <w:b w:val="0"/>
          <w:color w:val="000000"/>
          <w:sz w:val="18"/>
          <w:szCs w:val="18"/>
        </w:rPr>
      </w:pPr>
      <w:bookmarkStart w:id="1069" w:name="_Toc351203641"/>
      <w:r>
        <w:rPr>
          <w:rFonts w:hint="eastAsia" w:ascii="仿宋_GB2312" w:hAnsi="仿宋_GB2312" w:eastAsia="仿宋_GB2312" w:cs="仿宋_GB2312"/>
          <w:b w:val="0"/>
          <w:color w:val="000000"/>
          <w:sz w:val="18"/>
          <w:szCs w:val="18"/>
        </w:rPr>
        <w:t>9</w:t>
      </w:r>
      <w:bookmarkEnd w:id="1048"/>
      <w:bookmarkEnd w:id="1049"/>
      <w:bookmarkEnd w:id="1050"/>
      <w:bookmarkStart w:id="1070" w:name="_Toc304295559"/>
      <w:bookmarkStart w:id="1071" w:name="_Toc300934982"/>
      <w:bookmarkStart w:id="1072" w:name="_Toc303539139"/>
      <w:bookmarkStart w:id="1073" w:name="_Toc297216192"/>
      <w:bookmarkStart w:id="1074" w:name="_Toc297123533"/>
      <w:bookmarkStart w:id="1075" w:name="_Toc312678021"/>
      <w:bookmarkStart w:id="1076" w:name="_Toc312677495"/>
      <w:bookmarkStart w:id="1077" w:name="_Toc292559883"/>
      <w:bookmarkStart w:id="1078" w:name="_Toc296503173"/>
      <w:bookmarkStart w:id="1079" w:name="_Toc297048359"/>
      <w:bookmarkStart w:id="1080" w:name="_Toc267251428"/>
      <w:bookmarkStart w:id="1081" w:name="_Toc296891001"/>
      <w:bookmarkStart w:id="1082" w:name="_Toc296346674"/>
      <w:bookmarkStart w:id="1083" w:name="_Toc296347172"/>
      <w:bookmarkStart w:id="1084" w:name="_Toc297120473"/>
      <w:bookmarkStart w:id="1085" w:name="_Toc296891213"/>
      <w:bookmarkStart w:id="1086" w:name="_Toc267251427"/>
      <w:bookmarkStart w:id="1087" w:name="_Toc296944512"/>
      <w:bookmarkStart w:id="1088" w:name="_Toc292559378"/>
      <w:r>
        <w:rPr>
          <w:rFonts w:hint="eastAsia" w:ascii="仿宋_GB2312" w:hAnsi="仿宋_GB2312" w:eastAsia="仿宋_GB2312" w:cs="仿宋_GB2312"/>
          <w:b w:val="0"/>
          <w:color w:val="000000"/>
          <w:sz w:val="18"/>
          <w:szCs w:val="18"/>
        </w:rPr>
        <w:t>. 试验与检验</w:t>
      </w:r>
      <w:bookmarkEnd w:id="1069"/>
    </w:p>
    <w:bookmarkEnd w:id="1070"/>
    <w:bookmarkEnd w:id="1071"/>
    <w:bookmarkEnd w:id="1072"/>
    <w:bookmarkEnd w:id="1073"/>
    <w:bookmarkEnd w:id="1074"/>
    <w:bookmarkEnd w:id="1075"/>
    <w:bookmarkEnd w:id="1076"/>
    <w:p w14:paraId="3287E83D">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bookmarkStart w:id="1089" w:name="_Toc304295560"/>
      <w:bookmarkStart w:id="1090" w:name="_Toc312678022"/>
      <w:bookmarkStart w:id="1091" w:name="_Toc300934983"/>
      <w:bookmarkStart w:id="1092" w:name="_Toc297216193"/>
      <w:bookmarkStart w:id="1093" w:name="_Toc297123534"/>
      <w:bookmarkStart w:id="1094" w:name="_Toc312677496"/>
      <w:bookmarkStart w:id="1095" w:name="_Toc303539140"/>
      <w:r>
        <w:rPr>
          <w:rFonts w:hint="eastAsia" w:ascii="仿宋_GB2312" w:hAnsi="仿宋_GB2312" w:eastAsia="仿宋_GB2312" w:cs="仿宋_GB2312"/>
          <w:color w:val="000000"/>
          <w:sz w:val="18"/>
          <w:szCs w:val="18"/>
        </w:rPr>
        <w:t>.1试验设备与试验人员</w:t>
      </w:r>
    </w:p>
    <w:bookmarkEnd w:id="1089"/>
    <w:bookmarkEnd w:id="1090"/>
    <w:bookmarkEnd w:id="1091"/>
    <w:bookmarkEnd w:id="1092"/>
    <w:bookmarkEnd w:id="1093"/>
    <w:bookmarkEnd w:id="1094"/>
    <w:bookmarkEnd w:id="1095"/>
    <w:p w14:paraId="092B8C84">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9</w:t>
      </w:r>
      <w:bookmarkStart w:id="1096" w:name="_Toc312677497"/>
      <w:bookmarkStart w:id="1097" w:name="_Toc297216194"/>
      <w:bookmarkStart w:id="1098" w:name="_Toc303539141"/>
      <w:bookmarkStart w:id="1099" w:name="_Toc304295561"/>
      <w:bookmarkStart w:id="1100" w:name="_Toc300934984"/>
      <w:bookmarkStart w:id="1101" w:name="_Toc297123535"/>
      <w:bookmarkStart w:id="1102" w:name="_Toc312678023"/>
      <w:bookmarkStart w:id="1103" w:name="_Toc318581174"/>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 xml:space="preserve"> 试验设备</w:t>
      </w:r>
    </w:p>
    <w:p w14:paraId="22667A54">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施工现场需要配置的试验场所：</w:t>
      </w:r>
      <w:bookmarkEnd w:id="1096"/>
      <w:bookmarkEnd w:id="1097"/>
      <w:bookmarkEnd w:id="1098"/>
      <w:bookmarkEnd w:id="1099"/>
      <w:bookmarkEnd w:id="1100"/>
      <w:bookmarkEnd w:id="1101"/>
      <w:bookmarkEnd w:id="1102"/>
      <w:bookmarkStart w:id="1104" w:name="_Toc312677498"/>
      <w:bookmarkStart w:id="1105" w:name="_Toc304295562"/>
      <w:bookmarkStart w:id="1106" w:name="_Toc312678024"/>
      <w:bookmarkStart w:id="1107" w:name="_Toc297123536"/>
      <w:bookmarkStart w:id="1108" w:name="_Toc303539142"/>
      <w:bookmarkStart w:id="1109" w:name="_Toc300934985"/>
      <w:bookmarkStart w:id="1110" w:name="_Toc297216195"/>
      <w:r>
        <w:rPr>
          <w:rFonts w:hint="eastAsia" w:ascii="仿宋_GB2312" w:hAnsi="仿宋_GB2312" w:eastAsia="仿宋_GB2312" w:cs="仿宋_GB2312"/>
          <w:sz w:val="18"/>
          <w:szCs w:val="18"/>
          <w:u w:val="single"/>
        </w:rPr>
        <w:t>按有关规定和监理人要求执行</w:t>
      </w:r>
      <w:r>
        <w:rPr>
          <w:rFonts w:hint="eastAsia" w:ascii="仿宋_GB2312" w:hAnsi="仿宋_GB2312" w:eastAsia="仿宋_GB2312" w:cs="仿宋_GB2312"/>
          <w:sz w:val="18"/>
          <w:szCs w:val="18"/>
        </w:rPr>
        <w:t xml:space="preserve">。 </w:t>
      </w:r>
    </w:p>
    <w:p w14:paraId="31C6CC08">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施工现场需要配备的试验设备：</w:t>
      </w:r>
      <w:r>
        <w:rPr>
          <w:rFonts w:hint="eastAsia" w:ascii="仿宋_GB2312" w:hAnsi="仿宋_GB2312" w:eastAsia="仿宋_GB2312" w:cs="仿宋_GB2312"/>
          <w:sz w:val="18"/>
          <w:szCs w:val="18"/>
          <w:u w:val="single"/>
        </w:rPr>
        <w:t>按有关规定和监理人要求执行</w:t>
      </w:r>
      <w:r>
        <w:rPr>
          <w:rFonts w:hint="eastAsia" w:ascii="仿宋_GB2312" w:hAnsi="仿宋_GB2312" w:eastAsia="仿宋_GB2312" w:cs="仿宋_GB2312"/>
          <w:sz w:val="18"/>
          <w:szCs w:val="18"/>
        </w:rPr>
        <w:t>。</w:t>
      </w:r>
    </w:p>
    <w:p w14:paraId="77723EDB">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施工现场需要具备的其他试验条件：</w:t>
      </w:r>
      <w:r>
        <w:rPr>
          <w:rFonts w:hint="eastAsia" w:ascii="仿宋_GB2312" w:hAnsi="仿宋_GB2312" w:eastAsia="仿宋_GB2312" w:cs="仿宋_GB2312"/>
          <w:sz w:val="18"/>
          <w:szCs w:val="18"/>
          <w:u w:val="single"/>
        </w:rPr>
        <w:t>按有关规定和监理人要求执行</w:t>
      </w:r>
      <w:r>
        <w:rPr>
          <w:rFonts w:hint="eastAsia" w:ascii="仿宋_GB2312" w:hAnsi="仿宋_GB2312" w:eastAsia="仿宋_GB2312" w:cs="仿宋_GB2312"/>
          <w:sz w:val="18"/>
          <w:szCs w:val="18"/>
        </w:rPr>
        <w:t>。</w:t>
      </w:r>
    </w:p>
    <w:p w14:paraId="6EEB313F">
      <w:pPr>
        <w:pStyle w:val="6"/>
        <w:spacing w:before="120" w:after="120"/>
        <w:ind w:left="0" w:firstLine="360" w:firstLineChars="200"/>
        <w:rPr>
          <w:rFonts w:ascii="仿宋_GB2312" w:hAnsi="仿宋_GB2312" w:eastAsia="仿宋_GB2312" w:cs="仿宋_GB2312"/>
          <w:sz w:val="18"/>
          <w:szCs w:val="18"/>
        </w:rPr>
      </w:pPr>
      <w:r>
        <w:rPr>
          <w:rFonts w:hint="eastAsia" w:ascii="仿宋_GB2312" w:hAnsi="仿宋_GB2312" w:eastAsia="仿宋_GB2312" w:cs="仿宋_GB2312"/>
          <w:b w:val="0"/>
          <w:bCs w:val="0"/>
          <w:color w:val="000000"/>
          <w:sz w:val="18"/>
          <w:szCs w:val="18"/>
        </w:rPr>
        <w:t>9.</w:t>
      </w:r>
      <w:r>
        <w:rPr>
          <w:rFonts w:hint="eastAsia" w:ascii="仿宋_GB2312" w:hAnsi="仿宋_GB2312" w:eastAsia="仿宋_GB2312" w:cs="仿宋_GB2312"/>
          <w:b w:val="0"/>
          <w:bCs w:val="0"/>
          <w:color w:val="000000"/>
          <w:sz w:val="18"/>
          <w:szCs w:val="18"/>
          <w:lang w:val="en-US" w:eastAsia="zh-CN"/>
        </w:rPr>
        <w:t>2</w:t>
      </w:r>
      <w:r>
        <w:rPr>
          <w:rFonts w:hint="eastAsia" w:ascii="仿宋_GB2312" w:hAnsi="仿宋_GB2312" w:eastAsia="仿宋_GB2312" w:cs="仿宋_GB2312"/>
          <w:sz w:val="18"/>
          <w:szCs w:val="18"/>
        </w:rPr>
        <w:t>材料、工程设备和工程的试验和检验</w:t>
      </w:r>
    </w:p>
    <w:p w14:paraId="4AEABD11">
      <w:pPr>
        <w:ind w:firstLine="342" w:firstLineChars="189"/>
        <w:jc w:val="left"/>
        <w:rPr>
          <w:rFonts w:ascii="仿宋_GB2312" w:hAnsi="仿宋_GB2312" w:eastAsia="仿宋_GB2312" w:cs="仿宋_GB2312"/>
          <w:b/>
          <w:sz w:val="18"/>
          <w:szCs w:val="18"/>
          <w:u w:val="single"/>
        </w:rPr>
      </w:pPr>
      <w:r>
        <w:rPr>
          <w:rFonts w:hint="eastAsia" w:ascii="仿宋_GB2312" w:hAnsi="仿宋_GB2312" w:eastAsia="仿宋_GB2312" w:cs="仿宋_GB2312"/>
          <w:b/>
          <w:kern w:val="0"/>
          <w:sz w:val="18"/>
          <w:szCs w:val="18"/>
        </w:rPr>
        <w:t>试验、检测单位资质条件约定：</w:t>
      </w:r>
      <w:r>
        <w:rPr>
          <w:rFonts w:hint="eastAsia" w:ascii="仿宋_GB2312" w:hAnsi="仿宋_GB2312" w:eastAsia="仿宋_GB2312" w:cs="仿宋_GB2312"/>
          <w:b/>
          <w:sz w:val="18"/>
          <w:szCs w:val="18"/>
          <w:u w:val="single"/>
        </w:rPr>
        <w:t>按有关规定和监理人要求执行</w:t>
      </w:r>
      <w:r>
        <w:rPr>
          <w:rFonts w:hint="eastAsia" w:ascii="仿宋_GB2312" w:hAnsi="仿宋_GB2312" w:eastAsia="仿宋_GB2312" w:cs="仿宋_GB2312"/>
          <w:b/>
          <w:sz w:val="18"/>
          <w:szCs w:val="18"/>
        </w:rPr>
        <w:t>；</w:t>
      </w:r>
    </w:p>
    <w:p w14:paraId="0FEF1180">
      <w:pPr>
        <w:ind w:firstLine="342" w:firstLineChars="189"/>
        <w:jc w:val="left"/>
        <w:rPr>
          <w:rFonts w:ascii="仿宋_GB2312" w:hAnsi="仿宋_GB2312" w:eastAsia="仿宋_GB2312" w:cs="仿宋_GB2312"/>
          <w:b/>
          <w:sz w:val="18"/>
          <w:szCs w:val="18"/>
          <w:u w:val="single"/>
        </w:rPr>
      </w:pPr>
      <w:r>
        <w:rPr>
          <w:rFonts w:hint="eastAsia" w:ascii="仿宋_GB2312" w:hAnsi="仿宋_GB2312" w:eastAsia="仿宋_GB2312" w:cs="仿宋_GB2312"/>
          <w:b/>
          <w:kern w:val="0"/>
          <w:sz w:val="18"/>
          <w:szCs w:val="18"/>
        </w:rPr>
        <w:t>试验、检测单位选择约定：</w:t>
      </w:r>
      <w:r>
        <w:rPr>
          <w:rFonts w:hint="eastAsia" w:ascii="仿宋_GB2312" w:hAnsi="仿宋_GB2312" w:eastAsia="仿宋_GB2312" w:cs="仿宋_GB2312"/>
          <w:b/>
          <w:kern w:val="0"/>
          <w:sz w:val="18"/>
          <w:szCs w:val="18"/>
          <w:u w:val="single"/>
        </w:rPr>
        <w:t>承包人选择单位后报监理人、发包人审核，审核通过后方可确定试验、检测单位</w:t>
      </w:r>
      <w:r>
        <w:rPr>
          <w:rFonts w:hint="eastAsia" w:ascii="仿宋_GB2312" w:hAnsi="仿宋_GB2312" w:eastAsia="仿宋_GB2312" w:cs="仿宋_GB2312"/>
          <w:b/>
          <w:sz w:val="18"/>
          <w:szCs w:val="18"/>
        </w:rPr>
        <w:t>；</w:t>
      </w:r>
    </w:p>
    <w:p w14:paraId="28602A00">
      <w:pPr>
        <w:ind w:firstLine="342" w:firstLineChars="189"/>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试验、检测费用约定：</w:t>
      </w:r>
      <w:r>
        <w:rPr>
          <w:rFonts w:hint="eastAsia" w:ascii="仿宋_GB2312" w:hAnsi="仿宋_GB2312" w:eastAsia="仿宋_GB2312" w:cs="仿宋_GB2312"/>
          <w:b/>
          <w:sz w:val="18"/>
          <w:szCs w:val="18"/>
          <w:u w:val="single"/>
        </w:rPr>
        <w:t>工程有关试验、检测费用由承包人承担（政府有关部门明确规定需要发包人支付的除外），并已包含在合同价款中，不再另行计算</w:t>
      </w:r>
      <w:r>
        <w:rPr>
          <w:rFonts w:hint="eastAsia" w:ascii="仿宋_GB2312" w:hAnsi="仿宋_GB2312" w:eastAsia="仿宋_GB2312" w:cs="仿宋_GB2312"/>
          <w:b/>
          <w:sz w:val="18"/>
          <w:szCs w:val="18"/>
        </w:rPr>
        <w:t>。</w:t>
      </w:r>
    </w:p>
    <w:p w14:paraId="57EE8AEF">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现场工艺试验 </w:t>
      </w:r>
    </w:p>
    <w:p w14:paraId="333A37FC">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现场工艺试验的有关约定：</w:t>
      </w:r>
      <w:r>
        <w:rPr>
          <w:rFonts w:hint="eastAsia" w:ascii="仿宋_GB2312" w:hAnsi="仿宋_GB2312" w:eastAsia="仿宋_GB2312" w:cs="仿宋_GB2312"/>
          <w:sz w:val="18"/>
          <w:szCs w:val="18"/>
          <w:u w:val="single"/>
        </w:rPr>
        <w:t>按有关规定和监理人要求执行</w:t>
      </w:r>
      <w:r>
        <w:rPr>
          <w:rFonts w:hint="eastAsia" w:ascii="仿宋_GB2312" w:hAnsi="仿宋_GB2312" w:eastAsia="仿宋_GB2312" w:cs="仿宋_GB2312"/>
          <w:sz w:val="18"/>
          <w:szCs w:val="18"/>
        </w:rPr>
        <w:t>。</w:t>
      </w:r>
    </w:p>
    <w:bookmarkEnd w:id="1103"/>
    <w:bookmarkEnd w:id="1104"/>
    <w:bookmarkEnd w:id="1105"/>
    <w:bookmarkEnd w:id="1106"/>
    <w:bookmarkEnd w:id="1107"/>
    <w:bookmarkEnd w:id="1108"/>
    <w:bookmarkEnd w:id="1109"/>
    <w:bookmarkEnd w:id="1110"/>
    <w:p w14:paraId="2A8ACCCF">
      <w:pPr>
        <w:pStyle w:val="5"/>
        <w:spacing w:before="120" w:after="120" w:line="240" w:lineRule="auto"/>
        <w:rPr>
          <w:rFonts w:ascii="仿宋_GB2312" w:hAnsi="仿宋_GB2312" w:eastAsia="仿宋_GB2312" w:cs="仿宋_GB2312"/>
          <w:b w:val="0"/>
          <w:color w:val="000000"/>
          <w:sz w:val="18"/>
          <w:szCs w:val="18"/>
        </w:rPr>
      </w:pPr>
      <w:bookmarkStart w:id="1111" w:name="_Toc351203642"/>
      <w:r>
        <w:rPr>
          <w:rFonts w:hint="eastAsia" w:ascii="仿宋_GB2312" w:hAnsi="仿宋_GB2312" w:eastAsia="仿宋_GB2312" w:cs="仿宋_GB2312"/>
          <w:b w:val="0"/>
          <w:color w:val="000000"/>
          <w:sz w:val="18"/>
          <w:szCs w:val="18"/>
        </w:rPr>
        <w:t>1</w:t>
      </w:r>
      <w:bookmarkEnd w:id="1077"/>
      <w:bookmarkEnd w:id="1078"/>
      <w:bookmarkEnd w:id="1079"/>
      <w:bookmarkEnd w:id="1080"/>
      <w:bookmarkEnd w:id="1081"/>
      <w:bookmarkEnd w:id="1082"/>
      <w:bookmarkEnd w:id="1083"/>
      <w:bookmarkEnd w:id="1084"/>
      <w:bookmarkEnd w:id="1085"/>
      <w:bookmarkEnd w:id="1086"/>
      <w:bookmarkEnd w:id="1087"/>
      <w:bookmarkEnd w:id="1088"/>
      <w:bookmarkStart w:id="1112" w:name="_Toc303539146"/>
      <w:bookmarkStart w:id="1113" w:name="_Toc296891233"/>
      <w:bookmarkStart w:id="1114" w:name="_Toc296347192"/>
      <w:bookmarkStart w:id="1115" w:name="_Toc297216199"/>
      <w:bookmarkStart w:id="1116" w:name="_Toc292559398"/>
      <w:bookmarkStart w:id="1117" w:name="_Toc297048379"/>
      <w:bookmarkStart w:id="1118" w:name="_Toc296891021"/>
      <w:bookmarkStart w:id="1119" w:name="_Toc304295566"/>
      <w:bookmarkStart w:id="1120" w:name="_Toc297120493"/>
      <w:bookmarkStart w:id="1121" w:name="_Toc297123540"/>
      <w:bookmarkStart w:id="1122" w:name="_Toc296503193"/>
      <w:bookmarkStart w:id="1123" w:name="_Toc296346694"/>
      <w:bookmarkStart w:id="1124" w:name="_Toc292559903"/>
      <w:bookmarkStart w:id="1125" w:name="_Toc296944532"/>
      <w:bookmarkStart w:id="1126" w:name="_Toc300934989"/>
      <w:bookmarkStart w:id="1127" w:name="_Toc312678025"/>
      <w:bookmarkStart w:id="1128" w:name="_Toc312677499"/>
      <w:bookmarkStart w:id="1129" w:name="_Toc267251439"/>
      <w:bookmarkStart w:id="1130" w:name="_Toc267251441"/>
      <w:bookmarkStart w:id="1131" w:name="_Toc267251437"/>
      <w:bookmarkStart w:id="1132" w:name="_Toc267251433"/>
      <w:bookmarkStart w:id="1133" w:name="_Toc267251435"/>
      <w:bookmarkStart w:id="1134" w:name="_Toc267251440"/>
      <w:bookmarkStart w:id="1135" w:name="_Toc267251442"/>
      <w:r>
        <w:rPr>
          <w:rFonts w:hint="eastAsia" w:ascii="仿宋_GB2312" w:hAnsi="仿宋_GB2312" w:eastAsia="仿宋_GB2312" w:cs="仿宋_GB2312"/>
          <w:b w:val="0"/>
          <w:color w:val="000000"/>
          <w:sz w:val="18"/>
          <w:szCs w:val="18"/>
        </w:rPr>
        <w:t>0. 变更</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bookmarkEnd w:id="1127"/>
    <w:bookmarkEnd w:id="1128"/>
    <w:p w14:paraId="5A952DBF">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bookmarkStart w:id="1136" w:name="_Toc296503194"/>
      <w:bookmarkStart w:id="1137" w:name="_Toc296346695"/>
      <w:bookmarkStart w:id="1138" w:name="_Toc312677500"/>
      <w:bookmarkStart w:id="1139" w:name="_Toc297120494"/>
      <w:bookmarkStart w:id="1140" w:name="_Toc296944533"/>
      <w:bookmarkStart w:id="1141" w:name="_Toc303539147"/>
      <w:bookmarkStart w:id="1142" w:name="_Toc292559904"/>
      <w:bookmarkStart w:id="1143" w:name="_Toc312678026"/>
      <w:bookmarkStart w:id="1144" w:name="_Toc300934990"/>
      <w:bookmarkStart w:id="1145" w:name="_Toc297048380"/>
      <w:bookmarkStart w:id="1146" w:name="_Toc296891022"/>
      <w:bookmarkStart w:id="1147" w:name="_Toc296347193"/>
      <w:bookmarkStart w:id="1148" w:name="_Toc297123541"/>
      <w:bookmarkStart w:id="1149" w:name="_Toc304295567"/>
      <w:bookmarkStart w:id="1150" w:name="_Toc292559399"/>
      <w:bookmarkStart w:id="1151" w:name="_Toc297216200"/>
      <w:bookmarkStart w:id="1152" w:name="_Toc296891234"/>
      <w:r>
        <w:rPr>
          <w:rFonts w:hint="eastAsia" w:ascii="仿宋_GB2312" w:hAnsi="仿宋_GB2312" w:eastAsia="仿宋_GB2312" w:cs="仿宋_GB2312"/>
          <w:color w:val="000000"/>
          <w:sz w:val="18"/>
          <w:szCs w:val="18"/>
        </w:rPr>
        <w:t>0.1变更的范围</w:t>
      </w:r>
    </w:p>
    <w:p w14:paraId="36E61F8C">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关于变更的范围的约定：</w:t>
      </w:r>
      <w:r>
        <w:rPr>
          <w:rFonts w:hint="eastAsia" w:ascii="仿宋_GB2312" w:hAnsi="仿宋_GB2312" w:eastAsia="仿宋_GB2312" w:cs="仿宋_GB2312"/>
          <w:b/>
          <w:sz w:val="18"/>
          <w:szCs w:val="18"/>
          <w:u w:val="single"/>
        </w:rPr>
        <w:t>按通用合同条款约定</w:t>
      </w:r>
      <w:r>
        <w:rPr>
          <w:rFonts w:hint="eastAsia" w:ascii="仿宋_GB2312" w:hAnsi="仿宋_GB2312" w:eastAsia="仿宋_GB2312" w:cs="仿宋_GB2312"/>
          <w:color w:val="000000"/>
          <w:sz w:val="18"/>
          <w:szCs w:val="18"/>
        </w:rPr>
        <w:t>。</w:t>
      </w:r>
    </w:p>
    <w:p w14:paraId="4FF93BED">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变更估价</w:t>
      </w:r>
    </w:p>
    <w:p w14:paraId="5423F3EA">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10.</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.1 变更估价原则</w:t>
      </w:r>
    </w:p>
    <w:p w14:paraId="7E1C68F4">
      <w:pPr>
        <w:autoSpaceDE w:val="0"/>
        <w:autoSpaceDN w:val="0"/>
        <w:adjustRightInd w:val="0"/>
        <w:ind w:firstLine="266" w:firstLineChars="148"/>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关于变更估价的约定:</w:t>
      </w:r>
    </w:p>
    <w:p w14:paraId="15BFCB99">
      <w:pPr>
        <w:autoSpaceDE w:val="0"/>
        <w:autoSpaceDN w:val="0"/>
        <w:adjustRightInd w:val="0"/>
        <w:ind w:firstLine="267" w:firstLineChars="14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t>（1）已标价工程量清单或预算书有相同项目的，按照相同项目单价确定</w:t>
      </w:r>
      <w:r>
        <w:rPr>
          <w:rFonts w:hint="eastAsia" w:ascii="仿宋_GB2312" w:hAnsi="仿宋_GB2312" w:eastAsia="仿宋_GB2312" w:cs="仿宋_GB2312"/>
          <w:b/>
          <w:kern w:val="0"/>
          <w:sz w:val="18"/>
          <w:szCs w:val="18"/>
        </w:rPr>
        <w:t>。</w:t>
      </w:r>
    </w:p>
    <w:p w14:paraId="03E1A38F">
      <w:pPr>
        <w:autoSpaceDE w:val="0"/>
        <w:autoSpaceDN w:val="0"/>
        <w:adjustRightInd w:val="0"/>
        <w:ind w:firstLine="267" w:firstLineChars="14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t>（2）已标价工程量清单或预算书中无相同项目，但有类似项目的，参照类似项目的单价确定</w:t>
      </w:r>
      <w:r>
        <w:rPr>
          <w:rFonts w:hint="eastAsia" w:ascii="仿宋_GB2312" w:hAnsi="仿宋_GB2312" w:eastAsia="仿宋_GB2312" w:cs="仿宋_GB2312"/>
          <w:b/>
          <w:kern w:val="0"/>
          <w:sz w:val="18"/>
          <w:szCs w:val="18"/>
        </w:rPr>
        <w:t>。</w:t>
      </w:r>
    </w:p>
    <w:p w14:paraId="19007661">
      <w:pPr>
        <w:autoSpaceDE w:val="0"/>
        <w:autoSpaceDN w:val="0"/>
        <w:adjustRightInd w:val="0"/>
        <w:ind w:firstLine="267" w:firstLineChars="148"/>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t>（3）已标价工程量清单或预算书中无相同项目及类似项目单价的，其单价的确定，按以下约定：</w:t>
      </w:r>
      <w:r>
        <w:rPr>
          <w:rFonts w:hint="eastAsia" w:ascii="仿宋_GB2312" w:hAnsi="仿宋_GB2312" w:eastAsia="仿宋_GB2312" w:cs="仿宋_GB2312"/>
          <w:kern w:val="0"/>
          <w:sz w:val="18"/>
          <w:szCs w:val="18"/>
          <w:u w:val="single"/>
        </w:rPr>
        <w:t>直接费按浙江省市政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施工取费定额2018版按相应类别工程费率取下值计算，由承包人提出经发包人审核确认后进入结算</w:t>
      </w:r>
      <w:r>
        <w:rPr>
          <w:rFonts w:hint="eastAsia" w:ascii="仿宋_GB2312" w:hAnsi="仿宋_GB2312" w:eastAsia="仿宋_GB2312" w:cs="仿宋_GB2312"/>
          <w:kern w:val="0"/>
          <w:sz w:val="18"/>
          <w:szCs w:val="18"/>
        </w:rPr>
        <w:t>。</w:t>
      </w:r>
    </w:p>
    <w:p w14:paraId="61B2040C">
      <w:pPr>
        <w:ind w:firstLine="267" w:firstLineChars="148"/>
        <w:jc w:val="left"/>
        <w:rPr>
          <w:rFonts w:ascii="仿宋_GB2312" w:hAnsi="仿宋_GB2312" w:eastAsia="仿宋_GB2312" w:cs="仿宋_GB2312"/>
          <w:b/>
          <w:kern w:val="0"/>
          <w:sz w:val="18"/>
          <w:szCs w:val="18"/>
        </w:rPr>
      </w:pPr>
      <w:r>
        <w:rPr>
          <w:rFonts w:hint="eastAsia" w:ascii="仿宋_GB2312" w:hAnsi="仿宋_GB2312" w:eastAsia="仿宋_GB2312" w:cs="仿宋_GB2312"/>
          <w:b/>
          <w:sz w:val="18"/>
          <w:szCs w:val="18"/>
          <w:u w:val="single"/>
        </w:rPr>
        <w:t>（4）工程量清单错误和（或）设计</w:t>
      </w:r>
      <w:r>
        <w:rPr>
          <w:rFonts w:hint="eastAsia" w:ascii="仿宋_GB2312" w:hAnsi="仿宋_GB2312" w:eastAsia="仿宋_GB2312" w:cs="仿宋_GB2312"/>
          <w:b/>
          <w:kern w:val="0"/>
          <w:sz w:val="18"/>
          <w:szCs w:val="18"/>
          <w:u w:val="single"/>
        </w:rPr>
        <w:t>变更导致实际完成的工程量与已标价工程量清单或预算书中列明的该项目工程量的变化幅度超过以下情况的，其单价允许调整：</w:t>
      </w:r>
      <w:r>
        <w:rPr>
          <w:rFonts w:hint="eastAsia" w:ascii="仿宋_GB2312" w:hAnsi="仿宋_GB2312" w:eastAsia="仿宋_GB2312" w:cs="仿宋_GB2312"/>
          <w:b/>
          <w:sz w:val="18"/>
          <w:szCs w:val="18"/>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hAnsi="仿宋_GB2312" w:eastAsia="仿宋_GB2312" w:cs="仿宋_GB2312"/>
          <w:b/>
          <w:kern w:val="0"/>
          <w:sz w:val="18"/>
          <w:szCs w:val="18"/>
          <w:u w:val="single"/>
        </w:rPr>
        <w:t>工程量偏差</w:t>
      </w:r>
      <w:r>
        <w:rPr>
          <w:rFonts w:hint="eastAsia" w:ascii="仿宋_GB2312" w:hAnsi="仿宋_GB2312" w:eastAsia="仿宋_GB2312" w:cs="仿宋_GB2312"/>
          <w:b/>
          <w:sz w:val="18"/>
          <w:szCs w:val="18"/>
          <w:u w:val="single"/>
        </w:rPr>
        <w:t>超过上述变化幅度之外</w:t>
      </w:r>
      <w:r>
        <w:rPr>
          <w:rFonts w:hint="eastAsia" w:ascii="仿宋_GB2312" w:hAnsi="仿宋_GB2312" w:eastAsia="仿宋_GB2312" w:cs="仿宋_GB2312"/>
          <w:b/>
          <w:kern w:val="0"/>
          <w:sz w:val="18"/>
          <w:szCs w:val="18"/>
          <w:u w:val="single"/>
        </w:rPr>
        <w:t>变动部分的相应单价调整方法按以下方式约定：</w:t>
      </w:r>
      <w:r>
        <w:rPr>
          <w:rFonts w:hint="eastAsia" w:ascii="仿宋_GB2312" w:hAnsi="仿宋_GB2312" w:eastAsia="仿宋_GB2312" w:cs="仿宋_GB2312"/>
          <w:kern w:val="0"/>
          <w:sz w:val="18"/>
          <w:szCs w:val="18"/>
          <w:u w:val="single"/>
        </w:rPr>
        <w:t>直接费按浙江省市政预算定额2018版计（若上述定额中缺项的，其他省份有相同或相似子目，定额含量可参照执行），主材按施工当期杭州市（杭州市无的，按浙江省）信息价，综合费用按浙江省建设工程施工取费定额2018版按相应类别工程费率取下值计算，由承包人提出经发包人审核确认后进入结算</w:t>
      </w:r>
      <w:r>
        <w:rPr>
          <w:rFonts w:hint="eastAsia" w:ascii="仿宋_GB2312" w:hAnsi="仿宋_GB2312" w:eastAsia="仿宋_GB2312" w:cs="仿宋_GB2312"/>
          <w:b/>
          <w:kern w:val="0"/>
          <w:sz w:val="18"/>
          <w:szCs w:val="18"/>
        </w:rPr>
        <w:t>。</w:t>
      </w:r>
    </w:p>
    <w:p w14:paraId="0EAB7604">
      <w:pPr>
        <w:autoSpaceDE w:val="0"/>
        <w:autoSpaceDN w:val="0"/>
        <w:adjustRightInd w:val="0"/>
        <w:ind w:firstLine="267" w:firstLineChars="148"/>
        <w:jc w:val="left"/>
        <w:rPr>
          <w:rFonts w:ascii="仿宋_GB2312" w:hAnsi="仿宋_GB2312" w:eastAsia="仿宋_GB2312" w:cs="仿宋_GB2312"/>
          <w:kern w:val="0"/>
          <w:sz w:val="18"/>
          <w:szCs w:val="18"/>
          <w:u w:val="single"/>
        </w:rPr>
      </w:pPr>
      <w:r>
        <w:rPr>
          <w:rFonts w:hint="eastAsia" w:ascii="仿宋_GB2312" w:hAnsi="仿宋_GB2312" w:eastAsia="仿宋_GB2312" w:cs="仿宋_GB2312"/>
          <w:b/>
          <w:kern w:val="0"/>
          <w:sz w:val="18"/>
          <w:szCs w:val="18"/>
          <w:u w:val="single"/>
        </w:rPr>
        <w:t>（5）其他</w:t>
      </w: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kern w:val="0"/>
          <w:sz w:val="18"/>
          <w:szCs w:val="18"/>
          <w:u w:val="single"/>
        </w:rPr>
        <w:fldChar w:fldCharType="begin"/>
      </w:r>
      <w:r>
        <w:rPr>
          <w:rFonts w:hint="eastAsia" w:ascii="仿宋_GB2312" w:hAnsi="仿宋_GB2312" w:eastAsia="仿宋_GB2312" w:cs="仿宋_GB2312"/>
          <w:kern w:val="0"/>
          <w:sz w:val="18"/>
          <w:szCs w:val="18"/>
          <w:u w:val="single"/>
        </w:rPr>
        <w:instrText xml:space="preserve"> = 1 \* GB3 \* MERGEFORMAT </w:instrText>
      </w:r>
      <w:r>
        <w:rPr>
          <w:rFonts w:hint="eastAsia" w:ascii="仿宋_GB2312" w:hAnsi="仿宋_GB2312" w:eastAsia="仿宋_GB2312" w:cs="仿宋_GB2312"/>
          <w:kern w:val="0"/>
          <w:sz w:val="18"/>
          <w:szCs w:val="18"/>
          <w:u w:val="single"/>
        </w:rPr>
        <w:fldChar w:fldCharType="separate"/>
      </w:r>
      <w:r>
        <w:rPr>
          <w:rFonts w:hint="eastAsia" w:ascii="仿宋_GB2312" w:hAnsi="仿宋_GB2312" w:eastAsia="仿宋_GB2312" w:cs="仿宋_GB2312"/>
          <w:kern w:val="0"/>
          <w:sz w:val="18"/>
          <w:szCs w:val="18"/>
          <w:u w:val="single"/>
        </w:rPr>
        <w:t>①</w:t>
      </w:r>
      <w:r>
        <w:rPr>
          <w:rFonts w:hint="eastAsia" w:ascii="仿宋_GB2312" w:hAnsi="仿宋_GB2312" w:eastAsia="仿宋_GB2312" w:cs="仿宋_GB2312"/>
          <w:kern w:val="0"/>
          <w:sz w:val="18"/>
          <w:szCs w:val="18"/>
          <w:u w:val="single"/>
        </w:rPr>
        <w:fldChar w:fldCharType="end"/>
      </w:r>
      <w:r>
        <w:rPr>
          <w:rFonts w:hint="eastAsia" w:ascii="仿宋_GB2312" w:hAnsi="仿宋_GB2312" w:eastAsia="仿宋_GB2312" w:cs="仿宋_GB2312"/>
          <w:kern w:val="0"/>
          <w:sz w:val="18"/>
          <w:szCs w:val="18"/>
          <w:u w:val="single"/>
        </w:rPr>
        <w:t>施工组织措施费在招标范围未发生变化情况下，按投标报价包干。在招标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按上述方法予以扣除</w:t>
      </w:r>
      <w:r>
        <w:rPr>
          <w:rFonts w:hint="eastAsia" w:ascii="仿宋_GB2312" w:hAnsi="仿宋_GB2312" w:eastAsia="仿宋_GB2312" w:cs="仿宋_GB2312"/>
          <w:b/>
          <w:kern w:val="0"/>
          <w:sz w:val="18"/>
          <w:szCs w:val="18"/>
          <w:u w:val="single"/>
        </w:rPr>
        <w:t>，</w:t>
      </w:r>
      <w:r>
        <w:rPr>
          <w:rFonts w:hint="eastAsia" w:ascii="仿宋_GB2312" w:hAnsi="仿宋_GB2312" w:eastAsia="仿宋_GB2312" w:cs="仿宋_GB2312"/>
          <w:kern w:val="0"/>
          <w:sz w:val="18"/>
          <w:szCs w:val="18"/>
          <w:u w:val="single"/>
        </w:rPr>
        <w:t>直至扣除所有施工组织措施费用。</w:t>
      </w:r>
    </w:p>
    <w:p w14:paraId="7FDA7BDE">
      <w:pPr>
        <w:autoSpaceDE w:val="0"/>
        <w:autoSpaceDN w:val="0"/>
        <w:adjustRightInd w:val="0"/>
        <w:ind w:firstLine="266" w:firstLineChars="148"/>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②</w:t>
      </w:r>
      <w:r>
        <w:rPr>
          <w:rFonts w:hint="eastAsia" w:ascii="仿宋_GB2312" w:hAnsi="仿宋_GB2312" w:eastAsia="仿宋_GB2312" w:cs="仿宋_GB2312"/>
          <w:b/>
          <w:kern w:val="0"/>
          <w:sz w:val="18"/>
          <w:szCs w:val="18"/>
          <w:u w:val="single"/>
        </w:rPr>
        <w:t>技术措施费项目清单中已有的以项为单位的技术措施费包干（需提供监理签证现场发生的实际情况并附相关证明材料为准，偏差10%以上按实计入）；</w:t>
      </w:r>
      <w:r>
        <w:rPr>
          <w:rFonts w:hint="eastAsia" w:ascii="仿宋_GB2312" w:hAnsi="仿宋_GB2312" w:eastAsia="仿宋_GB2312" w:cs="仿宋_GB2312"/>
          <w:kern w:val="0"/>
          <w:sz w:val="18"/>
          <w:szCs w:val="18"/>
          <w:u w:val="single"/>
        </w:rPr>
        <w:t>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50A84EFB">
      <w:pPr>
        <w:autoSpaceDE w:val="0"/>
        <w:autoSpaceDN w:val="0"/>
        <w:adjustRightInd w:val="0"/>
        <w:ind w:firstLine="270" w:firstLineChars="15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050C2B7B">
      <w:pPr>
        <w:autoSpaceDE w:val="0"/>
        <w:autoSpaceDN w:val="0"/>
        <w:adjustRightInd w:val="0"/>
        <w:ind w:firstLine="266" w:firstLineChars="148"/>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④当承包人的投标报价明显高于同期市场价格水平，发包人将保留重新估价的权力，其相应单价的计算方法具体按10.4.1款约定（3）执行。</w:t>
      </w:r>
    </w:p>
    <w:p w14:paraId="60CBB923">
      <w:pPr>
        <w:autoSpaceDE w:val="0"/>
        <w:autoSpaceDN w:val="0"/>
        <w:adjustRightInd w:val="0"/>
        <w:ind w:firstLine="266" w:firstLineChars="148"/>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⑤施工中如承包人遇材料因实际情况需要变更，不得降低品质，并且须经发包方、监理方、使用人同意，材料变更应在招标文件选定的品牌、规格范围内，单价不应突破原材料投标报价。</w:t>
      </w:r>
    </w:p>
    <w:p w14:paraId="52DA9A4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Start w:id="1153" w:name="_Toc296891237"/>
      <w:bookmarkStart w:id="1154" w:name="_Toc297216203"/>
      <w:bookmarkStart w:id="1155" w:name="_Toc296503197"/>
      <w:bookmarkStart w:id="1156" w:name="_Toc296346698"/>
      <w:bookmarkStart w:id="1157" w:name="_Toc297048383"/>
      <w:bookmarkStart w:id="1158" w:name="_Toc297120497"/>
      <w:bookmarkStart w:id="1159" w:name="_Toc300934993"/>
      <w:bookmarkStart w:id="1160" w:name="_Toc303539150"/>
      <w:bookmarkStart w:id="1161" w:name="_Toc296891025"/>
      <w:bookmarkStart w:id="1162" w:name="_Toc296347196"/>
      <w:bookmarkStart w:id="1163" w:name="_Toc292559907"/>
      <w:bookmarkStart w:id="1164" w:name="_Toc296944536"/>
      <w:bookmarkStart w:id="1165" w:name="_Toc297123544"/>
      <w:bookmarkStart w:id="1166" w:name="_Toc292559402"/>
      <w:bookmarkStart w:id="1167" w:name="_Toc312677503"/>
      <w:bookmarkStart w:id="1168" w:name="_Toc304295570"/>
      <w:bookmarkStart w:id="1169" w:name="_Toc312678029"/>
      <w:r>
        <w:rPr>
          <w:rFonts w:hint="eastAsia" w:ascii="仿宋_GB2312" w:hAnsi="仿宋_GB2312" w:eastAsia="仿宋_GB2312" w:cs="仿宋_GB2312"/>
          <w:color w:val="000000"/>
          <w:sz w:val="18"/>
          <w:szCs w:val="18"/>
        </w:rPr>
        <w:t>0.</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承</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Start w:id="1170" w:name="_Toc296891243"/>
      <w:bookmarkStart w:id="1171" w:name="_Toc296503203"/>
      <w:bookmarkStart w:id="1172" w:name="_Toc297216204"/>
      <w:bookmarkStart w:id="1173" w:name="_Toc296944542"/>
      <w:bookmarkStart w:id="1174" w:name="_Toc297123545"/>
      <w:bookmarkStart w:id="1175" w:name="_Toc297048389"/>
      <w:bookmarkStart w:id="1176" w:name="_Toc292559408"/>
      <w:bookmarkStart w:id="1177" w:name="_Toc296347202"/>
      <w:bookmarkStart w:id="1178" w:name="_Toc296346704"/>
      <w:bookmarkStart w:id="1179" w:name="_Toc300934994"/>
      <w:bookmarkStart w:id="1180" w:name="_Toc296891031"/>
      <w:bookmarkStart w:id="1181" w:name="_Toc303539151"/>
      <w:bookmarkStart w:id="1182" w:name="_Toc297120503"/>
      <w:bookmarkStart w:id="1183" w:name="_Toc292559913"/>
      <w:r>
        <w:rPr>
          <w:rFonts w:hint="eastAsia" w:ascii="仿宋_GB2312" w:hAnsi="仿宋_GB2312" w:eastAsia="仿宋_GB2312" w:cs="仿宋_GB2312"/>
          <w:color w:val="000000"/>
          <w:sz w:val="18"/>
          <w:szCs w:val="18"/>
        </w:rPr>
        <w:t>包人的合理化建议</w:t>
      </w:r>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14:paraId="5748584C">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监理人审查承包人合理化建议的期限：</w:t>
      </w:r>
      <w:r>
        <w:rPr>
          <w:rFonts w:hint="eastAsia" w:ascii="仿宋_GB2312" w:hAnsi="仿宋_GB2312" w:eastAsia="仿宋_GB2312" w:cs="仿宋_GB2312"/>
          <w:sz w:val="18"/>
          <w:szCs w:val="18"/>
          <w:u w:val="single"/>
        </w:rPr>
        <w:t xml:space="preserve">按通用条款执行      </w:t>
      </w:r>
      <w:r>
        <w:rPr>
          <w:rFonts w:hint="eastAsia" w:ascii="仿宋_GB2312" w:hAnsi="仿宋_GB2312" w:eastAsia="仿宋_GB2312" w:cs="仿宋_GB2312"/>
          <w:sz w:val="18"/>
          <w:szCs w:val="18"/>
        </w:rPr>
        <w:t>。</w:t>
      </w:r>
    </w:p>
    <w:p w14:paraId="3995DCB6">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发包人审批承包人合理化建议的期限：</w:t>
      </w:r>
      <w:r>
        <w:rPr>
          <w:rFonts w:hint="eastAsia" w:ascii="仿宋_GB2312" w:hAnsi="仿宋_GB2312" w:eastAsia="仿宋_GB2312" w:cs="仿宋_GB2312"/>
          <w:sz w:val="18"/>
          <w:szCs w:val="18"/>
          <w:u w:val="single"/>
        </w:rPr>
        <w:t xml:space="preserve">按通用条款执行      </w:t>
      </w:r>
      <w:r>
        <w:rPr>
          <w:rFonts w:hint="eastAsia" w:ascii="仿宋_GB2312" w:hAnsi="仿宋_GB2312" w:eastAsia="仿宋_GB2312" w:cs="仿宋_GB2312"/>
          <w:sz w:val="18"/>
          <w:szCs w:val="18"/>
        </w:rPr>
        <w:t>。</w:t>
      </w:r>
    </w:p>
    <w:p w14:paraId="2C48C448">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承</w:t>
      </w:r>
      <w:bookmarkStart w:id="1184" w:name="_Toc296891244"/>
      <w:bookmarkStart w:id="1185" w:name="_Toc296347203"/>
      <w:bookmarkStart w:id="1186" w:name="_Toc318581175"/>
      <w:bookmarkStart w:id="1187" w:name="_Toc292559409"/>
      <w:bookmarkStart w:id="1188" w:name="_Toc297120504"/>
      <w:bookmarkStart w:id="1189" w:name="_Toc297123546"/>
      <w:bookmarkStart w:id="1190" w:name="_Toc312678030"/>
      <w:bookmarkStart w:id="1191" w:name="_Toc296346705"/>
      <w:bookmarkStart w:id="1192" w:name="_Toc292559914"/>
      <w:bookmarkStart w:id="1193" w:name="_Toc303539152"/>
      <w:bookmarkStart w:id="1194" w:name="_Toc312677504"/>
      <w:bookmarkStart w:id="1195" w:name="_Toc296891032"/>
      <w:bookmarkStart w:id="1196" w:name="_Toc300934995"/>
      <w:bookmarkStart w:id="1197" w:name="_Toc304295571"/>
      <w:bookmarkStart w:id="1198" w:name="_Toc296503204"/>
      <w:bookmarkStart w:id="1199" w:name="_Toc297216205"/>
      <w:bookmarkStart w:id="1200" w:name="_Toc296944543"/>
      <w:bookmarkStart w:id="1201" w:name="_Toc297048390"/>
      <w:r>
        <w:rPr>
          <w:rFonts w:hint="eastAsia" w:ascii="仿宋_GB2312" w:hAnsi="仿宋_GB2312" w:eastAsia="仿宋_GB2312" w:cs="仿宋_GB2312"/>
          <w:sz w:val="18"/>
          <w:szCs w:val="18"/>
        </w:rPr>
        <w:t>包人提出的合理化建议降低了合同价格或者提高了工程经济效益的奖励的方法和金额为：</w:t>
      </w:r>
      <w:r>
        <w:rPr>
          <w:rFonts w:hint="eastAsia" w:ascii="仿宋_GB2312" w:hAnsi="仿宋_GB2312" w:eastAsia="仿宋_GB2312" w:cs="仿宋_GB2312"/>
          <w:sz w:val="18"/>
          <w:szCs w:val="18"/>
          <w:u w:val="single"/>
        </w:rPr>
        <w:t>/</w:t>
      </w:r>
      <w:r>
        <w:rPr>
          <w:rFonts w:hint="eastAsia" w:ascii="仿宋_GB2312" w:hAnsi="仿宋_GB2312" w:eastAsia="仿宋_GB2312" w:cs="仿宋_GB2312"/>
          <w:sz w:val="18"/>
          <w:szCs w:val="18"/>
        </w:rPr>
        <w:t>。</w:t>
      </w:r>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14:paraId="6A4093F2">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bookmarkStart w:id="1202" w:name="_Toc292559909"/>
      <w:bookmarkStart w:id="1203" w:name="_Toc304295574"/>
      <w:bookmarkStart w:id="1204" w:name="_Toc296503199"/>
      <w:bookmarkStart w:id="1205" w:name="_Toc296891027"/>
      <w:bookmarkStart w:id="1206" w:name="_Toc292559404"/>
      <w:bookmarkStart w:id="1207" w:name="_Toc297120499"/>
      <w:bookmarkStart w:id="1208" w:name="_Toc312677507"/>
      <w:bookmarkStart w:id="1209" w:name="_Toc297123548"/>
      <w:bookmarkStart w:id="1210" w:name="_Toc312678033"/>
      <w:bookmarkStart w:id="1211" w:name="_Toc296891239"/>
      <w:bookmarkStart w:id="1212" w:name="_Toc303539154"/>
      <w:bookmarkStart w:id="1213" w:name="_Toc297048385"/>
      <w:bookmarkStart w:id="1214" w:name="_Toc296346700"/>
      <w:bookmarkStart w:id="1215" w:name="_Toc297216207"/>
      <w:bookmarkStart w:id="1216" w:name="_Toc296347198"/>
      <w:bookmarkStart w:id="1217" w:name="_Toc296944538"/>
      <w:bookmarkStart w:id="1218" w:name="_Toc300934997"/>
      <w:r>
        <w:rPr>
          <w:rFonts w:hint="eastAsia" w:ascii="仿宋_GB2312" w:hAnsi="仿宋_GB2312" w:eastAsia="仿宋_GB2312" w:cs="仿宋_GB2312"/>
          <w:color w:val="000000"/>
          <w:sz w:val="18"/>
          <w:szCs w:val="18"/>
        </w:rPr>
        <w:t>0.</w:t>
      </w: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 xml:space="preserve"> 暂估价</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14:paraId="5E37B644">
      <w:pPr>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本工程无相关暂估价材料和工程设备。</w:t>
      </w:r>
    </w:p>
    <w:p w14:paraId="35DB0D96">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w:t>
      </w:r>
      <w:bookmarkStart w:id="1219" w:name="_Toc312677509"/>
      <w:bookmarkStart w:id="1220" w:name="_Toc318581177"/>
      <w:bookmarkStart w:id="1221" w:name="_Toc312678035"/>
      <w:r>
        <w:rPr>
          <w:rFonts w:hint="eastAsia" w:ascii="仿宋_GB2312" w:hAnsi="仿宋_GB2312" w:eastAsia="仿宋_GB2312" w:cs="仿宋_GB2312"/>
          <w:sz w:val="18"/>
          <w:szCs w:val="18"/>
        </w:rPr>
        <w:t>0.</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.1 依法必须招标的暂估价项目</w:t>
      </w:r>
    </w:p>
    <w:bookmarkEnd w:id="1219"/>
    <w:bookmarkEnd w:id="1220"/>
    <w:bookmarkEnd w:id="1221"/>
    <w:p w14:paraId="17FC4E82">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对于依法必须招标的暂估价项目的确认和批准采取第</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种方式确定。</w:t>
      </w:r>
    </w:p>
    <w:p w14:paraId="363F0FF2">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10.</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.2 不属于依法必须招标的暂估价项目</w:t>
      </w:r>
    </w:p>
    <w:p w14:paraId="4FAB73E0">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对于不属于依法必须招标的暂估价项目的确认和批准采取第</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 xml:space="preserve"> 种方式确定。</w:t>
      </w:r>
    </w:p>
    <w:p w14:paraId="6F33FE70">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第3种方式：</w:t>
      </w:r>
      <w:r>
        <w:rPr>
          <w:rFonts w:hint="eastAsia" w:ascii="仿宋_GB2312" w:hAnsi="仿宋_GB2312" w:eastAsia="仿宋_GB2312" w:cs="仿宋_GB2312"/>
          <w:color w:val="000000"/>
          <w:kern w:val="0"/>
          <w:sz w:val="18"/>
          <w:szCs w:val="18"/>
        </w:rPr>
        <w:t>承包人直接实施的暂估价项目</w:t>
      </w:r>
    </w:p>
    <w:p w14:paraId="0C39442E">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承包人直接实施的暂估价项目的约定：</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w:t>
      </w:r>
    </w:p>
    <w:p w14:paraId="7E14C357">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 xml:space="preserve"> 暂列金额</w:t>
      </w:r>
    </w:p>
    <w:p w14:paraId="0C93F17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合同当事人关于暂列金额使用的约定：</w:t>
      </w:r>
      <w:r>
        <w:rPr>
          <w:rFonts w:hint="eastAsia" w:ascii="仿宋_GB2312" w:hAnsi="仿宋_GB2312" w:eastAsia="仿宋_GB2312" w:cs="仿宋_GB2312"/>
          <w:sz w:val="18"/>
          <w:szCs w:val="18"/>
          <w:u w:val="single"/>
        </w:rPr>
        <w:t>按照发包人的要求使用</w:t>
      </w:r>
      <w:r>
        <w:rPr>
          <w:rFonts w:hint="eastAsia" w:ascii="仿宋_GB2312" w:hAnsi="仿宋_GB2312" w:eastAsia="仿宋_GB2312" w:cs="仿宋_GB2312"/>
          <w:color w:val="000000"/>
          <w:kern w:val="0"/>
          <w:sz w:val="18"/>
          <w:szCs w:val="18"/>
        </w:rPr>
        <w:t>。</w:t>
      </w:r>
    </w:p>
    <w:p w14:paraId="0E61AD95">
      <w:pPr>
        <w:pStyle w:val="5"/>
        <w:spacing w:before="120" w:after="120" w:line="240" w:lineRule="auto"/>
        <w:rPr>
          <w:rFonts w:ascii="仿宋_GB2312" w:hAnsi="仿宋_GB2312" w:eastAsia="仿宋_GB2312" w:cs="仿宋_GB2312"/>
          <w:b w:val="0"/>
          <w:color w:val="000000"/>
          <w:sz w:val="18"/>
          <w:szCs w:val="18"/>
        </w:rPr>
      </w:pPr>
      <w:bookmarkStart w:id="1222" w:name="_Toc351203643"/>
      <w:r>
        <w:rPr>
          <w:rFonts w:hint="eastAsia" w:ascii="仿宋_GB2312" w:hAnsi="仿宋_GB2312" w:eastAsia="仿宋_GB2312" w:cs="仿宋_GB2312"/>
          <w:b w:val="0"/>
          <w:color w:val="000000"/>
          <w:sz w:val="18"/>
          <w:szCs w:val="18"/>
        </w:rPr>
        <w:t>11. 价格调整</w:t>
      </w:r>
      <w:bookmarkEnd w:id="1222"/>
    </w:p>
    <w:p w14:paraId="4BA027CC">
      <w:pPr>
        <w:spacing w:after="120"/>
        <w:ind w:firstLine="360" w:firstLineChars="200"/>
        <w:rPr>
          <w:rFonts w:ascii="仿宋_GB2312" w:hAnsi="仿宋_GB2312" w:eastAsia="仿宋_GB2312" w:cs="仿宋_GB2312"/>
          <w:color w:val="000000"/>
          <w:sz w:val="18"/>
          <w:szCs w:val="18"/>
        </w:rPr>
      </w:pPr>
      <w:bookmarkStart w:id="1223" w:name="_Toc304295577"/>
      <w:bookmarkStart w:id="1224" w:name="_Toc296944540"/>
      <w:bookmarkStart w:id="1225" w:name="_Toc297216209"/>
      <w:bookmarkStart w:id="1226" w:name="_Toc297120501"/>
      <w:bookmarkStart w:id="1227" w:name="_Toc296346702"/>
      <w:bookmarkStart w:id="1228" w:name="_Toc292559911"/>
      <w:bookmarkStart w:id="1229" w:name="_Toc296503201"/>
      <w:bookmarkStart w:id="1230" w:name="_Toc312678039"/>
      <w:bookmarkStart w:id="1231" w:name="_Toc303539157"/>
      <w:bookmarkStart w:id="1232" w:name="_Toc297123550"/>
      <w:bookmarkStart w:id="1233" w:name="_Toc300935000"/>
      <w:bookmarkStart w:id="1234" w:name="_Toc296347200"/>
      <w:bookmarkStart w:id="1235" w:name="_Toc297048387"/>
      <w:bookmarkStart w:id="1236" w:name="_Toc292559406"/>
      <w:bookmarkStart w:id="1237" w:name="_Toc296891029"/>
      <w:bookmarkStart w:id="1238" w:name="_Toc296891241"/>
      <w:r>
        <w:rPr>
          <w:rFonts w:hint="eastAsia" w:ascii="仿宋_GB2312" w:hAnsi="仿宋_GB2312" w:eastAsia="仿宋_GB2312" w:cs="仿宋_GB2312"/>
          <w:color w:val="000000"/>
          <w:sz w:val="18"/>
          <w:szCs w:val="18"/>
        </w:rPr>
        <w:t>11.1 市场价格波动引起的调整</w:t>
      </w:r>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14:paraId="2FA3C87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市场价格波动是否调整合同价格的约定：</w:t>
      </w:r>
      <w:r>
        <w:rPr>
          <w:rFonts w:hint="eastAsia" w:ascii="仿宋_GB2312" w:hAnsi="仿宋_GB2312" w:eastAsia="仿宋_GB2312" w:cs="仿宋_GB2312"/>
          <w:sz w:val="18"/>
          <w:szCs w:val="18"/>
          <w:u w:val="single"/>
        </w:rPr>
        <w:t xml:space="preserve">  是           </w:t>
      </w:r>
      <w:r>
        <w:rPr>
          <w:rFonts w:hint="eastAsia" w:ascii="仿宋_GB2312" w:hAnsi="仿宋_GB2312" w:eastAsia="仿宋_GB2312" w:cs="仿宋_GB2312"/>
          <w:sz w:val="18"/>
          <w:szCs w:val="18"/>
        </w:rPr>
        <w:t>。</w:t>
      </w:r>
    </w:p>
    <w:p w14:paraId="2396F94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因市场价格波动调整合同价格，采用以下</w:t>
      </w:r>
      <w:r>
        <w:rPr>
          <w:rFonts w:hint="eastAsia" w:ascii="仿宋_GB2312" w:hAnsi="仿宋_GB2312" w:eastAsia="仿宋_GB2312" w:cs="仿宋_GB2312"/>
          <w:sz w:val="18"/>
          <w:szCs w:val="18"/>
        </w:rPr>
        <w:t>第</w:t>
      </w:r>
      <w:r>
        <w:rPr>
          <w:rFonts w:hint="eastAsia" w:ascii="仿宋_GB2312" w:hAnsi="仿宋_GB2312" w:eastAsia="仿宋_GB2312" w:cs="仿宋_GB2312"/>
          <w:sz w:val="18"/>
          <w:szCs w:val="18"/>
          <w:u w:val="single"/>
        </w:rPr>
        <w:t xml:space="preserve">  3  </w:t>
      </w:r>
      <w:r>
        <w:rPr>
          <w:rFonts w:hint="eastAsia" w:ascii="仿宋_GB2312" w:hAnsi="仿宋_GB2312" w:eastAsia="仿宋_GB2312" w:cs="仿宋_GB2312"/>
          <w:color w:val="000000"/>
          <w:sz w:val="18"/>
          <w:szCs w:val="18"/>
        </w:rPr>
        <w:t>种方式对合同价格进行调整：</w:t>
      </w:r>
    </w:p>
    <w:p w14:paraId="5C92E5B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第1种方式：采用价格指数进行价格调整。</w:t>
      </w:r>
    </w:p>
    <w:p w14:paraId="38205EE8">
      <w:pPr>
        <w:ind w:firstLine="360" w:firstLineChars="200"/>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关于各可调因子、定值和变值权重，以及基本价格指数及其来源的约定：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 xml:space="preserve">；  </w:t>
      </w:r>
    </w:p>
    <w:p w14:paraId="12E2CA9B">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第2种方式：采用造价信息进行价格调整。</w:t>
      </w:r>
    </w:p>
    <w:p w14:paraId="1A2F5866">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（2）关于基准价格的约定：</w:t>
      </w:r>
      <w:r>
        <w:rPr>
          <w:rFonts w:hint="eastAsia" w:ascii="仿宋_GB2312" w:hAnsi="仿宋_GB2312" w:eastAsia="仿宋_GB2312" w:cs="仿宋_GB2312"/>
          <w:sz w:val="18"/>
          <w:szCs w:val="18"/>
          <w:u w:val="single"/>
        </w:rPr>
        <w:t xml:space="preserve">         /             </w:t>
      </w:r>
      <w:r>
        <w:rPr>
          <w:rFonts w:hint="eastAsia" w:ascii="仿宋_GB2312" w:hAnsi="仿宋_GB2312" w:eastAsia="仿宋_GB2312" w:cs="仿宋_GB2312"/>
          <w:sz w:val="18"/>
          <w:szCs w:val="18"/>
        </w:rPr>
        <w:t>。</w:t>
      </w:r>
    </w:p>
    <w:p w14:paraId="378C36B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%时，或材料单价跌幅以已标价工程量清单或预算书中载明材料单价为基础超过</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%时，其超过部分据实调整。</w:t>
      </w:r>
    </w:p>
    <w:p w14:paraId="3E6466B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%时，材料单价涨幅以已标价工程量清单或预算书中载明材料单价为基础超过</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%时，其超过部分据实调整。</w:t>
      </w:r>
    </w:p>
    <w:p w14:paraId="1F4C7E8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%时，其超过部分据实调整。</w:t>
      </w:r>
    </w:p>
    <w:p w14:paraId="73E62D69">
      <w:pPr>
        <w:ind w:firstLine="645"/>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第3种方式：</w:t>
      </w:r>
    </w:p>
    <w:p w14:paraId="1BD7E63A">
      <w:pPr>
        <w:ind w:firstLine="645"/>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其他价格调整方式：</w:t>
      </w:r>
      <w:r>
        <w:rPr>
          <w:rFonts w:hint="eastAsia" w:ascii="仿宋_GB2312" w:hAnsi="仿宋_GB2312" w:eastAsia="仿宋_GB2312" w:cs="仿宋_GB2312"/>
          <w:b/>
          <w:sz w:val="18"/>
          <w:szCs w:val="18"/>
        </w:rPr>
        <w:t>采用政策性文件进行价格调整。</w:t>
      </w:r>
    </w:p>
    <w:p w14:paraId="2405F42B">
      <w:pPr>
        <w:ind w:firstLine="645"/>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政府投资工程因市场价格波动引起的调整按以下</w:t>
      </w:r>
      <w:r>
        <w:rPr>
          <w:rFonts w:hint="eastAsia" w:ascii="仿宋_GB2312" w:hAnsi="仿宋_GB2312" w:eastAsia="仿宋_GB2312" w:cs="仿宋_GB2312"/>
          <w:b/>
          <w:sz w:val="18"/>
          <w:szCs w:val="18"/>
          <w:u w:val="single"/>
        </w:rPr>
        <w:t>第（一）种方式</w:t>
      </w:r>
      <w:r>
        <w:rPr>
          <w:rFonts w:hint="eastAsia" w:ascii="仿宋_GB2312" w:hAnsi="仿宋_GB2312" w:eastAsia="仿宋_GB2312" w:cs="仿宋_GB2312"/>
          <w:b/>
          <w:sz w:val="18"/>
          <w:szCs w:val="18"/>
        </w:rPr>
        <w:t>约定执行：</w:t>
      </w:r>
    </w:p>
    <w:p w14:paraId="6439DA99">
      <w:pPr>
        <w:ind w:firstLine="645"/>
        <w:jc w:val="left"/>
        <w:outlineLvl w:val="0"/>
        <w:rPr>
          <w:rFonts w:ascii="仿宋_GB2312" w:hAnsi="仿宋_GB2312" w:eastAsia="仿宋_GB2312" w:cs="仿宋_GB2312"/>
          <w:b/>
          <w:sz w:val="18"/>
          <w:szCs w:val="18"/>
          <w:u w:val="single"/>
        </w:rPr>
      </w:pPr>
      <w:bookmarkStart w:id="1239" w:name="_Toc21806"/>
      <w:bookmarkStart w:id="1240" w:name="_Toc1382"/>
      <w:r>
        <w:rPr>
          <w:rFonts w:hint="eastAsia" w:ascii="仿宋_GB2312" w:hAnsi="仿宋_GB2312" w:eastAsia="仿宋_GB2312" w:cs="仿宋_GB2312"/>
          <w:b/>
          <w:sz w:val="18"/>
          <w:szCs w:val="18"/>
          <w:u w:val="single"/>
        </w:rPr>
        <w:t>（一）按《关于进一步加强杭州市建设工程市场要素价格动态管理的指导意见》[江住建局〔2014〕56号]执行</w:t>
      </w:r>
      <w:r>
        <w:rPr>
          <w:rFonts w:hint="eastAsia" w:ascii="仿宋_GB2312" w:hAnsi="仿宋_GB2312" w:eastAsia="仿宋_GB2312" w:cs="仿宋_GB2312"/>
          <w:b/>
          <w:sz w:val="18"/>
          <w:szCs w:val="18"/>
        </w:rPr>
        <w:t>；</w:t>
      </w:r>
      <w:bookmarkEnd w:id="1239"/>
      <w:bookmarkEnd w:id="1240"/>
    </w:p>
    <w:p w14:paraId="53D6D1EC">
      <w:pPr>
        <w:ind w:firstLine="645"/>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（二）其他：   /      </w:t>
      </w:r>
      <w:r>
        <w:rPr>
          <w:rFonts w:hint="eastAsia" w:ascii="仿宋_GB2312" w:hAnsi="仿宋_GB2312" w:eastAsia="仿宋_GB2312" w:cs="仿宋_GB2312"/>
          <w:b/>
          <w:sz w:val="18"/>
          <w:szCs w:val="18"/>
        </w:rPr>
        <w:t>。</w:t>
      </w:r>
    </w:p>
    <w:p w14:paraId="47E851CF">
      <w:pPr>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 xml:space="preserve">    其中：</w:t>
      </w:r>
    </w:p>
    <w:p w14:paraId="6FE2068E">
      <w:pPr>
        <w:ind w:firstLine="645"/>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1、风险范围及幅度的约定：</w:t>
      </w:r>
    </w:p>
    <w:p w14:paraId="2026FC10">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（1）人工费的风险幅度（5%）</w:t>
      </w:r>
    </w:p>
    <w:p w14:paraId="46A82322">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（2）材料价格的风险幅度（5%）</w:t>
      </w:r>
    </w:p>
    <w:p w14:paraId="073B68AB">
      <w:pPr>
        <w:ind w:firstLine="645"/>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2、材料价款动态调整结算方式采用以下</w:t>
      </w:r>
      <w:r>
        <w:rPr>
          <w:rFonts w:hint="eastAsia" w:ascii="仿宋_GB2312" w:hAnsi="仿宋_GB2312" w:eastAsia="仿宋_GB2312" w:cs="仿宋_GB2312"/>
          <w:b/>
          <w:sz w:val="18"/>
          <w:szCs w:val="18"/>
          <w:u w:val="single"/>
        </w:rPr>
        <w:t>第（3）种方式</w:t>
      </w:r>
      <w:r>
        <w:rPr>
          <w:rFonts w:hint="eastAsia" w:ascii="仿宋_GB2312" w:hAnsi="仿宋_GB2312" w:eastAsia="仿宋_GB2312" w:cs="仿宋_GB2312"/>
          <w:b/>
          <w:sz w:val="18"/>
          <w:szCs w:val="18"/>
        </w:rPr>
        <w:t>约定：</w:t>
      </w:r>
    </w:p>
    <w:p w14:paraId="71644CF7">
      <w:pPr>
        <w:ind w:firstLine="645"/>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（1）按时间进度分段结算：  /                        </w:t>
      </w:r>
      <w:r>
        <w:rPr>
          <w:rFonts w:hint="eastAsia" w:ascii="仿宋_GB2312" w:hAnsi="仿宋_GB2312" w:eastAsia="仿宋_GB2312" w:cs="仿宋_GB2312"/>
          <w:b/>
          <w:sz w:val="18"/>
          <w:szCs w:val="18"/>
        </w:rPr>
        <w:t>。</w:t>
      </w:r>
    </w:p>
    <w:p w14:paraId="4723159D">
      <w:pPr>
        <w:ind w:firstLine="645"/>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（2）按工程形象部位(目标)分段结算：/               </w:t>
      </w:r>
      <w:r>
        <w:rPr>
          <w:rFonts w:hint="eastAsia" w:ascii="仿宋_GB2312" w:hAnsi="仿宋_GB2312" w:eastAsia="仿宋_GB2312" w:cs="仿宋_GB2312"/>
          <w:b/>
          <w:sz w:val="18"/>
          <w:szCs w:val="18"/>
        </w:rPr>
        <w:t xml:space="preserve"> 。</w:t>
      </w:r>
    </w:p>
    <w:p w14:paraId="3D4DC9F8">
      <w:pPr>
        <w:ind w:firstLine="645"/>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 xml:space="preserve">（3）竣工后一次性结算                              </w:t>
      </w:r>
      <w:r>
        <w:rPr>
          <w:rFonts w:hint="eastAsia" w:ascii="仿宋_GB2312" w:hAnsi="仿宋_GB2312" w:eastAsia="仿宋_GB2312" w:cs="仿宋_GB2312"/>
          <w:b/>
          <w:sz w:val="18"/>
          <w:szCs w:val="18"/>
        </w:rPr>
        <w:t xml:space="preserve"> 。</w:t>
      </w:r>
    </w:p>
    <w:bookmarkEnd w:id="1129"/>
    <w:bookmarkEnd w:id="1130"/>
    <w:bookmarkEnd w:id="1131"/>
    <w:bookmarkEnd w:id="1132"/>
    <w:bookmarkEnd w:id="1133"/>
    <w:bookmarkEnd w:id="1134"/>
    <w:p w14:paraId="7E07C74A">
      <w:pPr>
        <w:pStyle w:val="5"/>
        <w:spacing w:before="120" w:after="120" w:line="240" w:lineRule="auto"/>
        <w:rPr>
          <w:rFonts w:ascii="仿宋_GB2312" w:hAnsi="仿宋_GB2312" w:eastAsia="仿宋_GB2312" w:cs="仿宋_GB2312"/>
          <w:b w:val="0"/>
          <w:color w:val="000000"/>
          <w:sz w:val="18"/>
          <w:szCs w:val="18"/>
        </w:rPr>
      </w:pPr>
      <w:bookmarkStart w:id="1241" w:name="_Toc296503205"/>
      <w:bookmarkStart w:id="1242" w:name="_Toc296347204"/>
      <w:bookmarkStart w:id="1243" w:name="_Toc297120505"/>
      <w:bookmarkStart w:id="1244" w:name="_Toc297048391"/>
      <w:bookmarkStart w:id="1245" w:name="_Toc296944544"/>
      <w:bookmarkStart w:id="1246" w:name="_Toc292559915"/>
      <w:bookmarkStart w:id="1247" w:name="_Toc296891245"/>
      <w:bookmarkStart w:id="1248" w:name="_Toc292559410"/>
      <w:bookmarkStart w:id="1249" w:name="_Toc296891033"/>
      <w:bookmarkStart w:id="1250" w:name="_Toc296346706"/>
      <w:bookmarkStart w:id="1251" w:name="_Toc351203644"/>
      <w:bookmarkStart w:id="1252" w:name="_Toc297123552"/>
      <w:bookmarkStart w:id="1253" w:name="_Toc304295579"/>
      <w:bookmarkStart w:id="1254" w:name="_Toc297216211"/>
      <w:bookmarkStart w:id="1255" w:name="_Toc312678040"/>
      <w:bookmarkStart w:id="1256" w:name="_Toc300935002"/>
      <w:bookmarkStart w:id="1257" w:name="_Toc303539159"/>
      <w:r>
        <w:rPr>
          <w:rFonts w:hint="eastAsia" w:ascii="仿宋_GB2312" w:hAnsi="仿宋_GB2312" w:eastAsia="仿宋_GB2312" w:cs="仿宋_GB2312"/>
          <w:b w:val="0"/>
          <w:color w:val="000000"/>
          <w:sz w:val="18"/>
          <w:szCs w:val="18"/>
        </w:rPr>
        <w:t xml:space="preserve">12. </w:t>
      </w:r>
      <w:bookmarkEnd w:id="1241"/>
      <w:bookmarkEnd w:id="1242"/>
      <w:bookmarkEnd w:id="1243"/>
      <w:bookmarkEnd w:id="1244"/>
      <w:bookmarkEnd w:id="1245"/>
      <w:bookmarkEnd w:id="1246"/>
      <w:bookmarkEnd w:id="1247"/>
      <w:bookmarkEnd w:id="1248"/>
      <w:bookmarkEnd w:id="1249"/>
      <w:bookmarkEnd w:id="1250"/>
      <w:r>
        <w:rPr>
          <w:rFonts w:hint="eastAsia" w:ascii="仿宋_GB2312" w:hAnsi="仿宋_GB2312" w:eastAsia="仿宋_GB2312" w:cs="仿宋_GB2312"/>
          <w:b w:val="0"/>
          <w:color w:val="000000"/>
          <w:sz w:val="18"/>
          <w:szCs w:val="18"/>
        </w:rPr>
        <w:t>合同价格、计量与支付</w:t>
      </w:r>
      <w:bookmarkEnd w:id="1251"/>
    </w:p>
    <w:bookmarkEnd w:id="1252"/>
    <w:bookmarkEnd w:id="1253"/>
    <w:bookmarkEnd w:id="1254"/>
    <w:bookmarkEnd w:id="1255"/>
    <w:bookmarkEnd w:id="1256"/>
    <w:bookmarkEnd w:id="1257"/>
    <w:p w14:paraId="41518343">
      <w:pPr>
        <w:spacing w:after="120"/>
        <w:ind w:firstLine="360" w:firstLineChars="200"/>
        <w:rPr>
          <w:rFonts w:ascii="仿宋_GB2312" w:hAnsi="仿宋_GB2312" w:eastAsia="仿宋_GB2312" w:cs="仿宋_GB2312"/>
          <w:color w:val="000000"/>
          <w:sz w:val="18"/>
          <w:szCs w:val="18"/>
        </w:rPr>
      </w:pPr>
      <w:bookmarkStart w:id="1258" w:name="_Toc292559411"/>
      <w:bookmarkStart w:id="1259" w:name="_Toc292559916"/>
      <w:bookmarkStart w:id="1260" w:name="_Toc267251461"/>
      <w:bookmarkStart w:id="1261" w:name="_Toc296944545"/>
      <w:bookmarkStart w:id="1262" w:name="_Toc296503206"/>
      <w:bookmarkStart w:id="1263" w:name="_Toc296891034"/>
      <w:bookmarkStart w:id="1264" w:name="_Toc297048392"/>
      <w:bookmarkStart w:id="1265" w:name="_Toc296891246"/>
      <w:bookmarkStart w:id="1266" w:name="_Toc296347205"/>
      <w:bookmarkStart w:id="1267" w:name="_Toc297120506"/>
      <w:bookmarkStart w:id="1268" w:name="_Toc296346707"/>
      <w:bookmarkStart w:id="1269" w:name="_Toc312678041"/>
      <w:bookmarkStart w:id="1270" w:name="_Toc297216212"/>
      <w:bookmarkStart w:id="1271" w:name="_Toc304295580"/>
      <w:bookmarkStart w:id="1272" w:name="_Toc297123553"/>
      <w:bookmarkStart w:id="1273" w:name="_Toc300935003"/>
      <w:bookmarkStart w:id="1274" w:name="_Toc303539160"/>
      <w:r>
        <w:rPr>
          <w:rFonts w:hint="eastAsia" w:ascii="仿宋_GB2312" w:hAnsi="仿宋_GB2312" w:eastAsia="仿宋_GB2312" w:cs="仿宋_GB2312"/>
          <w:color w:val="000000"/>
          <w:sz w:val="18"/>
          <w:szCs w:val="18"/>
        </w:rPr>
        <w:t>12.1 合</w:t>
      </w:r>
      <w:bookmarkEnd w:id="1258"/>
      <w:bookmarkEnd w:id="1259"/>
      <w:bookmarkEnd w:id="1260"/>
      <w:r>
        <w:rPr>
          <w:rFonts w:hint="eastAsia" w:ascii="仿宋_GB2312" w:hAnsi="仿宋_GB2312" w:eastAsia="仿宋_GB2312" w:cs="仿宋_GB2312"/>
          <w:color w:val="000000"/>
          <w:sz w:val="18"/>
          <w:szCs w:val="18"/>
        </w:rPr>
        <w:t>同价</w:t>
      </w:r>
      <w:bookmarkEnd w:id="1261"/>
      <w:bookmarkEnd w:id="1262"/>
      <w:bookmarkEnd w:id="1263"/>
      <w:bookmarkEnd w:id="1264"/>
      <w:bookmarkEnd w:id="1265"/>
      <w:bookmarkEnd w:id="1266"/>
      <w:bookmarkEnd w:id="1267"/>
      <w:bookmarkEnd w:id="1268"/>
      <w:r>
        <w:rPr>
          <w:rFonts w:hint="eastAsia" w:ascii="仿宋_GB2312" w:hAnsi="仿宋_GB2312" w:eastAsia="仿宋_GB2312" w:cs="仿宋_GB2312"/>
          <w:color w:val="000000"/>
          <w:sz w:val="18"/>
          <w:szCs w:val="18"/>
        </w:rPr>
        <w:t>格形式</w:t>
      </w:r>
    </w:p>
    <w:bookmarkEnd w:id="1269"/>
    <w:bookmarkEnd w:id="1270"/>
    <w:bookmarkEnd w:id="1271"/>
    <w:bookmarkEnd w:id="1272"/>
    <w:bookmarkEnd w:id="1273"/>
    <w:bookmarkEnd w:id="1274"/>
    <w:p w14:paraId="492A053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12.1.</w:t>
      </w:r>
      <w:r>
        <w:rPr>
          <w:rFonts w:hint="eastAsia" w:ascii="仿宋_GB2312" w:hAnsi="仿宋_GB2312" w:eastAsia="仿宋_GB2312" w:cs="仿宋_GB2312"/>
          <w:color w:val="000000"/>
          <w:sz w:val="18"/>
          <w:szCs w:val="18"/>
        </w:rPr>
        <w:t>1单价合同。</w:t>
      </w:r>
    </w:p>
    <w:p w14:paraId="6389AEE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综合单价包含的风险范围：</w:t>
      </w:r>
    </w:p>
    <w:p w14:paraId="3B2D494C">
      <w:pPr>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（1）</w:t>
      </w:r>
      <w:r>
        <w:rPr>
          <w:rFonts w:hint="eastAsia" w:ascii="仿宋_GB2312" w:hAnsi="仿宋_GB2312" w:eastAsia="仿宋_GB2312" w:cs="仿宋_GB2312"/>
          <w:b/>
          <w:sz w:val="18"/>
          <w:szCs w:val="18"/>
          <w:u w:val="single"/>
        </w:rPr>
        <w:t xml:space="preserve">应由承包人承担的工、料、机在投标编制期或预算书编制期与合同实施期间所发生的市场价格波动。 </w:t>
      </w:r>
    </w:p>
    <w:p w14:paraId="40C28C21">
      <w:pPr>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（2）</w:t>
      </w:r>
      <w:r>
        <w:rPr>
          <w:rFonts w:hint="eastAsia" w:ascii="仿宋_GB2312" w:hAnsi="仿宋_GB2312" w:eastAsia="仿宋_GB2312" w:cs="仿宋_GB2312"/>
          <w:b/>
          <w:sz w:val="18"/>
          <w:szCs w:val="18"/>
          <w:u w:val="single"/>
        </w:rPr>
        <w:t>其他：</w:t>
      </w:r>
    </w:p>
    <w:p w14:paraId="046015EF">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A、工程所需、技术规范要求的所有施工组织措施费和承包人报价时补充的施工技术措施费都已包括在签约合同价中；</w:t>
      </w:r>
    </w:p>
    <w:p w14:paraId="79A2030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 xml:space="preserve">B、所有招标文件或工程量清单明示要求报价的内容而承包商未予报价的，将被认为包含在合同总价中，结算时合同价款将不再追加； </w:t>
      </w:r>
    </w:p>
    <w:p w14:paraId="50297099">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C、承包人对工程现场环境以及发包人提供的招标文件、图纸等资料作出错误的推论、理解而导致报价失误，属于承包商风险，结算时合同价款将不予调整；</w:t>
      </w:r>
    </w:p>
    <w:p w14:paraId="6D7D6133">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D、国家政策变化以及一个有经验的承包人可以或应该能预见的风险；</w:t>
      </w:r>
    </w:p>
    <w:p w14:paraId="71E29FD5">
      <w:pPr>
        <w:ind w:firstLine="360"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sz w:val="18"/>
          <w:szCs w:val="18"/>
          <w:u w:val="single"/>
        </w:rPr>
        <w:t>E、其他招标文件及合同中明示的合同价款中包含的风险。除专用条款中约定可调整合同价款的因素为风险范围以外的因素外，其余因素均属于合同价款所包含的风险范围，均不影响本合同的固定价格</w:t>
      </w:r>
      <w:r>
        <w:rPr>
          <w:rFonts w:hint="eastAsia" w:ascii="仿宋_GB2312" w:hAnsi="仿宋_GB2312" w:eastAsia="仿宋_GB2312" w:cs="仿宋_GB2312"/>
          <w:b/>
          <w:sz w:val="18"/>
          <w:szCs w:val="18"/>
        </w:rPr>
        <w:t>。</w:t>
      </w:r>
    </w:p>
    <w:p w14:paraId="3837E478">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color w:val="000000"/>
          <w:sz w:val="18"/>
          <w:szCs w:val="18"/>
        </w:rPr>
        <w:t>风险费用的计算方法：</w:t>
      </w:r>
      <w:r>
        <w:rPr>
          <w:rFonts w:hint="eastAsia" w:ascii="仿宋_GB2312" w:hAnsi="仿宋_GB2312" w:eastAsia="仿宋_GB2312" w:cs="仿宋_GB2312"/>
          <w:sz w:val="18"/>
          <w:szCs w:val="18"/>
          <w:u w:val="single"/>
        </w:rPr>
        <w:t>以上风险范围之内费用已由承包人自行预测并计入投标总价中</w:t>
      </w:r>
      <w:r>
        <w:rPr>
          <w:rFonts w:hint="eastAsia" w:ascii="仿宋_GB2312" w:hAnsi="仿宋_GB2312" w:eastAsia="仿宋_GB2312" w:cs="仿宋_GB2312"/>
          <w:sz w:val="18"/>
          <w:szCs w:val="18"/>
        </w:rPr>
        <w:t>。</w:t>
      </w:r>
    </w:p>
    <w:p w14:paraId="26377F07">
      <w:pPr>
        <w:ind w:firstLine="376" w:firstLineChars="209"/>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风险范围以外合同价格的调整方法：</w:t>
      </w:r>
    </w:p>
    <w:p w14:paraId="603CB2F5">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（1）实物工程量数量按实调整；</w:t>
      </w:r>
    </w:p>
    <w:p w14:paraId="1580C838">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（2）市场价格波动引起的调整按本合同11.1第3种方式的约定计算。</w:t>
      </w:r>
    </w:p>
    <w:p w14:paraId="657ADE1F">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（3）重大设计变更引起的技术措施变更，如发包人批准其相应费用调整，竣工结算原则上可参照本合同10.4.1条款精神执行；</w:t>
      </w:r>
    </w:p>
    <w:p w14:paraId="1BE5EDC8">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（4）其他：变更估价按本合同10.4.1的约定计算。</w:t>
      </w:r>
    </w:p>
    <w:p w14:paraId="48CDDB7C">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38907E85">
      <w:pPr>
        <w:ind w:firstLine="378" w:firstLineChars="209"/>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（6）本工程结算造价以第三方审计单位审核为准。</w:t>
      </w:r>
    </w:p>
    <w:p w14:paraId="45516D4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2、总价合同。</w:t>
      </w:r>
    </w:p>
    <w:p w14:paraId="2CB5C299">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总价包含的风险范围：</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17749962">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风险费用的计算方法：</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3133AE1">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风险范围以外合同价格的调整方法：</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3533867">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3、其他价格方式：</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30089593">
      <w:pPr>
        <w:spacing w:after="120" w:line="310" w:lineRule="exact"/>
        <w:ind w:firstLine="360" w:firstLineChars="200"/>
        <w:rPr>
          <w:rFonts w:ascii="仿宋_GB2312" w:hAnsi="仿宋_GB2312" w:eastAsia="仿宋_GB2312" w:cs="仿宋_GB2312"/>
          <w:color w:val="000000"/>
          <w:sz w:val="18"/>
          <w:szCs w:val="18"/>
        </w:rPr>
      </w:pPr>
      <w:bookmarkStart w:id="1275" w:name="_Toc297216213"/>
      <w:bookmarkStart w:id="1276" w:name="_Toc300935004"/>
      <w:bookmarkStart w:id="1277" w:name="_Toc303539161"/>
      <w:bookmarkStart w:id="1278" w:name="_Toc297123554"/>
      <w:bookmarkStart w:id="1279" w:name="_Toc304295581"/>
      <w:bookmarkStart w:id="1280" w:name="_Toc312678042"/>
      <w:bookmarkStart w:id="1281" w:name="_Toc292559412"/>
      <w:bookmarkStart w:id="1282" w:name="_Toc296891247"/>
      <w:bookmarkStart w:id="1283" w:name="_Toc292559917"/>
      <w:bookmarkStart w:id="1284" w:name="_Toc296503207"/>
      <w:bookmarkStart w:id="1285" w:name="_Toc297048393"/>
      <w:bookmarkStart w:id="1286" w:name="_Toc296944546"/>
      <w:bookmarkStart w:id="1287" w:name="_Toc297120507"/>
      <w:bookmarkStart w:id="1288" w:name="_Toc296891035"/>
      <w:bookmarkStart w:id="1289" w:name="_Toc296346708"/>
      <w:bookmarkStart w:id="1290" w:name="_Toc296347206"/>
      <w:r>
        <w:rPr>
          <w:rFonts w:hint="eastAsia" w:ascii="仿宋_GB2312" w:hAnsi="仿宋_GB2312" w:eastAsia="仿宋_GB2312" w:cs="仿宋_GB2312"/>
          <w:color w:val="000000"/>
          <w:sz w:val="18"/>
          <w:szCs w:val="18"/>
        </w:rPr>
        <w:t>12.2 预付款</w:t>
      </w:r>
    </w:p>
    <w:bookmarkEnd w:id="1275"/>
    <w:bookmarkEnd w:id="1276"/>
    <w:bookmarkEnd w:id="1277"/>
    <w:bookmarkEnd w:id="1278"/>
    <w:bookmarkEnd w:id="1279"/>
    <w:bookmarkEnd w:id="1280"/>
    <w:p w14:paraId="137E9314">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12.2.1 预付款的支付</w:t>
      </w:r>
    </w:p>
    <w:p w14:paraId="06CC35C1">
      <w:pPr>
        <w:spacing w:line="310" w:lineRule="exact"/>
        <w:ind w:firstLine="360" w:firstLineChars="200"/>
        <w:rPr>
          <w:rFonts w:ascii="仿宋_GB2312" w:hAnsi="仿宋_GB2312" w:eastAsia="仿宋_GB2312" w:cs="仿宋_GB2312"/>
          <w:sz w:val="18"/>
          <w:szCs w:val="18"/>
          <w:highlight w:val="none"/>
          <w:u w:val="single"/>
        </w:rPr>
      </w:pPr>
      <w:r>
        <w:rPr>
          <w:rFonts w:hint="eastAsia" w:ascii="仿宋_GB2312" w:hAnsi="仿宋_GB2312" w:eastAsia="仿宋_GB2312" w:cs="仿宋_GB2312"/>
          <w:color w:val="000000"/>
          <w:sz w:val="18"/>
          <w:szCs w:val="18"/>
          <w:highlight w:val="none"/>
        </w:rPr>
        <w:t>预付款支付比例或金额：</w:t>
      </w:r>
      <w:r>
        <w:rPr>
          <w:rFonts w:hint="eastAsia" w:ascii="仿宋_GB2312" w:hAnsi="仿宋_GB2312" w:eastAsia="仿宋_GB2312" w:cs="仿宋_GB2312"/>
          <w:sz w:val="18"/>
          <w:szCs w:val="18"/>
          <w:highlight w:val="none"/>
          <w:u w:val="single"/>
        </w:rPr>
        <w:t>合同价的10% （【含安全文明施工措施费的60%和建安工程费的1%(农民工工资预付款）】</w:t>
      </w:r>
    </w:p>
    <w:p w14:paraId="2C956694">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工资预付款支付比例或金额：。</w:t>
      </w:r>
    </w:p>
    <w:p w14:paraId="16439B9C">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预付款支付期限：</w:t>
      </w:r>
      <w:r>
        <w:rPr>
          <w:rFonts w:hint="eastAsia" w:ascii="仿宋_GB2312" w:hAnsi="仿宋_GB2312" w:eastAsia="仿宋_GB2312" w:cs="仿宋_GB2312"/>
          <w:sz w:val="18"/>
          <w:szCs w:val="18"/>
          <w:highlight w:val="none"/>
          <w:u w:val="single"/>
        </w:rPr>
        <w:t>合同签订后14天</w:t>
      </w:r>
      <w:r>
        <w:rPr>
          <w:rFonts w:hint="eastAsia" w:ascii="仿宋_GB2312" w:hAnsi="仿宋_GB2312" w:eastAsia="仿宋_GB2312" w:cs="仿宋_GB2312"/>
          <w:color w:val="000000"/>
          <w:sz w:val="18"/>
          <w:szCs w:val="18"/>
          <w:highlight w:val="none"/>
        </w:rPr>
        <w:t>。</w:t>
      </w:r>
    </w:p>
    <w:p w14:paraId="0E82BD62">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预付款扣回的方式：</w:t>
      </w:r>
      <w:r>
        <w:rPr>
          <w:rFonts w:hint="eastAsia" w:ascii="仿宋_GB2312" w:hAnsi="仿宋_GB2312" w:eastAsia="仿宋_GB2312" w:cs="仿宋_GB2312"/>
          <w:sz w:val="18"/>
          <w:szCs w:val="18"/>
          <w:u w:val="single"/>
        </w:rPr>
        <w:t xml:space="preserve">转为进度款，不再扣回 </w:t>
      </w:r>
      <w:r>
        <w:rPr>
          <w:rFonts w:hint="eastAsia" w:ascii="仿宋_GB2312" w:hAnsi="仿宋_GB2312" w:eastAsia="仿宋_GB2312" w:cs="仿宋_GB2312"/>
          <w:color w:val="000000"/>
          <w:sz w:val="18"/>
          <w:szCs w:val="18"/>
        </w:rPr>
        <w:t>。</w:t>
      </w:r>
    </w:p>
    <w:p w14:paraId="10083675">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12.2.2 预付款担保</w:t>
      </w:r>
    </w:p>
    <w:p w14:paraId="5806940F">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承包人提交预付款担保的期限：</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7B3D40B7">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预付款担保的形式为：</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bookmarkEnd w:id="1281"/>
    <w:bookmarkEnd w:id="1282"/>
    <w:bookmarkEnd w:id="1283"/>
    <w:bookmarkEnd w:id="1284"/>
    <w:bookmarkEnd w:id="1285"/>
    <w:bookmarkEnd w:id="1286"/>
    <w:bookmarkEnd w:id="1287"/>
    <w:bookmarkEnd w:id="1288"/>
    <w:bookmarkEnd w:id="1289"/>
    <w:bookmarkEnd w:id="1290"/>
    <w:p w14:paraId="297F8652">
      <w:pPr>
        <w:spacing w:after="120" w:line="31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 计量</w:t>
      </w:r>
    </w:p>
    <w:p w14:paraId="71089A9C">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12.3.1 计量原则</w:t>
      </w:r>
    </w:p>
    <w:p w14:paraId="35500AE7">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工程量计算规则：</w:t>
      </w:r>
    </w:p>
    <w:p w14:paraId="6B784C5A">
      <w:pPr>
        <w:spacing w:line="310" w:lineRule="exact"/>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（1）</w:t>
      </w:r>
      <w:r>
        <w:rPr>
          <w:rFonts w:hint="eastAsia" w:ascii="仿宋_GB2312" w:hAnsi="仿宋_GB2312" w:eastAsia="仿宋_GB2312" w:cs="仿宋_GB2312"/>
          <w:b/>
          <w:sz w:val="18"/>
          <w:szCs w:val="18"/>
          <w:u w:val="single"/>
        </w:rPr>
        <w:t xml:space="preserve"> 实行工程量清单计价的工程项目，其工程量的计算规则应按国家标准工程量计算规范及省级行业主管部门颁布的补充规定执行。</w:t>
      </w:r>
    </w:p>
    <w:p w14:paraId="0FE7DFB2">
      <w:pPr>
        <w:spacing w:line="310" w:lineRule="exact"/>
        <w:ind w:firstLine="361" w:firstLineChars="200"/>
        <w:jc w:val="left"/>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rPr>
        <w:t>（2）</w:t>
      </w:r>
      <w:r>
        <w:rPr>
          <w:rFonts w:hint="eastAsia" w:ascii="仿宋_GB2312" w:hAnsi="仿宋_GB2312" w:eastAsia="仿宋_GB2312" w:cs="仿宋_GB2312"/>
          <w:b/>
          <w:sz w:val="18"/>
          <w:szCs w:val="18"/>
          <w:u w:val="single"/>
        </w:rPr>
        <w:t>不实行工程量清单计价的工程项目，工程量的计算规则应按省、市行业主管部门颁布的各专业工程定额的工程量计算规则执行。</w:t>
      </w:r>
    </w:p>
    <w:p w14:paraId="53612A75">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12.3.2 计量周期</w:t>
      </w:r>
    </w:p>
    <w:p w14:paraId="6EC82E93">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关于计量周期的约定：</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5DA865E7">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12.3.3 单价合同的计量</w:t>
      </w:r>
    </w:p>
    <w:p w14:paraId="5157FE52">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关于单价合同计量的约定：</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5348B0CA">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12.3.4 总价合同的计量</w:t>
      </w:r>
    </w:p>
    <w:p w14:paraId="16BF870C">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关于总价合同计量的约定：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15C6B63">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12.3.5总价合同采用支付分解表计量支付的，是否适用第</w:t>
      </w:r>
      <w:r>
        <w:rPr>
          <w:rFonts w:hint="eastAsia" w:ascii="仿宋_GB2312" w:hAnsi="仿宋_GB2312" w:eastAsia="仿宋_GB2312" w:cs="仿宋_GB2312"/>
          <w:color w:val="000000"/>
          <w:kern w:val="0"/>
          <w:sz w:val="18"/>
          <w:szCs w:val="18"/>
        </w:rPr>
        <w:t xml:space="preserve">12.3.4 </w:t>
      </w:r>
      <w:r>
        <w:rPr>
          <w:rFonts w:hint="eastAsia" w:ascii="仿宋_GB2312" w:hAnsi="仿宋_GB2312" w:eastAsia="仿宋_GB2312" w:cs="仿宋_GB2312"/>
          <w:color w:val="000000"/>
          <w:sz w:val="18"/>
          <w:szCs w:val="18"/>
        </w:rPr>
        <w:t>项</w:t>
      </w:r>
      <w:r>
        <w:rPr>
          <w:rFonts w:hint="eastAsia" w:ascii="仿宋_GB2312" w:hAnsi="仿宋_GB2312" w:eastAsia="仿宋_GB2312" w:cs="仿宋_GB2312"/>
          <w:color w:val="000000"/>
          <w:kern w:val="0"/>
          <w:sz w:val="18"/>
          <w:szCs w:val="18"/>
        </w:rPr>
        <w:t>〔总价合同的计量〕</w:t>
      </w:r>
      <w:r>
        <w:rPr>
          <w:rFonts w:hint="eastAsia" w:ascii="仿宋_GB2312" w:hAnsi="仿宋_GB2312" w:eastAsia="仿宋_GB2312" w:cs="仿宋_GB2312"/>
          <w:color w:val="000000"/>
          <w:sz w:val="18"/>
          <w:szCs w:val="18"/>
        </w:rPr>
        <w:t>约定进行计量：</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38F451FE">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12.3.6 其他价格形式合同的计量</w:t>
      </w:r>
    </w:p>
    <w:p w14:paraId="13777090">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其他价格形式的计量方式和程序：</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03E3E55">
      <w:pPr>
        <w:spacing w:after="120" w:line="31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12.4 工程进度款支付</w:t>
      </w:r>
    </w:p>
    <w:p w14:paraId="645A4CCD">
      <w:pPr>
        <w:spacing w:line="310" w:lineRule="exact"/>
        <w:ind w:firstLine="360" w:firstLineChars="200"/>
        <w:jc w:val="left"/>
        <w:rPr>
          <w:rFonts w:ascii="仿宋_GB2312" w:hAnsi="仿宋_GB2312" w:eastAsia="仿宋_GB2312" w:cs="仿宋_GB2312"/>
          <w:color w:val="000000"/>
          <w:sz w:val="18"/>
          <w:szCs w:val="18"/>
        </w:rPr>
      </w:pPr>
      <w:bookmarkStart w:id="1291" w:name="_Toc296944550"/>
      <w:bookmarkStart w:id="1292" w:name="_Toc303539163"/>
      <w:bookmarkStart w:id="1293" w:name="_Toc292559416"/>
      <w:bookmarkStart w:id="1294" w:name="_Toc300935006"/>
      <w:bookmarkStart w:id="1295" w:name="_Toc296346712"/>
      <w:bookmarkStart w:id="1296" w:name="_Toc296503211"/>
      <w:bookmarkStart w:id="1297" w:name="_Toc292559921"/>
      <w:bookmarkStart w:id="1298" w:name="_Toc297216215"/>
      <w:bookmarkStart w:id="1299" w:name="_Toc296891251"/>
      <w:bookmarkStart w:id="1300" w:name="_Toc296347210"/>
      <w:bookmarkStart w:id="1301" w:name="_Toc297048397"/>
      <w:bookmarkStart w:id="1302" w:name="_Toc296891039"/>
      <w:bookmarkStart w:id="1303" w:name="_Toc297123556"/>
      <w:bookmarkStart w:id="1304" w:name="_Toc297120511"/>
      <w:r>
        <w:rPr>
          <w:rFonts w:hint="eastAsia" w:ascii="仿宋_GB2312" w:hAnsi="仿宋_GB2312" w:eastAsia="仿宋_GB2312" w:cs="仿宋_GB2312"/>
          <w:color w:val="000000"/>
          <w:sz w:val="18"/>
          <w:szCs w:val="18"/>
        </w:rPr>
        <w:t>12.4.1 付款周期</w:t>
      </w:r>
    </w:p>
    <w:p w14:paraId="08F9FB0C">
      <w:pPr>
        <w:spacing w:line="310" w:lineRule="exact"/>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color w:val="000000"/>
          <w:sz w:val="18"/>
          <w:szCs w:val="18"/>
        </w:rPr>
        <w:t>关于付款周期的约定：</w:t>
      </w:r>
      <w:r>
        <w:rPr>
          <w:rFonts w:hint="eastAsia" w:ascii="仿宋_GB2312" w:hAnsi="仿宋_GB2312" w:eastAsia="仿宋_GB2312" w:cs="仿宋_GB2312"/>
          <w:kern w:val="0"/>
          <w:sz w:val="18"/>
          <w:szCs w:val="18"/>
          <w:u w:val="single"/>
        </w:rPr>
        <w:t>按工程量完成情况，经监理签证提交请支付人申请。（其中工资性工程进度款按月拨付）。</w:t>
      </w:r>
    </w:p>
    <w:p w14:paraId="7F2BD407">
      <w:pPr>
        <w:spacing w:line="310" w:lineRule="exact"/>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12.4.2 进度付款申请单的编制</w:t>
      </w:r>
    </w:p>
    <w:p w14:paraId="762C06AA">
      <w:pPr>
        <w:spacing w:line="310" w:lineRule="exact"/>
        <w:ind w:firstLine="360"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color w:val="000000"/>
          <w:sz w:val="18"/>
          <w:szCs w:val="18"/>
          <w:highlight w:val="none"/>
        </w:rPr>
        <w:t>关于进度付款申请单编制的约定：</w:t>
      </w:r>
      <w:r>
        <w:rPr>
          <w:rFonts w:hint="eastAsia" w:ascii="仿宋_GB2312" w:hAnsi="仿宋_GB2312" w:eastAsia="仿宋_GB2312" w:cs="仿宋_GB2312"/>
          <w:b/>
          <w:kern w:val="0"/>
          <w:sz w:val="18"/>
          <w:szCs w:val="18"/>
          <w:highlight w:val="none"/>
          <w:u w:val="single"/>
        </w:rPr>
        <w:t>支付申请时间：按进度支付，承包人在每月5日前上报上月完成实际工程量的进度款，经监理（总监）、跟踪审计单位及发包人审核签字批准后上报。</w:t>
      </w:r>
    </w:p>
    <w:p w14:paraId="3C249832">
      <w:pPr>
        <w:spacing w:line="310" w:lineRule="exact"/>
        <w:ind w:firstLine="361"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（1）工程款支付方式为每月支付上月实际完成的合同工程量所对应产值的</w:t>
      </w:r>
      <w:r>
        <w:rPr>
          <w:rFonts w:hint="eastAsia" w:ascii="仿宋_GB2312" w:hAnsi="仿宋_GB2312" w:eastAsia="仿宋_GB2312" w:cs="仿宋_GB2312"/>
          <w:b/>
          <w:kern w:val="0"/>
          <w:sz w:val="18"/>
          <w:szCs w:val="18"/>
          <w:highlight w:val="none"/>
          <w:u w:val="single"/>
          <w:lang w:val="en-US" w:eastAsia="zh-CN"/>
        </w:rPr>
        <w:t>85</w:t>
      </w:r>
      <w:r>
        <w:rPr>
          <w:rFonts w:hint="eastAsia" w:ascii="仿宋_GB2312" w:hAnsi="仿宋_GB2312" w:eastAsia="仿宋_GB2312" w:cs="仿宋_GB2312"/>
          <w:b/>
          <w:kern w:val="0"/>
          <w:sz w:val="18"/>
          <w:szCs w:val="18"/>
          <w:highlight w:val="none"/>
          <w:u w:val="single"/>
        </w:rPr>
        <w:t>%（不超过合同总价的</w:t>
      </w:r>
      <w:r>
        <w:rPr>
          <w:rFonts w:hint="eastAsia" w:ascii="仿宋_GB2312" w:hAnsi="仿宋_GB2312" w:eastAsia="仿宋_GB2312" w:cs="仿宋_GB2312"/>
          <w:b/>
          <w:kern w:val="0"/>
          <w:sz w:val="18"/>
          <w:szCs w:val="18"/>
          <w:highlight w:val="none"/>
          <w:u w:val="single"/>
          <w:lang w:val="en-US" w:eastAsia="zh-CN"/>
        </w:rPr>
        <w:t>85</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b/>
          <w:kern w:val="0"/>
          <w:sz w:val="18"/>
          <w:szCs w:val="18"/>
          <w:highlight w:val="none"/>
          <w:u w:val="single"/>
          <w:lang w:val="en-US" w:eastAsia="zh-CN"/>
        </w:rPr>
        <w:t>&lt;</w:t>
      </w:r>
      <w:r>
        <w:rPr>
          <w:rFonts w:hint="eastAsia" w:ascii="仿宋_GB2312" w:hAnsi="仿宋_GB2312" w:eastAsia="仿宋_GB2312" w:cs="仿宋_GB2312"/>
          <w:b/>
          <w:kern w:val="0"/>
          <w:sz w:val="18"/>
          <w:szCs w:val="18"/>
          <w:highlight w:val="none"/>
          <w:u w:val="single"/>
        </w:rPr>
        <w:t>含预付款</w:t>
      </w:r>
      <w:r>
        <w:rPr>
          <w:rFonts w:hint="eastAsia" w:ascii="仿宋_GB2312" w:hAnsi="仿宋_GB2312" w:eastAsia="仿宋_GB2312" w:cs="仿宋_GB2312"/>
          <w:b/>
          <w:kern w:val="0"/>
          <w:sz w:val="18"/>
          <w:szCs w:val="18"/>
          <w:highlight w:val="none"/>
          <w:u w:val="single"/>
          <w:lang w:val="en-US" w:eastAsia="zh-CN"/>
        </w:rPr>
        <w:t>&gt;</w:t>
      </w:r>
      <w:r>
        <w:rPr>
          <w:rFonts w:hint="eastAsia" w:ascii="仿宋_GB2312" w:hAnsi="仿宋_GB2312" w:eastAsia="仿宋_GB2312" w:cs="仿宋_GB2312"/>
          <w:b/>
          <w:kern w:val="0"/>
          <w:sz w:val="18"/>
          <w:szCs w:val="18"/>
          <w:highlight w:val="none"/>
          <w:u w:val="single"/>
          <w:lang w:eastAsia="zh-CN"/>
        </w:rPr>
        <w:t>，</w:t>
      </w:r>
      <w:r>
        <w:rPr>
          <w:rFonts w:hint="eastAsia" w:ascii="仿宋_GB2312" w:hAnsi="仿宋_GB2312" w:eastAsia="仿宋_GB2312" w:cs="仿宋_GB2312"/>
          <w:b/>
          <w:kern w:val="0"/>
          <w:sz w:val="18"/>
          <w:szCs w:val="18"/>
          <w:highlight w:val="none"/>
          <w:u w:val="single"/>
          <w:lang w:val="en-US" w:eastAsia="zh-CN"/>
        </w:rPr>
        <w:t>且</w:t>
      </w:r>
      <w:r>
        <w:rPr>
          <w:rFonts w:hint="eastAsia" w:ascii="仿宋_GB2312" w:hAnsi="仿宋_GB2312" w:eastAsia="仿宋_GB2312" w:cs="仿宋_GB2312"/>
          <w:b/>
          <w:kern w:val="0"/>
          <w:sz w:val="18"/>
          <w:szCs w:val="18"/>
          <w:highlight w:val="none"/>
          <w:u w:val="single"/>
        </w:rPr>
        <w:t>要求经监理审核），支付至</w:t>
      </w:r>
      <w:r>
        <w:rPr>
          <w:rFonts w:hint="eastAsia" w:ascii="仿宋_GB2312" w:hAnsi="仿宋_GB2312" w:eastAsia="仿宋_GB2312" w:cs="仿宋_GB2312"/>
          <w:b/>
          <w:kern w:val="0"/>
          <w:sz w:val="18"/>
          <w:szCs w:val="18"/>
          <w:highlight w:val="none"/>
          <w:u w:val="single"/>
          <w:lang w:val="en-US" w:eastAsia="zh-CN"/>
        </w:rPr>
        <w:t>已完成工程价款的85</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b/>
          <w:kern w:val="0"/>
          <w:sz w:val="18"/>
          <w:szCs w:val="18"/>
          <w:highlight w:val="none"/>
          <w:u w:val="single"/>
          <w:lang w:val="en-US" w:eastAsia="zh-CN"/>
        </w:rPr>
        <w:t>时</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b/>
          <w:kern w:val="0"/>
          <w:sz w:val="18"/>
          <w:szCs w:val="18"/>
          <w:highlight w:val="none"/>
          <w:u w:val="single"/>
          <w:lang w:val="en-US" w:eastAsia="zh-CN"/>
        </w:rPr>
        <w:t>承包人</w:t>
      </w:r>
      <w:r>
        <w:rPr>
          <w:rFonts w:hint="eastAsia" w:ascii="仿宋_GB2312" w:hAnsi="仿宋_GB2312" w:eastAsia="仿宋_GB2312" w:cs="仿宋_GB2312"/>
          <w:b/>
          <w:kern w:val="0"/>
          <w:sz w:val="18"/>
          <w:szCs w:val="18"/>
          <w:highlight w:val="none"/>
          <w:u w:val="single"/>
        </w:rPr>
        <w:t>需提交农民工工资支付相关材料（资料需包含农民工工发放花名册</w:t>
      </w:r>
      <w:r>
        <w:rPr>
          <w:rFonts w:hint="eastAsia" w:ascii="仿宋_GB2312" w:hAnsi="仿宋_GB2312" w:eastAsia="仿宋_GB2312" w:cs="仿宋_GB2312"/>
          <w:b/>
          <w:kern w:val="0"/>
          <w:sz w:val="18"/>
          <w:szCs w:val="18"/>
          <w:highlight w:val="none"/>
          <w:u w:val="single"/>
          <w:lang w:val="en-US" w:eastAsia="zh-CN"/>
        </w:rPr>
        <w:t>&lt;后须附</w:t>
      </w:r>
      <w:r>
        <w:rPr>
          <w:rFonts w:hint="eastAsia" w:ascii="仿宋_GB2312" w:hAnsi="仿宋_GB2312" w:eastAsia="仿宋_GB2312" w:cs="仿宋_GB2312"/>
          <w:b/>
          <w:kern w:val="0"/>
          <w:sz w:val="18"/>
          <w:szCs w:val="18"/>
          <w:highlight w:val="none"/>
          <w:u w:val="single"/>
        </w:rPr>
        <w:t>农民工工资发放记录：转账记录</w:t>
      </w:r>
      <w:r>
        <w:rPr>
          <w:rFonts w:hint="eastAsia" w:ascii="仿宋_GB2312" w:hAnsi="仿宋_GB2312" w:eastAsia="仿宋_GB2312" w:cs="仿宋_GB2312"/>
          <w:b/>
          <w:kern w:val="0"/>
          <w:sz w:val="18"/>
          <w:szCs w:val="18"/>
          <w:highlight w:val="none"/>
          <w:u w:val="single"/>
          <w:lang w:val="en-US" w:eastAsia="zh-CN"/>
        </w:rPr>
        <w:t>或</w:t>
      </w:r>
      <w:r>
        <w:rPr>
          <w:rFonts w:hint="eastAsia" w:ascii="仿宋_GB2312" w:hAnsi="仿宋_GB2312" w:eastAsia="仿宋_GB2312" w:cs="仿宋_GB2312"/>
          <w:b/>
          <w:kern w:val="0"/>
          <w:sz w:val="18"/>
          <w:szCs w:val="18"/>
          <w:highlight w:val="none"/>
          <w:u w:val="single"/>
        </w:rPr>
        <w:t>收条等</w:t>
      </w:r>
      <w:r>
        <w:rPr>
          <w:rFonts w:hint="eastAsia" w:ascii="仿宋_GB2312" w:hAnsi="仿宋_GB2312" w:eastAsia="仿宋_GB2312" w:cs="仿宋_GB2312"/>
          <w:b/>
          <w:kern w:val="0"/>
          <w:sz w:val="18"/>
          <w:szCs w:val="18"/>
          <w:highlight w:val="none"/>
          <w:u w:val="single"/>
          <w:lang w:val="en-US" w:eastAsia="zh-CN"/>
        </w:rPr>
        <w:t>&gt;</w:t>
      </w:r>
      <w:r>
        <w:rPr>
          <w:rFonts w:hint="eastAsia" w:ascii="仿宋_GB2312" w:hAnsi="仿宋_GB2312" w:eastAsia="仿宋_GB2312" w:cs="仿宋_GB2312"/>
          <w:b/>
          <w:kern w:val="0"/>
          <w:sz w:val="18"/>
          <w:szCs w:val="18"/>
          <w:highlight w:val="none"/>
          <w:u w:val="single"/>
        </w:rPr>
        <w:t>、身份证复印件等），工程竣工验收合格且竣工资料（含结算送审资料）移交建设单位后付至合同</w:t>
      </w:r>
      <w:r>
        <w:rPr>
          <w:rFonts w:hint="eastAsia" w:ascii="仿宋_GB2312" w:hAnsi="仿宋_GB2312" w:eastAsia="仿宋_GB2312" w:cs="仿宋_GB2312"/>
          <w:b/>
          <w:kern w:val="0"/>
          <w:sz w:val="18"/>
          <w:szCs w:val="18"/>
          <w:highlight w:val="none"/>
          <w:u w:val="single"/>
          <w:lang w:val="en-US" w:eastAsia="zh-CN"/>
        </w:rPr>
        <w:t>总</w:t>
      </w:r>
      <w:r>
        <w:rPr>
          <w:rFonts w:hint="eastAsia" w:ascii="仿宋_GB2312" w:hAnsi="仿宋_GB2312" w:eastAsia="仿宋_GB2312" w:cs="仿宋_GB2312"/>
          <w:b/>
          <w:kern w:val="0"/>
          <w:sz w:val="18"/>
          <w:szCs w:val="18"/>
          <w:highlight w:val="none"/>
          <w:u w:val="single"/>
        </w:rPr>
        <w:t>价</w:t>
      </w:r>
      <w:r>
        <w:rPr>
          <w:rFonts w:hint="eastAsia" w:ascii="仿宋_GB2312" w:hAnsi="仿宋_GB2312" w:eastAsia="仿宋_GB2312" w:cs="仿宋_GB2312"/>
          <w:b/>
          <w:kern w:val="0"/>
          <w:sz w:val="18"/>
          <w:szCs w:val="18"/>
          <w:highlight w:val="none"/>
          <w:u w:val="single"/>
          <w:lang w:val="en-US" w:eastAsia="zh-CN"/>
        </w:rPr>
        <w:t>的</w:t>
      </w:r>
      <w:r>
        <w:rPr>
          <w:rFonts w:hint="eastAsia" w:ascii="仿宋_GB2312" w:hAnsi="仿宋_GB2312" w:eastAsia="仿宋_GB2312" w:cs="仿宋_GB2312"/>
          <w:b/>
          <w:kern w:val="0"/>
          <w:sz w:val="18"/>
          <w:szCs w:val="18"/>
          <w:highlight w:val="none"/>
          <w:u w:val="single"/>
        </w:rPr>
        <w:t>8</w:t>
      </w:r>
      <w:r>
        <w:rPr>
          <w:rFonts w:hint="eastAsia" w:ascii="仿宋_GB2312" w:hAnsi="仿宋_GB2312" w:eastAsia="仿宋_GB2312" w:cs="仿宋_GB2312"/>
          <w:b/>
          <w:kern w:val="0"/>
          <w:sz w:val="18"/>
          <w:szCs w:val="18"/>
          <w:highlight w:val="none"/>
          <w:u w:val="single"/>
          <w:lang w:val="en-US" w:eastAsia="zh-CN"/>
        </w:rPr>
        <w:t>5</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b/>
          <w:kern w:val="0"/>
          <w:sz w:val="18"/>
          <w:szCs w:val="18"/>
          <w:highlight w:val="none"/>
          <w:u w:val="single"/>
          <w:lang w:val="en-US" w:eastAsia="zh-CN"/>
        </w:rPr>
        <w:t>承包人</w:t>
      </w:r>
      <w:r>
        <w:rPr>
          <w:rFonts w:hint="eastAsia" w:ascii="仿宋_GB2312" w:hAnsi="仿宋_GB2312" w:eastAsia="仿宋_GB2312" w:cs="仿宋_GB2312"/>
          <w:b/>
          <w:kern w:val="0"/>
          <w:sz w:val="18"/>
          <w:szCs w:val="18"/>
          <w:highlight w:val="none"/>
          <w:u w:val="single"/>
        </w:rPr>
        <w:t>需提交农民工工资结清相关材料（资料需包含农民工工资发放花名册</w:t>
      </w:r>
      <w:r>
        <w:rPr>
          <w:rFonts w:hint="eastAsia" w:ascii="仿宋_GB2312" w:hAnsi="仿宋_GB2312" w:eastAsia="仿宋_GB2312" w:cs="仿宋_GB2312"/>
          <w:b/>
          <w:kern w:val="0"/>
          <w:sz w:val="18"/>
          <w:szCs w:val="18"/>
          <w:highlight w:val="none"/>
          <w:u w:val="single"/>
          <w:lang w:val="en-US" w:eastAsia="zh-CN"/>
        </w:rPr>
        <w:t>&lt;后须附</w:t>
      </w:r>
      <w:r>
        <w:rPr>
          <w:rFonts w:hint="eastAsia" w:ascii="仿宋_GB2312" w:hAnsi="仿宋_GB2312" w:eastAsia="仿宋_GB2312" w:cs="仿宋_GB2312"/>
          <w:b/>
          <w:kern w:val="0"/>
          <w:sz w:val="18"/>
          <w:szCs w:val="18"/>
          <w:highlight w:val="none"/>
          <w:u w:val="single"/>
        </w:rPr>
        <w:t>农民工工资发放记录：转账记录</w:t>
      </w:r>
      <w:r>
        <w:rPr>
          <w:rFonts w:hint="eastAsia" w:ascii="仿宋_GB2312" w:hAnsi="仿宋_GB2312" w:eastAsia="仿宋_GB2312" w:cs="仿宋_GB2312"/>
          <w:b/>
          <w:kern w:val="0"/>
          <w:sz w:val="18"/>
          <w:szCs w:val="18"/>
          <w:highlight w:val="none"/>
          <w:u w:val="single"/>
          <w:lang w:val="en-US" w:eastAsia="zh-CN"/>
        </w:rPr>
        <w:t>或</w:t>
      </w:r>
      <w:r>
        <w:rPr>
          <w:rFonts w:hint="eastAsia" w:ascii="仿宋_GB2312" w:hAnsi="仿宋_GB2312" w:eastAsia="仿宋_GB2312" w:cs="仿宋_GB2312"/>
          <w:b/>
          <w:kern w:val="0"/>
          <w:sz w:val="18"/>
          <w:szCs w:val="18"/>
          <w:highlight w:val="none"/>
          <w:u w:val="single"/>
        </w:rPr>
        <w:t>收条等</w:t>
      </w:r>
      <w:r>
        <w:rPr>
          <w:rFonts w:hint="eastAsia" w:ascii="仿宋_GB2312" w:hAnsi="仿宋_GB2312" w:eastAsia="仿宋_GB2312" w:cs="仿宋_GB2312"/>
          <w:b/>
          <w:kern w:val="0"/>
          <w:sz w:val="18"/>
          <w:szCs w:val="18"/>
          <w:highlight w:val="none"/>
          <w:u w:val="single"/>
          <w:lang w:val="en-US" w:eastAsia="zh-CN"/>
        </w:rPr>
        <w:t>&gt;</w:t>
      </w:r>
      <w:r>
        <w:rPr>
          <w:rFonts w:hint="eastAsia" w:ascii="仿宋_GB2312" w:hAnsi="仿宋_GB2312" w:eastAsia="仿宋_GB2312" w:cs="仿宋_GB2312"/>
          <w:b/>
          <w:kern w:val="0"/>
          <w:sz w:val="18"/>
          <w:szCs w:val="18"/>
          <w:highlight w:val="none"/>
          <w:u w:val="single"/>
        </w:rPr>
        <w:t>、农民工工资无拖欠承诺书、身份证复印件等）；工程竣工验收合格后退还履约保证金及投标风险保证金（若有）；待发包人工程审计决算完成后付至审计价的98.5%；工程审计价的1.5%留作为工程质量质保金，待缺陷责任期满移交后退还（详见工程质量保修书）。</w:t>
      </w:r>
    </w:p>
    <w:p w14:paraId="0A623163">
      <w:pPr>
        <w:ind w:firstLine="361" w:firstLineChars="200"/>
        <w:jc w:val="left"/>
        <w:rPr>
          <w:rFonts w:ascii="仿宋_GB2312" w:hAnsi="仿宋_GB2312" w:eastAsia="仿宋_GB2312" w:cs="仿宋_GB2312"/>
          <w:b/>
          <w:kern w:val="0"/>
          <w:sz w:val="18"/>
          <w:szCs w:val="18"/>
          <w:highlight w:val="none"/>
          <w:u w:val="single"/>
        </w:rPr>
      </w:pPr>
      <w:bookmarkStart w:id="1305" w:name="ed_2019Y4M24D16H05M06"/>
      <w:bookmarkEnd w:id="1305"/>
      <w:r>
        <w:rPr>
          <w:rFonts w:hint="eastAsia" w:ascii="仿宋_GB2312" w:hAnsi="仿宋_GB2312" w:eastAsia="仿宋_GB2312" w:cs="仿宋_GB2312"/>
          <w:b/>
          <w:kern w:val="0"/>
          <w:sz w:val="18"/>
          <w:szCs w:val="18"/>
          <w:highlight w:val="none"/>
          <w:u w:val="single"/>
        </w:rPr>
        <w:t>（2）安全文明施工费与建安工程进度款同期支付；</w:t>
      </w:r>
    </w:p>
    <w:p w14:paraId="42C4F716">
      <w:pPr>
        <w:ind w:firstLine="361"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（3）农民工工资进度款</w:t>
      </w:r>
    </w:p>
    <w:p w14:paraId="2AF289F0">
      <w:pPr>
        <w:ind w:firstLine="361"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农民工工资进度款按月支付：每月支付工程量进度款的</w:t>
      </w:r>
      <w:r>
        <w:rPr>
          <w:rFonts w:hint="eastAsia" w:ascii="仿宋_GB2312" w:hAnsi="仿宋_GB2312" w:eastAsia="仿宋_GB2312" w:cs="仿宋_GB2312"/>
          <w:b/>
          <w:kern w:val="0"/>
          <w:sz w:val="18"/>
          <w:szCs w:val="18"/>
          <w:highlight w:val="none"/>
          <w:u w:val="single"/>
        </w:rPr>
        <w:sym w:font="Wingdings" w:char="00A8"/>
      </w:r>
      <w:r>
        <w:rPr>
          <w:rFonts w:hint="eastAsia" w:ascii="仿宋_GB2312" w:hAnsi="仿宋_GB2312" w:eastAsia="仿宋_GB2312" w:cs="仿宋_GB2312"/>
          <w:b/>
          <w:kern w:val="0"/>
          <w:sz w:val="18"/>
          <w:szCs w:val="18"/>
          <w:highlight w:val="none"/>
          <w:u w:val="single"/>
        </w:rPr>
        <w:t>20%（房屋建筑工程、装饰工程、桥梁工程）</w:t>
      </w:r>
      <w:r>
        <w:rPr>
          <w:rFonts w:hint="eastAsia" w:ascii="仿宋_GB2312" w:hAnsi="仿宋_GB2312" w:eastAsia="仿宋_GB2312" w:cs="仿宋_GB2312"/>
          <w:b/>
          <w:kern w:val="0"/>
          <w:sz w:val="18"/>
          <w:szCs w:val="18"/>
          <w:highlight w:val="none"/>
          <w:u w:val="single"/>
        </w:rPr>
        <w:sym w:font="Wingdings" w:char="00A8"/>
      </w:r>
      <w:r>
        <w:rPr>
          <w:rFonts w:hint="eastAsia" w:ascii="仿宋_GB2312" w:hAnsi="仿宋_GB2312" w:eastAsia="仿宋_GB2312" w:cs="仿宋_GB2312"/>
          <w:b/>
          <w:kern w:val="0"/>
          <w:sz w:val="18"/>
          <w:szCs w:val="18"/>
          <w:highlight w:val="none"/>
          <w:u w:val="single"/>
        </w:rPr>
        <w:t>14%（河道、给排水工程）</w:t>
      </w:r>
      <w:r>
        <w:rPr>
          <w:rFonts w:hint="eastAsia" w:ascii="仿宋_GB2312" w:hAnsi="仿宋_GB2312" w:eastAsia="仿宋_GB2312" w:cs="仿宋_GB2312"/>
          <w:b/>
          <w:kern w:val="0"/>
          <w:sz w:val="18"/>
          <w:szCs w:val="18"/>
          <w:highlight w:val="none"/>
          <w:u w:val="single"/>
        </w:rPr>
        <w:sym w:font="Wingdings" w:char="00A8"/>
      </w:r>
      <w:r>
        <w:rPr>
          <w:rFonts w:hint="eastAsia" w:ascii="仿宋_GB2312" w:hAnsi="仿宋_GB2312" w:eastAsia="仿宋_GB2312" w:cs="仿宋_GB2312"/>
          <w:b/>
          <w:kern w:val="0"/>
          <w:sz w:val="18"/>
          <w:szCs w:val="18"/>
          <w:highlight w:val="none"/>
          <w:u w:val="single"/>
        </w:rPr>
        <w:t>12%（隧道工程、道路桥梁组合工程）</w:t>
      </w:r>
      <w:r>
        <w:rPr>
          <w:rFonts w:hint="eastAsia" w:ascii="仿宋_GB2312" w:hAnsi="仿宋_GB2312" w:eastAsia="仿宋_GB2312" w:cs="仿宋_GB2312"/>
          <w:b/>
          <w:kern w:val="0"/>
          <w:sz w:val="18"/>
          <w:szCs w:val="18"/>
          <w:highlight w:val="none"/>
          <w:u w:val="single"/>
        </w:rPr>
        <w:sym w:font="Wingdings" w:char="00A8"/>
      </w:r>
      <w:r>
        <w:rPr>
          <w:rFonts w:hint="eastAsia" w:ascii="仿宋_GB2312" w:hAnsi="仿宋_GB2312" w:eastAsia="仿宋_GB2312" w:cs="仿宋_GB2312"/>
          <w:b/>
          <w:kern w:val="0"/>
          <w:sz w:val="18"/>
          <w:szCs w:val="18"/>
          <w:highlight w:val="none"/>
          <w:u w:val="single"/>
        </w:rPr>
        <w:t>8%（道路工程）</w:t>
      </w:r>
    </w:p>
    <w:p w14:paraId="7782F726">
      <w:pPr>
        <w:pStyle w:val="969"/>
        <w:ind w:left="0" w:leftChars="0"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注：以上工程款实际支付时间最终以财政资金到达时间为准。</w:t>
      </w:r>
    </w:p>
    <w:p w14:paraId="2E711089">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hint="eastAsia" w:ascii="仿宋_GB2312" w:hAnsi="仿宋_GB2312" w:eastAsia="仿宋_GB2312" w:cs="仿宋_GB2312"/>
          <w:color w:val="000000"/>
          <w:sz w:val="18"/>
          <w:szCs w:val="18"/>
        </w:rPr>
        <w:t>2.4.3 进度付款申请单的提交</w:t>
      </w:r>
    </w:p>
    <w:p w14:paraId="0A44222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（1）单价合同进度付款申请单提交的约定：</w:t>
      </w:r>
      <w:r>
        <w:rPr>
          <w:rFonts w:hint="eastAsia" w:ascii="仿宋_GB2312" w:hAnsi="仿宋_GB2312" w:eastAsia="仿宋_GB2312" w:cs="仿宋_GB2312"/>
          <w:kern w:val="0"/>
          <w:sz w:val="18"/>
          <w:szCs w:val="18"/>
          <w:u w:val="single"/>
        </w:rPr>
        <w:t>每月5日前提交</w:t>
      </w:r>
      <w:r>
        <w:rPr>
          <w:rFonts w:hint="eastAsia" w:ascii="仿宋_GB2312" w:hAnsi="仿宋_GB2312" w:eastAsia="仿宋_GB2312" w:cs="仿宋_GB2312"/>
          <w:color w:val="000000"/>
          <w:sz w:val="18"/>
          <w:szCs w:val="18"/>
        </w:rPr>
        <w:t>。</w:t>
      </w:r>
    </w:p>
    <w:p w14:paraId="4ACB3FF4">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（2）总价合同进度付款申请单提交的约定：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382E67C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（3）其他价格形式合同进度付款申请单提交的约定：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496A613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12.4.4 进度款审核和支付</w:t>
      </w:r>
    </w:p>
    <w:p w14:paraId="7F425014">
      <w:pPr>
        <w:ind w:firstLine="360" w:firstLineChars="200"/>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（1）监理人审查并报送发包人的期限：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0D220FDF">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发包人完成审批并签发进度款支付证书的期限：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13B0F1C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（2）发包人支付进度款的期限：</w:t>
      </w:r>
      <w:r>
        <w:rPr>
          <w:rFonts w:hint="eastAsia" w:ascii="仿宋_GB2312" w:hAnsi="仿宋_GB2312" w:eastAsia="仿宋_GB2312" w:cs="仿宋_GB2312"/>
          <w:b/>
          <w:sz w:val="18"/>
          <w:szCs w:val="18"/>
          <w:u w:val="single"/>
        </w:rPr>
        <w:t>在进度款支付证书或临时进度款支付证书上报至拨款部门并完成下拨后14天内完成支付</w:t>
      </w:r>
      <w:r>
        <w:rPr>
          <w:rFonts w:hint="eastAsia" w:ascii="仿宋_GB2312" w:hAnsi="仿宋_GB2312" w:eastAsia="仿宋_GB2312" w:cs="仿宋_GB2312"/>
          <w:color w:val="000000"/>
          <w:sz w:val="18"/>
          <w:szCs w:val="18"/>
        </w:rPr>
        <w:t>。</w:t>
      </w:r>
    </w:p>
    <w:p w14:paraId="7D5BF4C1">
      <w:pPr>
        <w:ind w:firstLine="450" w:firstLineChars="25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发包人逾期支付进度款的违约金的计算方式：</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52EFE2C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12.4.</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 xml:space="preserve"> 支付分解表的编制</w:t>
      </w:r>
    </w:p>
    <w:p w14:paraId="018CA05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2、总价合同支付分解表的编制与审批：</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4265CCA9">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color w:val="000000"/>
          <w:sz w:val="18"/>
          <w:szCs w:val="18"/>
        </w:rPr>
        <w:t>3、单价合同的总价项目支付分解表的编制与审批：</w:t>
      </w:r>
      <w:r>
        <w:rPr>
          <w:rFonts w:hint="eastAsia" w:ascii="仿宋_GB2312" w:hAnsi="仿宋_GB2312" w:eastAsia="仿宋_GB2312" w:cs="仿宋_GB2312"/>
          <w:sz w:val="18"/>
          <w:szCs w:val="18"/>
          <w:u w:val="single"/>
        </w:rPr>
        <w:t>按通用条款执</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kern w:val="0"/>
          <w:sz w:val="18"/>
          <w:szCs w:val="18"/>
          <w:u w:val="single"/>
        </w:rPr>
        <w:t>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113E756E">
      <w:pPr>
        <w:ind w:firstLine="361"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b/>
          <w:sz w:val="18"/>
          <w:szCs w:val="18"/>
          <w:u w:val="single"/>
        </w:rPr>
        <w:t>本项目中“其它措施费”一项、项目暂列金额及以“项”为单位的清单子目，均按施工现场实际联系单签证并附相关证明材料为准，</w:t>
      </w:r>
      <w:r>
        <w:rPr>
          <w:rFonts w:hint="eastAsia" w:ascii="仿宋_GB2312" w:hAnsi="仿宋_GB2312" w:eastAsia="仿宋_GB2312" w:cs="仿宋_GB2312"/>
          <w:sz w:val="18"/>
          <w:szCs w:val="18"/>
          <w:u w:val="single"/>
        </w:rPr>
        <w:t>发包人有权根据现场实际情况进行扣罚,直至扣除所有费用。</w:t>
      </w:r>
    </w:p>
    <w:bookmarkEnd w:id="1135"/>
    <w:p w14:paraId="23826AB8">
      <w:pPr>
        <w:pStyle w:val="5"/>
        <w:spacing w:before="120" w:after="120" w:line="240" w:lineRule="auto"/>
        <w:rPr>
          <w:rFonts w:ascii="仿宋_GB2312" w:hAnsi="仿宋_GB2312" w:eastAsia="仿宋_GB2312" w:cs="仿宋_GB2312"/>
          <w:b w:val="0"/>
          <w:color w:val="000000"/>
          <w:sz w:val="18"/>
          <w:szCs w:val="18"/>
        </w:rPr>
      </w:pPr>
      <w:bookmarkStart w:id="1306" w:name="_Toc351203645"/>
      <w:bookmarkStart w:id="1307" w:name="_Toc297216223"/>
      <w:bookmarkStart w:id="1308" w:name="_Toc296503219"/>
      <w:bookmarkStart w:id="1309" w:name="_Toc297048405"/>
      <w:bookmarkStart w:id="1310" w:name="_Toc297123564"/>
      <w:bookmarkStart w:id="1311" w:name="_Toc296944558"/>
      <w:bookmarkStart w:id="1312" w:name="_Toc296346720"/>
      <w:bookmarkStart w:id="1313" w:name="_Toc296891047"/>
      <w:bookmarkStart w:id="1314" w:name="_Toc296891259"/>
      <w:bookmarkStart w:id="1315" w:name="_Toc297120519"/>
      <w:bookmarkStart w:id="1316" w:name="_Toc292559424"/>
      <w:bookmarkStart w:id="1317" w:name="_Toc300935015"/>
      <w:bookmarkStart w:id="1318" w:name="_Toc296347218"/>
      <w:bookmarkStart w:id="1319" w:name="_Toc304295593"/>
      <w:bookmarkStart w:id="1320" w:name="_Toc292559929"/>
      <w:bookmarkStart w:id="1321" w:name="_Toc312678053"/>
      <w:bookmarkStart w:id="1322" w:name="_Toc303539172"/>
      <w:r>
        <w:rPr>
          <w:rFonts w:hint="eastAsia" w:ascii="仿宋_GB2312" w:hAnsi="仿宋_GB2312" w:eastAsia="仿宋_GB2312" w:cs="仿宋_GB2312"/>
          <w:b w:val="0"/>
          <w:color w:val="000000"/>
          <w:sz w:val="18"/>
          <w:szCs w:val="18"/>
        </w:rPr>
        <w:t>13. 验收和工程试车</w:t>
      </w:r>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411B721A">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13.1 分部分项工程验收</w:t>
      </w:r>
    </w:p>
    <w:p w14:paraId="70EBF5F5">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13.1.2监理人不能按时进行验收时，应提前</w:t>
      </w:r>
      <w:r>
        <w:rPr>
          <w:rFonts w:hint="eastAsia" w:ascii="仿宋_GB2312" w:hAnsi="仿宋_GB2312" w:eastAsia="仿宋_GB2312" w:cs="仿宋_GB2312"/>
          <w:sz w:val="18"/>
          <w:szCs w:val="18"/>
          <w:u w:val="single"/>
        </w:rPr>
        <w:t xml:space="preserve">  24   </w:t>
      </w:r>
      <w:r>
        <w:rPr>
          <w:rFonts w:hint="eastAsia" w:ascii="仿宋_GB2312" w:hAnsi="仿宋_GB2312" w:eastAsia="仿宋_GB2312" w:cs="仿宋_GB2312"/>
          <w:sz w:val="18"/>
          <w:szCs w:val="18"/>
        </w:rPr>
        <w:t>小时向发包人和承包人提交书面延期要求。</w:t>
      </w:r>
    </w:p>
    <w:p w14:paraId="1E27CD54">
      <w:pPr>
        <w:ind w:firstLine="360" w:firstLineChars="200"/>
        <w:jc w:val="left"/>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rPr>
        <w:t>关于监理人不能按时进行验收时延期</w:t>
      </w:r>
      <w:r>
        <w:rPr>
          <w:rFonts w:hint="eastAsia" w:ascii="仿宋_GB2312" w:hAnsi="仿宋_GB2312" w:eastAsia="仿宋_GB2312" w:cs="仿宋_GB2312"/>
          <w:sz w:val="18"/>
          <w:szCs w:val="18"/>
          <w:lang w:val="en-US" w:eastAsia="zh-CN"/>
        </w:rPr>
        <w:t>的</w:t>
      </w:r>
      <w:r>
        <w:rPr>
          <w:rFonts w:hint="eastAsia" w:ascii="仿宋_GB2312" w:hAnsi="仿宋_GB2312" w:eastAsia="仿宋_GB2312" w:cs="仿宋_GB2312"/>
          <w:sz w:val="18"/>
          <w:szCs w:val="18"/>
        </w:rPr>
        <w:t>最长</w:t>
      </w:r>
      <w:r>
        <w:rPr>
          <w:rFonts w:hint="eastAsia" w:ascii="仿宋_GB2312" w:hAnsi="仿宋_GB2312" w:eastAsia="仿宋_GB2312" w:cs="仿宋_GB2312"/>
          <w:sz w:val="18"/>
          <w:szCs w:val="18"/>
          <w:lang w:val="en-US" w:eastAsia="zh-CN"/>
        </w:rPr>
        <w:t>时间</w:t>
      </w:r>
      <w:r>
        <w:rPr>
          <w:rFonts w:hint="eastAsia" w:ascii="仿宋_GB2312" w:hAnsi="仿宋_GB2312" w:eastAsia="仿宋_GB2312" w:cs="仿宋_GB2312"/>
          <w:sz w:val="18"/>
          <w:szCs w:val="18"/>
        </w:rPr>
        <w:t>不得超过：</w:t>
      </w:r>
      <w:r>
        <w:rPr>
          <w:rFonts w:hint="eastAsia" w:ascii="仿宋_GB2312" w:hAnsi="仿宋_GB2312" w:eastAsia="仿宋_GB2312" w:cs="仿宋_GB2312"/>
          <w:sz w:val="18"/>
          <w:szCs w:val="18"/>
          <w:u w:val="single"/>
        </w:rPr>
        <w:t xml:space="preserve">   48   </w:t>
      </w:r>
      <w:r>
        <w:rPr>
          <w:rFonts w:hint="eastAsia" w:ascii="仿宋_GB2312" w:hAnsi="仿宋_GB2312" w:eastAsia="仿宋_GB2312" w:cs="仿宋_GB2312"/>
          <w:sz w:val="18"/>
          <w:szCs w:val="18"/>
        </w:rPr>
        <w:t>小时（</w:t>
      </w:r>
      <w:r>
        <w:rPr>
          <w:rFonts w:ascii="仿宋_GB2312" w:hAnsi="仿宋_GB2312" w:eastAsia="仿宋_GB2312" w:cs="仿宋_GB2312"/>
          <w:sz w:val="18"/>
          <w:szCs w:val="18"/>
          <w:u w:val="single"/>
        </w:rPr>
        <w:t>自</w:t>
      </w:r>
      <w:r>
        <w:rPr>
          <w:rFonts w:hint="eastAsia" w:ascii="仿宋_GB2312" w:hAnsi="仿宋_GB2312" w:eastAsia="仿宋_GB2312" w:cs="仿宋_GB2312"/>
          <w:sz w:val="18"/>
          <w:szCs w:val="18"/>
          <w:u w:val="single"/>
          <w:lang w:val="en-US" w:eastAsia="zh-CN"/>
        </w:rPr>
        <w:t>检查通知中确定的</w:t>
      </w:r>
      <w:r>
        <w:rPr>
          <w:rFonts w:hint="eastAsia" w:ascii="仿宋_GB2312" w:hAnsi="仿宋_GB2312" w:eastAsia="仿宋_GB2312" w:cs="仿宋_GB2312"/>
          <w:sz w:val="18"/>
          <w:szCs w:val="18"/>
          <w:u w:val="single"/>
        </w:rPr>
        <w:t>检查</w:t>
      </w:r>
      <w:r>
        <w:rPr>
          <w:rFonts w:hint="eastAsia" w:ascii="仿宋_GB2312" w:hAnsi="仿宋_GB2312" w:eastAsia="仿宋_GB2312" w:cs="仿宋_GB2312"/>
          <w:sz w:val="18"/>
          <w:szCs w:val="18"/>
          <w:u w:val="single"/>
          <w:lang w:val="en-US" w:eastAsia="zh-CN"/>
        </w:rPr>
        <w:t>之日</w:t>
      </w:r>
      <w:r>
        <w:rPr>
          <w:rFonts w:ascii="仿宋_GB2312" w:hAnsi="仿宋_GB2312" w:eastAsia="仿宋_GB2312" w:cs="仿宋_GB2312"/>
          <w:sz w:val="18"/>
          <w:szCs w:val="18"/>
          <w:u w:val="single"/>
        </w:rPr>
        <w:t>起算</w:t>
      </w:r>
      <w:r>
        <w:rPr>
          <w:rFonts w:hint="eastAsia" w:ascii="仿宋_GB2312" w:hAnsi="仿宋_GB2312" w:eastAsia="仿宋_GB2312" w:cs="仿宋_GB2312"/>
          <w:sz w:val="18"/>
          <w:szCs w:val="18"/>
        </w:rPr>
        <w:t>）。</w:t>
      </w:r>
    </w:p>
    <w:p w14:paraId="48168281">
      <w:pPr>
        <w:spacing w:after="120"/>
        <w:ind w:firstLine="360" w:firstLineChars="200"/>
        <w:rPr>
          <w:rFonts w:ascii="仿宋_GB2312" w:hAnsi="仿宋_GB2312" w:eastAsia="仿宋_GB2312" w:cs="仿宋_GB2312"/>
          <w:color w:val="000000"/>
          <w:sz w:val="18"/>
          <w:szCs w:val="18"/>
        </w:rPr>
      </w:pPr>
      <w:bookmarkStart w:id="1323" w:name="_Toc292559933"/>
      <w:bookmarkStart w:id="1324" w:name="_Toc296891263"/>
      <w:bookmarkStart w:id="1325" w:name="_Toc296347222"/>
      <w:bookmarkStart w:id="1326" w:name="_Toc296944562"/>
      <w:bookmarkStart w:id="1327" w:name="_Toc296891051"/>
      <w:bookmarkStart w:id="1328" w:name="_Toc297123565"/>
      <w:bookmarkStart w:id="1329" w:name="_Toc300935016"/>
      <w:bookmarkStart w:id="1330" w:name="_Toc296346724"/>
      <w:bookmarkStart w:id="1331" w:name="_Toc292559428"/>
      <w:bookmarkStart w:id="1332" w:name="_Toc297048409"/>
      <w:bookmarkStart w:id="1333" w:name="_Toc296503223"/>
      <w:bookmarkStart w:id="1334" w:name="_Toc303539173"/>
      <w:bookmarkStart w:id="1335" w:name="_Toc297216224"/>
      <w:bookmarkStart w:id="1336" w:name="_Toc297120523"/>
      <w:bookmarkStart w:id="1337" w:name="_Toc312678056"/>
      <w:bookmarkStart w:id="1338" w:name="_Toc304295596"/>
      <w:bookmarkStart w:id="1339" w:name="_Toc267251473"/>
      <w:bookmarkStart w:id="1340" w:name="_Toc267251475"/>
      <w:bookmarkStart w:id="1341" w:name="_Toc267251472"/>
      <w:bookmarkStart w:id="1342" w:name="_Toc267251474"/>
      <w:bookmarkStart w:id="1343" w:name="_Toc267251471"/>
      <w:bookmarkStart w:id="1344" w:name="_Toc267251476"/>
      <w:bookmarkStart w:id="1345" w:name="_Toc267251470"/>
      <w:r>
        <w:rPr>
          <w:rFonts w:hint="eastAsia" w:ascii="仿宋_GB2312" w:hAnsi="仿宋_GB2312" w:eastAsia="仿宋_GB2312" w:cs="仿宋_GB2312"/>
          <w:color w:val="000000"/>
          <w:sz w:val="18"/>
          <w:szCs w:val="18"/>
        </w:rPr>
        <w:t>13.2 竣工验收</w:t>
      </w:r>
    </w:p>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14:paraId="6BD6FCD9">
      <w:pPr>
        <w:ind w:firstLine="360" w:firstLineChars="200"/>
        <w:jc w:val="left"/>
        <w:rPr>
          <w:rFonts w:ascii="仿宋_GB2312" w:hAnsi="仿宋_GB2312" w:eastAsia="仿宋_GB2312" w:cs="仿宋_GB2312"/>
          <w:color w:val="000000"/>
          <w:sz w:val="18"/>
          <w:szCs w:val="18"/>
        </w:rPr>
      </w:pPr>
      <w:bookmarkStart w:id="1346" w:name="_Toc280868704"/>
      <w:bookmarkStart w:id="1347" w:name="_Toc280868705"/>
      <w:bookmarkStart w:id="1348" w:name="_Toc280868706"/>
      <w:bookmarkStart w:id="1349" w:name="_Toc280868707"/>
      <w:bookmarkStart w:id="1350" w:name="_Toc280868708"/>
      <w:bookmarkStart w:id="1351" w:name="_Toc280868709"/>
      <w:r>
        <w:rPr>
          <w:rFonts w:hint="eastAsia" w:ascii="仿宋_GB2312" w:hAnsi="仿宋_GB2312" w:eastAsia="仿宋_GB2312" w:cs="仿宋_GB2312"/>
          <w:color w:val="000000"/>
          <w:sz w:val="18"/>
          <w:szCs w:val="18"/>
        </w:rPr>
        <w:t>13.2.2竣工验收程序</w:t>
      </w:r>
    </w:p>
    <w:bookmarkEnd w:id="1346"/>
    <w:p w14:paraId="0B64D50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关于竣工验收程序的约定：</w:t>
      </w:r>
      <w:r>
        <w:rPr>
          <w:rFonts w:hint="eastAsia" w:ascii="仿宋_GB2312" w:hAnsi="仿宋_GB2312" w:eastAsia="仿宋_GB2312" w:cs="仿宋_GB2312"/>
          <w:color w:val="000000"/>
          <w:kern w:val="0"/>
          <w:sz w:val="18"/>
          <w:szCs w:val="18"/>
          <w:highlight w:val="cyan"/>
          <w:u w:val="single"/>
          <w:lang w:val="en-US" w:eastAsia="zh-CN"/>
        </w:rPr>
        <w:t>承包人在</w:t>
      </w:r>
      <w:r>
        <w:rPr>
          <w:rFonts w:hint="eastAsia" w:ascii="仿宋_GB2312" w:hAnsi="仿宋_GB2312" w:eastAsia="仿宋_GB2312" w:cs="仿宋_GB2312"/>
          <w:color w:val="auto"/>
          <w:kern w:val="0"/>
          <w:sz w:val="18"/>
          <w:szCs w:val="18"/>
          <w:highlight w:val="cyan"/>
          <w:u w:val="single"/>
          <w:lang w:val="en-US" w:eastAsia="zh-CN"/>
        </w:rPr>
        <w:t>工程</w:t>
      </w:r>
      <w:r>
        <w:rPr>
          <w:rFonts w:hint="eastAsia" w:ascii="仿宋_GB2312" w:hAnsi="仿宋_GB2312" w:eastAsia="仿宋_GB2312" w:cs="仿宋_GB2312"/>
          <w:color w:val="auto"/>
          <w:sz w:val="18"/>
          <w:szCs w:val="18"/>
          <w:highlight w:val="cyan"/>
          <w:u w:val="single"/>
          <w:lang w:val="en-US" w:eastAsia="zh-CN"/>
        </w:rPr>
        <w:t>完工时同步完成竣工资料编制整理，并提交竣工验收申请</w:t>
      </w:r>
      <w:r>
        <w:rPr>
          <w:rFonts w:hint="eastAsia" w:ascii="仿宋_GB2312" w:hAnsi="仿宋_GB2312" w:eastAsia="仿宋_GB2312" w:cs="仿宋_GB2312"/>
          <w:color w:val="000000"/>
          <w:sz w:val="18"/>
          <w:szCs w:val="18"/>
        </w:rPr>
        <w:t>。</w:t>
      </w:r>
    </w:p>
    <w:p w14:paraId="68CBEB6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发包人不按照本项约定组织竣工验收、颁发工程接收证书的违约金的计算方法：</w:t>
      </w:r>
      <w:r>
        <w:rPr>
          <w:rFonts w:hint="eastAsia" w:ascii="仿宋_GB2312" w:hAnsi="仿宋_GB2312" w:eastAsia="仿宋_GB2312" w:cs="仿宋_GB2312"/>
          <w:sz w:val="18"/>
          <w:szCs w:val="18"/>
          <w:u w:val="single"/>
        </w:rPr>
        <w:t xml:space="preserve">按通用条款执行    </w:t>
      </w:r>
      <w:r>
        <w:rPr>
          <w:rFonts w:hint="eastAsia" w:ascii="仿宋_GB2312" w:hAnsi="仿宋_GB2312" w:eastAsia="仿宋_GB2312" w:cs="仿宋_GB2312"/>
          <w:color w:val="000000"/>
          <w:sz w:val="18"/>
          <w:szCs w:val="18"/>
        </w:rPr>
        <w:t>。</w:t>
      </w:r>
    </w:p>
    <w:bookmarkEnd w:id="1347"/>
    <w:p w14:paraId="6FBEAB66">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13.2.</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移交、接收全部与部分工程</w:t>
      </w:r>
    </w:p>
    <w:bookmarkEnd w:id="1348"/>
    <w:p w14:paraId="2F1932C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承包人向发包人移交工程的期限：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3C735316">
      <w:pPr>
        <w:ind w:firstLine="360" w:firstLineChars="200"/>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kern w:val="0"/>
          <w:sz w:val="18"/>
          <w:szCs w:val="18"/>
        </w:rPr>
        <w:t>发包人未按本合同约定接收全部或部分工程的，违约金的计算方法为：</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bookmarkEnd w:id="1349"/>
    <w:p w14:paraId="73A5DFE7">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color w:val="000000"/>
          <w:sz w:val="18"/>
          <w:szCs w:val="18"/>
        </w:rPr>
        <w:t>承包人未按时移交工程的，违约金的计算方法为：</w:t>
      </w:r>
      <w:r>
        <w:rPr>
          <w:rFonts w:hint="eastAsia" w:ascii="仿宋_GB2312" w:hAnsi="仿宋_GB2312" w:eastAsia="仿宋_GB2312" w:cs="仿宋_GB2312"/>
          <w:sz w:val="18"/>
          <w:szCs w:val="18"/>
          <w:u w:val="single"/>
        </w:rPr>
        <w:t>工程竣工验收通过后 3日内，承包人须向发包人移交全部工程，逾期移交的，每逾期一日，按人民币5000元/天向发包人支付违约金，因逾期交付工程给发包人造成经济损失的，赔偿</w:t>
      </w:r>
      <w:r>
        <w:rPr>
          <w:rFonts w:hint="eastAsia" w:ascii="仿宋_GB2312" w:hAnsi="仿宋_GB2312" w:eastAsia="仿宋_GB2312" w:cs="仿宋_GB2312"/>
          <w:sz w:val="18"/>
          <w:szCs w:val="18"/>
          <w:u w:val="single"/>
          <w:lang w:val="en-US" w:eastAsia="zh-CN"/>
        </w:rPr>
        <w:t>一切</w:t>
      </w:r>
      <w:r>
        <w:rPr>
          <w:rFonts w:hint="eastAsia" w:ascii="仿宋_GB2312" w:hAnsi="仿宋_GB2312" w:eastAsia="仿宋_GB2312" w:cs="仿宋_GB2312"/>
          <w:sz w:val="18"/>
          <w:szCs w:val="18"/>
          <w:u w:val="single"/>
        </w:rPr>
        <w:t>损失。同时，承包人移交所有工程之前，发包人有权拒绝结算、支付剩余工程款</w:t>
      </w:r>
      <w:r>
        <w:rPr>
          <w:rFonts w:hint="eastAsia" w:ascii="仿宋_GB2312" w:hAnsi="仿宋_GB2312" w:eastAsia="仿宋_GB2312" w:cs="仿宋_GB2312"/>
          <w:sz w:val="18"/>
          <w:szCs w:val="18"/>
        </w:rPr>
        <w:t>。</w:t>
      </w:r>
    </w:p>
    <w:p w14:paraId="3CC3308F">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13.3 工程试车</w:t>
      </w:r>
    </w:p>
    <w:bookmarkEnd w:id="1350"/>
    <w:p w14:paraId="06BC3A5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13.3.1 试车程序</w:t>
      </w:r>
    </w:p>
    <w:p w14:paraId="048482D5">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工程试车内容：</w:t>
      </w:r>
      <w:r>
        <w:rPr>
          <w:rFonts w:hint="eastAsia" w:ascii="仿宋_GB2312" w:hAnsi="仿宋_GB2312" w:eastAsia="仿宋_GB2312" w:cs="仿宋_GB2312"/>
          <w:sz w:val="18"/>
          <w:szCs w:val="18"/>
          <w:u w:val="single"/>
        </w:rPr>
        <w:t>试车内容应与承包人承包范围相一致，试车费用由承包人承担</w:t>
      </w:r>
      <w:r>
        <w:rPr>
          <w:rFonts w:hint="eastAsia" w:ascii="仿宋_GB2312" w:hAnsi="仿宋_GB2312" w:eastAsia="仿宋_GB2312" w:cs="仿宋_GB2312"/>
          <w:sz w:val="18"/>
          <w:szCs w:val="18"/>
        </w:rPr>
        <w:t>。</w:t>
      </w:r>
    </w:p>
    <w:p w14:paraId="0735442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（1）单机无负荷试车费用由</w:t>
      </w:r>
      <w:r>
        <w:rPr>
          <w:rFonts w:hint="eastAsia" w:ascii="仿宋_GB2312" w:hAnsi="仿宋_GB2312" w:eastAsia="仿宋_GB2312" w:cs="仿宋_GB2312"/>
          <w:sz w:val="18"/>
          <w:szCs w:val="18"/>
          <w:u w:val="single"/>
        </w:rPr>
        <w:t>承包人</w:t>
      </w:r>
      <w:r>
        <w:rPr>
          <w:rFonts w:hint="eastAsia" w:ascii="仿宋_GB2312" w:hAnsi="仿宋_GB2312" w:eastAsia="仿宋_GB2312" w:cs="仿宋_GB2312"/>
          <w:color w:val="000000"/>
          <w:kern w:val="0"/>
          <w:sz w:val="18"/>
          <w:szCs w:val="18"/>
        </w:rPr>
        <w:t>承担；</w:t>
      </w:r>
    </w:p>
    <w:p w14:paraId="3B71F9D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（2）无负荷联动试车费用由</w:t>
      </w:r>
      <w:r>
        <w:rPr>
          <w:rFonts w:hint="eastAsia" w:ascii="仿宋_GB2312" w:hAnsi="仿宋_GB2312" w:eastAsia="仿宋_GB2312" w:cs="仿宋_GB2312"/>
          <w:sz w:val="18"/>
          <w:szCs w:val="18"/>
          <w:u w:val="single"/>
        </w:rPr>
        <w:t>承包人</w:t>
      </w:r>
      <w:r>
        <w:rPr>
          <w:rFonts w:hint="eastAsia" w:ascii="仿宋_GB2312" w:hAnsi="仿宋_GB2312" w:eastAsia="仿宋_GB2312" w:cs="仿宋_GB2312"/>
          <w:color w:val="000000"/>
          <w:kern w:val="0"/>
          <w:sz w:val="18"/>
          <w:szCs w:val="18"/>
        </w:rPr>
        <w:t>承担。</w:t>
      </w:r>
    </w:p>
    <w:p w14:paraId="00DB3DE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13.3.</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 xml:space="preserve"> 投料试车</w:t>
      </w:r>
    </w:p>
    <w:p w14:paraId="109BE0AC">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关于投料试车相关事项的约定：</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64442C07">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r>
        <w:rPr>
          <w:rFonts w:hint="eastAsia" w:ascii="仿宋_GB2312" w:hAnsi="仿宋_GB2312" w:eastAsia="仿宋_GB2312" w:cs="仿宋_GB2312"/>
          <w:color w:val="000000"/>
          <w:sz w:val="18"/>
          <w:szCs w:val="18"/>
          <w:lang w:val="en-US" w:eastAsia="zh-CN"/>
        </w:rPr>
        <w:t>4</w:t>
      </w:r>
      <w:r>
        <w:rPr>
          <w:rFonts w:hint="eastAsia" w:ascii="仿宋_GB2312" w:hAnsi="仿宋_GB2312" w:eastAsia="仿宋_GB2312" w:cs="仿宋_GB2312"/>
          <w:color w:val="000000"/>
          <w:sz w:val="18"/>
          <w:szCs w:val="18"/>
        </w:rPr>
        <w:t xml:space="preserve"> 竣工退场</w:t>
      </w:r>
    </w:p>
    <w:p w14:paraId="3F5568BF">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r>
        <w:rPr>
          <w:rFonts w:hint="eastAsia" w:ascii="仿宋_GB2312" w:hAnsi="仿宋_GB2312" w:eastAsia="仿宋_GB2312" w:cs="仿宋_GB2312"/>
          <w:color w:val="000000"/>
          <w:kern w:val="0"/>
          <w:sz w:val="18"/>
          <w:szCs w:val="18"/>
          <w:lang w:val="en-US" w:eastAsia="zh-CN"/>
        </w:rPr>
        <w:t>4</w:t>
      </w:r>
      <w:r>
        <w:rPr>
          <w:rFonts w:hint="eastAsia" w:ascii="仿宋_GB2312" w:hAnsi="仿宋_GB2312" w:eastAsia="仿宋_GB2312" w:cs="仿宋_GB2312"/>
          <w:color w:val="000000"/>
          <w:kern w:val="0"/>
          <w:sz w:val="18"/>
          <w:szCs w:val="18"/>
        </w:rPr>
        <w:t>.1 竣工退场</w:t>
      </w:r>
    </w:p>
    <w:p w14:paraId="19E88D0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承包人完成竣工退场的期限：</w:t>
      </w:r>
      <w:r>
        <w:rPr>
          <w:rFonts w:hint="eastAsia" w:ascii="仿宋_GB2312" w:hAnsi="仿宋_GB2312" w:eastAsia="仿宋_GB2312" w:cs="仿宋_GB2312"/>
          <w:sz w:val="18"/>
          <w:szCs w:val="18"/>
          <w:u w:val="single"/>
        </w:rPr>
        <w:t xml:space="preserve">颁发工程接收证书后7天 </w:t>
      </w:r>
      <w:r>
        <w:rPr>
          <w:rFonts w:hint="eastAsia" w:ascii="仿宋_GB2312" w:hAnsi="仿宋_GB2312" w:eastAsia="仿宋_GB2312" w:cs="仿宋_GB2312"/>
          <w:color w:val="000000"/>
          <w:kern w:val="0"/>
          <w:sz w:val="18"/>
          <w:szCs w:val="18"/>
        </w:rPr>
        <w:t>。</w:t>
      </w:r>
    </w:p>
    <w:p w14:paraId="3B931811">
      <w:pPr>
        <w:pStyle w:val="5"/>
        <w:spacing w:before="120" w:after="120" w:line="240" w:lineRule="auto"/>
        <w:rPr>
          <w:rFonts w:ascii="仿宋_GB2312" w:hAnsi="仿宋_GB2312" w:eastAsia="仿宋_GB2312" w:cs="仿宋_GB2312"/>
          <w:b w:val="0"/>
          <w:color w:val="000000"/>
          <w:sz w:val="18"/>
          <w:szCs w:val="18"/>
        </w:rPr>
      </w:pPr>
      <w:bookmarkStart w:id="1352" w:name="_Toc351203646"/>
      <w:r>
        <w:rPr>
          <w:rFonts w:hint="eastAsia" w:ascii="仿宋_GB2312" w:hAnsi="仿宋_GB2312" w:eastAsia="仿宋_GB2312" w:cs="仿宋_GB2312"/>
          <w:b w:val="0"/>
          <w:color w:val="000000"/>
          <w:sz w:val="18"/>
          <w:szCs w:val="18"/>
        </w:rPr>
        <w:t>14. 竣工结算</w:t>
      </w:r>
      <w:bookmarkEnd w:id="1352"/>
    </w:p>
    <w:p w14:paraId="52881FE6">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14.1 竣工结算申请</w:t>
      </w:r>
    </w:p>
    <w:p w14:paraId="1A1B957B">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承包人提交竣工结算申请单的期限：</w:t>
      </w:r>
      <w:r>
        <w:rPr>
          <w:rFonts w:hint="eastAsia" w:ascii="仿宋_GB2312" w:hAnsi="仿宋_GB2312" w:eastAsia="仿宋_GB2312" w:cs="仿宋_GB2312"/>
          <w:color w:val="auto"/>
          <w:sz w:val="18"/>
          <w:szCs w:val="18"/>
          <w:highlight w:val="cyan"/>
          <w:u w:val="single"/>
          <w:lang w:val="en-US" w:eastAsia="zh-CN"/>
        </w:rPr>
        <w:t>承包人在工程竣工验收后15日内完成竣工结算资料整理并提交竣工结算申请，并做好结算审计配合工作，在发包人规定的时间内完成结算审计工作</w:t>
      </w:r>
      <w:r>
        <w:rPr>
          <w:rFonts w:hint="eastAsia" w:ascii="仿宋_GB2312" w:hAnsi="仿宋_GB2312" w:eastAsia="仿宋_GB2312" w:cs="仿宋_GB2312"/>
          <w:color w:val="000000"/>
          <w:sz w:val="18"/>
          <w:szCs w:val="18"/>
        </w:rPr>
        <w:t>。</w:t>
      </w:r>
    </w:p>
    <w:p w14:paraId="38358C42">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竣工结算申请单应包括的内容：</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0FC3EED4">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14.2 竣工结算审核</w:t>
      </w:r>
    </w:p>
    <w:p w14:paraId="4FAADBC1">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发包人审批竣工付款申请单的期限：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7E4A8680">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发包人完成竣工付款的期限：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145BF51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关于竣工付款证书异议部分复核的方式和程序：</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694EBFB0">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最终结清</w:t>
      </w:r>
    </w:p>
    <w:p w14:paraId="15367AE7">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14.4.1 最终结清申请单</w:t>
      </w:r>
    </w:p>
    <w:p w14:paraId="5A1FBA61">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承包人提交最终结清申请单的份数：</w:t>
      </w:r>
      <w:r>
        <w:rPr>
          <w:rFonts w:hint="eastAsia" w:ascii="仿宋_GB2312" w:hAnsi="仿宋_GB2312" w:eastAsia="仿宋_GB2312" w:cs="仿宋_GB2312"/>
          <w:sz w:val="18"/>
          <w:szCs w:val="18"/>
          <w:u w:val="single"/>
        </w:rPr>
        <w:t>肆份</w:t>
      </w:r>
      <w:r>
        <w:rPr>
          <w:rFonts w:hint="eastAsia" w:ascii="仿宋_GB2312" w:hAnsi="仿宋_GB2312" w:eastAsia="仿宋_GB2312" w:cs="仿宋_GB2312"/>
          <w:color w:val="000000"/>
          <w:sz w:val="18"/>
          <w:szCs w:val="18"/>
        </w:rPr>
        <w:t>。</w:t>
      </w:r>
    </w:p>
    <w:p w14:paraId="528790F9">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承包人提交最终结算申请单的期限：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2DD74959">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14.4.2 最终结清证书和支付</w:t>
      </w:r>
    </w:p>
    <w:p w14:paraId="2B9FAA91">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（1）发包人完成最终结清申请单的审批并颁发最终结清证书的期限：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2CA1460E">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（2）发包人完成支付的期限：</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p w14:paraId="4491E582">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14.4.3</w:t>
      </w:r>
      <w:r>
        <w:rPr>
          <w:rFonts w:hint="eastAsia" w:ascii="仿宋_GB2312" w:hAnsi="仿宋_GB2312" w:eastAsia="仿宋_GB2312" w:cs="仿宋_GB2312"/>
          <w:sz w:val="18"/>
          <w:szCs w:val="18"/>
        </w:rPr>
        <w:t>增加以下内容：</w:t>
      </w:r>
    </w:p>
    <w:p w14:paraId="66F84BF3">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14.4.3.1</w:t>
      </w:r>
      <w:r>
        <w:rPr>
          <w:rFonts w:hint="eastAsia" w:ascii="仿宋_GB2312" w:hAnsi="仿宋_GB2312" w:eastAsia="仿宋_GB2312" w:cs="仿宋_GB2312"/>
          <w:sz w:val="18"/>
          <w:szCs w:val="18"/>
        </w:rPr>
        <w:t>.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03E8E53B">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lang w:val="en-US" w:eastAsia="zh-CN"/>
        </w:rPr>
        <w:t>14.4.</w:t>
      </w:r>
      <w:r>
        <w:rPr>
          <w:rFonts w:hint="eastAsia" w:ascii="仿宋_GB2312" w:hAnsi="仿宋_GB2312" w:eastAsia="仿宋_GB2312" w:cs="仿宋_GB2312"/>
          <w:sz w:val="18"/>
          <w:szCs w:val="18"/>
          <w:highlight w:val="none"/>
          <w:lang w:val="en-US" w:eastAsia="zh-CN"/>
        </w:rPr>
        <w:t>3.2</w:t>
      </w:r>
      <w:r>
        <w:rPr>
          <w:rFonts w:hint="eastAsia" w:ascii="仿宋_GB2312" w:hAnsi="仿宋_GB2312" w:eastAsia="仿宋_GB2312" w:cs="仿宋_GB2312"/>
          <w:sz w:val="18"/>
          <w:szCs w:val="18"/>
          <w:highlight w:val="none"/>
        </w:rPr>
        <w:t>.承包人应遵循实事求是，严禁高估冒算的原则，编制工程结算书。按照省《浙江省建设工程造价咨询服务项目及收费指引》浙建价协〔</w:t>
      </w:r>
      <w:r>
        <w:rPr>
          <w:rFonts w:ascii="仿宋_GB2312" w:hAnsi="仿宋_GB2312" w:eastAsia="仿宋_GB2312" w:cs="仿宋_GB2312"/>
          <w:sz w:val="18"/>
          <w:szCs w:val="18"/>
          <w:highlight w:val="none"/>
        </w:rPr>
        <w:t>2021〕13号</w:t>
      </w:r>
      <w:r>
        <w:rPr>
          <w:rFonts w:hint="eastAsia" w:ascii="仿宋_GB2312" w:hAnsi="仿宋_GB2312" w:eastAsia="仿宋_GB2312" w:cs="仿宋_GB2312"/>
          <w:sz w:val="18"/>
          <w:szCs w:val="18"/>
          <w:highlight w:val="none"/>
        </w:rPr>
        <w:t>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14:paraId="79C3AE21">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14.4.3.3</w:t>
      </w:r>
      <w:r>
        <w:rPr>
          <w:rFonts w:hint="eastAsia" w:ascii="仿宋_GB2312" w:hAnsi="仿宋_GB2312" w:eastAsia="仿宋_GB2312" w:cs="仿宋_GB2312"/>
          <w:sz w:val="18"/>
          <w:szCs w:val="18"/>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7D279946">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14.4.3.4</w:t>
      </w:r>
      <w:r>
        <w:rPr>
          <w:rFonts w:hint="eastAsia" w:ascii="仿宋_GB2312" w:hAnsi="仿宋_GB2312" w:eastAsia="仿宋_GB2312" w:cs="仿宋_GB2312"/>
          <w:sz w:val="18"/>
          <w:szCs w:val="18"/>
        </w:rPr>
        <w:t>.发包人向承包人提交审核报告（审计报告）后30日内，承包人未提出意见的，视为承包人认可该审核报告（审计报告），发包人按审核报告支付结算款。</w:t>
      </w:r>
    </w:p>
    <w:p w14:paraId="3EC1083F">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14.4.3.5</w:t>
      </w:r>
      <w:r>
        <w:rPr>
          <w:rFonts w:hint="eastAsia" w:ascii="仿宋_GB2312" w:hAnsi="仿宋_GB2312" w:eastAsia="仿宋_GB2312" w:cs="仿宋_GB2312"/>
          <w:sz w:val="18"/>
          <w:szCs w:val="18"/>
        </w:rPr>
        <w:t>．最终价款结算以审计部门出具的审计报告为准。　</w:t>
      </w:r>
    </w:p>
    <w:bookmarkEnd w:id="1339"/>
    <w:bookmarkEnd w:id="1340"/>
    <w:bookmarkEnd w:id="1341"/>
    <w:bookmarkEnd w:id="1342"/>
    <w:bookmarkEnd w:id="1343"/>
    <w:bookmarkEnd w:id="1344"/>
    <w:bookmarkEnd w:id="1345"/>
    <w:bookmarkEnd w:id="1351"/>
    <w:p w14:paraId="1A938C04">
      <w:pPr>
        <w:pStyle w:val="5"/>
        <w:spacing w:before="120" w:after="120" w:line="240" w:lineRule="auto"/>
        <w:rPr>
          <w:rFonts w:ascii="仿宋_GB2312" w:hAnsi="仿宋_GB2312" w:eastAsia="仿宋_GB2312" w:cs="仿宋_GB2312"/>
          <w:b w:val="0"/>
          <w:color w:val="000000"/>
          <w:sz w:val="18"/>
          <w:szCs w:val="18"/>
        </w:rPr>
      </w:pPr>
      <w:bookmarkStart w:id="1353" w:name="_Toc351203647"/>
      <w:bookmarkStart w:id="1354" w:name="_Toc267251483"/>
      <w:bookmarkStart w:id="1355" w:name="_Toc267251482"/>
      <w:bookmarkStart w:id="1356" w:name="_Toc267251484"/>
      <w:bookmarkStart w:id="1357" w:name="_Toc267251485"/>
      <w:bookmarkStart w:id="1358" w:name="_Toc267251490"/>
      <w:bookmarkStart w:id="1359" w:name="_Toc267251489"/>
      <w:bookmarkStart w:id="1360" w:name="_Toc267251486"/>
      <w:bookmarkStart w:id="1361" w:name="_Toc267251488"/>
      <w:bookmarkStart w:id="1362" w:name="_Toc267251491"/>
      <w:bookmarkStart w:id="1363" w:name="_Toc267251499"/>
      <w:bookmarkStart w:id="1364" w:name="_Toc267251492"/>
      <w:bookmarkStart w:id="1365" w:name="_Toc267251495"/>
      <w:bookmarkStart w:id="1366" w:name="_Toc267251497"/>
      <w:bookmarkStart w:id="1367" w:name="_Toc267251496"/>
      <w:bookmarkStart w:id="1368" w:name="_Toc267251501"/>
      <w:bookmarkStart w:id="1369" w:name="_Toc267251502"/>
      <w:bookmarkStart w:id="1370" w:name="_Toc267251494"/>
      <w:bookmarkStart w:id="1371" w:name="_Toc267251503"/>
      <w:bookmarkStart w:id="1372" w:name="_Toc267251493"/>
      <w:bookmarkStart w:id="1373" w:name="_Toc267251498"/>
      <w:bookmarkStart w:id="1374" w:name="_Toc267251506"/>
      <w:bookmarkStart w:id="1375" w:name="_Toc267251504"/>
      <w:bookmarkStart w:id="1376" w:name="_Toc267251507"/>
      <w:bookmarkStart w:id="1377" w:name="_Toc267251508"/>
      <w:bookmarkStart w:id="1378" w:name="_Toc267251509"/>
      <w:bookmarkStart w:id="1379" w:name="_Toc267251510"/>
      <w:bookmarkStart w:id="1380" w:name="_Toc267251511"/>
      <w:bookmarkStart w:id="1381" w:name="_Toc267251514"/>
      <w:bookmarkStart w:id="1382" w:name="_Toc267251515"/>
      <w:bookmarkStart w:id="1383" w:name="_Toc267251513"/>
      <w:r>
        <w:rPr>
          <w:rFonts w:hint="eastAsia" w:ascii="仿宋_GB2312" w:hAnsi="仿宋_GB2312" w:eastAsia="仿宋_GB2312" w:cs="仿宋_GB2312"/>
          <w:b w:val="0"/>
          <w:color w:val="000000"/>
          <w:sz w:val="18"/>
          <w:szCs w:val="18"/>
        </w:rPr>
        <w:t>15. 缺陷责任期与保修</w:t>
      </w:r>
      <w:bookmarkEnd w:id="1353"/>
    </w:p>
    <w:p w14:paraId="4099F79B">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缺陷责任期</w:t>
      </w:r>
      <w:bookmarkEnd w:id="1354"/>
    </w:p>
    <w:p w14:paraId="47568DA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缺陷责任期的具体期限：</w:t>
      </w:r>
      <w:r>
        <w:rPr>
          <w:rFonts w:hint="eastAsia" w:ascii="仿宋_GB2312" w:hAnsi="仿宋_GB2312" w:eastAsia="仿宋_GB2312" w:cs="仿宋_GB2312"/>
          <w:sz w:val="18"/>
          <w:szCs w:val="18"/>
          <w:u w:val="single"/>
        </w:rPr>
        <w:t xml:space="preserve">12个月  </w:t>
      </w:r>
      <w:r>
        <w:rPr>
          <w:rFonts w:hint="eastAsia" w:ascii="仿宋_GB2312" w:hAnsi="仿宋_GB2312" w:eastAsia="仿宋_GB2312" w:cs="仿宋_GB2312"/>
          <w:sz w:val="18"/>
          <w:szCs w:val="18"/>
          <w:u w:val="single"/>
          <w:lang w:eastAsia="zh-CN"/>
        </w:rPr>
        <w:t>（</w:t>
      </w:r>
      <w:r>
        <w:rPr>
          <w:rFonts w:hint="eastAsia" w:ascii="仿宋_GB2312" w:hAnsi="仿宋_GB2312" w:eastAsia="仿宋_GB2312" w:cs="仿宋_GB2312"/>
          <w:sz w:val="18"/>
          <w:szCs w:val="18"/>
          <w:u w:val="single"/>
          <w:lang w:val="en-US" w:eastAsia="zh-CN"/>
        </w:rPr>
        <w:t>以竣工验收合格之日起算</w:t>
      </w:r>
      <w:r>
        <w:rPr>
          <w:rFonts w:hint="eastAsia" w:ascii="仿宋_GB2312" w:hAnsi="仿宋_GB2312" w:eastAsia="仿宋_GB2312" w:cs="仿宋_GB2312"/>
          <w:sz w:val="18"/>
          <w:szCs w:val="18"/>
          <w:u w:val="single"/>
          <w:lang w:eastAsia="zh-CN"/>
        </w:rPr>
        <w:t>）</w:t>
      </w:r>
      <w:r>
        <w:rPr>
          <w:rFonts w:hint="eastAsia" w:ascii="仿宋_GB2312" w:hAnsi="仿宋_GB2312" w:eastAsia="仿宋_GB2312" w:cs="仿宋_GB2312"/>
          <w:color w:val="000000"/>
          <w:sz w:val="18"/>
          <w:szCs w:val="18"/>
        </w:rPr>
        <w:t>。</w:t>
      </w:r>
    </w:p>
    <w:p w14:paraId="6DBC6229">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质量保证金</w:t>
      </w:r>
    </w:p>
    <w:p w14:paraId="7B6252E8">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关于是否扣留质量保证金的约定：</w:t>
      </w:r>
      <w:r>
        <w:rPr>
          <w:rFonts w:hint="eastAsia" w:ascii="仿宋_GB2312" w:hAnsi="仿宋_GB2312" w:eastAsia="仿宋_GB2312" w:cs="仿宋_GB2312"/>
          <w:sz w:val="18"/>
          <w:szCs w:val="18"/>
          <w:u w:val="single"/>
        </w:rPr>
        <w:t>是</w:t>
      </w:r>
      <w:r>
        <w:rPr>
          <w:rFonts w:hint="eastAsia" w:ascii="仿宋_GB2312" w:hAnsi="仿宋_GB2312" w:eastAsia="仿宋_GB2312" w:cs="仿宋_GB2312"/>
          <w:color w:val="000000"/>
          <w:sz w:val="18"/>
          <w:szCs w:val="18"/>
        </w:rPr>
        <w:t>。在工程项目竣工前，承包人按专用合同条款第3.7条提供履约担保的，发包人不得同时预留工程质量保证金。</w:t>
      </w:r>
    </w:p>
    <w:p w14:paraId="54010954">
      <w:pPr>
        <w:ind w:firstLine="360" w:firstLineChars="200"/>
        <w:jc w:val="left"/>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.1 承包人提供质量保证金的方式</w:t>
      </w:r>
    </w:p>
    <w:p w14:paraId="32FFBEA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质量保证金采用以下第</w:t>
      </w:r>
      <w:r>
        <w:rPr>
          <w:rFonts w:hint="eastAsia" w:ascii="仿宋_GB2312" w:hAnsi="仿宋_GB2312" w:eastAsia="仿宋_GB2312" w:cs="仿宋_GB2312"/>
          <w:sz w:val="18"/>
          <w:szCs w:val="18"/>
          <w:u w:val="single"/>
        </w:rPr>
        <w:t>（3）</w:t>
      </w:r>
      <w:r>
        <w:rPr>
          <w:rFonts w:hint="eastAsia" w:ascii="仿宋_GB2312" w:hAnsi="仿宋_GB2312" w:eastAsia="仿宋_GB2312" w:cs="仿宋_GB2312"/>
          <w:color w:val="000000"/>
          <w:sz w:val="18"/>
          <w:szCs w:val="18"/>
        </w:rPr>
        <w:t>种方式：</w:t>
      </w:r>
    </w:p>
    <w:p w14:paraId="2A0574F4">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（1）质量保证金保函，保证金额为：</w:t>
      </w:r>
      <w:r>
        <w:rPr>
          <w:rFonts w:hint="eastAsia" w:ascii="仿宋_GB2312" w:hAnsi="仿宋_GB2312" w:eastAsia="仿宋_GB2312" w:cs="仿宋_GB2312"/>
          <w:kern w:val="0"/>
          <w:sz w:val="18"/>
          <w:szCs w:val="18"/>
          <w:u w:val="single"/>
        </w:rPr>
        <w:t xml:space="preserve">/   </w:t>
      </w:r>
      <w:r>
        <w:rPr>
          <w:rFonts w:hint="eastAsia" w:ascii="仿宋_GB2312" w:hAnsi="仿宋_GB2312" w:eastAsia="仿宋_GB2312" w:cs="仿宋_GB2312"/>
          <w:color w:val="000000"/>
          <w:kern w:val="0"/>
          <w:sz w:val="18"/>
          <w:szCs w:val="18"/>
        </w:rPr>
        <w:t xml:space="preserve">； </w:t>
      </w:r>
    </w:p>
    <w:p w14:paraId="735F1DB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（2）保证保险，保证金额为： ；</w:t>
      </w:r>
    </w:p>
    <w:p w14:paraId="000F79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cyan"/>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highlight w:val="cyan"/>
          <w:u w:val="single"/>
        </w:rPr>
        <w:t>1.5</w:t>
      </w:r>
      <w:r>
        <w:rPr>
          <w:rFonts w:hint="eastAsia" w:ascii="仿宋_GB2312" w:hAnsi="仿宋_GB2312" w:eastAsia="仿宋_GB2312" w:cs="仿宋_GB2312"/>
          <w:color w:val="000000"/>
          <w:kern w:val="0"/>
          <w:sz w:val="18"/>
          <w:szCs w:val="18"/>
          <w:highlight w:val="cyan"/>
        </w:rPr>
        <w:t>%的工程</w:t>
      </w:r>
      <w:r>
        <w:rPr>
          <w:rFonts w:hint="eastAsia" w:ascii="仿宋_GB2312" w:hAnsi="仿宋_GB2312" w:eastAsia="仿宋_GB2312" w:cs="仿宋_GB2312"/>
          <w:color w:val="000000"/>
          <w:kern w:val="0"/>
          <w:sz w:val="18"/>
          <w:szCs w:val="18"/>
          <w:highlight w:val="cyan"/>
          <w:lang w:val="en-US" w:eastAsia="zh-CN"/>
        </w:rPr>
        <w:t>审核结算</w:t>
      </w:r>
      <w:r>
        <w:rPr>
          <w:rFonts w:hint="eastAsia" w:ascii="仿宋_GB2312" w:hAnsi="仿宋_GB2312" w:eastAsia="仿宋_GB2312" w:cs="仿宋_GB2312"/>
          <w:color w:val="000000"/>
          <w:kern w:val="0"/>
          <w:sz w:val="18"/>
          <w:szCs w:val="18"/>
          <w:highlight w:val="cyan"/>
        </w:rPr>
        <w:t>款；</w:t>
      </w:r>
    </w:p>
    <w:p w14:paraId="248ABB7B">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4</w:t>
      </w:r>
      <w:r>
        <w:rPr>
          <w:rFonts w:hint="eastAsia" w:ascii="仿宋_GB2312" w:hAnsi="仿宋_GB2312" w:eastAsia="仿宋_GB2312" w:cs="仿宋_GB2312"/>
          <w:color w:val="000000"/>
          <w:kern w:val="0"/>
          <w:sz w:val="18"/>
          <w:szCs w:val="18"/>
        </w:rPr>
        <w:t>）其他方式:</w:t>
      </w:r>
      <w:r>
        <w:rPr>
          <w:rFonts w:hint="eastAsia" w:ascii="仿宋_GB2312" w:hAnsi="仿宋_GB2312" w:eastAsia="仿宋_GB2312" w:cs="仿宋_GB2312"/>
          <w:kern w:val="0"/>
          <w:sz w:val="18"/>
          <w:szCs w:val="18"/>
          <w:u w:val="single"/>
        </w:rPr>
        <w:t xml:space="preserve">/   </w:t>
      </w:r>
      <w:r>
        <w:rPr>
          <w:rFonts w:hint="eastAsia" w:ascii="仿宋_GB2312" w:hAnsi="仿宋_GB2312" w:eastAsia="仿宋_GB2312" w:cs="仿宋_GB2312"/>
          <w:color w:val="000000"/>
          <w:kern w:val="0"/>
          <w:sz w:val="18"/>
          <w:szCs w:val="18"/>
        </w:rPr>
        <w:t>。</w:t>
      </w:r>
    </w:p>
    <w:p w14:paraId="6462D079">
      <w:pPr>
        <w:ind w:firstLine="360" w:firstLineChars="200"/>
        <w:jc w:val="left"/>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.2 质量保证金的扣留 </w:t>
      </w:r>
    </w:p>
    <w:p w14:paraId="5E8CC9B9">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质量保证金的扣留采取以下第</w:t>
      </w:r>
      <w:r>
        <w:rPr>
          <w:rFonts w:hint="eastAsia" w:ascii="仿宋_GB2312" w:hAnsi="仿宋_GB2312" w:eastAsia="仿宋_GB2312" w:cs="仿宋_GB2312"/>
          <w:color w:val="000000"/>
          <w:sz w:val="18"/>
          <w:szCs w:val="18"/>
          <w:u w:val="single"/>
        </w:rPr>
        <w:t xml:space="preserve">  2   </w:t>
      </w:r>
      <w:r>
        <w:rPr>
          <w:rFonts w:hint="eastAsia" w:ascii="仿宋_GB2312" w:hAnsi="仿宋_GB2312" w:eastAsia="仿宋_GB2312" w:cs="仿宋_GB2312"/>
          <w:color w:val="000000"/>
          <w:sz w:val="18"/>
          <w:szCs w:val="18"/>
        </w:rPr>
        <w:t>种方式：</w:t>
      </w:r>
    </w:p>
    <w:p w14:paraId="19044C4D">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（1）在支付工程进度款时逐次扣留，在此情形下，质量保证金的计算基数不包括预付款的支付、扣回以及价格调整的金额；</w:t>
      </w:r>
    </w:p>
    <w:p w14:paraId="53288736">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（2）工程竣工结算时一次性扣留质量保证金；</w:t>
      </w:r>
    </w:p>
    <w:p w14:paraId="575F0069">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（3）其他扣留方式:</w:t>
      </w: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color w:val="000000"/>
          <w:kern w:val="0"/>
          <w:sz w:val="18"/>
          <w:szCs w:val="18"/>
        </w:rPr>
        <w:t>。</w:t>
      </w:r>
    </w:p>
    <w:p w14:paraId="57508707">
      <w:pPr>
        <w:ind w:firstLine="360" w:firstLineChars="200"/>
        <w:jc w:val="left"/>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sz w:val="18"/>
          <w:szCs w:val="18"/>
        </w:rPr>
        <w:t>关于质量保证金的补充约定：</w:t>
      </w:r>
    </w:p>
    <w:p w14:paraId="052BE81F">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（1）如在工程保修期内未发生按约定的须从质量保证金中代扣维修费及维修管理费情况的，则工程质量保证金按以下方式支付给承包人，不计利息：缺陷责任期满且无质量问题后，退还剩余质量保证金的100%</w:t>
      </w:r>
    </w:p>
    <w:p w14:paraId="18943CEB">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（2）工程移交后，如发包人或者本工程有关的接收人发现存在质量问题的，有权要求承包人及时维修，并赔偿给发包人带来的</w:t>
      </w:r>
      <w:r>
        <w:rPr>
          <w:rFonts w:hint="eastAsia" w:ascii="仿宋_GB2312" w:hAnsi="仿宋_GB2312" w:eastAsia="仿宋_GB2312" w:cs="仿宋_GB2312"/>
          <w:kern w:val="0"/>
          <w:sz w:val="18"/>
          <w:szCs w:val="18"/>
          <w:u w:val="single"/>
          <w:lang w:val="en-US" w:eastAsia="zh-CN"/>
        </w:rPr>
        <w:t>一切</w:t>
      </w:r>
      <w:r>
        <w:rPr>
          <w:rFonts w:hint="eastAsia" w:ascii="仿宋_GB2312" w:hAnsi="仿宋_GB2312" w:eastAsia="仿宋_GB2312" w:cs="仿宋_GB2312"/>
          <w:kern w:val="0"/>
          <w:sz w:val="18"/>
          <w:szCs w:val="18"/>
          <w:u w:val="single"/>
        </w:rPr>
        <w:t>经济损失。承包人不及时维修的，发包人有权代为扣除该质量保证金用于维修以及支付发包人的维修管理费用（按维修费用的15%计算），并在事后要求承包人补足缺额。</w:t>
      </w:r>
    </w:p>
    <w:p w14:paraId="3D929CC7">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（3）工程移交后，如发包人或者本工程有关的接收人发现存在重大质量问题的，有权扣除承包人的全部质量保证金，要求承包人及时维修，并赔偿给发包人带来的各种直接、间接经济损失。</w:t>
      </w:r>
    </w:p>
    <w:p w14:paraId="24FBDA1B">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14:paraId="202B6C39">
      <w:pPr>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_GB2312" w:hAnsi="仿宋_GB2312" w:eastAsia="仿宋_GB2312" w:cs="仿宋_GB2312"/>
          <w:kern w:val="0"/>
          <w:sz w:val="18"/>
          <w:szCs w:val="18"/>
        </w:rPr>
        <w:t>。</w:t>
      </w:r>
    </w:p>
    <w:p w14:paraId="5B2831C4">
      <w:pPr>
        <w:ind w:firstLine="361" w:firstLineChars="200"/>
        <w:jc w:val="left"/>
        <w:rPr>
          <w:rFonts w:ascii="仿宋_GB2312" w:hAnsi="仿宋_GB2312" w:eastAsia="仿宋_GB2312" w:cs="仿宋_GB2312"/>
          <w:b/>
          <w:kern w:val="0"/>
          <w:sz w:val="18"/>
          <w:szCs w:val="18"/>
          <w:u w:val="single"/>
        </w:rPr>
      </w:pPr>
      <w:r>
        <w:rPr>
          <w:rFonts w:hint="eastAsia" w:ascii="仿宋_GB2312" w:hAnsi="仿宋_GB2312" w:eastAsia="仿宋_GB2312" w:cs="仿宋_GB2312"/>
          <w:b/>
          <w:kern w:val="0"/>
          <w:sz w:val="18"/>
          <w:szCs w:val="18"/>
          <w:u w:val="single"/>
        </w:rPr>
        <w:t>（6）工程移交前，施工单位应及时缴纳水、电、网络等费用。工程移交后仍有未缴清的费用，在</w:t>
      </w:r>
      <w:r>
        <w:rPr>
          <w:rFonts w:hint="eastAsia" w:ascii="仿宋_GB2312" w:hAnsi="仿宋_GB2312" w:eastAsia="仿宋_GB2312" w:cs="仿宋_GB2312"/>
          <w:b/>
          <w:sz w:val="18"/>
          <w:szCs w:val="18"/>
          <w:u w:val="single"/>
        </w:rPr>
        <w:t>质量保证金</w:t>
      </w:r>
      <w:r>
        <w:rPr>
          <w:rFonts w:hint="eastAsia" w:ascii="仿宋_GB2312" w:hAnsi="仿宋_GB2312" w:eastAsia="仿宋_GB2312" w:cs="仿宋_GB2312"/>
          <w:b/>
          <w:kern w:val="0"/>
          <w:sz w:val="18"/>
          <w:szCs w:val="18"/>
          <w:u w:val="single"/>
        </w:rPr>
        <w:t>中扣除，其余部分按规定退回</w:t>
      </w:r>
      <w:r>
        <w:rPr>
          <w:rFonts w:hint="eastAsia" w:ascii="仿宋_GB2312" w:hAnsi="仿宋_GB2312" w:eastAsia="仿宋_GB2312" w:cs="仿宋_GB2312"/>
          <w:b/>
          <w:kern w:val="0"/>
          <w:sz w:val="18"/>
          <w:szCs w:val="18"/>
        </w:rPr>
        <w:t>。</w:t>
      </w:r>
    </w:p>
    <w:bookmarkEnd w:id="1355"/>
    <w:bookmarkEnd w:id="1356"/>
    <w:p w14:paraId="36865466">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保修</w:t>
      </w:r>
    </w:p>
    <w:bookmarkEnd w:id="1357"/>
    <w:p w14:paraId="7CA0308D">
      <w:pPr>
        <w:ind w:firstLine="351" w:firstLineChars="195"/>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.1 保修责任</w:t>
      </w:r>
    </w:p>
    <w:p w14:paraId="58133B6F">
      <w:pPr>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工程保修期为：</w:t>
      </w:r>
      <w:r>
        <w:rPr>
          <w:rFonts w:hint="eastAsia" w:ascii="仿宋_GB2312" w:hAnsi="仿宋_GB2312" w:eastAsia="仿宋_GB2312" w:cs="仿宋_GB2312"/>
          <w:kern w:val="0"/>
          <w:sz w:val="18"/>
          <w:szCs w:val="18"/>
          <w:u w:val="single"/>
        </w:rPr>
        <w:t xml:space="preserve">按工程质量保修书规定执行 </w:t>
      </w:r>
      <w:r>
        <w:rPr>
          <w:rFonts w:hint="eastAsia" w:ascii="仿宋_GB2312" w:hAnsi="仿宋_GB2312" w:eastAsia="仿宋_GB2312" w:cs="仿宋_GB2312"/>
          <w:color w:val="000000"/>
          <w:kern w:val="0"/>
          <w:sz w:val="18"/>
          <w:szCs w:val="18"/>
        </w:rPr>
        <w:t>。</w:t>
      </w:r>
    </w:p>
    <w:p w14:paraId="022A4ED5">
      <w:pPr>
        <w:ind w:firstLine="351" w:firstLineChars="195"/>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修复通知</w:t>
      </w:r>
    </w:p>
    <w:p w14:paraId="06B381A4">
      <w:pPr>
        <w:ind w:firstLine="351" w:firstLineChars="195"/>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承包人收到保修通知并到达工程现场的合理时间：</w:t>
      </w:r>
      <w:r>
        <w:rPr>
          <w:rFonts w:hint="eastAsia" w:ascii="仿宋_GB2312" w:hAnsi="仿宋_GB2312" w:eastAsia="仿宋_GB2312" w:cs="仿宋_GB2312"/>
          <w:kern w:val="0"/>
          <w:sz w:val="18"/>
          <w:szCs w:val="18"/>
          <w:u w:val="single"/>
        </w:rPr>
        <w:t>24小时</w:t>
      </w:r>
      <w:r>
        <w:rPr>
          <w:rFonts w:hint="eastAsia" w:ascii="仿宋_GB2312" w:hAnsi="仿宋_GB2312" w:eastAsia="仿宋_GB2312" w:cs="仿宋_GB2312"/>
          <w:color w:val="000000"/>
          <w:kern w:val="0"/>
          <w:sz w:val="18"/>
          <w:szCs w:val="18"/>
        </w:rPr>
        <w:t>。</w:t>
      </w:r>
    </w:p>
    <w:bookmarkEnd w:id="1358"/>
    <w:bookmarkEnd w:id="1359"/>
    <w:bookmarkEnd w:id="1360"/>
    <w:bookmarkEnd w:id="1361"/>
    <w:p w14:paraId="42DE7B35">
      <w:pPr>
        <w:pStyle w:val="5"/>
        <w:spacing w:before="120" w:after="120" w:line="240" w:lineRule="auto"/>
        <w:rPr>
          <w:rFonts w:ascii="仿宋_GB2312" w:hAnsi="仿宋_GB2312" w:eastAsia="仿宋_GB2312" w:cs="仿宋_GB2312"/>
          <w:b w:val="0"/>
          <w:color w:val="000000"/>
          <w:sz w:val="18"/>
          <w:szCs w:val="18"/>
        </w:rPr>
      </w:pPr>
      <w:bookmarkStart w:id="1384" w:name="_Toc351203648"/>
      <w:bookmarkStart w:id="1385" w:name="_Toc280868717"/>
      <w:bookmarkStart w:id="1386" w:name="_Toc280868718"/>
      <w:r>
        <w:rPr>
          <w:rFonts w:hint="eastAsia" w:ascii="仿宋_GB2312" w:hAnsi="仿宋_GB2312" w:eastAsia="仿宋_GB2312" w:cs="仿宋_GB2312"/>
          <w:b w:val="0"/>
          <w:color w:val="000000"/>
          <w:sz w:val="18"/>
          <w:szCs w:val="18"/>
        </w:rPr>
        <w:t>16. 违约</w:t>
      </w:r>
      <w:bookmarkEnd w:id="1384"/>
    </w:p>
    <w:p w14:paraId="0B40BF5E">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16.1 发包人违约</w:t>
      </w:r>
    </w:p>
    <w:p w14:paraId="270CB97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16.1.1发包人违约的情形</w:t>
      </w:r>
    </w:p>
    <w:p w14:paraId="1FA7DFD9">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发包人违约的其他情形：</w:t>
      </w:r>
      <w:r>
        <w:rPr>
          <w:rFonts w:hint="eastAsia" w:ascii="仿宋_GB2312" w:hAnsi="仿宋_GB2312" w:eastAsia="仿宋_GB2312" w:cs="仿宋_GB2312"/>
          <w:kern w:val="0"/>
          <w:sz w:val="18"/>
          <w:szCs w:val="18"/>
          <w:u w:val="single"/>
        </w:rPr>
        <w:t>按通用条款执行</w:t>
      </w:r>
      <w:r>
        <w:rPr>
          <w:rFonts w:hint="eastAsia" w:ascii="仿宋_GB2312" w:hAnsi="仿宋_GB2312" w:eastAsia="仿宋_GB2312" w:cs="仿宋_GB2312"/>
          <w:color w:val="000000"/>
          <w:kern w:val="0"/>
          <w:sz w:val="18"/>
          <w:szCs w:val="18"/>
        </w:rPr>
        <w:t>。</w:t>
      </w:r>
    </w:p>
    <w:p w14:paraId="0D1AAB67">
      <w:pPr>
        <w:ind w:left="900" w:hanging="900" w:hangingChars="5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16.1.2 发包人违约的责任</w:t>
      </w:r>
    </w:p>
    <w:p w14:paraId="5DF3EA2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发包人违约责任的承担方式和计算方法：</w:t>
      </w:r>
    </w:p>
    <w:p w14:paraId="21454080">
      <w:pPr>
        <w:ind w:firstLine="360" w:firstLineChars="200"/>
        <w:jc w:val="left"/>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kern w:val="0"/>
          <w:sz w:val="18"/>
          <w:szCs w:val="18"/>
        </w:rPr>
        <w:t>（1）因发包人原因未能在计划开工日期前7天内下达开工通知的违约责任：</w:t>
      </w:r>
      <w:r>
        <w:rPr>
          <w:rFonts w:hint="eastAsia" w:ascii="仿宋_GB2312" w:hAnsi="仿宋_GB2312" w:eastAsia="仿宋_GB2312" w:cs="仿宋_GB2312"/>
          <w:kern w:val="0"/>
          <w:sz w:val="18"/>
          <w:szCs w:val="18"/>
          <w:u w:val="single"/>
        </w:rPr>
        <w:t>工期顺延</w:t>
      </w:r>
      <w:r>
        <w:rPr>
          <w:rFonts w:hint="eastAsia" w:ascii="仿宋_GB2312" w:hAnsi="仿宋_GB2312" w:eastAsia="仿宋_GB2312" w:cs="仿宋_GB2312"/>
          <w:color w:val="000000"/>
          <w:kern w:val="0"/>
          <w:sz w:val="18"/>
          <w:szCs w:val="18"/>
        </w:rPr>
        <w:t>。</w:t>
      </w:r>
    </w:p>
    <w:p w14:paraId="10576C36">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color w:val="000000"/>
          <w:kern w:val="0"/>
          <w:sz w:val="18"/>
          <w:szCs w:val="18"/>
        </w:rPr>
        <w:t>（2）因发包人原因未能按合同约定支付合同价款的违约责任：</w:t>
      </w:r>
      <w:r>
        <w:rPr>
          <w:rFonts w:hint="eastAsia" w:ascii="仿宋_GB2312" w:hAnsi="仿宋_GB2312" w:eastAsia="仿宋_GB2312" w:cs="仿宋_GB2312"/>
          <w:kern w:val="0"/>
          <w:sz w:val="18"/>
          <w:szCs w:val="18"/>
          <w:u w:val="single"/>
        </w:rPr>
        <w:t>发包人超过约定的支付时间不支付工程款（进度款），承包人可向发包人发出要求付款的书面通知，发包人收到承包人通知后60日内仍不能按要求付款，可与承包人协商签订延期付款协议，经承包人同意后可延期支付，并支付应付金额同期银行贷款利率计算的利息。</w:t>
      </w:r>
    </w:p>
    <w:p w14:paraId="16241B5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（3）发包人违反第10.1款〔变更的范围〕第（2）项约定，自行实施被取消的工作或转由他人实施的违约责任：</w:t>
      </w:r>
      <w:r>
        <w:rPr>
          <w:rFonts w:hint="eastAsia" w:ascii="仿宋_GB2312" w:hAnsi="仿宋_GB2312" w:eastAsia="仿宋_GB2312" w:cs="仿宋_GB2312"/>
          <w:kern w:val="0"/>
          <w:sz w:val="18"/>
          <w:szCs w:val="18"/>
          <w:u w:val="single"/>
        </w:rPr>
        <w:t xml:space="preserve">按照通用条款执行 </w:t>
      </w:r>
      <w:r>
        <w:rPr>
          <w:rFonts w:hint="eastAsia" w:ascii="仿宋_GB2312" w:hAnsi="仿宋_GB2312" w:eastAsia="仿宋_GB2312" w:cs="仿宋_GB2312"/>
          <w:color w:val="000000"/>
          <w:kern w:val="0"/>
          <w:sz w:val="18"/>
          <w:szCs w:val="18"/>
        </w:rPr>
        <w:t>。</w:t>
      </w:r>
    </w:p>
    <w:p w14:paraId="7A239B0E">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kern w:val="0"/>
          <w:sz w:val="18"/>
          <w:szCs w:val="18"/>
          <w:u w:val="single"/>
        </w:rPr>
        <w:t xml:space="preserve">按通用条款执行照 </w:t>
      </w:r>
      <w:r>
        <w:rPr>
          <w:rFonts w:hint="eastAsia" w:ascii="仿宋_GB2312" w:hAnsi="仿宋_GB2312" w:eastAsia="仿宋_GB2312" w:cs="仿宋_GB2312"/>
          <w:color w:val="000000"/>
          <w:kern w:val="0"/>
          <w:sz w:val="18"/>
          <w:szCs w:val="18"/>
        </w:rPr>
        <w:t>。</w:t>
      </w:r>
    </w:p>
    <w:p w14:paraId="0E654454">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（5）因发包人违反合同约定造成暂停施工的违约责任：</w:t>
      </w:r>
      <w:r>
        <w:rPr>
          <w:rFonts w:hint="eastAsia" w:ascii="仿宋_GB2312" w:hAnsi="仿宋_GB2312" w:eastAsia="仿宋_GB2312" w:cs="仿宋_GB2312"/>
          <w:kern w:val="0"/>
          <w:sz w:val="18"/>
          <w:szCs w:val="18"/>
          <w:u w:val="single"/>
        </w:rPr>
        <w:t>按照通用条款执行</w:t>
      </w:r>
      <w:r>
        <w:rPr>
          <w:rFonts w:hint="eastAsia" w:ascii="仿宋_GB2312" w:hAnsi="仿宋_GB2312" w:eastAsia="仿宋_GB2312" w:cs="仿宋_GB2312"/>
          <w:color w:val="000000"/>
          <w:kern w:val="0"/>
          <w:sz w:val="18"/>
          <w:szCs w:val="18"/>
        </w:rPr>
        <w:t>。</w:t>
      </w:r>
    </w:p>
    <w:p w14:paraId="4E1AF90D">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（6）发包人无正当理由没有在约定期限内发出复工指示，导致承包人无法复工的违约责任：</w:t>
      </w:r>
      <w:r>
        <w:rPr>
          <w:rFonts w:hint="eastAsia" w:ascii="仿宋_GB2312" w:hAnsi="仿宋_GB2312" w:eastAsia="仿宋_GB2312" w:cs="仿宋_GB2312"/>
          <w:kern w:val="0"/>
          <w:sz w:val="18"/>
          <w:szCs w:val="18"/>
          <w:u w:val="single"/>
        </w:rPr>
        <w:t>按照通用条款执行</w:t>
      </w:r>
      <w:r>
        <w:rPr>
          <w:rFonts w:hint="eastAsia" w:ascii="仿宋_GB2312" w:hAnsi="仿宋_GB2312" w:eastAsia="仿宋_GB2312" w:cs="仿宋_GB2312"/>
          <w:color w:val="000000"/>
          <w:kern w:val="0"/>
          <w:sz w:val="18"/>
          <w:szCs w:val="18"/>
        </w:rPr>
        <w:t>。</w:t>
      </w:r>
    </w:p>
    <w:p w14:paraId="35B6F813">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（7）其他：</w:t>
      </w: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color w:val="000000"/>
          <w:kern w:val="0"/>
          <w:sz w:val="18"/>
          <w:szCs w:val="18"/>
        </w:rPr>
        <w:t>。</w:t>
      </w:r>
    </w:p>
    <w:p w14:paraId="58A16565">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16.1.3 因发包人违约解除合同</w:t>
      </w:r>
    </w:p>
    <w:p w14:paraId="21544312">
      <w:pPr>
        <w:autoSpaceDE w:val="0"/>
        <w:autoSpaceDN w:val="0"/>
        <w:adjustRightInd w:val="0"/>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承包人按16.1.1项〔发包人违约的情形〕约定暂停施工满</w:t>
      </w:r>
      <w:r>
        <w:rPr>
          <w:rFonts w:hint="eastAsia" w:ascii="仿宋_GB2312" w:hAnsi="仿宋_GB2312" w:eastAsia="仿宋_GB2312" w:cs="仿宋_GB2312"/>
          <w:color w:val="000000"/>
          <w:kern w:val="0"/>
          <w:sz w:val="18"/>
          <w:szCs w:val="18"/>
          <w:u w:val="single"/>
        </w:rPr>
        <w:t xml:space="preserve">  28  </w:t>
      </w:r>
      <w:r>
        <w:rPr>
          <w:rFonts w:hint="eastAsia" w:ascii="仿宋_GB2312" w:hAnsi="仿宋_GB2312" w:eastAsia="仿宋_GB2312" w:cs="仿宋_GB2312"/>
          <w:color w:val="000000"/>
          <w:kern w:val="0"/>
          <w:sz w:val="18"/>
          <w:szCs w:val="18"/>
        </w:rPr>
        <w:t>天后发包人仍不纠正其违约行为并致使合同目的不能实现的，承包人有权解除合同。</w:t>
      </w:r>
    </w:p>
    <w:p w14:paraId="16746DB8">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16.2 承包人违约</w:t>
      </w:r>
    </w:p>
    <w:p w14:paraId="1139C3A0">
      <w:pPr>
        <w:ind w:firstLine="360" w:firstLineChars="200"/>
        <w:jc w:val="left"/>
        <w:rPr>
          <w:rFonts w:hint="eastAsia" w:ascii="仿宋_GB2312" w:hAnsi="仿宋_GB2312" w:eastAsia="仿宋_GB2312" w:cs="仿宋_GB2312"/>
          <w:color w:val="auto"/>
          <w:kern w:val="0"/>
          <w:sz w:val="18"/>
          <w:szCs w:val="18"/>
          <w:highlight w:val="yellow"/>
          <w:u w:val="single"/>
        </w:rPr>
      </w:pPr>
      <w:r>
        <w:rPr>
          <w:rFonts w:hint="eastAsia" w:ascii="仿宋_GB2312" w:hAnsi="仿宋_GB2312" w:eastAsia="仿宋_GB2312" w:cs="仿宋_GB2312"/>
          <w:color w:val="auto"/>
          <w:kern w:val="0"/>
          <w:sz w:val="18"/>
          <w:szCs w:val="18"/>
          <w:highlight w:val="yellow"/>
          <w:u w:val="single"/>
        </w:rPr>
        <w:t>16.2.1 承包人违约的情形</w:t>
      </w:r>
    </w:p>
    <w:p w14:paraId="1FCAA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承包人违约的其他情形：</w:t>
      </w:r>
    </w:p>
    <w:p w14:paraId="66920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(1)承包人未按3.1 (</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lang w:val="en-US" w:eastAsia="zh-CN"/>
        </w:rPr>
        <w:t>2</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)条规定分包渣土运输业务的，承包人应支付       违约金；</w:t>
      </w:r>
    </w:p>
    <w:p w14:paraId="54753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(2)承包人未按照3.1 (</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lang w:val="en-US" w:eastAsia="zh-CN"/>
        </w:rPr>
        <w:t>2</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)条规定加强建筑垃圾处置分包履约监管，出现分包单位使用不符合规定的车辆进出施工现 场运输建筑垃圾或将建筑垃圾运输至非指定消纳场所等现象的，承包人应支付     违约金；</w:t>
      </w:r>
    </w:p>
    <w:p w14:paraId="4502A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 xml:space="preserve">(3) 承包人未做好工程垃圾处理出土处置台账的，承包人应支付   </w:t>
      </w:r>
      <w:r>
        <w:rPr>
          <w:rFonts w:hint="eastAsia" w:ascii="仿宋_GB2312" w:hAnsi="仿宋_GB2312" w:eastAsia="仿宋_GB2312" w:cs="仿宋_GB2312"/>
          <w:i w:val="0"/>
          <w:iCs w:val="0"/>
          <w:caps w:val="0"/>
          <w:color w:val="000000"/>
          <w:spacing w:val="0"/>
          <w:kern w:val="0"/>
          <w:sz w:val="18"/>
          <w:szCs w:val="18"/>
          <w:highlight w:val="yellow"/>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违约金；</w:t>
      </w:r>
    </w:p>
    <w:p w14:paraId="2DBC3C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 xml:space="preserve">(4) 承包人在结算前未查验接纳回执，与运输、处置单位结算相关费用的，承包人应支付 </w:t>
      </w:r>
      <w:r>
        <w:rPr>
          <w:rFonts w:hint="eastAsia" w:ascii="仿宋_GB2312" w:hAnsi="仿宋_GB2312" w:eastAsia="仿宋_GB2312" w:cs="仿宋_GB2312"/>
          <w:i w:val="0"/>
          <w:iCs w:val="0"/>
          <w:caps w:val="0"/>
          <w:color w:val="000000"/>
          <w:spacing w:val="0"/>
          <w:kern w:val="0"/>
          <w:sz w:val="18"/>
          <w:szCs w:val="18"/>
          <w:highlight w:val="yellow"/>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违约金；</w:t>
      </w:r>
    </w:p>
    <w:p w14:paraId="0BB0B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 xml:space="preserve">(5) 承包人未按照已备案的渣土处置方案落实渣土处置措施的，承包人应支付 </w:t>
      </w:r>
      <w:r>
        <w:rPr>
          <w:rFonts w:hint="eastAsia" w:ascii="仿宋_GB2312" w:hAnsi="仿宋_GB2312" w:eastAsia="仿宋_GB2312" w:cs="仿宋_GB2312"/>
          <w:i w:val="0"/>
          <w:iCs w:val="0"/>
          <w:caps w:val="0"/>
          <w:color w:val="000000"/>
          <w:spacing w:val="0"/>
          <w:kern w:val="0"/>
          <w:sz w:val="18"/>
          <w:szCs w:val="18"/>
          <w:highlight w:val="yellow"/>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违约金；</w:t>
      </w:r>
    </w:p>
    <w:p w14:paraId="18B69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yellow"/>
          <w:u w:val="single"/>
        </w:rPr>
      </w:pP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(6) 其他：</w:t>
      </w:r>
      <w:r>
        <w:rPr>
          <w:rFonts w:hint="eastAsia" w:ascii="仿宋_GB2312" w:hAnsi="仿宋_GB2312" w:eastAsia="仿宋_GB2312" w:cs="仿宋_GB2312"/>
          <w:i w:val="0"/>
          <w:iCs w:val="0"/>
          <w:caps w:val="0"/>
          <w:color w:val="000000"/>
          <w:spacing w:val="0"/>
          <w:kern w:val="0"/>
          <w:sz w:val="18"/>
          <w:szCs w:val="18"/>
          <w:highlight w:val="yellow"/>
          <w:u w:val="single"/>
          <w:shd w:val="clear"/>
          <w:lang w:eastAsia="zh-CN"/>
        </w:rPr>
        <w:t>/</w:t>
      </w:r>
      <w:r>
        <w:rPr>
          <w:rFonts w:hint="eastAsia" w:ascii="仿宋_GB2312" w:hAnsi="仿宋_GB2312" w:eastAsia="仿宋_GB2312" w:cs="仿宋_GB2312"/>
          <w:i w:val="0"/>
          <w:iCs w:val="0"/>
          <w:caps w:val="0"/>
          <w:color w:val="021EAA"/>
          <w:spacing w:val="0"/>
          <w:kern w:val="0"/>
          <w:sz w:val="18"/>
          <w:szCs w:val="18"/>
          <w:highlight w:val="yellow"/>
          <w:u w:val="single"/>
          <w:shd w:val="clear" w:fill="FFFFFF"/>
        </w:rPr>
        <w:t xml:space="preserve"> 。</w:t>
      </w:r>
    </w:p>
    <w:p w14:paraId="7B5A0A68">
      <w:pPr>
        <w:ind w:firstLine="360" w:firstLineChars="2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16.2.2承包人违约的责任</w:t>
      </w:r>
    </w:p>
    <w:p w14:paraId="4CA488DA">
      <w:pPr>
        <w:ind w:firstLine="360" w:firstLineChars="200"/>
        <w:jc w:val="left"/>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kern w:val="0"/>
          <w:sz w:val="18"/>
          <w:szCs w:val="18"/>
        </w:rPr>
        <w:t>承包人违约责任的承担方式和计算方法：</w:t>
      </w:r>
    </w:p>
    <w:p w14:paraId="1FCFCDBB">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u w:val="single"/>
        </w:rPr>
        <w:t>（1）承包人违反合同约定进行转包或违法分包的违约责任：发包人有权解除合同，没收履约保证金，如给发包人造成的损失超过保证金数额的还应当对超过部份予以赔偿，并依法承担相应的法律责任</w:t>
      </w:r>
      <w:r>
        <w:rPr>
          <w:rFonts w:hint="eastAsia" w:ascii="仿宋_GB2312" w:hAnsi="仿宋_GB2312" w:eastAsia="仿宋_GB2312" w:cs="仿宋_GB2312"/>
          <w:color w:val="000000"/>
          <w:kern w:val="0"/>
          <w:sz w:val="18"/>
          <w:szCs w:val="18"/>
        </w:rPr>
        <w:t>。</w:t>
      </w:r>
    </w:p>
    <w:p w14:paraId="31100643">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（2）承包人违反合同约定采购和使用不合格的材料和工程设备的违约责任：发包人有权要求承包人重新采购合格的材料和工程设备，承包人必须及时改正并承担相应损失</w:t>
      </w:r>
      <w:r>
        <w:rPr>
          <w:rFonts w:hint="eastAsia" w:ascii="仿宋_GB2312" w:hAnsi="仿宋_GB2312" w:eastAsia="仿宋_GB2312" w:cs="仿宋_GB2312"/>
          <w:color w:val="000000"/>
          <w:kern w:val="0"/>
          <w:sz w:val="18"/>
          <w:szCs w:val="18"/>
          <w:u w:val="single"/>
        </w:rPr>
        <w:t>，若承包人拒不改正，发包人有权没收履约保证金并将其清退出场并解除合同</w:t>
      </w:r>
      <w:r>
        <w:rPr>
          <w:rFonts w:hint="eastAsia" w:ascii="仿宋_GB2312" w:hAnsi="仿宋_GB2312" w:eastAsia="仿宋_GB2312" w:cs="仿宋_GB2312"/>
          <w:kern w:val="0"/>
          <w:sz w:val="18"/>
          <w:szCs w:val="18"/>
          <w:u w:val="single"/>
        </w:rPr>
        <w:t>；</w:t>
      </w:r>
    </w:p>
    <w:p w14:paraId="230AFC0A">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w:t>
      </w:r>
      <w:r>
        <w:rPr>
          <w:rFonts w:hint="eastAsia" w:ascii="仿宋_GB2312" w:hAnsi="仿宋_GB2312" w:eastAsia="仿宋_GB2312" w:cs="仿宋_GB2312"/>
          <w:color w:val="000000"/>
          <w:kern w:val="0"/>
          <w:sz w:val="18"/>
          <w:szCs w:val="18"/>
          <w:u w:val="single"/>
        </w:rPr>
        <w:t>承包人应</w:t>
      </w:r>
      <w:r>
        <w:rPr>
          <w:rFonts w:hint="eastAsia" w:ascii="仿宋_GB2312" w:hAnsi="仿宋_GB2312" w:eastAsia="仿宋_GB2312" w:cs="仿宋_GB2312"/>
          <w:kern w:val="0"/>
          <w:sz w:val="18"/>
          <w:szCs w:val="18"/>
          <w:u w:val="single"/>
        </w:rPr>
        <w:t>承担由此造成发包人的经济损失；如因此造成工期延误的，还应承担工期延误的违约责任。</w:t>
      </w:r>
    </w:p>
    <w:p w14:paraId="0A788079">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经监理单位检查或发包人抽检，发现承包人不按设计要求或者工程质量验收规范标准施工，有偷工减料</w:t>
      </w:r>
      <w:r>
        <w:rPr>
          <w:rFonts w:hint="eastAsia" w:ascii="仿宋_GB2312" w:hAnsi="仿宋_GB2312" w:eastAsia="仿宋_GB2312" w:cs="仿宋_GB2312"/>
          <w:kern w:val="0"/>
          <w:sz w:val="18"/>
          <w:szCs w:val="18"/>
          <w:u w:val="single"/>
          <w:lang w:val="en-US" w:eastAsia="zh-CN"/>
        </w:rPr>
        <w:t>等质量问题的</w:t>
      </w:r>
      <w:r>
        <w:rPr>
          <w:rFonts w:hint="eastAsia" w:ascii="仿宋_GB2312" w:hAnsi="仿宋_GB2312" w:eastAsia="仿宋_GB2312" w:cs="仿宋_GB2312"/>
          <w:kern w:val="0"/>
          <w:sz w:val="18"/>
          <w:szCs w:val="18"/>
          <w:u w:val="single"/>
        </w:rPr>
        <w:t>，每发现一次，发包人有权</w:t>
      </w:r>
      <w:r>
        <w:rPr>
          <w:rFonts w:hint="eastAsia" w:ascii="仿宋_GB2312" w:hAnsi="仿宋_GB2312" w:eastAsia="仿宋_GB2312" w:cs="仿宋_GB2312"/>
          <w:kern w:val="0"/>
          <w:sz w:val="18"/>
          <w:szCs w:val="18"/>
          <w:u w:val="single"/>
          <w:lang w:val="en-US" w:eastAsia="zh-CN"/>
        </w:rPr>
        <w:t>要求</w:t>
      </w:r>
      <w:r>
        <w:rPr>
          <w:rFonts w:hint="eastAsia" w:ascii="仿宋_GB2312" w:hAnsi="仿宋_GB2312" w:eastAsia="仿宋_GB2312" w:cs="仿宋_GB2312"/>
          <w:kern w:val="0"/>
          <w:sz w:val="18"/>
          <w:szCs w:val="18"/>
          <w:u w:val="single"/>
        </w:rPr>
        <w:t>承包人</w:t>
      </w:r>
      <w:r>
        <w:rPr>
          <w:rFonts w:hint="eastAsia" w:ascii="仿宋_GB2312" w:hAnsi="仿宋_GB2312" w:eastAsia="仿宋_GB2312" w:cs="仿宋_GB2312"/>
          <w:kern w:val="0"/>
          <w:sz w:val="18"/>
          <w:szCs w:val="18"/>
          <w:u w:val="single"/>
          <w:lang w:val="en-US" w:eastAsia="zh-CN"/>
        </w:rPr>
        <w:t>承担</w:t>
      </w:r>
      <w:r>
        <w:rPr>
          <w:rFonts w:hint="eastAsia" w:ascii="仿宋_GB2312" w:hAnsi="仿宋_GB2312" w:eastAsia="仿宋_GB2312" w:cs="仿宋_GB2312"/>
          <w:kern w:val="0"/>
          <w:sz w:val="18"/>
          <w:szCs w:val="18"/>
          <w:u w:val="single"/>
        </w:rPr>
        <w:t>人民币2000元/次</w:t>
      </w:r>
      <w:r>
        <w:rPr>
          <w:rFonts w:hint="eastAsia" w:ascii="仿宋_GB2312" w:hAnsi="仿宋_GB2312" w:eastAsia="仿宋_GB2312" w:cs="仿宋_GB2312"/>
          <w:kern w:val="0"/>
          <w:sz w:val="18"/>
          <w:szCs w:val="18"/>
          <w:u w:val="single"/>
          <w:lang w:val="en-US" w:eastAsia="zh-CN"/>
        </w:rPr>
        <w:t>的违约金</w:t>
      </w:r>
      <w:r>
        <w:rPr>
          <w:rFonts w:hint="eastAsia" w:ascii="仿宋_GB2312" w:hAnsi="仿宋_GB2312" w:eastAsia="仿宋_GB2312" w:cs="仿宋_GB2312"/>
          <w:kern w:val="0"/>
          <w:sz w:val="18"/>
          <w:szCs w:val="18"/>
          <w:u w:val="single"/>
        </w:rPr>
        <w:t>，并要求承包人及时整改，承包人应承担全部整改费用，直到质量合格为止。如果</w:t>
      </w:r>
      <w:r>
        <w:rPr>
          <w:rFonts w:hint="eastAsia" w:ascii="仿宋_GB2312" w:hAnsi="仿宋_GB2312" w:eastAsia="仿宋_GB2312" w:cs="仿宋_GB2312"/>
          <w:color w:val="000000"/>
          <w:kern w:val="0"/>
          <w:sz w:val="18"/>
          <w:szCs w:val="18"/>
          <w:u w:val="single"/>
        </w:rPr>
        <w:t>上述行为出现3次以上</w:t>
      </w:r>
      <w:r>
        <w:rPr>
          <w:rFonts w:hint="eastAsia" w:ascii="仿宋_GB2312" w:hAnsi="仿宋_GB2312" w:eastAsia="仿宋_GB2312" w:cs="仿宋_GB2312"/>
          <w:kern w:val="0"/>
          <w:sz w:val="18"/>
          <w:szCs w:val="18"/>
          <w:u w:val="single"/>
        </w:rPr>
        <w:t>，发包人有权没收履约保证金并将其清退出场并解除合同。</w:t>
      </w:r>
    </w:p>
    <w:p w14:paraId="41780672">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（4）承包人违反第8.9款〔材料与设备专用要求〕的约定，未经批准，私自将已按照合同约定进入施工现场的材料或设备撤离施工现场的违约责任：承包人应及时停止撤离，并承担相应损失；</w:t>
      </w:r>
    </w:p>
    <w:p w14:paraId="6A2A2796">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（5）承包人未能按施工进度计划及时完成合同约定的工作，造成工期延误的违约责任：本合同约定的竣工日前完成，每延误一天，按0.5万/天向发包人支付违约金，延误10天以外</w:t>
      </w:r>
      <w:r>
        <w:rPr>
          <w:rFonts w:hint="eastAsia" w:ascii="仿宋_GB2312" w:hAnsi="仿宋_GB2312" w:eastAsia="仿宋_GB2312" w:cs="仿宋_GB2312"/>
          <w:kern w:val="0"/>
          <w:sz w:val="18"/>
          <w:szCs w:val="18"/>
          <w:u w:val="single"/>
          <w:lang w:val="en-US" w:eastAsia="zh-CN"/>
        </w:rPr>
        <w:t>6</w:t>
      </w:r>
      <w:r>
        <w:rPr>
          <w:rFonts w:hint="eastAsia" w:ascii="仿宋_GB2312" w:hAnsi="仿宋_GB2312" w:eastAsia="仿宋_GB2312" w:cs="仿宋_GB2312"/>
          <w:kern w:val="0"/>
          <w:sz w:val="18"/>
          <w:szCs w:val="18"/>
          <w:u w:val="single"/>
        </w:rPr>
        <w:t>0天以内每延误一天，按1万/天向发包人支付违约金，</w:t>
      </w:r>
      <w:r>
        <w:rPr>
          <w:rFonts w:hint="eastAsia" w:ascii="仿宋_GB2312" w:hAnsi="仿宋_GB2312" w:eastAsia="仿宋_GB2312" w:cs="仿宋_GB2312"/>
          <w:sz w:val="18"/>
          <w:szCs w:val="18"/>
          <w:u w:val="single"/>
        </w:rPr>
        <w:t>延迟</w:t>
      </w:r>
      <w:r>
        <w:rPr>
          <w:rFonts w:ascii="仿宋_GB2312" w:hAnsi="仿宋_GB2312" w:eastAsia="仿宋_GB2312" w:cs="仿宋_GB2312"/>
          <w:sz w:val="18"/>
          <w:szCs w:val="18"/>
          <w:u w:val="single"/>
        </w:rPr>
        <w:t>20天以外30天以内每延误一天，按</w:t>
      </w:r>
      <w:r>
        <w:rPr>
          <w:rFonts w:hint="eastAsia" w:ascii="仿宋_GB2312" w:hAnsi="仿宋_GB2312" w:eastAsia="仿宋_GB2312" w:cs="仿宋_GB2312"/>
          <w:sz w:val="18"/>
          <w:szCs w:val="18"/>
          <w:u w:val="single"/>
          <w:lang w:val="en-US" w:eastAsia="zh-CN"/>
        </w:rPr>
        <w:t>2</w:t>
      </w:r>
      <w:r>
        <w:rPr>
          <w:rFonts w:ascii="仿宋_GB2312" w:hAnsi="仿宋_GB2312" w:eastAsia="仿宋_GB2312" w:cs="仿宋_GB2312"/>
          <w:sz w:val="18"/>
          <w:szCs w:val="18"/>
          <w:u w:val="single"/>
        </w:rPr>
        <w:t>万/天向发包人支付违约金</w:t>
      </w:r>
      <w:r>
        <w:rPr>
          <w:rFonts w:hint="eastAsia" w:ascii="仿宋_GB2312" w:hAnsi="仿宋_GB2312" w:eastAsia="仿宋_GB2312" w:cs="仿宋_GB2312"/>
          <w:sz w:val="18"/>
          <w:szCs w:val="18"/>
          <w:u w:val="single"/>
          <w:lang w:eastAsia="zh-CN"/>
        </w:rPr>
        <w:t>；</w:t>
      </w:r>
      <w:r>
        <w:rPr>
          <w:rFonts w:hint="eastAsia" w:ascii="仿宋_GB2312" w:hAnsi="仿宋_GB2312" w:eastAsia="仿宋_GB2312" w:cs="仿宋_GB2312"/>
          <w:kern w:val="0"/>
          <w:sz w:val="18"/>
          <w:szCs w:val="18"/>
          <w:u w:val="single"/>
        </w:rPr>
        <w:t>以此类推，按倍数支付违约金；工期延误超过60天的，发包人同时有权解除合同。</w:t>
      </w:r>
    </w:p>
    <w:p w14:paraId="26961F2F">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w:t>
      </w:r>
      <w:r>
        <w:rPr>
          <w:rFonts w:hint="eastAsia" w:ascii="仿宋_GB2312" w:hAnsi="仿宋_GB2312" w:eastAsia="仿宋_GB2312" w:cs="仿宋_GB2312"/>
          <w:kern w:val="0"/>
          <w:sz w:val="18"/>
          <w:szCs w:val="18"/>
          <w:u w:val="single"/>
          <w:lang w:val="en-US" w:eastAsia="zh-CN"/>
        </w:rPr>
        <w:t>一切</w:t>
      </w:r>
      <w:r>
        <w:rPr>
          <w:rFonts w:hint="eastAsia" w:ascii="仿宋_GB2312" w:hAnsi="仿宋_GB2312" w:eastAsia="仿宋_GB2312" w:cs="仿宋_GB2312"/>
          <w:kern w:val="0"/>
          <w:sz w:val="18"/>
          <w:szCs w:val="18"/>
          <w:u w:val="single"/>
        </w:rPr>
        <w:t>经济损失。承包人不及时维修的，发包人有权代为扣除该质量保证金用于维修以及支付发包人的维修管理费用（按维修费用的15%计算），并在事后要求承包人补足缺额。</w:t>
      </w:r>
    </w:p>
    <w:p w14:paraId="38CD0580">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工程移交后，如发包人或者本工程有关的接收人发现存在重大质量问题的，有权扣除承包人的全部质量保证金，要求承包人及时维修，并赔偿给发包人带来的</w:t>
      </w:r>
      <w:r>
        <w:rPr>
          <w:rFonts w:hint="eastAsia" w:ascii="仿宋_GB2312" w:hAnsi="仿宋_GB2312" w:eastAsia="仿宋_GB2312" w:cs="仿宋_GB2312"/>
          <w:kern w:val="0"/>
          <w:sz w:val="18"/>
          <w:szCs w:val="18"/>
          <w:u w:val="single"/>
          <w:lang w:val="en-US" w:eastAsia="zh-CN"/>
        </w:rPr>
        <w:t>一切</w:t>
      </w:r>
      <w:r>
        <w:rPr>
          <w:rFonts w:hint="eastAsia" w:ascii="仿宋_GB2312" w:hAnsi="仿宋_GB2312" w:eastAsia="仿宋_GB2312" w:cs="仿宋_GB2312"/>
          <w:kern w:val="0"/>
          <w:sz w:val="18"/>
          <w:szCs w:val="18"/>
          <w:u w:val="single"/>
        </w:rPr>
        <w:t>经济损失。</w:t>
      </w:r>
    </w:p>
    <w:p w14:paraId="3CEB451C">
      <w:pPr>
        <w:ind w:firstLine="360" w:firstLineChars="200"/>
        <w:jc w:val="left"/>
        <w:rPr>
          <w:rFonts w:hint="eastAsia"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在国家规定的保修期外，如本工程出现质量问题系由承包人偷工减料或使用不合格原材料、成品、半成品（不包括甲供材料）引起的，发包人有权无限期追索，承包人应承担由此造成的一切损失。</w:t>
      </w:r>
    </w:p>
    <w:p w14:paraId="20DA173B">
      <w:pPr>
        <w:pStyle w:val="42"/>
        <w:ind w:firstLine="360" w:firstLineChars="200"/>
        <w:rPr>
          <w:rFonts w:hint="default"/>
          <w:highlight w:val="none"/>
          <w:lang w:val="en-US"/>
        </w:rPr>
      </w:pP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7</w:t>
      </w:r>
      <w:r>
        <w:rPr>
          <w:rFonts w:hint="eastAsia" w:ascii="仿宋_GB2312" w:hAnsi="仿宋_GB2312" w:eastAsia="仿宋_GB2312" w:cs="仿宋_GB2312"/>
          <w:kern w:val="0"/>
          <w:sz w:val="18"/>
          <w:szCs w:val="18"/>
          <w:highlight w:val="none"/>
          <w:u w:val="single"/>
        </w:rPr>
        <w:t>）承包人</w:t>
      </w:r>
      <w:r>
        <w:rPr>
          <w:rFonts w:hint="eastAsia" w:ascii="仿宋_GB2312" w:hAnsi="仿宋_GB2312" w:eastAsia="仿宋_GB2312" w:cs="仿宋_GB2312"/>
          <w:kern w:val="0"/>
          <w:sz w:val="18"/>
          <w:szCs w:val="18"/>
          <w:highlight w:val="none"/>
          <w:u w:val="single"/>
          <w:lang w:val="en-US" w:eastAsia="zh-CN"/>
        </w:rPr>
        <w:t>在工程实施过程中发生质量、安全、进度、人员管理等各类问题的</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发包人及监理有权视情情节严重程度对承包人进行约谈，发包人项目负责人约谈的，承包人需支付5000元/次的违约金；发包人分管负责人约谈的，承包人需支付10000元/次的违约金；发包人主要负责人约谈的，承包人需支付20000元/次的违约金；发包人上级分管领导约谈的，承包人需支付40000元/次的违约金；发包人上级主要领导约谈的，承包人需支付合同价款20%的违约金。单次或累计支付的违约金不超过合同价的20%。</w:t>
      </w:r>
    </w:p>
    <w:p w14:paraId="20B679B4">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kern w:val="0"/>
          <w:sz w:val="18"/>
          <w:szCs w:val="18"/>
          <w:u w:val="single"/>
          <w:lang w:val="en-US" w:eastAsia="zh-CN"/>
        </w:rPr>
        <w:t>8</w:t>
      </w:r>
      <w:r>
        <w:rPr>
          <w:rFonts w:hint="eastAsia" w:ascii="仿宋_GB2312" w:hAnsi="仿宋_GB2312" w:eastAsia="仿宋_GB2312" w:cs="仿宋_GB2312"/>
          <w:kern w:val="0"/>
          <w:sz w:val="18"/>
          <w:szCs w:val="18"/>
          <w:u w:val="single"/>
        </w:rPr>
        <w:t>）承包人明确表示或者以其行为表明不履行合同主要义务的违约责任：发包人有权终止合同，承包人承担发包人的一切损失；</w:t>
      </w:r>
    </w:p>
    <w:p w14:paraId="598C23DE">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kern w:val="0"/>
          <w:sz w:val="18"/>
          <w:szCs w:val="18"/>
          <w:u w:val="single"/>
          <w:lang w:val="en-US" w:eastAsia="zh-CN"/>
        </w:rPr>
        <w:t>9</w:t>
      </w:r>
      <w:r>
        <w:rPr>
          <w:rFonts w:hint="eastAsia" w:ascii="仿宋_GB2312" w:hAnsi="仿宋_GB2312" w:eastAsia="仿宋_GB2312" w:cs="仿宋_GB2312"/>
          <w:kern w:val="0"/>
          <w:sz w:val="18"/>
          <w:szCs w:val="18"/>
          <w:u w:val="single"/>
        </w:rPr>
        <w:t>）承包人未能按照合同约定履行其他义务的违约责任：</w:t>
      </w:r>
    </w:p>
    <w:p w14:paraId="67FD64DE">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① 由发包人或监理召集的例会和其它重要会议，承包人必须按发包人指定人选准时参加，无故缺席或迟到的，承包人应视情节严重程度</w:t>
      </w:r>
      <w:r>
        <w:rPr>
          <w:rFonts w:hint="eastAsia" w:ascii="仿宋_GB2312" w:hAnsi="仿宋_GB2312" w:eastAsia="仿宋_GB2312" w:cs="仿宋_GB2312"/>
          <w:kern w:val="0"/>
          <w:sz w:val="18"/>
          <w:szCs w:val="18"/>
          <w:u w:val="single"/>
          <w:lang w:val="en-US" w:eastAsia="zh-CN"/>
        </w:rPr>
        <w:t>支付</w:t>
      </w:r>
      <w:r>
        <w:rPr>
          <w:rFonts w:hint="eastAsia" w:ascii="仿宋_GB2312" w:hAnsi="仿宋_GB2312" w:eastAsia="仿宋_GB2312" w:cs="仿宋_GB2312"/>
          <w:kern w:val="0"/>
          <w:sz w:val="18"/>
          <w:szCs w:val="18"/>
          <w:u w:val="single"/>
        </w:rPr>
        <w:t>1000元的</w:t>
      </w:r>
      <w:r>
        <w:rPr>
          <w:rFonts w:hint="eastAsia" w:ascii="仿宋_GB2312" w:hAnsi="仿宋_GB2312" w:eastAsia="仿宋_GB2312" w:cs="仿宋_GB2312"/>
          <w:kern w:val="0"/>
          <w:sz w:val="18"/>
          <w:szCs w:val="18"/>
          <w:u w:val="single"/>
          <w:lang w:val="en-US" w:eastAsia="zh-CN"/>
        </w:rPr>
        <w:t>违约金</w:t>
      </w:r>
      <w:r>
        <w:rPr>
          <w:rFonts w:hint="eastAsia" w:ascii="仿宋_GB2312" w:hAnsi="仿宋_GB2312" w:eastAsia="仿宋_GB2312" w:cs="仿宋_GB2312"/>
          <w:kern w:val="0"/>
          <w:sz w:val="18"/>
          <w:szCs w:val="18"/>
          <w:u w:val="single"/>
        </w:rPr>
        <w:t>，因此导致对会议内容不了解的，其后果由承包人自负，该笔</w:t>
      </w:r>
      <w:r>
        <w:rPr>
          <w:rFonts w:hint="eastAsia" w:ascii="仿宋_GB2312" w:hAnsi="仿宋_GB2312" w:eastAsia="仿宋_GB2312" w:cs="仿宋_GB2312"/>
          <w:kern w:val="0"/>
          <w:sz w:val="18"/>
          <w:szCs w:val="18"/>
          <w:u w:val="single"/>
          <w:lang w:val="en-US" w:eastAsia="zh-CN"/>
        </w:rPr>
        <w:t>违约金</w:t>
      </w:r>
      <w:r>
        <w:rPr>
          <w:rFonts w:hint="eastAsia" w:ascii="仿宋_GB2312" w:hAnsi="仿宋_GB2312" w:eastAsia="仿宋_GB2312" w:cs="仿宋_GB2312"/>
          <w:kern w:val="0"/>
          <w:sz w:val="18"/>
          <w:szCs w:val="18"/>
          <w:u w:val="single"/>
        </w:rPr>
        <w:t>由发包人在结算中直接扣除；因此导致对会议内容不了解的，其后果由承包人自负。</w:t>
      </w:r>
    </w:p>
    <w:p w14:paraId="260F7E97">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② 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w:t>
      </w:r>
      <w:r>
        <w:rPr>
          <w:rFonts w:hint="eastAsia" w:ascii="仿宋_GB2312" w:hAnsi="仿宋_GB2312" w:eastAsia="仿宋_GB2312" w:cs="仿宋_GB2312"/>
          <w:kern w:val="0"/>
          <w:sz w:val="18"/>
          <w:szCs w:val="18"/>
          <w:u w:val="single"/>
        </w:rPr>
        <w:t>的，应视情节严重程度支付</w:t>
      </w:r>
      <w:r>
        <w:rPr>
          <w:rFonts w:hint="eastAsia" w:ascii="仿宋_GB2312" w:hAnsi="仿宋_GB2312" w:eastAsia="仿宋_GB2312" w:cs="仿宋_GB2312"/>
          <w:kern w:val="0"/>
          <w:sz w:val="18"/>
          <w:szCs w:val="18"/>
          <w:highlight w:val="none"/>
          <w:u w:val="single"/>
        </w:rPr>
        <w:t>5000-10000元/次的</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，该笔</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由发包人在结算中直接扣除；</w:t>
      </w:r>
    </w:p>
    <w:p w14:paraId="6DA76368">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③ 承包人在施工过程中不论遇到何种困难（发包人原因及不可抗力除外），均不得以任何理由（例如发包人未签证费用）擅自停工或变相停工，否则由此造成的一切后果和经济损失均由承包人承担，且承包人应支付10000元/天的</w:t>
      </w:r>
      <w:r>
        <w:rPr>
          <w:rFonts w:hint="eastAsia" w:ascii="仿宋_GB2312" w:hAnsi="仿宋_GB2312" w:eastAsia="仿宋_GB2312" w:cs="仿宋_GB2312"/>
          <w:kern w:val="0"/>
          <w:sz w:val="18"/>
          <w:szCs w:val="18"/>
          <w:u w:val="single"/>
          <w:lang w:val="en-US" w:eastAsia="zh-CN"/>
        </w:rPr>
        <w:t>违约金</w:t>
      </w:r>
      <w:r>
        <w:rPr>
          <w:rFonts w:hint="eastAsia" w:ascii="仿宋_GB2312" w:hAnsi="仿宋_GB2312" w:eastAsia="仿宋_GB2312" w:cs="仿宋_GB2312"/>
          <w:kern w:val="0"/>
          <w:sz w:val="18"/>
          <w:szCs w:val="18"/>
          <w:u w:val="single"/>
        </w:rPr>
        <w:t>，该笔</w:t>
      </w:r>
      <w:r>
        <w:rPr>
          <w:rFonts w:hint="eastAsia" w:ascii="仿宋_GB2312" w:hAnsi="仿宋_GB2312" w:eastAsia="仿宋_GB2312" w:cs="仿宋_GB2312"/>
          <w:kern w:val="0"/>
          <w:sz w:val="18"/>
          <w:szCs w:val="18"/>
          <w:u w:val="single"/>
          <w:lang w:val="en-US" w:eastAsia="zh-CN"/>
        </w:rPr>
        <w:t>违约金</w:t>
      </w:r>
      <w:r>
        <w:rPr>
          <w:rFonts w:hint="eastAsia" w:ascii="仿宋_GB2312" w:hAnsi="仿宋_GB2312" w:eastAsia="仿宋_GB2312" w:cs="仿宋_GB2312"/>
          <w:kern w:val="0"/>
          <w:sz w:val="18"/>
          <w:szCs w:val="18"/>
          <w:u w:val="single"/>
        </w:rPr>
        <w:t>由发包人在结算中直接扣除；</w:t>
      </w:r>
    </w:p>
    <w:p w14:paraId="720D3874">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④ 合同及本协议履行期间，承包人保证不拖欠民工工资，因拖欠民工工资造成的一切后果均由承包人承担。若发包人因此为承包人垫款支付的，承包人除需直接向发包人偿还垫付款项外还应按发包人垫付款项金额的5%向发包人偿付违约金，该笔违约金由发包人在结算中直接扣除；</w:t>
      </w:r>
    </w:p>
    <w:p w14:paraId="1901A466">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 xml:space="preserve">⑤ 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512916D7">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⑥ 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32B6ABB1">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⑦ 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7F72AFF4">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⑧ 承包人应确保工程安全进行，如工程实施过程中因承包人原因出现一般安全责任事故，承包人须向发包人支付人民币5万元/起的违约金；因承包人原因出现较大及以上安全责任事故，承包人须向发包人支付人民币10万元/起的违约金；所有因承包人原因安全事故的全部责任均由承包人承担；</w:t>
      </w:r>
    </w:p>
    <w:p w14:paraId="3FE8F5F4">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⑨ 本合同履行过程中，承包人被处以罚款的，以实际行为发生之日为罚款缴纳的时间；</w:t>
      </w:r>
    </w:p>
    <w:p w14:paraId="35E9A006">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⑩ 本合同中的罚款特指惩罚性违约金，本合同约定的违约金、罚款及损失赔偿款，发包人有权从履约保证金或工程款中直接扣减。</w:t>
      </w:r>
    </w:p>
    <w:p w14:paraId="1B86B82E">
      <w:pPr>
        <w:ind w:firstLine="360" w:firstLineChars="200"/>
        <w:jc w:val="left"/>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u w:val="single"/>
        </w:rPr>
        <w:t>⑪ 合同生效后，承包人无正当理由，单方终止合同的，</w:t>
      </w:r>
      <w:r>
        <w:rPr>
          <w:rFonts w:hint="eastAsia" w:ascii="仿宋_GB2312" w:hAnsi="仿宋_GB2312" w:eastAsia="仿宋_GB2312" w:cs="仿宋_GB2312"/>
          <w:color w:val="000000"/>
          <w:kern w:val="0"/>
          <w:sz w:val="18"/>
          <w:szCs w:val="18"/>
          <w:u w:val="single"/>
        </w:rPr>
        <w:t>除履约保证金不予退还外，</w:t>
      </w:r>
      <w:r>
        <w:rPr>
          <w:rFonts w:hint="eastAsia" w:ascii="仿宋_GB2312" w:hAnsi="仿宋_GB2312" w:eastAsia="仿宋_GB2312" w:cs="仿宋_GB2312"/>
          <w:kern w:val="0"/>
          <w:sz w:val="18"/>
          <w:szCs w:val="18"/>
          <w:u w:val="single"/>
        </w:rPr>
        <w:t>应向发包人承担违约责任</w:t>
      </w:r>
      <w:r>
        <w:rPr>
          <w:rFonts w:hint="eastAsia" w:ascii="仿宋_GB2312" w:hAnsi="仿宋_GB2312" w:eastAsia="仿宋_GB2312" w:cs="仿宋_GB2312"/>
          <w:color w:val="000000"/>
          <w:kern w:val="0"/>
          <w:sz w:val="18"/>
          <w:szCs w:val="18"/>
          <w:u w:val="single"/>
        </w:rPr>
        <w:t>（违约金按照合同总价的20%计取）</w:t>
      </w:r>
      <w:r>
        <w:rPr>
          <w:rFonts w:hint="eastAsia" w:ascii="仿宋_GB2312" w:hAnsi="仿宋_GB2312" w:eastAsia="仿宋_GB2312" w:cs="仿宋_GB2312"/>
          <w:kern w:val="0"/>
          <w:sz w:val="18"/>
          <w:szCs w:val="18"/>
          <w:u w:val="single"/>
        </w:rPr>
        <w:t>，并赔偿发包人因此造成的损失</w:t>
      </w:r>
      <w:r>
        <w:rPr>
          <w:rFonts w:hint="eastAsia" w:ascii="仿宋_GB2312" w:hAnsi="仿宋_GB2312" w:eastAsia="仿宋_GB2312" w:cs="仿宋_GB2312"/>
          <w:color w:val="000000"/>
          <w:kern w:val="0"/>
          <w:sz w:val="18"/>
          <w:szCs w:val="18"/>
          <w:u w:val="single"/>
        </w:rPr>
        <w:t>（包括但不限于工期延误的损失）</w:t>
      </w:r>
      <w:r>
        <w:rPr>
          <w:rFonts w:hint="eastAsia" w:ascii="仿宋_GB2312" w:hAnsi="仿宋_GB2312" w:eastAsia="仿宋_GB2312" w:cs="仿宋_GB2312"/>
          <w:kern w:val="0"/>
          <w:sz w:val="18"/>
          <w:szCs w:val="18"/>
        </w:rPr>
        <w:t>。</w:t>
      </w:r>
    </w:p>
    <w:p w14:paraId="2DAA966F">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16.2.3 因承包人违约解除合同</w:t>
      </w:r>
    </w:p>
    <w:p w14:paraId="2C409DD7">
      <w:pPr>
        <w:spacing w:before="120" w:after="120"/>
        <w:ind w:firstLine="360" w:firstLineChars="200"/>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kern w:val="0"/>
          <w:sz w:val="18"/>
          <w:szCs w:val="18"/>
        </w:rPr>
        <w:t>关于承包人违约解除合同的特别约定：</w:t>
      </w:r>
      <w:r>
        <w:rPr>
          <w:rFonts w:hint="eastAsia" w:ascii="仿宋_GB2312" w:hAnsi="仿宋_GB2312" w:eastAsia="仿宋_GB2312" w:cs="仿宋_GB2312"/>
          <w:kern w:val="0"/>
          <w:sz w:val="18"/>
          <w:szCs w:val="18"/>
          <w:u w:val="single"/>
        </w:rPr>
        <w:t xml:space="preserve">/ </w:t>
      </w:r>
      <w:r>
        <w:rPr>
          <w:rFonts w:hint="eastAsia" w:ascii="仿宋_GB2312" w:hAnsi="仿宋_GB2312" w:eastAsia="仿宋_GB2312" w:cs="仿宋_GB2312"/>
          <w:color w:val="000000"/>
          <w:kern w:val="0"/>
          <w:sz w:val="18"/>
          <w:szCs w:val="18"/>
        </w:rPr>
        <w:t>。</w:t>
      </w:r>
    </w:p>
    <w:p w14:paraId="5D745228">
      <w:pPr>
        <w:spacing w:before="120" w:after="120"/>
        <w:ind w:firstLine="360" w:firstLineChars="20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发包人继续使用承包人在施工现场的材料、设备、临时工程、承包人文件和由承包人或以其名义编制的其他文件的费用承担方式：</w:t>
      </w:r>
      <w:r>
        <w:rPr>
          <w:rFonts w:hint="eastAsia" w:ascii="仿宋_GB2312" w:hAnsi="仿宋_GB2312" w:eastAsia="仿宋_GB2312" w:cs="仿宋_GB2312"/>
          <w:kern w:val="0"/>
          <w:sz w:val="18"/>
          <w:szCs w:val="18"/>
          <w:u w:val="single"/>
        </w:rPr>
        <w:t>费用另行约定，由发包人承担</w:t>
      </w:r>
      <w:r>
        <w:rPr>
          <w:rFonts w:hint="eastAsia" w:ascii="仿宋_GB2312" w:hAnsi="仿宋_GB2312" w:eastAsia="仿宋_GB2312" w:cs="仿宋_GB2312"/>
          <w:color w:val="000000"/>
          <w:kern w:val="0"/>
          <w:sz w:val="18"/>
          <w:szCs w:val="18"/>
        </w:rPr>
        <w:t>。</w:t>
      </w:r>
    </w:p>
    <w:p w14:paraId="4157A467">
      <w:pPr>
        <w:pStyle w:val="5"/>
        <w:spacing w:before="120" w:after="120" w:line="240" w:lineRule="auto"/>
        <w:rPr>
          <w:rFonts w:ascii="仿宋_GB2312" w:hAnsi="仿宋_GB2312" w:eastAsia="仿宋_GB2312" w:cs="仿宋_GB2312"/>
          <w:b w:val="0"/>
          <w:color w:val="000000"/>
          <w:sz w:val="18"/>
          <w:szCs w:val="18"/>
        </w:rPr>
      </w:pPr>
      <w:bookmarkStart w:id="1387" w:name="_Toc351203649"/>
      <w:r>
        <w:rPr>
          <w:rFonts w:hint="eastAsia" w:ascii="仿宋_GB2312" w:hAnsi="仿宋_GB2312" w:eastAsia="仿宋_GB2312" w:cs="仿宋_GB2312"/>
          <w:b w:val="0"/>
          <w:color w:val="000000"/>
          <w:sz w:val="18"/>
          <w:szCs w:val="18"/>
        </w:rPr>
        <w:t>17. 不可抗力</w:t>
      </w:r>
      <w:bookmarkEnd w:id="1385"/>
      <w:bookmarkEnd w:id="1387"/>
    </w:p>
    <w:p w14:paraId="42BF508C">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17.1 不可抗力的确认</w:t>
      </w:r>
    </w:p>
    <w:p w14:paraId="4C7064F2">
      <w:pPr>
        <w:ind w:firstLine="360" w:firstLineChars="200"/>
        <w:jc w:val="left"/>
        <w:rPr>
          <w:rFonts w:ascii="仿宋_GB2312" w:hAnsi="仿宋_GB2312" w:eastAsia="仿宋_GB2312" w:cs="仿宋_GB2312"/>
          <w:color w:val="000000"/>
          <w:kern w:val="0"/>
          <w:sz w:val="18"/>
          <w:szCs w:val="18"/>
          <w:u w:val="single"/>
        </w:rPr>
      </w:pPr>
      <w:r>
        <w:rPr>
          <w:rFonts w:hint="eastAsia" w:ascii="仿宋_GB2312" w:hAnsi="仿宋_GB2312" w:eastAsia="仿宋_GB2312" w:cs="仿宋_GB2312"/>
          <w:color w:val="000000"/>
          <w:sz w:val="18"/>
          <w:szCs w:val="18"/>
        </w:rPr>
        <w:t xml:space="preserve">除通用合同条款约定的不可抗力事件之外，视为不可抗力的其他情形： </w:t>
      </w:r>
      <w:r>
        <w:rPr>
          <w:rFonts w:hint="eastAsia" w:ascii="仿宋_GB2312" w:hAnsi="仿宋_GB2312" w:eastAsia="仿宋_GB2312" w:cs="仿宋_GB2312"/>
          <w:kern w:val="0"/>
          <w:sz w:val="18"/>
          <w:szCs w:val="18"/>
          <w:u w:val="single"/>
        </w:rPr>
        <w:t>按通用条款执行</w:t>
      </w:r>
      <w:r>
        <w:rPr>
          <w:rFonts w:hint="eastAsia" w:ascii="仿宋_GB2312" w:hAnsi="仿宋_GB2312" w:eastAsia="仿宋_GB2312" w:cs="仿宋_GB2312"/>
          <w:color w:val="000000"/>
          <w:kern w:val="0"/>
          <w:sz w:val="18"/>
          <w:szCs w:val="18"/>
        </w:rPr>
        <w:t>。</w:t>
      </w:r>
    </w:p>
    <w:p w14:paraId="60F24B21">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17.</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因不可抗力解除合同</w:t>
      </w:r>
    </w:p>
    <w:p w14:paraId="60E70987">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合同解除后，发包人应在商定或确定发包人应支付款项后</w:t>
      </w:r>
      <w:r>
        <w:rPr>
          <w:rFonts w:hint="eastAsia" w:ascii="仿宋_GB2312" w:hAnsi="仿宋_GB2312" w:eastAsia="仿宋_GB2312" w:cs="仿宋_GB2312"/>
          <w:color w:val="000000"/>
          <w:sz w:val="18"/>
          <w:szCs w:val="18"/>
          <w:u w:val="single"/>
        </w:rPr>
        <w:t xml:space="preserve"> 28   </w:t>
      </w:r>
      <w:r>
        <w:rPr>
          <w:rFonts w:hint="eastAsia" w:ascii="仿宋_GB2312" w:hAnsi="仿宋_GB2312" w:eastAsia="仿宋_GB2312" w:cs="仿宋_GB2312"/>
          <w:color w:val="000000"/>
          <w:sz w:val="18"/>
          <w:szCs w:val="18"/>
        </w:rPr>
        <w:t>天内完成款项的支付。</w:t>
      </w:r>
    </w:p>
    <w:p w14:paraId="0DCF11C0">
      <w:pPr>
        <w:pStyle w:val="5"/>
        <w:spacing w:before="120" w:after="120" w:line="240" w:lineRule="auto"/>
        <w:rPr>
          <w:rFonts w:ascii="仿宋_GB2312" w:hAnsi="仿宋_GB2312" w:eastAsia="仿宋_GB2312" w:cs="仿宋_GB2312"/>
          <w:b w:val="0"/>
          <w:color w:val="000000"/>
          <w:sz w:val="18"/>
          <w:szCs w:val="18"/>
        </w:rPr>
      </w:pPr>
      <w:bookmarkStart w:id="1388" w:name="_Toc351203650"/>
      <w:r>
        <w:rPr>
          <w:rFonts w:hint="eastAsia" w:ascii="仿宋_GB2312" w:hAnsi="仿宋_GB2312" w:eastAsia="仿宋_GB2312" w:cs="仿宋_GB2312"/>
          <w:b w:val="0"/>
          <w:color w:val="000000"/>
          <w:sz w:val="18"/>
          <w:szCs w:val="18"/>
        </w:rPr>
        <w:t>18. 保险</w:t>
      </w:r>
      <w:bookmarkEnd w:id="1388"/>
    </w:p>
    <w:bookmarkEnd w:id="1386"/>
    <w:p w14:paraId="4FEC6EDB">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18.1 工程保险</w:t>
      </w:r>
    </w:p>
    <w:p w14:paraId="1E60C3C4">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关于工程保险的特别约定：</w:t>
      </w:r>
      <w:r>
        <w:rPr>
          <w:rFonts w:hint="eastAsia" w:ascii="仿宋_GB2312" w:hAnsi="仿宋_GB2312" w:eastAsia="仿宋_GB2312" w:cs="仿宋_GB2312"/>
          <w:kern w:val="0"/>
          <w:sz w:val="18"/>
          <w:szCs w:val="18"/>
          <w:u w:val="single"/>
        </w:rPr>
        <w:t>/</w:t>
      </w:r>
      <w:r>
        <w:rPr>
          <w:rFonts w:hint="eastAsia" w:ascii="仿宋_GB2312" w:hAnsi="仿宋_GB2312" w:eastAsia="仿宋_GB2312" w:cs="仿宋_GB2312"/>
          <w:color w:val="000000"/>
          <w:kern w:val="0"/>
          <w:sz w:val="18"/>
          <w:szCs w:val="18"/>
        </w:rPr>
        <w:t>。</w:t>
      </w:r>
    </w:p>
    <w:p w14:paraId="73D5167F">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 xml:space="preserve"> 其他保险</w:t>
      </w:r>
    </w:p>
    <w:p w14:paraId="2A3A679C">
      <w:pPr>
        <w:ind w:firstLine="361" w:firstLineChars="200"/>
        <w:jc w:val="left"/>
        <w:rPr>
          <w:rFonts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sz w:val="18"/>
          <w:szCs w:val="18"/>
        </w:rPr>
        <w:t>关于其他保险的约定：</w:t>
      </w:r>
      <w:r>
        <w:rPr>
          <w:rFonts w:hint="eastAsia" w:ascii="仿宋_GB2312" w:hAnsi="仿宋_GB2312" w:eastAsia="仿宋_GB2312" w:cs="仿宋_GB2312"/>
          <w:b/>
          <w:bCs/>
          <w:kern w:val="0"/>
          <w:sz w:val="18"/>
          <w:szCs w:val="18"/>
          <w:u w:val="single"/>
        </w:rPr>
        <w:t>承包人为建设工程和施工场地内的自有人员设备及第三方生命财产办理保险并支付保险费用，费用已包含在总价内。施工期间所发生的一切与本工程有关的承包人</w:t>
      </w:r>
      <w:r>
        <w:rPr>
          <w:rFonts w:hint="eastAsia" w:ascii="仿宋_GB2312" w:hAnsi="仿宋_GB2312" w:eastAsia="仿宋_GB2312" w:cs="仿宋_GB2312"/>
          <w:b/>
          <w:bCs/>
          <w:color w:val="000000"/>
          <w:kern w:val="0"/>
          <w:sz w:val="18"/>
          <w:szCs w:val="18"/>
          <w:u w:val="single"/>
        </w:rPr>
        <w:t>及第三方</w:t>
      </w:r>
      <w:r>
        <w:rPr>
          <w:rFonts w:hint="eastAsia" w:ascii="仿宋_GB2312" w:hAnsi="仿宋_GB2312" w:eastAsia="仿宋_GB2312" w:cs="仿宋_GB2312"/>
          <w:b/>
          <w:bCs/>
          <w:kern w:val="0"/>
          <w:sz w:val="18"/>
          <w:szCs w:val="18"/>
          <w:u w:val="single"/>
        </w:rPr>
        <w:t>的人员、财产等意外伤害、损失，由承包人承担全部责任和费用</w:t>
      </w:r>
      <w:r>
        <w:rPr>
          <w:rFonts w:hint="eastAsia" w:ascii="仿宋_GB2312" w:hAnsi="仿宋_GB2312" w:eastAsia="仿宋_GB2312" w:cs="仿宋_GB2312"/>
          <w:b/>
          <w:bCs/>
          <w:color w:val="000000"/>
          <w:kern w:val="0"/>
          <w:sz w:val="18"/>
          <w:szCs w:val="18"/>
        </w:rPr>
        <w:t>。</w:t>
      </w:r>
    </w:p>
    <w:p w14:paraId="725F65DE">
      <w:pPr>
        <w:ind w:firstLine="361" w:firstLineChars="200"/>
        <w:jc w:val="left"/>
        <w:rPr>
          <w:rFonts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sz w:val="18"/>
          <w:szCs w:val="18"/>
        </w:rPr>
        <w:t>承包人是否应为其施工设备等办理财产保险：</w:t>
      </w:r>
      <w:r>
        <w:rPr>
          <w:rFonts w:hint="eastAsia" w:ascii="仿宋_GB2312" w:hAnsi="仿宋_GB2312" w:eastAsia="仿宋_GB2312" w:cs="仿宋_GB2312"/>
          <w:b/>
          <w:bCs/>
          <w:sz w:val="18"/>
          <w:szCs w:val="18"/>
          <w:u w:val="single"/>
        </w:rPr>
        <w:t>是</w:t>
      </w:r>
      <w:r>
        <w:rPr>
          <w:rFonts w:hint="eastAsia" w:ascii="仿宋_GB2312" w:hAnsi="仿宋_GB2312" w:eastAsia="仿宋_GB2312" w:cs="仿宋_GB2312"/>
          <w:b/>
          <w:bCs/>
          <w:color w:val="000000"/>
          <w:sz w:val="18"/>
          <w:szCs w:val="18"/>
        </w:rPr>
        <w:t>。</w:t>
      </w:r>
    </w:p>
    <w:p w14:paraId="0C2E0FB0">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 xml:space="preserve"> 通知义务</w:t>
      </w:r>
    </w:p>
    <w:p w14:paraId="7EE370E9">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关于变更保险合同时的通知义务的约定：</w:t>
      </w:r>
      <w:r>
        <w:rPr>
          <w:rFonts w:hint="eastAsia" w:ascii="仿宋_GB2312" w:hAnsi="仿宋_GB2312" w:eastAsia="仿宋_GB2312" w:cs="仿宋_GB2312"/>
          <w:sz w:val="18"/>
          <w:szCs w:val="18"/>
          <w:u w:val="single"/>
        </w:rPr>
        <w:t>按通用条款执行</w:t>
      </w:r>
      <w:r>
        <w:rPr>
          <w:rFonts w:hint="eastAsia" w:ascii="仿宋_GB2312" w:hAnsi="仿宋_GB2312" w:eastAsia="仿宋_GB2312" w:cs="仿宋_GB2312"/>
          <w:color w:val="000000"/>
          <w:sz w:val="18"/>
          <w:szCs w:val="18"/>
        </w:rPr>
        <w:t>。</w:t>
      </w:r>
    </w:p>
    <w:bookmarkEnd w:id="1362"/>
    <w:bookmarkEnd w:id="1363"/>
    <w:bookmarkEnd w:id="1364"/>
    <w:bookmarkEnd w:id="1365"/>
    <w:bookmarkEnd w:id="1366"/>
    <w:bookmarkEnd w:id="1367"/>
    <w:bookmarkEnd w:id="1368"/>
    <w:bookmarkEnd w:id="1369"/>
    <w:bookmarkEnd w:id="1370"/>
    <w:bookmarkEnd w:id="1371"/>
    <w:bookmarkEnd w:id="1372"/>
    <w:bookmarkEnd w:id="1373"/>
    <w:p w14:paraId="645CD665">
      <w:pPr>
        <w:pStyle w:val="5"/>
        <w:spacing w:before="120" w:after="120" w:line="240" w:lineRule="auto"/>
        <w:rPr>
          <w:rFonts w:ascii="仿宋_GB2312" w:hAnsi="仿宋_GB2312" w:eastAsia="仿宋_GB2312" w:cs="仿宋_GB2312"/>
          <w:b w:val="0"/>
          <w:color w:val="000000"/>
          <w:sz w:val="18"/>
          <w:szCs w:val="18"/>
        </w:rPr>
      </w:pPr>
      <w:bookmarkStart w:id="1389" w:name="_Toc351203651"/>
      <w:r>
        <w:rPr>
          <w:rFonts w:hint="eastAsia" w:ascii="仿宋_GB2312" w:hAnsi="仿宋_GB2312" w:eastAsia="仿宋_GB2312" w:cs="仿宋_GB2312"/>
          <w:b w:val="0"/>
          <w:color w:val="000000"/>
          <w:sz w:val="18"/>
          <w:szCs w:val="18"/>
          <w:lang w:val="en-US" w:eastAsia="zh-CN"/>
        </w:rPr>
        <w:t>19</w:t>
      </w:r>
      <w:r>
        <w:rPr>
          <w:rFonts w:hint="eastAsia" w:ascii="仿宋_GB2312" w:hAnsi="仿宋_GB2312" w:eastAsia="仿宋_GB2312" w:cs="仿宋_GB2312"/>
          <w:b w:val="0"/>
          <w:color w:val="000000"/>
          <w:sz w:val="18"/>
          <w:szCs w:val="18"/>
        </w:rPr>
        <w:t>. 争议解决</w:t>
      </w:r>
      <w:bookmarkEnd w:id="1389"/>
    </w:p>
    <w:bookmarkEnd w:id="1374"/>
    <w:bookmarkEnd w:id="1375"/>
    <w:p w14:paraId="74A9002B">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19</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 xml:space="preserve"> 争</w:t>
      </w:r>
      <w:bookmarkEnd w:id="1376"/>
      <w:r>
        <w:rPr>
          <w:rFonts w:hint="eastAsia" w:ascii="仿宋_GB2312" w:hAnsi="仿宋_GB2312" w:eastAsia="仿宋_GB2312" w:cs="仿宋_GB2312"/>
          <w:color w:val="000000"/>
          <w:sz w:val="18"/>
          <w:szCs w:val="18"/>
        </w:rPr>
        <w:t>议评审</w:t>
      </w:r>
    </w:p>
    <w:p w14:paraId="6104AF4D">
      <w:pPr>
        <w:ind w:left="149" w:leftChars="71" w:firstLine="270" w:firstLineChars="15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合同当事人是否同意将工程争议提交争议评审小组决定：</w:t>
      </w:r>
      <w:r>
        <w:rPr>
          <w:rFonts w:hint="eastAsia" w:ascii="仿宋_GB2312" w:hAnsi="仿宋_GB2312" w:eastAsia="仿宋_GB2312" w:cs="仿宋_GB2312"/>
          <w:sz w:val="18"/>
          <w:szCs w:val="18"/>
          <w:u w:val="single"/>
        </w:rPr>
        <w:t>否</w:t>
      </w:r>
      <w:r>
        <w:rPr>
          <w:rFonts w:hint="eastAsia" w:ascii="仿宋_GB2312" w:hAnsi="仿宋_GB2312" w:eastAsia="仿宋_GB2312" w:cs="仿宋_GB2312"/>
          <w:color w:val="000000"/>
          <w:sz w:val="18"/>
          <w:szCs w:val="18"/>
        </w:rPr>
        <w:t xml:space="preserve">。  </w:t>
      </w:r>
    </w:p>
    <w:p w14:paraId="405ABEAC">
      <w:pPr>
        <w:ind w:firstLine="360" w:firstLineChars="200"/>
        <w:jc w:val="left"/>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19.1.1</w:t>
      </w:r>
      <w:r>
        <w:rPr>
          <w:rFonts w:hint="eastAsia" w:ascii="仿宋_GB2312" w:hAnsi="仿宋_GB2312" w:eastAsia="仿宋_GB2312" w:cs="仿宋_GB2312"/>
          <w:color w:val="000000"/>
          <w:sz w:val="18"/>
          <w:szCs w:val="18"/>
        </w:rPr>
        <w:t xml:space="preserve"> 争议评审小组的确定</w:t>
      </w:r>
    </w:p>
    <w:p w14:paraId="5B1F47A0">
      <w:pPr>
        <w:ind w:firstLine="360" w:firstLineChars="200"/>
        <w:jc w:val="left"/>
        <w:rPr>
          <w:rFonts w:ascii="仿宋_GB2312" w:hAnsi="仿宋_GB2312" w:eastAsia="仿宋_GB2312" w:cs="仿宋_GB2312"/>
          <w:color w:val="000000"/>
          <w:sz w:val="18"/>
          <w:szCs w:val="18"/>
          <w:u w:val="single"/>
        </w:rPr>
      </w:pPr>
      <w:r>
        <w:rPr>
          <w:rFonts w:hint="eastAsia" w:ascii="仿宋_GB2312" w:hAnsi="仿宋_GB2312" w:eastAsia="仿宋_GB2312" w:cs="仿宋_GB2312"/>
          <w:color w:val="000000"/>
          <w:sz w:val="18"/>
          <w:szCs w:val="18"/>
        </w:rPr>
        <w:t>争议评审小组成员的确定：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5483BB71">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选定争议评审员的期限：</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7111560D">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争议评审小组成员的报酬承担方式：</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6910F590">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其他事项的约定：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FC4FF09">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19.1</w:t>
      </w:r>
      <w:r>
        <w:rPr>
          <w:rFonts w:hint="eastAsia" w:ascii="仿宋_GB2312" w:hAnsi="仿宋_GB2312" w:eastAsia="仿宋_GB2312" w:cs="仿宋_GB2312"/>
          <w:color w:val="000000"/>
          <w:kern w:val="0"/>
          <w:sz w:val="18"/>
          <w:szCs w:val="18"/>
        </w:rPr>
        <w:t>.2 争议评审小组的决定</w:t>
      </w:r>
    </w:p>
    <w:p w14:paraId="1729C5C3">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合同当事人关于本项的约定：</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w:t>
      </w:r>
    </w:p>
    <w:p w14:paraId="0112F135">
      <w:pPr>
        <w:spacing w:after="120"/>
        <w:ind w:firstLine="360" w:firstLineChars="200"/>
        <w:outlineLvl w:val="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20仲裁或诉讼</w:t>
      </w:r>
      <w:bookmarkEnd w:id="1377"/>
    </w:p>
    <w:p w14:paraId="0F09F955">
      <w:pPr>
        <w:spacing w:after="120"/>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因合同及合同有关事项发生的争议，按下列第</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sz w:val="18"/>
          <w:szCs w:val="18"/>
          <w:u w:val="single"/>
          <w:lang w:eastAsia="zh-CN"/>
        </w:rPr>
        <w:t>（</w:t>
      </w:r>
      <w:r>
        <w:rPr>
          <w:rFonts w:hint="eastAsia" w:ascii="仿宋_GB2312" w:hAnsi="仿宋_GB2312" w:eastAsia="仿宋_GB2312" w:cs="仿宋_GB2312"/>
          <w:color w:val="000000"/>
          <w:sz w:val="18"/>
          <w:szCs w:val="18"/>
          <w:u w:val="single"/>
        </w:rPr>
        <w:t>2</w:t>
      </w:r>
      <w:r>
        <w:rPr>
          <w:rFonts w:hint="eastAsia" w:ascii="仿宋_GB2312" w:hAnsi="仿宋_GB2312" w:eastAsia="仿宋_GB2312" w:cs="仿宋_GB2312"/>
          <w:color w:val="000000"/>
          <w:sz w:val="18"/>
          <w:szCs w:val="18"/>
          <w:u w:val="single"/>
          <w:lang w:eastAsia="zh-CN"/>
        </w:rPr>
        <w:t>）</w:t>
      </w:r>
      <w:r>
        <w:rPr>
          <w:rFonts w:hint="eastAsia" w:ascii="仿宋_GB2312" w:hAnsi="仿宋_GB2312" w:eastAsia="仿宋_GB2312" w:cs="仿宋_GB2312"/>
          <w:color w:val="000000"/>
          <w:sz w:val="18"/>
          <w:szCs w:val="18"/>
          <w:u w:val="single"/>
        </w:rPr>
        <w:t xml:space="preserve">  </w:t>
      </w:r>
      <w:r>
        <w:rPr>
          <w:rFonts w:hint="eastAsia" w:ascii="仿宋_GB2312" w:hAnsi="仿宋_GB2312" w:eastAsia="仿宋_GB2312" w:cs="仿宋_GB2312"/>
          <w:color w:val="000000"/>
          <w:sz w:val="18"/>
          <w:szCs w:val="18"/>
        </w:rPr>
        <w:t>种方式解决：</w:t>
      </w:r>
    </w:p>
    <w:p w14:paraId="5C7BB776">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（1）向</w:t>
      </w:r>
      <w:r>
        <w:rPr>
          <w:rFonts w:hint="eastAsia" w:ascii="仿宋_GB2312" w:hAnsi="仿宋_GB2312" w:eastAsia="仿宋_GB2312" w:cs="仿宋_GB2312"/>
          <w:sz w:val="18"/>
          <w:szCs w:val="18"/>
          <w:u w:val="single"/>
        </w:rPr>
        <w:t>/</w:t>
      </w:r>
      <w:r>
        <w:rPr>
          <w:rFonts w:hint="eastAsia" w:ascii="仿宋_GB2312" w:hAnsi="仿宋_GB2312" w:eastAsia="仿宋_GB2312" w:cs="仿宋_GB2312"/>
          <w:color w:val="000000"/>
          <w:sz w:val="18"/>
          <w:szCs w:val="18"/>
        </w:rPr>
        <w:t>仲裁委员会申请仲裁；</w:t>
      </w:r>
    </w:p>
    <w:p w14:paraId="186C1C2B">
      <w:pPr>
        <w:ind w:firstLine="360" w:firstLineChars="20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（2）向</w:t>
      </w:r>
      <w:r>
        <w:rPr>
          <w:rFonts w:hint="eastAsia" w:ascii="仿宋_GB2312" w:hAnsi="仿宋_GB2312" w:eastAsia="仿宋_GB2312" w:cs="仿宋_GB2312"/>
          <w:color w:val="000000"/>
          <w:sz w:val="18"/>
          <w:szCs w:val="18"/>
          <w:u w:val="single"/>
        </w:rPr>
        <w:t>杭州市上城区</w:t>
      </w:r>
      <w:r>
        <w:rPr>
          <w:rFonts w:hint="eastAsia" w:ascii="仿宋_GB2312" w:hAnsi="仿宋_GB2312" w:eastAsia="仿宋_GB2312" w:cs="仿宋_GB2312"/>
          <w:color w:val="000000"/>
          <w:sz w:val="18"/>
          <w:szCs w:val="18"/>
        </w:rPr>
        <w:t>人民法院起诉。</w:t>
      </w:r>
      <w:bookmarkEnd w:id="1378"/>
      <w:bookmarkEnd w:id="1379"/>
      <w:bookmarkEnd w:id="1380"/>
      <w:bookmarkEnd w:id="1381"/>
      <w:bookmarkEnd w:id="1382"/>
      <w:bookmarkEnd w:id="1383"/>
    </w:p>
    <w:p w14:paraId="63AD4CE0">
      <w:pPr>
        <w:pStyle w:val="5"/>
        <w:spacing w:before="120" w:after="120" w:line="240" w:lineRule="auto"/>
        <w:rPr>
          <w:rFonts w:ascii="仿宋_GB2312" w:hAnsi="仿宋_GB2312" w:eastAsia="仿宋_GB2312" w:cs="仿宋_GB2312"/>
          <w:sz w:val="18"/>
          <w:szCs w:val="18"/>
        </w:rPr>
      </w:pPr>
      <w:r>
        <w:rPr>
          <w:rFonts w:hint="eastAsia" w:ascii="仿宋_GB2312" w:hAnsi="仿宋_GB2312" w:eastAsia="仿宋_GB2312" w:cs="仿宋_GB2312"/>
          <w:sz w:val="18"/>
          <w:szCs w:val="18"/>
        </w:rPr>
        <w:t>21．其他补充事项的约定</w:t>
      </w:r>
    </w:p>
    <w:p w14:paraId="7CC0C3E2">
      <w:pPr>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 xml:space="preserve">    21.1 承包人未按合同约定履行义务，造成工程质量低下</w:t>
      </w:r>
      <w:r>
        <w:rPr>
          <w:rFonts w:hint="eastAsia" w:ascii="仿宋_GB2312" w:hAnsi="仿宋_GB2312" w:eastAsia="仿宋_GB2312" w:cs="仿宋_GB2312"/>
          <w:color w:val="000000"/>
          <w:sz w:val="18"/>
          <w:szCs w:val="18"/>
          <w:u w:val="single"/>
        </w:rPr>
        <w:t>，或</w:t>
      </w:r>
      <w:r>
        <w:rPr>
          <w:rFonts w:hint="eastAsia" w:ascii="仿宋_GB2312" w:hAnsi="仿宋_GB2312" w:eastAsia="仿宋_GB2312" w:cs="仿宋_GB2312"/>
          <w:sz w:val="18"/>
          <w:szCs w:val="18"/>
          <w:u w:val="single"/>
        </w:rPr>
        <w:t>进度迟缓</w:t>
      </w:r>
      <w:r>
        <w:rPr>
          <w:rFonts w:hint="eastAsia" w:ascii="仿宋_GB2312" w:hAnsi="仿宋_GB2312" w:eastAsia="仿宋_GB2312" w:cs="仿宋_GB2312"/>
          <w:color w:val="000000"/>
          <w:sz w:val="18"/>
          <w:szCs w:val="18"/>
          <w:u w:val="single"/>
        </w:rPr>
        <w:t>，或</w:t>
      </w:r>
      <w:r>
        <w:rPr>
          <w:rFonts w:hint="eastAsia" w:ascii="仿宋_GB2312" w:hAnsi="仿宋_GB2312" w:eastAsia="仿宋_GB2312" w:cs="仿宋_GB2312"/>
          <w:sz w:val="18"/>
          <w:szCs w:val="18"/>
          <w:u w:val="single"/>
        </w:rPr>
        <w:t>延迟开工15天以上</w:t>
      </w:r>
      <w:r>
        <w:rPr>
          <w:rFonts w:hint="eastAsia" w:ascii="仿宋_GB2312" w:hAnsi="仿宋_GB2312" w:eastAsia="仿宋_GB2312" w:cs="仿宋_GB2312"/>
          <w:color w:val="000000"/>
          <w:sz w:val="18"/>
          <w:szCs w:val="18"/>
          <w:u w:val="single"/>
        </w:rPr>
        <w:t>，或</w:t>
      </w:r>
      <w:r>
        <w:rPr>
          <w:rFonts w:hint="eastAsia" w:ascii="仿宋_GB2312" w:hAnsi="仿宋_GB2312" w:eastAsia="仿宋_GB2312" w:cs="仿宋_GB2312"/>
          <w:sz w:val="18"/>
          <w:szCs w:val="18"/>
          <w:u w:val="single"/>
        </w:rPr>
        <w:t>管理混乱，发包人有权终止合同，没收全部履约保证金，承包人应赔偿发包人因此造成的一切经济损失、依法承担相应的法律责任。</w:t>
      </w:r>
    </w:p>
    <w:p w14:paraId="4D38075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21.2发包人暂定价部分的设备或材料（如有）</w:t>
      </w:r>
    </w:p>
    <w:p w14:paraId="5311ABB0">
      <w:pPr>
        <w:ind w:firstLine="360" w:firstLineChars="200"/>
        <w:jc w:val="left"/>
        <w:outlineLvl w:val="0"/>
        <w:rPr>
          <w:rFonts w:ascii="仿宋_GB2312" w:hAnsi="仿宋_GB2312" w:eastAsia="仿宋_GB2312" w:cs="仿宋_GB2312"/>
          <w:sz w:val="18"/>
          <w:szCs w:val="18"/>
          <w:u w:val="single"/>
        </w:rPr>
      </w:pPr>
      <w:bookmarkStart w:id="1390" w:name="_Toc1155"/>
      <w:bookmarkStart w:id="1391" w:name="_Toc9703"/>
      <w:r>
        <w:rPr>
          <w:rFonts w:hint="eastAsia" w:ascii="仿宋_GB2312" w:hAnsi="仿宋_GB2312" w:eastAsia="仿宋_GB2312" w:cs="仿宋_GB2312"/>
          <w:sz w:val="18"/>
          <w:szCs w:val="18"/>
          <w:u w:val="single"/>
        </w:rPr>
        <w:t>21.2.1承包人应在采购前提前三个月书面通知发包人；</w:t>
      </w:r>
      <w:bookmarkEnd w:id="1390"/>
      <w:bookmarkEnd w:id="1391"/>
    </w:p>
    <w:p w14:paraId="1C6D370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21.2.2发包人在接到承包人书面通知后三个月内完成签证认可或招标；承包人根据发包人的签证文件或招标中标通知书开始采购或施工；</w:t>
      </w:r>
    </w:p>
    <w:p w14:paraId="359885F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21.2.3如发包人采用招标进行暂定价部分的设备或材料确认，则该合同由承包人与材料/设备中标单位签订。</w:t>
      </w:r>
    </w:p>
    <w:p w14:paraId="14A27F4D">
      <w:pPr>
        <w:ind w:firstLine="360" w:firstLineChars="200"/>
        <w:jc w:val="left"/>
        <w:outlineLvl w:val="0"/>
        <w:rPr>
          <w:rFonts w:ascii="仿宋_GB2312" w:hAnsi="仿宋_GB2312" w:eastAsia="仿宋_GB2312" w:cs="仿宋_GB2312"/>
          <w:sz w:val="18"/>
          <w:szCs w:val="18"/>
          <w:u w:val="single"/>
        </w:rPr>
      </w:pPr>
      <w:bookmarkStart w:id="1392" w:name="_Toc365"/>
      <w:bookmarkStart w:id="1393" w:name="_Toc18483"/>
      <w:r>
        <w:rPr>
          <w:rFonts w:hint="eastAsia" w:ascii="仿宋_GB2312" w:hAnsi="仿宋_GB2312" w:eastAsia="仿宋_GB2312" w:cs="仿宋_GB2312"/>
          <w:sz w:val="18"/>
          <w:szCs w:val="18"/>
          <w:u w:val="single"/>
        </w:rPr>
        <w:t>21.3工程质量与进度的补充约定</w:t>
      </w:r>
      <w:bookmarkEnd w:id="1392"/>
      <w:bookmarkEnd w:id="1393"/>
    </w:p>
    <w:p w14:paraId="70D899B5">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6CA61BC8">
      <w:pPr>
        <w:ind w:firstLine="360" w:firstLineChars="200"/>
        <w:jc w:val="left"/>
        <w:outlineLvl w:val="0"/>
        <w:rPr>
          <w:rFonts w:ascii="仿宋_GB2312" w:hAnsi="仿宋_GB2312" w:eastAsia="仿宋_GB2312" w:cs="仿宋_GB2312"/>
          <w:sz w:val="18"/>
          <w:szCs w:val="18"/>
          <w:u w:val="single"/>
        </w:rPr>
      </w:pPr>
      <w:bookmarkStart w:id="1394" w:name="_Toc24454"/>
      <w:bookmarkStart w:id="1395" w:name="_Toc14432"/>
      <w:r>
        <w:rPr>
          <w:rFonts w:hint="eastAsia" w:ascii="仿宋_GB2312" w:hAnsi="仿宋_GB2312" w:eastAsia="仿宋_GB2312" w:cs="仿宋_GB2312"/>
          <w:sz w:val="18"/>
          <w:szCs w:val="18"/>
          <w:u w:val="single"/>
        </w:rPr>
        <w:t>21.4工程的保管</w:t>
      </w:r>
      <w:bookmarkEnd w:id="1394"/>
      <w:bookmarkEnd w:id="1395"/>
    </w:p>
    <w:p w14:paraId="5483C50D">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21.4.1开工日后，施工场地由承包人负责保管并负担保管费用。</w:t>
      </w:r>
    </w:p>
    <w:p w14:paraId="28EABE27">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21.4.2施工期间，承包人实施的在建工程，承包人采购的物资、使用的设备，以及发包人采购但已经交付给承包人的物资、设备，由承包人负责保管并负担保管费用。</w:t>
      </w:r>
    </w:p>
    <w:p w14:paraId="648726CF">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21.4.3竣工日后到依据专用条款确定的工程移交日前，竣工工程（包括附属设备、设施），由承包人负责保管并负担保管费用。</w:t>
      </w:r>
    </w:p>
    <w:p w14:paraId="39D573D4">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0EB6592">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3AC0B5B5">
      <w:pPr>
        <w:ind w:firstLine="360" w:firstLineChars="200"/>
        <w:jc w:val="left"/>
        <w:outlineLvl w:val="0"/>
        <w:rPr>
          <w:rFonts w:ascii="仿宋_GB2312" w:hAnsi="仿宋_GB2312" w:eastAsia="仿宋_GB2312" w:cs="仿宋_GB2312"/>
          <w:sz w:val="18"/>
          <w:szCs w:val="18"/>
          <w:u w:val="single"/>
        </w:rPr>
      </w:pPr>
      <w:bookmarkStart w:id="1396" w:name="_Toc11735"/>
      <w:bookmarkStart w:id="1397" w:name="_Toc19103"/>
      <w:r>
        <w:rPr>
          <w:rFonts w:hint="eastAsia" w:ascii="仿宋_GB2312" w:hAnsi="仿宋_GB2312" w:eastAsia="仿宋_GB2312" w:cs="仿宋_GB2312"/>
          <w:sz w:val="18"/>
          <w:szCs w:val="18"/>
          <w:u w:val="single"/>
        </w:rPr>
        <w:t>21.5合格工程的移交</w:t>
      </w:r>
      <w:bookmarkEnd w:id="1396"/>
      <w:bookmarkEnd w:id="1397"/>
    </w:p>
    <w:p w14:paraId="61669D3A">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376A163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21.5.2承包人应当向发包人实施工程移交的内容包括但不限于：</w:t>
      </w:r>
    </w:p>
    <w:p w14:paraId="6334FEA3">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①承包人实施承包的全部工程；</w:t>
      </w:r>
    </w:p>
    <w:p w14:paraId="7A8ED47B">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②工程的全部附属设施、设备（包括房屋钥匙、设备使用密码及配套工器具）；</w:t>
      </w:r>
    </w:p>
    <w:p w14:paraId="5D3DC8D9">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③工程竣工资料原件（包括但不限于：工程施工资料，工程质量保证资料，工程检验评定资料，竣工图，规定的其他应交资料、各种管线图纸、附属设施以及设备的使用说明书、质量保证书、维修卡等）；</w:t>
      </w:r>
    </w:p>
    <w:p w14:paraId="659908B8">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④其他属于承包人移交义务的工程、设施、设备、文件资料。</w:t>
      </w:r>
    </w:p>
    <w:p w14:paraId="7E8F601C">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21.6承包人的投标文件必须完全响应招标文件的要求，投标书中一切有悖于招标文件的条款均视作无效条款；承包人在投标文件中单方面设置限制招标人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14:paraId="0242FA5A">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21.7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bookmarkStart w:id="1398" w:name="_Toc6453"/>
      <w:bookmarkStart w:id="1399" w:name="_Toc14098"/>
    </w:p>
    <w:p w14:paraId="3A615295">
      <w:pPr>
        <w:ind w:firstLine="360" w:firstLineChars="200"/>
        <w:jc w:val="left"/>
        <w:rPr>
          <w:rFonts w:ascii="仿宋_GB2312" w:hAnsi="仿宋_GB2312" w:eastAsia="仿宋_GB2312" w:cs="仿宋_GB2312"/>
          <w:sz w:val="18"/>
          <w:szCs w:val="18"/>
          <w:u w:val="single"/>
        </w:rPr>
      </w:pPr>
      <w:r>
        <w:rPr>
          <w:rFonts w:hint="eastAsia" w:ascii="仿宋_GB2312" w:hAnsi="仿宋_GB2312" w:eastAsia="仿宋_GB2312" w:cs="仿宋_GB2312"/>
          <w:sz w:val="18"/>
          <w:szCs w:val="18"/>
          <w:u w:val="single"/>
        </w:rPr>
        <w:t>21.8承包人应落实或提供在后期交房期间的维保人员，并接受发包人的整改意见，承诺于24小时内作出回复，如有延误，发包方有权自行安排整改，其费用在承包人的费用中扣除。</w:t>
      </w:r>
      <w:bookmarkEnd w:id="1398"/>
      <w:bookmarkEnd w:id="1399"/>
    </w:p>
    <w:p w14:paraId="2CAED7CB">
      <w:pPr>
        <w:ind w:right="-234" w:firstLine="361" w:firstLineChars="200"/>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21.9乙方应严格遵守《</w:t>
      </w:r>
      <w:r>
        <w:rPr>
          <w:rFonts w:hint="eastAsia" w:ascii="仿宋_GB2312" w:hAnsi="仿宋_GB2312" w:eastAsia="仿宋_GB2312" w:cs="仿宋_GB2312"/>
          <w:b/>
          <w:sz w:val="18"/>
          <w:szCs w:val="18"/>
          <w:u w:val="single"/>
          <w:lang w:val="zh-CN"/>
        </w:rPr>
        <w:t>杭州市新建市政</w:t>
      </w:r>
      <w:r>
        <w:rPr>
          <w:rFonts w:hint="eastAsia" w:ascii="仿宋_GB2312" w:hAnsi="仿宋_GB2312" w:eastAsia="仿宋_GB2312" w:cs="仿宋_GB2312"/>
          <w:b/>
          <w:sz w:val="18"/>
          <w:szCs w:val="18"/>
          <w:u w:val="single"/>
        </w:rPr>
        <w:t>道路</w:t>
      </w:r>
      <w:r>
        <w:rPr>
          <w:rFonts w:hint="eastAsia" w:ascii="仿宋_GB2312" w:hAnsi="仿宋_GB2312" w:eastAsia="仿宋_GB2312" w:cs="仿宋_GB2312"/>
          <w:b/>
          <w:sz w:val="18"/>
          <w:szCs w:val="18"/>
          <w:u w:val="single"/>
          <w:lang w:val="zh-CN"/>
        </w:rPr>
        <w:t>工程移交接收检测</w:t>
      </w:r>
      <w:r>
        <w:rPr>
          <w:rFonts w:hint="eastAsia" w:ascii="仿宋_GB2312" w:hAnsi="仿宋_GB2312" w:eastAsia="仿宋_GB2312" w:cs="仿宋_GB2312"/>
          <w:b/>
          <w:sz w:val="18"/>
          <w:szCs w:val="18"/>
          <w:u w:val="single"/>
        </w:rPr>
        <w:t>实施方案》，《</w:t>
      </w:r>
      <w:r>
        <w:rPr>
          <w:rFonts w:hint="eastAsia" w:ascii="仿宋_GB2312" w:hAnsi="仿宋_GB2312" w:eastAsia="仿宋_GB2312" w:cs="仿宋_GB2312"/>
          <w:b/>
          <w:sz w:val="18"/>
          <w:szCs w:val="18"/>
          <w:u w:val="single"/>
          <w:lang w:val="zh-CN"/>
        </w:rPr>
        <w:t>杭州市市政道路加固(修缮)工程质量检测实施方案》《</w:t>
      </w:r>
      <w:r>
        <w:rPr>
          <w:rFonts w:hint="eastAsia" w:ascii="仿宋_GB2312" w:hAnsi="仿宋_GB2312" w:eastAsia="仿宋_GB2312" w:cs="仿宋_GB2312"/>
          <w:b/>
          <w:sz w:val="18"/>
          <w:szCs w:val="18"/>
          <w:u w:val="single"/>
        </w:rPr>
        <w:t>杭州市市政道路养护指导书</w:t>
      </w:r>
      <w:r>
        <w:rPr>
          <w:rFonts w:hint="eastAsia" w:ascii="仿宋_GB2312" w:hAnsi="仿宋_GB2312" w:eastAsia="仿宋_GB2312" w:cs="仿宋_GB2312"/>
          <w:b/>
          <w:sz w:val="18"/>
          <w:szCs w:val="18"/>
          <w:u w:val="single"/>
          <w:lang w:val="zh-CN"/>
        </w:rPr>
        <w:t>》</w:t>
      </w:r>
      <w:r>
        <w:rPr>
          <w:rFonts w:hint="eastAsia" w:ascii="仿宋_GB2312" w:hAnsi="仿宋_GB2312" w:eastAsia="仿宋_GB2312" w:cs="仿宋_GB2312"/>
          <w:b/>
          <w:sz w:val="18"/>
          <w:szCs w:val="18"/>
          <w:u w:val="single"/>
        </w:rPr>
        <w:t>有最新的按最新版本执行。</w:t>
      </w:r>
    </w:p>
    <w:p w14:paraId="1E09269F">
      <w:pPr>
        <w:ind w:firstLine="361" w:firstLineChars="200"/>
        <w:rPr>
          <w:rFonts w:ascii="仿宋_GB2312" w:hAnsi="仿宋_GB2312" w:eastAsia="仿宋_GB2312" w:cs="仿宋_GB2312"/>
          <w:b/>
          <w:sz w:val="18"/>
          <w:szCs w:val="18"/>
          <w:u w:val="single"/>
        </w:rPr>
      </w:pPr>
      <w:r>
        <w:rPr>
          <w:rFonts w:hint="eastAsia" w:ascii="仿宋_GB2312" w:hAnsi="仿宋_GB2312" w:eastAsia="仿宋_GB2312" w:cs="仿宋_GB2312"/>
          <w:b/>
          <w:sz w:val="18"/>
          <w:szCs w:val="18"/>
          <w:u w:val="single"/>
        </w:rPr>
        <w:t>21.10在工程实施过程中，严格执行省、市颁发的相关规定，切实加强务工人员管理，保障农民工的合法权益，要求承包人为此项目服务的所有人员购买相应份额的人生意外保险及其它类适用商业险种，费用包含在总价中，如不按合同执行而发生人员伤亡，后果由承包人承担。按主管部门要求，如必要设立民工学校应按规定设立，费用自理。若在施工期间，由于承包人的责任发生违法、违规事件，后果由承包人自负。</w:t>
      </w:r>
    </w:p>
    <w:p w14:paraId="1C5120CB">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u w:val="single"/>
        </w:rPr>
        <w:t>21.11工程中出现因施工单位业务水平不足或不服从管理等问题，导致部分工程量未完成或未按标准完成的，建设单位有权对相应工程量单独委托给其他有资质或充分业务水平的单位进行代施工，相关费用从工程款中扣除。缺陷责任期内的质量问题适用该条款</w:t>
      </w:r>
      <w:r>
        <w:rPr>
          <w:rFonts w:hint="eastAsia" w:ascii="仿宋_GB2312" w:hAnsi="仿宋_GB2312" w:eastAsia="仿宋_GB2312" w:cs="仿宋_GB2312"/>
          <w:sz w:val="18"/>
          <w:szCs w:val="18"/>
        </w:rPr>
        <w:t>。</w:t>
      </w:r>
    </w:p>
    <w:p w14:paraId="0D97C9CA">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21.12 项目开工前，进行中标单位询标提醒谈话，承包人应当遵循“基改工程中标单位询标提醒谈话制度”。</w:t>
      </w:r>
    </w:p>
    <w:p w14:paraId="75C5F415">
      <w:pPr>
        <w:ind w:firstLine="361" w:firstLineChars="200"/>
        <w:rPr>
          <w:rFonts w:ascii="仿宋_GB2312" w:hAnsi="仿宋_GB2312" w:eastAsia="仿宋_GB2312" w:cs="仿宋_GB2312"/>
          <w:color w:val="000000"/>
          <w:sz w:val="18"/>
          <w:szCs w:val="18"/>
        </w:rPr>
      </w:pPr>
      <w:r>
        <w:rPr>
          <w:rFonts w:hint="eastAsia" w:ascii="仿宋_GB2312" w:hAnsi="仿宋_GB2312" w:eastAsia="仿宋_GB2312" w:cs="仿宋_GB2312"/>
          <w:b/>
          <w:sz w:val="18"/>
          <w:szCs w:val="18"/>
        </w:rPr>
        <w:t>21.13 项目开工后，如遇迎检保障工作，承包人应当遵循“工程项目迎检保障工作清单化制度。”</w:t>
      </w:r>
    </w:p>
    <w:p w14:paraId="32D2B571">
      <w:pPr>
        <w:ind w:firstLine="361" w:firstLineChars="200"/>
        <w:rPr>
          <w:rFonts w:hint="default" w:ascii="仿宋_GB2312" w:hAnsi="仿宋_GB2312" w:eastAsia="仿宋_GB2312" w:cs="仿宋_GB2312"/>
          <w:b/>
          <w:bCs/>
          <w:color w:val="000000"/>
          <w:sz w:val="18"/>
          <w:szCs w:val="18"/>
          <w:highlight w:val="none"/>
          <w:lang w:val="en-US" w:eastAsia="zh-CN"/>
        </w:rPr>
      </w:pPr>
      <w:r>
        <w:rPr>
          <w:rFonts w:hint="eastAsia" w:ascii="仿宋_GB2312" w:hAnsi="仿宋_GB2312" w:eastAsia="仿宋_GB2312" w:cs="仿宋_GB2312"/>
          <w:b/>
          <w:bCs/>
          <w:color w:val="000000"/>
          <w:sz w:val="18"/>
          <w:szCs w:val="18"/>
          <w:highlight w:val="none"/>
          <w:lang w:val="en-US" w:eastAsia="zh-CN"/>
        </w:rPr>
        <w:t>21.14本合同条款中涉及到的各类扣款处罚，承包人在发包人对相应情况进行书面通报后，于3日内上缴相应处罚金额至指定账户中，逾期未上缴的，发包人有权暂停施工作业，并以承包人恶意违规及不服从管理进行处罚。情况严重的，发包人有权解除合同，所有损失由承包人自行承担。</w:t>
      </w:r>
    </w:p>
    <w:p w14:paraId="694C3DE6">
      <w:pPr>
        <w:spacing w:line="240" w:lineRule="auto"/>
        <w:ind w:left="0" w:firstLine="361" w:firstLineChars="200"/>
        <w:jc w:val="left"/>
        <w:rPr>
          <w:rFonts w:hint="default" w:ascii="仿宋_GB2312" w:hAnsi="仿宋_GB2312" w:eastAsia="仿宋_GB2312" w:cs="仿宋_GB2312"/>
          <w:b/>
          <w:sz w:val="18"/>
          <w:szCs w:val="18"/>
          <w:highlight w:val="cyan"/>
        </w:rPr>
      </w:pPr>
      <w:r>
        <w:rPr>
          <w:rFonts w:hint="eastAsia" w:ascii="仿宋_GB2312" w:hAnsi="仿宋_GB2312" w:eastAsia="仿宋_GB2312" w:cs="仿宋_GB2312"/>
          <w:b/>
          <w:sz w:val="18"/>
          <w:szCs w:val="18"/>
          <w:highlight w:val="cyan"/>
          <w:lang w:val="en-US" w:eastAsia="zh-CN"/>
        </w:rPr>
        <w:t>21.15乙方应严格遵守《上城区综合行政执法局</w:t>
      </w:r>
      <w:r>
        <w:rPr>
          <w:rFonts w:hint="eastAsia" w:ascii="仿宋_GB2312" w:hAnsi="仿宋_GB2312" w:eastAsia="仿宋_GB2312" w:cs="仿宋_GB2312"/>
          <w:b/>
          <w:sz w:val="18"/>
          <w:szCs w:val="18"/>
          <w:highlight w:val="cyan"/>
        </w:rPr>
        <w:t>基础设施改善工程考核办法实施细则</w:t>
      </w:r>
      <w:r>
        <w:rPr>
          <w:rFonts w:hint="eastAsia" w:ascii="仿宋_GB2312" w:hAnsi="仿宋_GB2312" w:eastAsia="仿宋_GB2312" w:cs="仿宋_GB2312"/>
          <w:b/>
          <w:sz w:val="18"/>
          <w:szCs w:val="18"/>
          <w:highlight w:val="cyan"/>
          <w:lang w:val="en-US" w:eastAsia="zh-CN"/>
        </w:rPr>
        <w:t>》相关规定，服从甲方每月考核，配合做好处罚、约谈等相关工作。</w:t>
      </w:r>
    </w:p>
    <w:p w14:paraId="0D9F1E84">
      <w:pPr>
        <w:spacing w:line="240" w:lineRule="auto"/>
        <w:ind w:left="0" w:firstLine="361" w:firstLineChars="200"/>
        <w:rPr>
          <w:rFonts w:ascii="仿宋" w:hAnsi="仿宋" w:eastAsia="仿宋" w:cs="仿宋"/>
          <w:b/>
          <w:color w:val="000000"/>
          <w:sz w:val="28"/>
          <w:szCs w:val="32"/>
        </w:rPr>
      </w:pPr>
      <w:r>
        <w:rPr>
          <w:rFonts w:hint="eastAsia" w:ascii="仿宋_GB2312" w:hAnsi="仿宋_GB2312" w:eastAsia="仿宋_GB2312" w:cs="仿宋_GB2312"/>
          <w:b/>
          <w:bCs w:val="0"/>
          <w:color w:val="auto"/>
          <w:sz w:val="18"/>
          <w:szCs w:val="18"/>
        </w:rPr>
        <w:br w:type="page"/>
      </w:r>
      <w:r>
        <w:rPr>
          <w:rFonts w:hint="eastAsia" w:ascii="仿宋" w:hAnsi="仿宋" w:eastAsia="仿宋" w:cs="仿宋"/>
          <w:b/>
          <w:color w:val="000000"/>
          <w:sz w:val="28"/>
          <w:szCs w:val="32"/>
        </w:rPr>
        <w:t>附件</w:t>
      </w:r>
    </w:p>
    <w:p w14:paraId="2BF42895">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附件1：工程质量保修书</w:t>
      </w:r>
    </w:p>
    <w:p w14:paraId="5B3B8921">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附件2：承包人用于本工程施工的机械设备表</w:t>
      </w:r>
    </w:p>
    <w:p w14:paraId="451B1DCE">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附件3：承包人主要施工管理人员表</w:t>
      </w:r>
    </w:p>
    <w:p w14:paraId="39475380">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附件4：分包人主要施工管理人员表</w:t>
      </w:r>
    </w:p>
    <w:p w14:paraId="7F88AECF">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附件5：履约担保格式</w:t>
      </w:r>
    </w:p>
    <w:p w14:paraId="48CF7141">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附件6：廉政责任书</w:t>
      </w:r>
    </w:p>
    <w:p w14:paraId="0CDF8F23">
      <w:pPr>
        <w:pStyle w:val="969"/>
        <w:ind w:left="0" w:leftChars="0"/>
        <w:rPr>
          <w:rFonts w:ascii="仿宋" w:hAnsi="仿宋" w:eastAsia="仿宋" w:cs="仿宋"/>
          <w:color w:val="000000"/>
          <w:sz w:val="28"/>
          <w:szCs w:val="32"/>
        </w:rPr>
      </w:pPr>
      <w:r>
        <w:rPr>
          <w:rFonts w:hint="eastAsia" w:ascii="仿宋" w:hAnsi="仿宋" w:eastAsia="仿宋" w:cs="仿宋"/>
          <w:color w:val="000000"/>
          <w:sz w:val="28"/>
          <w:szCs w:val="32"/>
        </w:rPr>
        <w:t>附件 7：市政建设工程质量安全文明施工责任书</w:t>
      </w:r>
    </w:p>
    <w:p w14:paraId="725855EB">
      <w:pPr>
        <w:autoSpaceDE w:val="0"/>
        <w:autoSpaceDN w:val="0"/>
        <w:adjustRightInd w:val="0"/>
        <w:rPr>
          <w:rFonts w:ascii="仿宋" w:hAnsi="仿宋" w:eastAsia="仿宋" w:cs="仿宋"/>
          <w:color w:val="000000"/>
          <w:sz w:val="28"/>
          <w:szCs w:val="32"/>
        </w:rPr>
      </w:pPr>
      <w:r>
        <w:rPr>
          <w:rFonts w:hint="eastAsia" w:ascii="仿宋" w:hAnsi="仿宋" w:eastAsia="仿宋" w:cs="仿宋"/>
          <w:color w:val="000000"/>
          <w:sz w:val="28"/>
          <w:szCs w:val="32"/>
        </w:rPr>
        <w:t>附件 8：</w:t>
      </w:r>
      <w:r>
        <w:rPr>
          <w:rFonts w:hint="eastAsia" w:ascii="仿宋" w:hAnsi="仿宋" w:eastAsia="仿宋" w:cs="仿宋"/>
          <w:color w:val="000000"/>
          <w:sz w:val="28"/>
          <w:szCs w:val="32"/>
          <w:lang w:val="zh-CN"/>
        </w:rPr>
        <w:t>杭州市新建市政</w:t>
      </w:r>
      <w:r>
        <w:rPr>
          <w:rFonts w:hint="eastAsia" w:ascii="仿宋" w:hAnsi="仿宋" w:eastAsia="仿宋" w:cs="仿宋"/>
          <w:color w:val="000000"/>
          <w:sz w:val="28"/>
          <w:szCs w:val="32"/>
        </w:rPr>
        <w:t>道路</w:t>
      </w:r>
      <w:r>
        <w:rPr>
          <w:rFonts w:hint="eastAsia" w:ascii="仿宋" w:hAnsi="仿宋" w:eastAsia="仿宋" w:cs="仿宋"/>
          <w:color w:val="000000"/>
          <w:sz w:val="28"/>
          <w:szCs w:val="32"/>
          <w:lang w:val="zh-CN"/>
        </w:rPr>
        <w:t>工程移交接收检测</w:t>
      </w:r>
      <w:r>
        <w:rPr>
          <w:rFonts w:hint="eastAsia" w:ascii="仿宋" w:hAnsi="仿宋" w:eastAsia="仿宋" w:cs="仿宋"/>
          <w:color w:val="000000"/>
          <w:sz w:val="28"/>
          <w:szCs w:val="32"/>
        </w:rPr>
        <w:t>实施方案</w:t>
      </w:r>
    </w:p>
    <w:p w14:paraId="60494027">
      <w:pPr>
        <w:autoSpaceDE w:val="0"/>
        <w:autoSpaceDN w:val="0"/>
        <w:adjustRightInd w:val="0"/>
        <w:rPr>
          <w:rFonts w:ascii="仿宋" w:hAnsi="仿宋" w:eastAsia="仿宋" w:cs="仿宋"/>
          <w:color w:val="000000"/>
          <w:sz w:val="28"/>
          <w:szCs w:val="32"/>
        </w:rPr>
      </w:pPr>
      <w:r>
        <w:rPr>
          <w:rFonts w:hint="eastAsia" w:ascii="仿宋" w:hAnsi="仿宋" w:eastAsia="仿宋" w:cs="仿宋"/>
          <w:color w:val="000000"/>
          <w:sz w:val="28"/>
          <w:szCs w:val="32"/>
        </w:rPr>
        <w:t>附件 9：</w:t>
      </w:r>
      <w:r>
        <w:rPr>
          <w:rFonts w:hint="eastAsia" w:ascii="仿宋" w:hAnsi="仿宋" w:eastAsia="仿宋" w:cs="仿宋"/>
          <w:color w:val="000000"/>
          <w:sz w:val="28"/>
          <w:szCs w:val="32"/>
          <w:lang w:val="zh-CN"/>
        </w:rPr>
        <w:t>杭州市市政道路加固(修缮)工程质量检测实施方案</w:t>
      </w:r>
    </w:p>
    <w:p w14:paraId="410F4931">
      <w:pPr>
        <w:spacing w:line="620" w:lineRule="exact"/>
        <w:rPr>
          <w:rFonts w:ascii="仿宋" w:hAnsi="仿宋" w:eastAsia="仿宋" w:cs="仿宋"/>
          <w:color w:val="000000"/>
          <w:sz w:val="28"/>
          <w:szCs w:val="32"/>
        </w:rPr>
      </w:pPr>
      <w:r>
        <w:rPr>
          <w:rFonts w:hint="eastAsia" w:ascii="仿宋" w:hAnsi="仿宋" w:eastAsia="仿宋" w:cs="仿宋"/>
          <w:color w:val="000000"/>
          <w:sz w:val="28"/>
          <w:szCs w:val="32"/>
        </w:rPr>
        <w:t>附件10：杭州市市政道路养护指导书</w:t>
      </w:r>
    </w:p>
    <w:p w14:paraId="15C909B8">
      <w:pPr>
        <w:spacing w:line="620" w:lineRule="exact"/>
        <w:rPr>
          <w:rFonts w:hint="eastAsia" w:ascii="仿宋" w:hAnsi="仿宋" w:eastAsia="仿宋" w:cs="仿宋"/>
          <w:color w:val="000000"/>
          <w:sz w:val="28"/>
          <w:szCs w:val="32"/>
          <w:u w:val="none"/>
        </w:rPr>
      </w:pPr>
      <w:r>
        <w:rPr>
          <w:rFonts w:hint="eastAsia" w:ascii="仿宋" w:hAnsi="仿宋" w:eastAsia="仿宋" w:cs="仿宋"/>
          <w:color w:val="000000"/>
          <w:sz w:val="28"/>
          <w:szCs w:val="32"/>
        </w:rPr>
        <w:t>附件1</w:t>
      </w:r>
      <w:r>
        <w:rPr>
          <w:rFonts w:hint="eastAsia" w:ascii="仿宋" w:hAnsi="仿宋" w:eastAsia="仿宋" w:cs="仿宋"/>
          <w:color w:val="000000"/>
          <w:sz w:val="28"/>
          <w:szCs w:val="32"/>
          <w:lang w:val="en-US" w:eastAsia="zh-CN"/>
        </w:rPr>
        <w:t>1</w:t>
      </w:r>
      <w:r>
        <w:rPr>
          <w:rFonts w:hint="eastAsia" w:ascii="仿宋" w:hAnsi="仿宋" w:eastAsia="仿宋" w:cs="仿宋"/>
          <w:color w:val="000000"/>
          <w:sz w:val="28"/>
          <w:szCs w:val="32"/>
        </w:rPr>
        <w:t>：</w:t>
      </w:r>
      <w:r>
        <w:rPr>
          <w:rFonts w:hint="eastAsia" w:ascii="仿宋" w:hAnsi="仿宋" w:eastAsia="仿宋" w:cs="仿宋"/>
          <w:color w:val="000000"/>
          <w:sz w:val="28"/>
          <w:szCs w:val="32"/>
          <w:lang w:val="en-US" w:eastAsia="zh-CN"/>
        </w:rPr>
        <w:t>承诺书</w:t>
      </w:r>
    </w:p>
    <w:p w14:paraId="46DC9B29">
      <w:pPr>
        <w:rPr>
          <w:rFonts w:hint="eastAsia" w:ascii="仿宋" w:hAnsi="仿宋" w:eastAsia="仿宋" w:cs="仿宋"/>
          <w:color w:val="000000"/>
          <w:sz w:val="28"/>
          <w:szCs w:val="32"/>
          <w:u w:val="none"/>
        </w:rPr>
      </w:pPr>
      <w:r>
        <w:rPr>
          <w:rFonts w:hint="eastAsia" w:ascii="仿宋" w:hAnsi="仿宋" w:eastAsia="仿宋" w:cs="仿宋"/>
          <w:color w:val="000000"/>
          <w:sz w:val="28"/>
          <w:szCs w:val="32"/>
          <w:u w:val="none"/>
        </w:rPr>
        <w:t>附件</w:t>
      </w:r>
      <w:r>
        <w:rPr>
          <w:rFonts w:hint="eastAsia" w:ascii="仿宋" w:hAnsi="仿宋" w:eastAsia="仿宋" w:cs="仿宋"/>
          <w:color w:val="000000"/>
          <w:sz w:val="28"/>
          <w:szCs w:val="32"/>
          <w:u w:val="none"/>
          <w:lang w:val="en-US" w:eastAsia="zh-CN"/>
        </w:rPr>
        <w:t>12</w:t>
      </w:r>
      <w:r>
        <w:rPr>
          <w:rFonts w:hint="eastAsia" w:ascii="仿宋" w:hAnsi="仿宋" w:eastAsia="仿宋" w:cs="仿宋"/>
          <w:color w:val="000000"/>
          <w:sz w:val="28"/>
          <w:szCs w:val="32"/>
          <w:u w:val="none"/>
        </w:rPr>
        <w:t>：农民工工资发放花名册</w:t>
      </w:r>
      <w:r>
        <w:rPr>
          <w:rFonts w:hint="eastAsia" w:ascii="仿宋" w:hAnsi="仿宋" w:eastAsia="仿宋" w:cs="仿宋"/>
          <w:color w:val="000000"/>
          <w:sz w:val="28"/>
          <w:szCs w:val="32"/>
          <w:u w:val="none"/>
          <w:lang w:eastAsia="zh-CN"/>
        </w:rPr>
        <w:t>（</w:t>
      </w:r>
      <w:r>
        <w:rPr>
          <w:rFonts w:hint="eastAsia" w:ascii="仿宋" w:hAnsi="仿宋" w:eastAsia="仿宋" w:cs="仿宋"/>
          <w:color w:val="000000"/>
          <w:sz w:val="28"/>
          <w:szCs w:val="32"/>
          <w:u w:val="none"/>
        </w:rPr>
        <w:t>后须附农民工工资发放记录：转账记录、收条等</w:t>
      </w:r>
      <w:r>
        <w:rPr>
          <w:rFonts w:hint="eastAsia" w:ascii="仿宋" w:hAnsi="仿宋" w:eastAsia="仿宋" w:cs="仿宋"/>
          <w:color w:val="000000"/>
          <w:sz w:val="28"/>
          <w:szCs w:val="32"/>
          <w:u w:val="none"/>
          <w:lang w:eastAsia="zh-CN"/>
        </w:rPr>
        <w:t>）</w:t>
      </w:r>
    </w:p>
    <w:p w14:paraId="578A95C3">
      <w:pPr>
        <w:jc w:val="left"/>
        <w:rPr>
          <w:rFonts w:hint="eastAsia" w:ascii="仿宋" w:hAnsi="仿宋" w:eastAsia="仿宋" w:cs="仿宋"/>
          <w:color w:val="000000"/>
          <w:sz w:val="28"/>
          <w:szCs w:val="32"/>
          <w:u w:val="none"/>
          <w:lang w:val="en-US" w:eastAsia="zh-CN"/>
        </w:rPr>
      </w:pPr>
      <w:r>
        <w:rPr>
          <w:rFonts w:hint="eastAsia" w:ascii="仿宋" w:hAnsi="仿宋" w:eastAsia="仿宋" w:cs="仿宋"/>
          <w:color w:val="000000"/>
          <w:sz w:val="28"/>
          <w:szCs w:val="32"/>
          <w:u w:val="none"/>
        </w:rPr>
        <w:t>附件1</w:t>
      </w:r>
      <w:r>
        <w:rPr>
          <w:rFonts w:hint="eastAsia" w:ascii="仿宋" w:hAnsi="仿宋" w:eastAsia="仿宋" w:cs="仿宋"/>
          <w:color w:val="000000"/>
          <w:sz w:val="28"/>
          <w:szCs w:val="32"/>
          <w:u w:val="none"/>
          <w:lang w:val="en-US" w:eastAsia="zh-CN"/>
        </w:rPr>
        <w:t>3</w:t>
      </w:r>
      <w:r>
        <w:rPr>
          <w:rFonts w:hint="eastAsia" w:ascii="仿宋" w:hAnsi="仿宋" w:eastAsia="仿宋" w:cs="仿宋"/>
          <w:color w:val="000000"/>
          <w:sz w:val="28"/>
          <w:szCs w:val="32"/>
          <w:u w:val="none"/>
        </w:rPr>
        <w:t>：</w:t>
      </w:r>
      <w:r>
        <w:rPr>
          <w:rFonts w:hint="eastAsia" w:ascii="仿宋" w:hAnsi="仿宋" w:eastAsia="仿宋" w:cs="仿宋"/>
          <w:color w:val="000000"/>
          <w:sz w:val="28"/>
          <w:szCs w:val="32"/>
          <w:u w:val="none"/>
          <w:lang w:val="en-US" w:eastAsia="zh-CN"/>
        </w:rPr>
        <w:t>无拖欠农民工工资承诺书</w:t>
      </w:r>
    </w:p>
    <w:p w14:paraId="2DDE6343">
      <w:pPr>
        <w:jc w:val="left"/>
        <w:rPr>
          <w:rFonts w:hint="eastAsia" w:ascii="仿宋" w:hAnsi="仿宋" w:eastAsia="仿宋" w:cs="仿宋"/>
          <w:color w:val="000000"/>
          <w:sz w:val="28"/>
          <w:szCs w:val="32"/>
          <w:u w:val="none"/>
          <w:lang w:val="en-US" w:eastAsia="zh-CN"/>
        </w:rPr>
      </w:pPr>
    </w:p>
    <w:p w14:paraId="06DB7972">
      <w:pPr>
        <w:spacing w:line="440" w:lineRule="exact"/>
        <w:rPr>
          <w:rFonts w:hint="eastAsia" w:ascii="仿宋" w:hAnsi="仿宋" w:eastAsia="仿宋" w:cs="仿宋"/>
          <w:color w:val="000000"/>
          <w:sz w:val="28"/>
          <w:szCs w:val="30"/>
        </w:rPr>
      </w:pPr>
    </w:p>
    <w:p w14:paraId="3F34CA2E">
      <w:pPr>
        <w:spacing w:line="440" w:lineRule="exact"/>
        <w:rPr>
          <w:rFonts w:hint="eastAsia" w:ascii="仿宋" w:hAnsi="仿宋" w:eastAsia="仿宋" w:cs="仿宋"/>
          <w:color w:val="000000"/>
          <w:sz w:val="28"/>
          <w:szCs w:val="30"/>
        </w:rPr>
      </w:pPr>
    </w:p>
    <w:p w14:paraId="3547616A">
      <w:pPr>
        <w:spacing w:line="440" w:lineRule="exact"/>
        <w:rPr>
          <w:rFonts w:hint="eastAsia" w:ascii="仿宋" w:hAnsi="仿宋" w:eastAsia="仿宋" w:cs="仿宋"/>
          <w:color w:val="000000"/>
          <w:sz w:val="28"/>
          <w:szCs w:val="30"/>
        </w:rPr>
      </w:pPr>
    </w:p>
    <w:p w14:paraId="53F5B5BA">
      <w:pPr>
        <w:spacing w:line="440" w:lineRule="exact"/>
        <w:rPr>
          <w:rFonts w:hint="eastAsia" w:ascii="仿宋" w:hAnsi="仿宋" w:eastAsia="仿宋" w:cs="仿宋"/>
          <w:color w:val="000000"/>
          <w:sz w:val="28"/>
          <w:szCs w:val="30"/>
        </w:rPr>
      </w:pPr>
    </w:p>
    <w:p w14:paraId="47E45268">
      <w:pPr>
        <w:spacing w:line="440" w:lineRule="exact"/>
        <w:rPr>
          <w:rFonts w:hint="eastAsia" w:ascii="仿宋" w:hAnsi="仿宋" w:eastAsia="仿宋" w:cs="仿宋"/>
          <w:color w:val="000000"/>
          <w:sz w:val="28"/>
          <w:szCs w:val="30"/>
        </w:rPr>
      </w:pPr>
    </w:p>
    <w:p w14:paraId="72AE410E">
      <w:pPr>
        <w:spacing w:line="440" w:lineRule="exact"/>
        <w:rPr>
          <w:rFonts w:hint="eastAsia" w:ascii="仿宋" w:hAnsi="仿宋" w:eastAsia="仿宋" w:cs="仿宋"/>
          <w:color w:val="000000"/>
          <w:sz w:val="28"/>
          <w:szCs w:val="30"/>
        </w:rPr>
      </w:pPr>
    </w:p>
    <w:p w14:paraId="4161747A">
      <w:pPr>
        <w:spacing w:line="440" w:lineRule="exact"/>
        <w:rPr>
          <w:rFonts w:hint="eastAsia" w:ascii="仿宋" w:hAnsi="仿宋" w:eastAsia="仿宋" w:cs="仿宋"/>
          <w:color w:val="000000"/>
          <w:sz w:val="28"/>
          <w:szCs w:val="30"/>
        </w:rPr>
      </w:pPr>
    </w:p>
    <w:p w14:paraId="204335DC">
      <w:pPr>
        <w:spacing w:line="440" w:lineRule="exact"/>
        <w:rPr>
          <w:rFonts w:hint="eastAsia" w:ascii="仿宋" w:hAnsi="仿宋" w:eastAsia="仿宋" w:cs="仿宋"/>
          <w:color w:val="000000"/>
          <w:sz w:val="28"/>
          <w:szCs w:val="30"/>
        </w:rPr>
      </w:pPr>
    </w:p>
    <w:p w14:paraId="6B7DE389">
      <w:pPr>
        <w:spacing w:line="440" w:lineRule="exact"/>
        <w:rPr>
          <w:rFonts w:hint="eastAsia" w:ascii="仿宋" w:hAnsi="仿宋" w:eastAsia="仿宋" w:cs="仿宋"/>
          <w:color w:val="000000"/>
          <w:sz w:val="28"/>
          <w:szCs w:val="30"/>
        </w:rPr>
      </w:pPr>
    </w:p>
    <w:p w14:paraId="03D85FD1">
      <w:pPr>
        <w:spacing w:line="440" w:lineRule="exact"/>
        <w:rPr>
          <w:rFonts w:hint="eastAsia" w:ascii="仿宋" w:hAnsi="仿宋" w:eastAsia="仿宋" w:cs="仿宋"/>
          <w:color w:val="000000"/>
          <w:sz w:val="28"/>
          <w:szCs w:val="30"/>
        </w:rPr>
      </w:pPr>
    </w:p>
    <w:p w14:paraId="151918F1">
      <w:pPr>
        <w:spacing w:line="440" w:lineRule="exact"/>
        <w:rPr>
          <w:rFonts w:hint="eastAsia" w:ascii="仿宋" w:hAnsi="仿宋" w:eastAsia="仿宋" w:cs="仿宋"/>
          <w:color w:val="000000"/>
          <w:sz w:val="28"/>
          <w:szCs w:val="30"/>
        </w:rPr>
      </w:pPr>
    </w:p>
    <w:p w14:paraId="138A62EC">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t>附</w:t>
      </w:r>
      <w:bookmarkStart w:id="1400" w:name="_Toc296944565"/>
      <w:bookmarkStart w:id="1401" w:name="_Toc267261693"/>
      <w:bookmarkStart w:id="1402" w:name="_Toc296891054"/>
      <w:bookmarkStart w:id="1403" w:name="_Toc296891266"/>
      <w:bookmarkStart w:id="1404" w:name="_Toc296346727"/>
      <w:bookmarkStart w:id="1405" w:name="_Toc296503226"/>
      <w:bookmarkStart w:id="1406" w:name="_Toc296347225"/>
      <w:r>
        <w:rPr>
          <w:rFonts w:hint="eastAsia" w:ascii="仿宋" w:hAnsi="仿宋" w:eastAsia="仿宋" w:cs="仿宋"/>
          <w:color w:val="000000"/>
          <w:sz w:val="28"/>
          <w:szCs w:val="30"/>
        </w:rPr>
        <w:t>件1：</w:t>
      </w:r>
      <w:bookmarkEnd w:id="1400"/>
      <w:bookmarkEnd w:id="1401"/>
      <w:bookmarkEnd w:id="1402"/>
      <w:bookmarkEnd w:id="1403"/>
      <w:bookmarkEnd w:id="1404"/>
      <w:bookmarkEnd w:id="1405"/>
      <w:bookmarkEnd w:id="1406"/>
    </w:p>
    <w:p w14:paraId="4E570F94">
      <w:pPr>
        <w:spacing w:beforeLines="50"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工程质量保修书</w:t>
      </w:r>
    </w:p>
    <w:p w14:paraId="442C22BC">
      <w:pPr>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发包人（全称）：</w:t>
      </w:r>
      <w:r>
        <w:rPr>
          <w:rFonts w:hint="eastAsia" w:ascii="仿宋" w:hAnsi="仿宋" w:eastAsia="仿宋" w:cs="仿宋"/>
          <w:sz w:val="24"/>
          <w:szCs w:val="24"/>
          <w:u w:val="single"/>
          <w:lang w:val="en-US" w:eastAsia="zh-CN"/>
        </w:rPr>
        <w:t xml:space="preserve">                                         </w:t>
      </w:r>
    </w:p>
    <w:p w14:paraId="53C2CE6D">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　　承包人（全称）：</w:t>
      </w:r>
      <w:r>
        <w:rPr>
          <w:rFonts w:hint="eastAsia" w:ascii="仿宋" w:hAnsi="仿宋" w:eastAsia="仿宋" w:cs="仿宋"/>
          <w:color w:val="000000"/>
          <w:sz w:val="24"/>
          <w:szCs w:val="24"/>
          <w:u w:val="single"/>
          <w:lang w:val="en-US" w:eastAsia="zh-CN"/>
        </w:rPr>
        <w:t xml:space="preserve">                                          </w:t>
      </w:r>
    </w:p>
    <w:p w14:paraId="7198CC49">
      <w:pPr>
        <w:rPr>
          <w:rFonts w:ascii="仿宋" w:hAnsi="仿宋" w:eastAsia="仿宋" w:cs="仿宋"/>
          <w:color w:val="000000"/>
          <w:sz w:val="24"/>
          <w:szCs w:val="24"/>
        </w:rPr>
      </w:pPr>
    </w:p>
    <w:p w14:paraId="42F68E26">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　　发包人和承包人根据《中华人民共和国建筑法》和《建设工程质量管理条例》，经协商一致就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（工程全称）签订工程质量保修书。</w:t>
      </w:r>
    </w:p>
    <w:p w14:paraId="50ACE13C">
      <w:pPr>
        <w:outlineLvl w:val="0"/>
        <w:rPr>
          <w:rFonts w:ascii="仿宋" w:hAnsi="仿宋" w:eastAsia="仿宋" w:cs="仿宋"/>
          <w:color w:val="000000"/>
          <w:sz w:val="24"/>
          <w:szCs w:val="24"/>
        </w:rPr>
      </w:pPr>
      <w:r>
        <w:rPr>
          <w:rFonts w:hint="eastAsia" w:ascii="仿宋" w:hAnsi="仿宋" w:eastAsia="仿宋" w:cs="仿宋"/>
          <w:color w:val="000000"/>
          <w:sz w:val="24"/>
          <w:szCs w:val="24"/>
        </w:rPr>
        <w:t>　　</w:t>
      </w:r>
      <w:bookmarkStart w:id="1407" w:name="_Toc21614"/>
      <w:bookmarkStart w:id="1408" w:name="_Toc31185"/>
      <w:bookmarkStart w:id="1409" w:name="_Toc21441"/>
      <w:bookmarkStart w:id="1410" w:name="_Toc29079"/>
      <w:bookmarkStart w:id="1411" w:name="_Toc29601"/>
      <w:r>
        <w:rPr>
          <w:rFonts w:hint="eastAsia" w:ascii="仿宋" w:hAnsi="仿宋" w:eastAsia="仿宋" w:cs="仿宋"/>
          <w:color w:val="000000"/>
          <w:sz w:val="24"/>
          <w:szCs w:val="24"/>
        </w:rPr>
        <w:t>一、工程质量保修范围和内容</w:t>
      </w:r>
      <w:bookmarkEnd w:id="1407"/>
      <w:bookmarkEnd w:id="1408"/>
      <w:bookmarkEnd w:id="1409"/>
      <w:bookmarkEnd w:id="1410"/>
      <w:bookmarkEnd w:id="1411"/>
    </w:p>
    <w:p w14:paraId="07C73AAE">
      <w:pPr>
        <w:rPr>
          <w:rFonts w:ascii="仿宋" w:hAnsi="仿宋" w:eastAsia="仿宋" w:cs="仿宋"/>
          <w:color w:val="000000"/>
          <w:sz w:val="24"/>
          <w:szCs w:val="24"/>
        </w:rPr>
      </w:pPr>
      <w:r>
        <w:rPr>
          <w:rFonts w:hint="eastAsia" w:ascii="仿宋" w:hAnsi="仿宋" w:eastAsia="仿宋" w:cs="仿宋"/>
          <w:color w:val="000000"/>
          <w:sz w:val="24"/>
          <w:szCs w:val="24"/>
        </w:rPr>
        <w:t>　　承包人在质量保修期内，按照有关法律规定和合同约定，承担工程质量保修责任。</w:t>
      </w:r>
    </w:p>
    <w:p w14:paraId="6E881BFB">
      <w:pPr>
        <w:rPr>
          <w:rFonts w:ascii="仿宋" w:hAnsi="仿宋" w:eastAsia="仿宋" w:cs="仿宋"/>
          <w:color w:val="000000"/>
          <w:sz w:val="24"/>
          <w:szCs w:val="24"/>
        </w:rPr>
      </w:pPr>
      <w:r>
        <w:rPr>
          <w:rFonts w:hint="eastAsia" w:ascii="仿宋" w:hAnsi="仿宋" w:eastAsia="仿宋" w:cs="仿宋"/>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24"/>
          <w:u w:val="single"/>
        </w:rPr>
        <w:t xml:space="preserve">图纸范围内的全部内容 </w:t>
      </w:r>
      <w:r>
        <w:rPr>
          <w:rFonts w:hint="eastAsia" w:ascii="仿宋" w:hAnsi="仿宋" w:eastAsia="仿宋" w:cs="仿宋"/>
          <w:color w:val="000000"/>
          <w:sz w:val="24"/>
          <w:szCs w:val="24"/>
        </w:rPr>
        <w:t>。</w:t>
      </w:r>
    </w:p>
    <w:p w14:paraId="375D28D6">
      <w:pPr>
        <w:outlineLvl w:val="0"/>
        <w:rPr>
          <w:rFonts w:ascii="仿宋" w:hAnsi="仿宋" w:eastAsia="仿宋" w:cs="仿宋"/>
          <w:color w:val="000000"/>
          <w:sz w:val="24"/>
          <w:szCs w:val="24"/>
        </w:rPr>
      </w:pPr>
      <w:r>
        <w:rPr>
          <w:rFonts w:hint="eastAsia" w:ascii="仿宋" w:hAnsi="仿宋" w:eastAsia="仿宋" w:cs="仿宋"/>
          <w:b/>
          <w:color w:val="000000"/>
          <w:sz w:val="24"/>
          <w:szCs w:val="24"/>
        </w:rPr>
        <w:t>　　</w:t>
      </w:r>
      <w:bookmarkStart w:id="1412" w:name="_Toc11662"/>
      <w:bookmarkStart w:id="1413" w:name="_Toc25413"/>
      <w:bookmarkStart w:id="1414" w:name="_Toc2950"/>
      <w:bookmarkStart w:id="1415" w:name="_Toc27519"/>
      <w:bookmarkStart w:id="1416" w:name="_Toc4422"/>
      <w:r>
        <w:rPr>
          <w:rFonts w:hint="eastAsia" w:ascii="仿宋" w:hAnsi="仿宋" w:eastAsia="仿宋" w:cs="仿宋"/>
          <w:color w:val="000000"/>
          <w:sz w:val="24"/>
          <w:szCs w:val="24"/>
        </w:rPr>
        <w:t>二、质量保修期</w:t>
      </w:r>
      <w:bookmarkEnd w:id="1412"/>
      <w:bookmarkEnd w:id="1413"/>
      <w:bookmarkEnd w:id="1414"/>
      <w:bookmarkEnd w:id="1415"/>
      <w:bookmarkEnd w:id="1416"/>
    </w:p>
    <w:p w14:paraId="7638EB5C">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质量保修期自工程竣工验收合格之日起计算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根据《建设工程质量管理条例》及有关规定，工程的质量保修期如下：</w:t>
      </w:r>
    </w:p>
    <w:p w14:paraId="501B6A4B">
      <w:pPr>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w:t>
      </w:r>
      <w:r>
        <w:rPr>
          <w:rFonts w:hint="eastAsia" w:ascii="仿宋" w:hAnsi="仿宋" w:eastAsia="仿宋" w:cs="仿宋"/>
          <w:sz w:val="24"/>
          <w:szCs w:val="24"/>
        </w:rPr>
        <w:t>地基基础工程和主体结构工程为设计文件规定的工程合理使用年限；</w:t>
      </w:r>
    </w:p>
    <w:p w14:paraId="34042E35">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屋面防水工程、有防水要求的卫生间、房间和外墙面的防渗为</w:t>
      </w:r>
      <w:r>
        <w:rPr>
          <w:rFonts w:hint="eastAsia" w:ascii="仿宋" w:hAnsi="仿宋" w:eastAsia="仿宋" w:cs="仿宋"/>
          <w:sz w:val="24"/>
          <w:szCs w:val="24"/>
          <w:u w:val="single"/>
        </w:rPr>
        <w:t>伍</w:t>
      </w:r>
      <w:r>
        <w:rPr>
          <w:rFonts w:hint="eastAsia" w:ascii="仿宋" w:hAnsi="仿宋" w:eastAsia="仿宋" w:cs="仿宋"/>
          <w:color w:val="000000"/>
          <w:sz w:val="24"/>
          <w:szCs w:val="24"/>
        </w:rPr>
        <w:t>年；</w:t>
      </w:r>
    </w:p>
    <w:p w14:paraId="037550F1">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装修工程为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14:paraId="41E5D0E1">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电气管线、给排水管道、设备安装工程为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14:paraId="0918D3F9">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w:t>
      </w:r>
      <w:r>
        <w:rPr>
          <w:rFonts w:hint="eastAsia" w:ascii="仿宋" w:hAnsi="仿宋" w:eastAsia="仿宋" w:cs="仿宋"/>
          <w:color w:val="000000"/>
          <w:sz w:val="24"/>
          <w:szCs w:val="24"/>
        </w:rPr>
        <w:t>供热与供冷系统为</w:t>
      </w:r>
      <w:r>
        <w:rPr>
          <w:rFonts w:hint="eastAsia" w:ascii="仿宋" w:hAnsi="仿宋" w:eastAsia="仿宋" w:cs="仿宋"/>
          <w:sz w:val="24"/>
          <w:szCs w:val="24"/>
          <w:u w:val="single"/>
        </w:rPr>
        <w:t>贰</w:t>
      </w:r>
      <w:r>
        <w:rPr>
          <w:rFonts w:hint="eastAsia" w:ascii="仿宋" w:hAnsi="仿宋" w:eastAsia="仿宋" w:cs="仿宋"/>
          <w:color w:val="000000"/>
          <w:sz w:val="24"/>
          <w:szCs w:val="24"/>
        </w:rPr>
        <w:t>个采暖期、供冷期；</w:t>
      </w:r>
    </w:p>
    <w:p w14:paraId="66AD8056">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w:t>
      </w:r>
      <w:r>
        <w:rPr>
          <w:rFonts w:hint="eastAsia" w:ascii="仿宋" w:hAnsi="仿宋" w:eastAsia="仿宋" w:cs="仿宋"/>
          <w:color w:val="000000"/>
          <w:sz w:val="24"/>
          <w:szCs w:val="24"/>
        </w:rPr>
        <w:t>住宅小区内的给排水设施、道路等配套工程为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14:paraId="0A65DBF0">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w:t>
      </w:r>
      <w:r>
        <w:rPr>
          <w:rFonts w:hint="eastAsia" w:ascii="仿宋" w:hAnsi="仿宋" w:eastAsia="仿宋" w:cs="仿宋"/>
          <w:color w:val="000000"/>
          <w:sz w:val="24"/>
          <w:szCs w:val="24"/>
        </w:rPr>
        <w:t>其他项目保修期限约定如下：</w:t>
      </w:r>
    </w:p>
    <w:p w14:paraId="3845EF3D">
      <w:pPr>
        <w:ind w:firstLine="482" w:firstLineChars="200"/>
        <w:rPr>
          <w:rFonts w:ascii="仿宋" w:hAnsi="仿宋" w:eastAsia="仿宋" w:cs="仿宋"/>
          <w:b/>
          <w:sz w:val="24"/>
          <w:szCs w:val="24"/>
        </w:rPr>
      </w:pPr>
      <w:r>
        <w:rPr>
          <w:rFonts w:hint="eastAsia" w:ascii="仿宋" w:hAnsi="仿宋" w:eastAsia="仿宋" w:cs="仿宋"/>
          <w:b/>
          <w:sz w:val="24"/>
          <w:szCs w:val="24"/>
          <w:u w:val="single"/>
        </w:rPr>
        <w:t>其他工程约定质量保修期限为竣工验收合格并正式移交监管部门之日起壹年</w:t>
      </w:r>
      <w:r>
        <w:rPr>
          <w:rFonts w:hint="eastAsia" w:ascii="仿宋" w:hAnsi="仿宋" w:eastAsia="仿宋" w:cs="仿宋"/>
          <w:b/>
          <w:sz w:val="24"/>
          <w:szCs w:val="24"/>
        </w:rPr>
        <w:t>。</w:t>
      </w:r>
    </w:p>
    <w:p w14:paraId="56D6DB40">
      <w:pPr>
        <w:ind w:firstLine="241" w:firstLineChars="100"/>
        <w:jc w:val="left"/>
        <w:rPr>
          <w:rFonts w:ascii="仿宋" w:hAnsi="仿宋" w:eastAsia="仿宋" w:cs="仿宋"/>
          <w:color w:val="000000"/>
          <w:sz w:val="24"/>
          <w:szCs w:val="24"/>
        </w:rPr>
      </w:pPr>
      <w:r>
        <w:rPr>
          <w:rFonts w:hint="eastAsia" w:ascii="仿宋" w:hAnsi="仿宋" w:eastAsia="仿宋" w:cs="仿宋"/>
          <w:b/>
          <w:kern w:val="0"/>
          <w:sz w:val="24"/>
          <w:szCs w:val="24"/>
          <w:u w:val="single"/>
        </w:rPr>
        <w:t xml:space="preserve">如：绿化项目待养护期满后（成活）移交结束后退还；河道清淤项目待第三方复测结果合格并移交结束后（包括淤泥场地清理等）退还；驿站项目移交投入使用后退还。 </w:t>
      </w:r>
    </w:p>
    <w:p w14:paraId="5F1FEDCE">
      <w:pPr>
        <w:ind w:firstLine="480" w:firstLineChars="200"/>
        <w:outlineLvl w:val="0"/>
        <w:rPr>
          <w:rFonts w:ascii="仿宋" w:hAnsi="仿宋" w:eastAsia="仿宋" w:cs="仿宋"/>
          <w:color w:val="000000"/>
          <w:sz w:val="24"/>
          <w:szCs w:val="24"/>
        </w:rPr>
      </w:pPr>
      <w:bookmarkStart w:id="1417" w:name="_Toc11566"/>
      <w:bookmarkStart w:id="1418" w:name="_Toc15006"/>
      <w:bookmarkStart w:id="1419" w:name="_Toc22222"/>
      <w:bookmarkStart w:id="1420" w:name="_Toc18852"/>
      <w:bookmarkStart w:id="1421" w:name="_Toc24843"/>
      <w:r>
        <w:rPr>
          <w:rFonts w:hint="eastAsia" w:ascii="仿宋" w:hAnsi="仿宋" w:eastAsia="仿宋" w:cs="仿宋"/>
          <w:color w:val="000000"/>
          <w:sz w:val="24"/>
          <w:szCs w:val="24"/>
        </w:rPr>
        <w:t>三、缺陷责任期</w:t>
      </w:r>
      <w:bookmarkEnd w:id="1417"/>
      <w:bookmarkEnd w:id="1418"/>
      <w:bookmarkEnd w:id="1419"/>
      <w:bookmarkEnd w:id="1420"/>
      <w:bookmarkEnd w:id="1421"/>
    </w:p>
    <w:p w14:paraId="464A7A4C">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工程缺陷责任期为</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个月，缺陷责任期自工程通过竣工验收之日起计算。单位工程先于全部工程进行验收，单位工程缺陷责任期自单位工程验收合格之日起算。</w:t>
      </w:r>
    </w:p>
    <w:p w14:paraId="73214577">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缺陷责任期终止后，发包人应退还剩余的质量保证金。</w:t>
      </w:r>
    </w:p>
    <w:p w14:paraId="6271CA29">
      <w:pPr>
        <w:outlineLvl w:val="0"/>
        <w:rPr>
          <w:rFonts w:ascii="仿宋" w:hAnsi="仿宋" w:eastAsia="仿宋" w:cs="仿宋"/>
          <w:color w:val="000000"/>
          <w:sz w:val="24"/>
          <w:szCs w:val="24"/>
        </w:rPr>
      </w:pPr>
      <w:bookmarkStart w:id="1422" w:name="_Toc22825"/>
      <w:bookmarkStart w:id="1423" w:name="_Toc7559"/>
      <w:bookmarkStart w:id="1424" w:name="_Toc20890"/>
      <w:bookmarkStart w:id="1425" w:name="_Toc2328"/>
      <w:bookmarkStart w:id="1426" w:name="_Toc20868"/>
      <w:r>
        <w:rPr>
          <w:rFonts w:hint="eastAsia" w:ascii="仿宋" w:hAnsi="仿宋" w:eastAsia="仿宋" w:cs="仿宋"/>
          <w:color w:val="000000"/>
          <w:sz w:val="24"/>
          <w:szCs w:val="24"/>
        </w:rPr>
        <w:t>四、质量保修责任</w:t>
      </w:r>
      <w:bookmarkEnd w:id="1422"/>
      <w:bookmarkEnd w:id="1423"/>
      <w:bookmarkEnd w:id="1424"/>
      <w:bookmarkEnd w:id="1425"/>
      <w:bookmarkEnd w:id="1426"/>
    </w:p>
    <w:p w14:paraId="1B5F2150">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w:t>
      </w:r>
      <w:r>
        <w:rPr>
          <w:rFonts w:hint="eastAsia" w:ascii="仿宋" w:hAnsi="仿宋" w:eastAsia="仿宋" w:cs="仿宋"/>
          <w:color w:val="000000"/>
          <w:sz w:val="24"/>
          <w:szCs w:val="24"/>
        </w:rPr>
        <w:t>属于保修范围、内容的项目，承包人应当在接到保修通知之日起7天内派人保修。承包人不在约定期限内派人保修的，发包人可以委托他人修理。</w:t>
      </w:r>
    </w:p>
    <w:p w14:paraId="78800C40">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发生紧急事故需抢修的，承包人在接到事故通知后，应当立即到达事故现场抢修。</w:t>
      </w:r>
    </w:p>
    <w:p w14:paraId="685A16FF">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C58B9E">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质量保修完成后，由发包人组织验收。</w:t>
      </w:r>
    </w:p>
    <w:p w14:paraId="0BA5C4AE">
      <w:pPr>
        <w:outlineLvl w:val="0"/>
        <w:rPr>
          <w:rFonts w:ascii="仿宋" w:hAnsi="仿宋" w:eastAsia="仿宋" w:cs="仿宋"/>
          <w:color w:val="000000"/>
          <w:sz w:val="24"/>
          <w:szCs w:val="24"/>
        </w:rPr>
      </w:pPr>
      <w:r>
        <w:rPr>
          <w:rFonts w:hint="eastAsia" w:ascii="仿宋" w:hAnsi="仿宋" w:eastAsia="仿宋" w:cs="仿宋"/>
          <w:color w:val="000000"/>
          <w:sz w:val="24"/>
          <w:szCs w:val="24"/>
        </w:rPr>
        <w:t>　　</w:t>
      </w:r>
      <w:bookmarkStart w:id="1427" w:name="_Toc11659"/>
      <w:bookmarkStart w:id="1428" w:name="_Toc14897"/>
      <w:bookmarkStart w:id="1429" w:name="_Toc8570"/>
      <w:bookmarkStart w:id="1430" w:name="_Toc3637"/>
      <w:bookmarkStart w:id="1431" w:name="_Toc27956"/>
      <w:r>
        <w:rPr>
          <w:rFonts w:hint="eastAsia" w:ascii="仿宋" w:hAnsi="仿宋" w:eastAsia="仿宋" w:cs="仿宋"/>
          <w:color w:val="000000"/>
          <w:sz w:val="24"/>
          <w:szCs w:val="24"/>
        </w:rPr>
        <w:t>五、保修费用</w:t>
      </w:r>
      <w:bookmarkEnd w:id="1427"/>
      <w:bookmarkEnd w:id="1428"/>
      <w:bookmarkEnd w:id="1429"/>
      <w:bookmarkEnd w:id="1430"/>
      <w:bookmarkEnd w:id="1431"/>
    </w:p>
    <w:p w14:paraId="7F4EAAFD">
      <w:pPr>
        <w:rPr>
          <w:rFonts w:ascii="仿宋" w:hAnsi="仿宋" w:eastAsia="仿宋" w:cs="仿宋"/>
          <w:color w:val="000000"/>
          <w:sz w:val="24"/>
          <w:szCs w:val="24"/>
        </w:rPr>
      </w:pPr>
      <w:r>
        <w:rPr>
          <w:rFonts w:hint="eastAsia" w:ascii="仿宋" w:hAnsi="仿宋" w:eastAsia="仿宋" w:cs="仿宋"/>
          <w:color w:val="000000"/>
          <w:sz w:val="24"/>
          <w:szCs w:val="24"/>
        </w:rPr>
        <w:t>　　保修费用由造成质量缺陷的责任方承担。</w:t>
      </w:r>
    </w:p>
    <w:p w14:paraId="13666D68">
      <w:pPr>
        <w:ind w:firstLine="482" w:firstLineChars="200"/>
        <w:jc w:val="left"/>
        <w:outlineLvl w:val="0"/>
        <w:rPr>
          <w:rFonts w:hint="eastAsia" w:ascii="仿宋" w:hAnsi="仿宋" w:eastAsia="仿宋" w:cs="仿宋"/>
          <w:color w:val="000000"/>
          <w:sz w:val="24"/>
          <w:szCs w:val="24"/>
        </w:rPr>
      </w:pPr>
      <w:bookmarkStart w:id="1432" w:name="_Toc22371"/>
      <w:bookmarkStart w:id="1433" w:name="_Toc22486"/>
      <w:bookmarkStart w:id="1434" w:name="_Toc10299"/>
      <w:bookmarkStart w:id="1435" w:name="_Toc28645"/>
      <w:bookmarkStart w:id="1436" w:name="_Toc1423"/>
      <w:r>
        <w:rPr>
          <w:rFonts w:hint="eastAsia" w:ascii="仿宋" w:hAnsi="仿宋" w:eastAsia="仿宋" w:cs="仿宋"/>
          <w:b/>
          <w:color w:val="000000"/>
          <w:sz w:val="24"/>
          <w:szCs w:val="24"/>
        </w:rPr>
        <w:t>六</w:t>
      </w:r>
      <w:r>
        <w:rPr>
          <w:rFonts w:hint="eastAsia" w:ascii="仿宋" w:hAnsi="仿宋" w:eastAsia="仿宋" w:cs="仿宋"/>
          <w:color w:val="000000"/>
          <w:sz w:val="24"/>
          <w:szCs w:val="24"/>
        </w:rPr>
        <w:t>、双方约定的其他工程质量保修事项</w:t>
      </w:r>
    </w:p>
    <w:p w14:paraId="41F3C4F5">
      <w:pPr>
        <w:ind w:firstLine="482" w:firstLineChars="200"/>
        <w:jc w:val="left"/>
        <w:outlineLvl w:val="0"/>
        <w:rPr>
          <w:rFonts w:ascii="仿宋" w:hAnsi="仿宋" w:eastAsia="仿宋" w:cs="仿宋"/>
          <w:color w:val="000000"/>
          <w:sz w:val="24"/>
          <w:szCs w:val="24"/>
        </w:rPr>
      </w:pP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 xml:space="preserve">工程质量保证金为工程结算审定造价的1.5%，发包人在财政审批并缺陷责任期满后14天内,将剩余质量保证金返还承包人(不计利息) </w:t>
      </w:r>
      <w:r>
        <w:rPr>
          <w:rFonts w:hint="eastAsia" w:ascii="仿宋" w:hAnsi="仿宋" w:eastAsia="仿宋" w:cs="仿宋"/>
          <w:color w:val="000000"/>
          <w:sz w:val="24"/>
          <w:szCs w:val="24"/>
        </w:rPr>
        <w:t>。</w:t>
      </w:r>
      <w:bookmarkEnd w:id="1432"/>
      <w:bookmarkEnd w:id="1433"/>
      <w:bookmarkEnd w:id="1434"/>
      <w:bookmarkEnd w:id="1435"/>
      <w:bookmarkEnd w:id="1436"/>
    </w:p>
    <w:p w14:paraId="3743F7B4">
      <w:pPr>
        <w:ind w:firstLine="456" w:firstLineChars="190"/>
        <w:rPr>
          <w:rFonts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工程质量保修书由发包人、承包人在工程竣工验收前共同签署，作为施工合同附件，其有效期限至保修期满。</w:t>
      </w:r>
    </w:p>
    <w:p w14:paraId="6A5AEFBB">
      <w:pPr>
        <w:ind w:firstLine="420"/>
        <w:rPr>
          <w:rFonts w:ascii="仿宋" w:hAnsi="仿宋" w:eastAsia="仿宋" w:cs="仿宋"/>
          <w:color w:val="000000"/>
          <w:sz w:val="24"/>
          <w:szCs w:val="24"/>
          <w:highlight w:val="green"/>
        </w:rPr>
      </w:pPr>
    </w:p>
    <w:p w14:paraId="54713EB6">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发包人(公章)：</w:t>
      </w:r>
      <w:r>
        <w:rPr>
          <w:rFonts w:hint="eastAsia" w:ascii="仿宋" w:hAnsi="仿宋" w:eastAsia="仿宋" w:cs="仿宋"/>
          <w:color w:val="000000"/>
          <w:sz w:val="24"/>
          <w:szCs w:val="24"/>
          <w:highlight w:val="none"/>
          <w:u w:val="single"/>
        </w:rPr>
        <w:t xml:space="preserve">        </w:t>
      </w:r>
      <w:r>
        <w:rPr>
          <w:rFonts w:hint="eastAsia" w:ascii="仿宋" w:hAnsi="仿宋" w:eastAsia="仿宋" w:cs="仿宋"/>
          <w:color w:val="000000"/>
          <w:sz w:val="24"/>
          <w:szCs w:val="24"/>
          <w:highlight w:val="none"/>
        </w:rPr>
        <w:t xml:space="preserve"> 承包人(公章)：</w:t>
      </w:r>
      <w:r>
        <w:rPr>
          <w:rFonts w:hint="eastAsia" w:ascii="仿宋" w:hAnsi="仿宋" w:eastAsia="仿宋" w:cs="仿宋"/>
          <w:color w:val="000000"/>
          <w:sz w:val="24"/>
          <w:szCs w:val="24"/>
          <w:highlight w:val="none"/>
          <w:u w:val="single"/>
        </w:rPr>
        <w:t xml:space="preserve">           </w:t>
      </w:r>
    </w:p>
    <w:p w14:paraId="0BD5B92B">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地  址：</w:t>
      </w:r>
      <w:r>
        <w:rPr>
          <w:rFonts w:hint="eastAsia" w:ascii="仿宋" w:hAnsi="仿宋" w:eastAsia="仿宋" w:cs="仿宋"/>
          <w:color w:val="000000"/>
          <w:sz w:val="24"/>
          <w:szCs w:val="24"/>
          <w:highlight w:val="none"/>
          <w:u w:val="single"/>
        </w:rPr>
        <w:t xml:space="preserve">       </w:t>
      </w:r>
    </w:p>
    <w:p w14:paraId="0B9AA3DB">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法定代表人(签字)：</w:t>
      </w:r>
      <w:r>
        <w:rPr>
          <w:rFonts w:hint="eastAsia" w:ascii="仿宋" w:hAnsi="仿宋" w:eastAsia="仿宋" w:cs="仿宋"/>
          <w:color w:val="000000"/>
          <w:sz w:val="24"/>
          <w:szCs w:val="24"/>
          <w:highlight w:val="none"/>
          <w:u w:val="single"/>
        </w:rPr>
        <w:t xml:space="preserve">       </w:t>
      </w:r>
    </w:p>
    <w:p w14:paraId="568CE2E9">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委托代理人(签字)：</w:t>
      </w:r>
      <w:r>
        <w:rPr>
          <w:rFonts w:hint="eastAsia" w:ascii="仿宋" w:hAnsi="仿宋" w:eastAsia="仿宋" w:cs="仿宋"/>
          <w:color w:val="000000"/>
          <w:sz w:val="24"/>
          <w:szCs w:val="24"/>
          <w:highlight w:val="none"/>
          <w:u w:val="single"/>
        </w:rPr>
        <w:t xml:space="preserve">       </w:t>
      </w:r>
    </w:p>
    <w:p w14:paraId="4677C0B1">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  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电  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CAE1C61">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  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传  真：</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128395B">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lang w:val="en-US" w:eastAsia="zh-CN"/>
        </w:rPr>
        <w:t xml:space="preserve">                    </w:t>
      </w:r>
    </w:p>
    <w:p w14:paraId="22D96131">
      <w:pPr>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账  号：</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账  号：</w:t>
      </w:r>
      <w:r>
        <w:rPr>
          <w:rFonts w:hint="eastAsia" w:ascii="仿宋" w:hAnsi="仿宋" w:eastAsia="仿宋" w:cs="仿宋"/>
          <w:color w:val="000000"/>
          <w:sz w:val="24"/>
          <w:szCs w:val="24"/>
          <w:highlight w:val="none"/>
          <w:u w:val="single"/>
          <w:lang w:val="en-US" w:eastAsia="zh-CN"/>
        </w:rPr>
        <w:t xml:space="preserve">                     </w:t>
      </w:r>
    </w:p>
    <w:p w14:paraId="20E9C4F3">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邮政编码：</w:t>
      </w:r>
      <w:r>
        <w:rPr>
          <w:rFonts w:hint="eastAsia" w:ascii="仿宋" w:hAnsi="仿宋" w:eastAsia="仿宋" w:cs="仿宋"/>
          <w:color w:val="000000"/>
          <w:sz w:val="24"/>
          <w:szCs w:val="24"/>
          <w:highlight w:val="none"/>
          <w:u w:val="single"/>
        </w:rPr>
        <w:t xml:space="preserve">   </w:t>
      </w:r>
    </w:p>
    <w:p w14:paraId="52CCA759">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highlight w:val="none"/>
        </w:rPr>
        <w:br w:type="page"/>
      </w:r>
      <w:r>
        <w:rPr>
          <w:rFonts w:hint="eastAsia" w:ascii="仿宋" w:hAnsi="仿宋" w:eastAsia="仿宋" w:cs="仿宋"/>
          <w:color w:val="000000"/>
          <w:sz w:val="28"/>
          <w:szCs w:val="30"/>
        </w:rPr>
        <w:t>附</w:t>
      </w:r>
      <w:bookmarkStart w:id="1437" w:name="_Toc296944566"/>
      <w:bookmarkStart w:id="1438" w:name="_Toc296503227"/>
      <w:bookmarkStart w:id="1439" w:name="_Toc267261698"/>
      <w:bookmarkStart w:id="1440" w:name="_Toc296891267"/>
      <w:bookmarkStart w:id="1441" w:name="_Toc296347226"/>
      <w:bookmarkStart w:id="1442" w:name="_Toc296346728"/>
      <w:bookmarkStart w:id="1443" w:name="_Toc296891055"/>
      <w:r>
        <w:rPr>
          <w:rFonts w:hint="eastAsia" w:ascii="仿宋" w:hAnsi="仿宋" w:eastAsia="仿宋" w:cs="仿宋"/>
          <w:color w:val="000000"/>
          <w:sz w:val="28"/>
          <w:szCs w:val="30"/>
        </w:rPr>
        <w:t>件2：</w:t>
      </w:r>
    </w:p>
    <w:bookmarkEnd w:id="1437"/>
    <w:bookmarkEnd w:id="1438"/>
    <w:bookmarkEnd w:id="1439"/>
    <w:bookmarkEnd w:id="1440"/>
    <w:bookmarkEnd w:id="1441"/>
    <w:bookmarkEnd w:id="1442"/>
    <w:bookmarkEnd w:id="1443"/>
    <w:p w14:paraId="275C2797">
      <w:pPr>
        <w:spacing w:beforeLines="50"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EAE4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0AAF2C8E">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序号</w:t>
            </w:r>
          </w:p>
        </w:tc>
        <w:tc>
          <w:tcPr>
            <w:tcW w:w="1418" w:type="dxa"/>
            <w:tcBorders>
              <w:top w:val="single" w:color="auto" w:sz="12" w:space="0"/>
              <w:bottom w:val="double" w:color="auto" w:sz="6" w:space="0"/>
            </w:tcBorders>
            <w:vAlign w:val="center"/>
          </w:tcPr>
          <w:p w14:paraId="332E1708">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机械或设备名称</w:t>
            </w:r>
          </w:p>
        </w:tc>
        <w:tc>
          <w:tcPr>
            <w:tcW w:w="850" w:type="dxa"/>
            <w:tcBorders>
              <w:top w:val="single" w:color="auto" w:sz="12" w:space="0"/>
              <w:bottom w:val="double" w:color="auto" w:sz="6" w:space="0"/>
            </w:tcBorders>
            <w:vAlign w:val="center"/>
          </w:tcPr>
          <w:p w14:paraId="60924F4F">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规格型号</w:t>
            </w:r>
          </w:p>
        </w:tc>
        <w:tc>
          <w:tcPr>
            <w:tcW w:w="1058" w:type="dxa"/>
            <w:tcBorders>
              <w:top w:val="single" w:color="auto" w:sz="12" w:space="0"/>
              <w:bottom w:val="double" w:color="auto" w:sz="6" w:space="0"/>
            </w:tcBorders>
            <w:vAlign w:val="center"/>
          </w:tcPr>
          <w:p w14:paraId="39E68527">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数量</w:t>
            </w:r>
          </w:p>
        </w:tc>
        <w:tc>
          <w:tcPr>
            <w:tcW w:w="880" w:type="dxa"/>
            <w:tcBorders>
              <w:top w:val="single" w:color="auto" w:sz="12" w:space="0"/>
              <w:bottom w:val="double" w:color="auto" w:sz="6" w:space="0"/>
            </w:tcBorders>
            <w:vAlign w:val="center"/>
          </w:tcPr>
          <w:p w14:paraId="6E17EECA">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产地</w:t>
            </w:r>
          </w:p>
        </w:tc>
        <w:tc>
          <w:tcPr>
            <w:tcW w:w="1020" w:type="dxa"/>
            <w:tcBorders>
              <w:top w:val="single" w:color="auto" w:sz="12" w:space="0"/>
              <w:bottom w:val="double" w:color="auto" w:sz="6" w:space="0"/>
            </w:tcBorders>
            <w:vAlign w:val="center"/>
          </w:tcPr>
          <w:p w14:paraId="58155187">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制造年份</w:t>
            </w:r>
          </w:p>
        </w:tc>
        <w:tc>
          <w:tcPr>
            <w:tcW w:w="1480" w:type="dxa"/>
            <w:tcBorders>
              <w:top w:val="single" w:color="auto" w:sz="12" w:space="0"/>
              <w:bottom w:val="double" w:color="auto" w:sz="6" w:space="0"/>
            </w:tcBorders>
            <w:vAlign w:val="center"/>
          </w:tcPr>
          <w:p w14:paraId="0E1BAAC6">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额定功率(kW)</w:t>
            </w:r>
          </w:p>
        </w:tc>
        <w:tc>
          <w:tcPr>
            <w:tcW w:w="1020" w:type="dxa"/>
            <w:tcBorders>
              <w:top w:val="single" w:color="auto" w:sz="12" w:space="0"/>
              <w:bottom w:val="double" w:color="auto" w:sz="6" w:space="0"/>
            </w:tcBorders>
            <w:vAlign w:val="center"/>
          </w:tcPr>
          <w:p w14:paraId="752A162A">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生产能力</w:t>
            </w:r>
          </w:p>
        </w:tc>
        <w:tc>
          <w:tcPr>
            <w:tcW w:w="921" w:type="dxa"/>
            <w:tcBorders>
              <w:top w:val="single" w:color="auto" w:sz="12" w:space="0"/>
              <w:bottom w:val="double" w:color="auto" w:sz="6" w:space="0"/>
            </w:tcBorders>
            <w:vAlign w:val="center"/>
          </w:tcPr>
          <w:p w14:paraId="571C0254">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备注</w:t>
            </w:r>
          </w:p>
        </w:tc>
      </w:tr>
      <w:tr w14:paraId="21EFC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1D2523C8">
            <w:pPr>
              <w:pStyle w:val="23"/>
              <w:keepNext/>
              <w:spacing w:line="440" w:lineRule="exact"/>
              <w:ind w:left="63" w:right="63"/>
              <w:rPr>
                <w:rFonts w:ascii="仿宋" w:hAnsi="仿宋" w:eastAsia="仿宋" w:cs="仿宋"/>
                <w:color w:val="000000"/>
                <w:sz w:val="28"/>
                <w:szCs w:val="30"/>
              </w:rPr>
            </w:pPr>
          </w:p>
        </w:tc>
        <w:tc>
          <w:tcPr>
            <w:tcW w:w="1418" w:type="dxa"/>
            <w:tcBorders>
              <w:top w:val="double" w:color="auto" w:sz="6" w:space="0"/>
              <w:bottom w:val="single" w:color="auto" w:sz="6" w:space="0"/>
            </w:tcBorders>
            <w:vAlign w:val="center"/>
          </w:tcPr>
          <w:p w14:paraId="24D883DA">
            <w:pPr>
              <w:pStyle w:val="23"/>
              <w:keepNext/>
              <w:spacing w:line="440" w:lineRule="exact"/>
              <w:ind w:left="63" w:right="63"/>
              <w:rPr>
                <w:rFonts w:ascii="仿宋" w:hAnsi="仿宋" w:eastAsia="仿宋" w:cs="仿宋"/>
                <w:color w:val="000000"/>
                <w:sz w:val="28"/>
                <w:szCs w:val="30"/>
              </w:rPr>
            </w:pPr>
          </w:p>
        </w:tc>
        <w:tc>
          <w:tcPr>
            <w:tcW w:w="850" w:type="dxa"/>
            <w:tcBorders>
              <w:top w:val="double" w:color="auto" w:sz="6" w:space="0"/>
              <w:bottom w:val="single" w:color="auto" w:sz="6" w:space="0"/>
            </w:tcBorders>
            <w:vAlign w:val="center"/>
          </w:tcPr>
          <w:p w14:paraId="752CE016">
            <w:pPr>
              <w:pStyle w:val="23"/>
              <w:keepNext/>
              <w:spacing w:line="440" w:lineRule="exact"/>
              <w:ind w:left="63" w:right="63"/>
              <w:rPr>
                <w:rFonts w:ascii="仿宋" w:hAnsi="仿宋" w:eastAsia="仿宋" w:cs="仿宋"/>
                <w:color w:val="000000"/>
                <w:sz w:val="28"/>
                <w:szCs w:val="30"/>
              </w:rPr>
            </w:pPr>
          </w:p>
        </w:tc>
        <w:tc>
          <w:tcPr>
            <w:tcW w:w="1058" w:type="dxa"/>
            <w:tcBorders>
              <w:top w:val="double" w:color="auto" w:sz="6" w:space="0"/>
              <w:bottom w:val="single" w:color="auto" w:sz="6" w:space="0"/>
            </w:tcBorders>
            <w:vAlign w:val="center"/>
          </w:tcPr>
          <w:p w14:paraId="719CA12D">
            <w:pPr>
              <w:pStyle w:val="23"/>
              <w:keepNext/>
              <w:spacing w:line="440" w:lineRule="exact"/>
              <w:ind w:left="63" w:right="63"/>
              <w:rPr>
                <w:rFonts w:ascii="仿宋" w:hAnsi="仿宋" w:eastAsia="仿宋" w:cs="仿宋"/>
                <w:color w:val="000000"/>
                <w:sz w:val="28"/>
                <w:szCs w:val="30"/>
              </w:rPr>
            </w:pPr>
          </w:p>
        </w:tc>
        <w:tc>
          <w:tcPr>
            <w:tcW w:w="880" w:type="dxa"/>
            <w:tcBorders>
              <w:top w:val="double" w:color="auto" w:sz="6" w:space="0"/>
              <w:bottom w:val="single" w:color="auto" w:sz="6" w:space="0"/>
            </w:tcBorders>
            <w:vAlign w:val="center"/>
          </w:tcPr>
          <w:p w14:paraId="3A8962F9">
            <w:pPr>
              <w:pStyle w:val="23"/>
              <w:keepNext/>
              <w:spacing w:line="440" w:lineRule="exact"/>
              <w:ind w:left="63" w:right="63"/>
              <w:rPr>
                <w:rFonts w:ascii="仿宋" w:hAnsi="仿宋" w:eastAsia="仿宋" w:cs="仿宋"/>
                <w:color w:val="000000"/>
                <w:sz w:val="28"/>
                <w:szCs w:val="30"/>
              </w:rPr>
            </w:pPr>
          </w:p>
        </w:tc>
        <w:tc>
          <w:tcPr>
            <w:tcW w:w="1020" w:type="dxa"/>
            <w:tcBorders>
              <w:top w:val="double" w:color="auto" w:sz="6" w:space="0"/>
              <w:bottom w:val="single" w:color="auto" w:sz="6" w:space="0"/>
            </w:tcBorders>
            <w:vAlign w:val="center"/>
          </w:tcPr>
          <w:p w14:paraId="6620576A">
            <w:pPr>
              <w:pStyle w:val="23"/>
              <w:keepNext/>
              <w:spacing w:line="440" w:lineRule="exact"/>
              <w:ind w:left="63" w:right="63"/>
              <w:rPr>
                <w:rFonts w:ascii="仿宋" w:hAnsi="仿宋" w:eastAsia="仿宋" w:cs="仿宋"/>
                <w:color w:val="000000"/>
                <w:sz w:val="28"/>
                <w:szCs w:val="30"/>
              </w:rPr>
            </w:pPr>
          </w:p>
        </w:tc>
        <w:tc>
          <w:tcPr>
            <w:tcW w:w="1480" w:type="dxa"/>
            <w:tcBorders>
              <w:top w:val="double" w:color="auto" w:sz="6" w:space="0"/>
              <w:bottom w:val="single" w:color="auto" w:sz="6" w:space="0"/>
            </w:tcBorders>
            <w:vAlign w:val="center"/>
          </w:tcPr>
          <w:p w14:paraId="41F495DB">
            <w:pPr>
              <w:pStyle w:val="23"/>
              <w:keepNext/>
              <w:spacing w:line="440" w:lineRule="exact"/>
              <w:ind w:left="63" w:right="63"/>
              <w:rPr>
                <w:rFonts w:ascii="仿宋" w:hAnsi="仿宋" w:eastAsia="仿宋" w:cs="仿宋"/>
                <w:color w:val="000000"/>
                <w:sz w:val="28"/>
                <w:szCs w:val="30"/>
              </w:rPr>
            </w:pPr>
          </w:p>
        </w:tc>
        <w:tc>
          <w:tcPr>
            <w:tcW w:w="1020" w:type="dxa"/>
            <w:tcBorders>
              <w:top w:val="double" w:color="auto" w:sz="6" w:space="0"/>
              <w:bottom w:val="single" w:color="auto" w:sz="6" w:space="0"/>
            </w:tcBorders>
            <w:vAlign w:val="center"/>
          </w:tcPr>
          <w:p w14:paraId="5038C68D">
            <w:pPr>
              <w:pStyle w:val="23"/>
              <w:keepNext/>
              <w:spacing w:line="440" w:lineRule="exact"/>
              <w:ind w:left="63" w:right="63"/>
              <w:rPr>
                <w:rFonts w:ascii="仿宋" w:hAnsi="仿宋" w:eastAsia="仿宋" w:cs="仿宋"/>
                <w:color w:val="000000"/>
                <w:sz w:val="28"/>
                <w:szCs w:val="30"/>
              </w:rPr>
            </w:pPr>
          </w:p>
        </w:tc>
        <w:tc>
          <w:tcPr>
            <w:tcW w:w="921" w:type="dxa"/>
            <w:tcBorders>
              <w:top w:val="double" w:color="auto" w:sz="6" w:space="0"/>
              <w:bottom w:val="single" w:color="auto" w:sz="6" w:space="0"/>
            </w:tcBorders>
            <w:vAlign w:val="center"/>
          </w:tcPr>
          <w:p w14:paraId="7FE0CFB9">
            <w:pPr>
              <w:pStyle w:val="23"/>
              <w:keepNext/>
              <w:spacing w:line="440" w:lineRule="exact"/>
              <w:ind w:left="63" w:right="63"/>
              <w:rPr>
                <w:rFonts w:ascii="仿宋" w:hAnsi="仿宋" w:eastAsia="仿宋" w:cs="仿宋"/>
                <w:color w:val="000000"/>
                <w:sz w:val="28"/>
                <w:szCs w:val="30"/>
              </w:rPr>
            </w:pPr>
          </w:p>
        </w:tc>
      </w:tr>
      <w:tr w14:paraId="1966B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C2DE330">
            <w:pPr>
              <w:pStyle w:val="23"/>
              <w:keepNext/>
              <w:spacing w:line="440" w:lineRule="exact"/>
              <w:ind w:left="63" w:right="63"/>
              <w:rPr>
                <w:rFonts w:ascii="仿宋" w:hAnsi="仿宋" w:eastAsia="仿宋" w:cs="仿宋"/>
                <w:color w:val="000000"/>
                <w:sz w:val="28"/>
                <w:szCs w:val="30"/>
              </w:rPr>
            </w:pPr>
          </w:p>
        </w:tc>
        <w:tc>
          <w:tcPr>
            <w:tcW w:w="1418" w:type="dxa"/>
            <w:tcBorders>
              <w:top w:val="nil"/>
            </w:tcBorders>
            <w:vAlign w:val="center"/>
          </w:tcPr>
          <w:p w14:paraId="45F9EDB4">
            <w:pPr>
              <w:pStyle w:val="23"/>
              <w:keepNext/>
              <w:spacing w:line="440" w:lineRule="exact"/>
              <w:ind w:left="63" w:right="63"/>
              <w:rPr>
                <w:rFonts w:ascii="仿宋" w:hAnsi="仿宋" w:eastAsia="仿宋" w:cs="仿宋"/>
                <w:color w:val="000000"/>
                <w:sz w:val="28"/>
                <w:szCs w:val="30"/>
              </w:rPr>
            </w:pPr>
          </w:p>
        </w:tc>
        <w:tc>
          <w:tcPr>
            <w:tcW w:w="850" w:type="dxa"/>
            <w:tcBorders>
              <w:top w:val="nil"/>
            </w:tcBorders>
            <w:vAlign w:val="center"/>
          </w:tcPr>
          <w:p w14:paraId="3FB556E8">
            <w:pPr>
              <w:pStyle w:val="23"/>
              <w:keepNext/>
              <w:spacing w:line="440" w:lineRule="exact"/>
              <w:ind w:left="63" w:right="63"/>
              <w:rPr>
                <w:rFonts w:ascii="仿宋" w:hAnsi="仿宋" w:eastAsia="仿宋" w:cs="仿宋"/>
                <w:color w:val="000000"/>
                <w:sz w:val="28"/>
                <w:szCs w:val="30"/>
              </w:rPr>
            </w:pPr>
          </w:p>
        </w:tc>
        <w:tc>
          <w:tcPr>
            <w:tcW w:w="1058" w:type="dxa"/>
            <w:tcBorders>
              <w:top w:val="nil"/>
            </w:tcBorders>
            <w:vAlign w:val="center"/>
          </w:tcPr>
          <w:p w14:paraId="7A75BF97">
            <w:pPr>
              <w:pStyle w:val="23"/>
              <w:keepNext/>
              <w:spacing w:line="440" w:lineRule="exact"/>
              <w:ind w:left="63" w:right="63"/>
              <w:rPr>
                <w:rFonts w:ascii="仿宋" w:hAnsi="仿宋" w:eastAsia="仿宋" w:cs="仿宋"/>
                <w:color w:val="000000"/>
                <w:sz w:val="28"/>
                <w:szCs w:val="30"/>
              </w:rPr>
            </w:pPr>
          </w:p>
        </w:tc>
        <w:tc>
          <w:tcPr>
            <w:tcW w:w="880" w:type="dxa"/>
            <w:tcBorders>
              <w:top w:val="nil"/>
            </w:tcBorders>
            <w:vAlign w:val="center"/>
          </w:tcPr>
          <w:p w14:paraId="321CF506">
            <w:pPr>
              <w:pStyle w:val="23"/>
              <w:keepNext/>
              <w:spacing w:line="440" w:lineRule="exact"/>
              <w:ind w:left="63" w:right="63"/>
              <w:rPr>
                <w:rFonts w:ascii="仿宋" w:hAnsi="仿宋" w:eastAsia="仿宋" w:cs="仿宋"/>
                <w:color w:val="000000"/>
                <w:sz w:val="28"/>
                <w:szCs w:val="30"/>
              </w:rPr>
            </w:pPr>
          </w:p>
        </w:tc>
        <w:tc>
          <w:tcPr>
            <w:tcW w:w="1020" w:type="dxa"/>
            <w:tcBorders>
              <w:top w:val="nil"/>
            </w:tcBorders>
            <w:vAlign w:val="center"/>
          </w:tcPr>
          <w:p w14:paraId="6492CA4D">
            <w:pPr>
              <w:pStyle w:val="23"/>
              <w:keepNext/>
              <w:spacing w:line="440" w:lineRule="exact"/>
              <w:ind w:left="63" w:right="63"/>
              <w:rPr>
                <w:rFonts w:ascii="仿宋" w:hAnsi="仿宋" w:eastAsia="仿宋" w:cs="仿宋"/>
                <w:color w:val="000000"/>
                <w:sz w:val="28"/>
                <w:szCs w:val="30"/>
              </w:rPr>
            </w:pPr>
          </w:p>
        </w:tc>
        <w:tc>
          <w:tcPr>
            <w:tcW w:w="1480" w:type="dxa"/>
            <w:tcBorders>
              <w:top w:val="nil"/>
            </w:tcBorders>
            <w:vAlign w:val="center"/>
          </w:tcPr>
          <w:p w14:paraId="44E0BC11">
            <w:pPr>
              <w:pStyle w:val="23"/>
              <w:keepNext/>
              <w:spacing w:line="440" w:lineRule="exact"/>
              <w:ind w:left="63" w:right="63"/>
              <w:rPr>
                <w:rFonts w:ascii="仿宋" w:hAnsi="仿宋" w:eastAsia="仿宋" w:cs="仿宋"/>
                <w:color w:val="000000"/>
                <w:sz w:val="28"/>
                <w:szCs w:val="30"/>
              </w:rPr>
            </w:pPr>
          </w:p>
        </w:tc>
        <w:tc>
          <w:tcPr>
            <w:tcW w:w="1020" w:type="dxa"/>
            <w:tcBorders>
              <w:top w:val="nil"/>
            </w:tcBorders>
            <w:vAlign w:val="center"/>
          </w:tcPr>
          <w:p w14:paraId="4ECCECD3">
            <w:pPr>
              <w:pStyle w:val="23"/>
              <w:keepNext/>
              <w:spacing w:line="440" w:lineRule="exact"/>
              <w:ind w:left="63" w:right="63"/>
              <w:rPr>
                <w:rFonts w:ascii="仿宋" w:hAnsi="仿宋" w:eastAsia="仿宋" w:cs="仿宋"/>
                <w:color w:val="000000"/>
                <w:sz w:val="28"/>
                <w:szCs w:val="30"/>
              </w:rPr>
            </w:pPr>
          </w:p>
        </w:tc>
        <w:tc>
          <w:tcPr>
            <w:tcW w:w="921" w:type="dxa"/>
            <w:tcBorders>
              <w:top w:val="nil"/>
            </w:tcBorders>
            <w:vAlign w:val="center"/>
          </w:tcPr>
          <w:p w14:paraId="66657132">
            <w:pPr>
              <w:pStyle w:val="23"/>
              <w:keepNext/>
              <w:spacing w:line="440" w:lineRule="exact"/>
              <w:ind w:left="63" w:right="63"/>
              <w:rPr>
                <w:rFonts w:ascii="仿宋" w:hAnsi="仿宋" w:eastAsia="仿宋" w:cs="仿宋"/>
                <w:color w:val="000000"/>
                <w:sz w:val="28"/>
                <w:szCs w:val="30"/>
              </w:rPr>
            </w:pPr>
          </w:p>
        </w:tc>
      </w:tr>
      <w:tr w14:paraId="183AB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83EAE87">
            <w:pPr>
              <w:pStyle w:val="23"/>
              <w:keepNext/>
              <w:spacing w:line="440" w:lineRule="exact"/>
              <w:ind w:left="63" w:right="63"/>
              <w:rPr>
                <w:rFonts w:ascii="仿宋" w:hAnsi="仿宋" w:eastAsia="仿宋" w:cs="仿宋"/>
                <w:color w:val="000000"/>
                <w:sz w:val="28"/>
                <w:szCs w:val="30"/>
              </w:rPr>
            </w:pPr>
          </w:p>
        </w:tc>
        <w:tc>
          <w:tcPr>
            <w:tcW w:w="1418" w:type="dxa"/>
            <w:vAlign w:val="center"/>
          </w:tcPr>
          <w:p w14:paraId="7B077936">
            <w:pPr>
              <w:pStyle w:val="23"/>
              <w:keepNext/>
              <w:spacing w:line="440" w:lineRule="exact"/>
              <w:ind w:left="63" w:right="63"/>
              <w:rPr>
                <w:rFonts w:ascii="仿宋" w:hAnsi="仿宋" w:eastAsia="仿宋" w:cs="仿宋"/>
                <w:color w:val="000000"/>
                <w:sz w:val="28"/>
                <w:szCs w:val="30"/>
              </w:rPr>
            </w:pPr>
          </w:p>
        </w:tc>
        <w:tc>
          <w:tcPr>
            <w:tcW w:w="850" w:type="dxa"/>
            <w:vAlign w:val="center"/>
          </w:tcPr>
          <w:p w14:paraId="396C41A8">
            <w:pPr>
              <w:pStyle w:val="23"/>
              <w:keepNext/>
              <w:spacing w:line="440" w:lineRule="exact"/>
              <w:ind w:left="63" w:right="63"/>
              <w:rPr>
                <w:rFonts w:ascii="仿宋" w:hAnsi="仿宋" w:eastAsia="仿宋" w:cs="仿宋"/>
                <w:color w:val="000000"/>
                <w:sz w:val="28"/>
                <w:szCs w:val="30"/>
              </w:rPr>
            </w:pPr>
          </w:p>
        </w:tc>
        <w:tc>
          <w:tcPr>
            <w:tcW w:w="1058" w:type="dxa"/>
            <w:vAlign w:val="center"/>
          </w:tcPr>
          <w:p w14:paraId="015823F3">
            <w:pPr>
              <w:pStyle w:val="23"/>
              <w:keepNext/>
              <w:spacing w:line="440" w:lineRule="exact"/>
              <w:ind w:left="63" w:right="63"/>
              <w:rPr>
                <w:rFonts w:ascii="仿宋" w:hAnsi="仿宋" w:eastAsia="仿宋" w:cs="仿宋"/>
                <w:color w:val="000000"/>
                <w:sz w:val="28"/>
                <w:szCs w:val="30"/>
              </w:rPr>
            </w:pPr>
          </w:p>
        </w:tc>
        <w:tc>
          <w:tcPr>
            <w:tcW w:w="880" w:type="dxa"/>
            <w:vAlign w:val="center"/>
          </w:tcPr>
          <w:p w14:paraId="09A4141F">
            <w:pPr>
              <w:pStyle w:val="23"/>
              <w:keepNext/>
              <w:spacing w:line="440" w:lineRule="exact"/>
              <w:ind w:left="63" w:right="63"/>
              <w:rPr>
                <w:rFonts w:ascii="仿宋" w:hAnsi="仿宋" w:eastAsia="仿宋" w:cs="仿宋"/>
                <w:color w:val="000000"/>
                <w:sz w:val="28"/>
                <w:szCs w:val="30"/>
              </w:rPr>
            </w:pPr>
          </w:p>
        </w:tc>
        <w:tc>
          <w:tcPr>
            <w:tcW w:w="1020" w:type="dxa"/>
            <w:vAlign w:val="center"/>
          </w:tcPr>
          <w:p w14:paraId="3C2CC8E6">
            <w:pPr>
              <w:pStyle w:val="23"/>
              <w:keepNext/>
              <w:spacing w:line="440" w:lineRule="exact"/>
              <w:ind w:left="63" w:right="63"/>
              <w:rPr>
                <w:rFonts w:ascii="仿宋" w:hAnsi="仿宋" w:eastAsia="仿宋" w:cs="仿宋"/>
                <w:color w:val="000000"/>
                <w:sz w:val="28"/>
                <w:szCs w:val="30"/>
              </w:rPr>
            </w:pPr>
          </w:p>
        </w:tc>
        <w:tc>
          <w:tcPr>
            <w:tcW w:w="1480" w:type="dxa"/>
            <w:vAlign w:val="center"/>
          </w:tcPr>
          <w:p w14:paraId="3B5BC442">
            <w:pPr>
              <w:pStyle w:val="23"/>
              <w:keepNext/>
              <w:spacing w:line="440" w:lineRule="exact"/>
              <w:ind w:left="63" w:right="63"/>
              <w:rPr>
                <w:rFonts w:ascii="仿宋" w:hAnsi="仿宋" w:eastAsia="仿宋" w:cs="仿宋"/>
                <w:color w:val="000000"/>
                <w:sz w:val="28"/>
                <w:szCs w:val="30"/>
              </w:rPr>
            </w:pPr>
          </w:p>
        </w:tc>
        <w:tc>
          <w:tcPr>
            <w:tcW w:w="1020" w:type="dxa"/>
            <w:vAlign w:val="center"/>
          </w:tcPr>
          <w:p w14:paraId="75B5357F">
            <w:pPr>
              <w:pStyle w:val="23"/>
              <w:keepNext/>
              <w:spacing w:line="440" w:lineRule="exact"/>
              <w:ind w:left="63" w:right="63"/>
              <w:rPr>
                <w:rFonts w:ascii="仿宋" w:hAnsi="仿宋" w:eastAsia="仿宋" w:cs="仿宋"/>
                <w:color w:val="000000"/>
                <w:sz w:val="28"/>
                <w:szCs w:val="30"/>
              </w:rPr>
            </w:pPr>
          </w:p>
        </w:tc>
        <w:tc>
          <w:tcPr>
            <w:tcW w:w="921" w:type="dxa"/>
            <w:vAlign w:val="center"/>
          </w:tcPr>
          <w:p w14:paraId="3D8424F2">
            <w:pPr>
              <w:pStyle w:val="23"/>
              <w:keepNext/>
              <w:spacing w:line="440" w:lineRule="exact"/>
              <w:ind w:left="63" w:right="63"/>
              <w:rPr>
                <w:rFonts w:ascii="仿宋" w:hAnsi="仿宋" w:eastAsia="仿宋" w:cs="仿宋"/>
                <w:color w:val="000000"/>
                <w:sz w:val="28"/>
                <w:szCs w:val="30"/>
              </w:rPr>
            </w:pPr>
          </w:p>
        </w:tc>
      </w:tr>
      <w:tr w14:paraId="7CC1C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894DC3C">
            <w:pPr>
              <w:pStyle w:val="23"/>
              <w:keepNext/>
              <w:spacing w:line="440" w:lineRule="exact"/>
              <w:ind w:left="63" w:right="63"/>
              <w:rPr>
                <w:rFonts w:ascii="仿宋" w:hAnsi="仿宋" w:eastAsia="仿宋" w:cs="仿宋"/>
                <w:color w:val="000000"/>
                <w:sz w:val="28"/>
                <w:szCs w:val="30"/>
              </w:rPr>
            </w:pPr>
          </w:p>
        </w:tc>
        <w:tc>
          <w:tcPr>
            <w:tcW w:w="1418" w:type="dxa"/>
            <w:vAlign w:val="center"/>
          </w:tcPr>
          <w:p w14:paraId="5CA81105">
            <w:pPr>
              <w:pStyle w:val="23"/>
              <w:keepNext/>
              <w:spacing w:line="440" w:lineRule="exact"/>
              <w:ind w:left="63" w:right="63"/>
              <w:rPr>
                <w:rFonts w:ascii="仿宋" w:hAnsi="仿宋" w:eastAsia="仿宋" w:cs="仿宋"/>
                <w:color w:val="000000"/>
                <w:sz w:val="28"/>
                <w:szCs w:val="30"/>
              </w:rPr>
            </w:pPr>
          </w:p>
        </w:tc>
        <w:tc>
          <w:tcPr>
            <w:tcW w:w="850" w:type="dxa"/>
            <w:vAlign w:val="center"/>
          </w:tcPr>
          <w:p w14:paraId="7D59EB34">
            <w:pPr>
              <w:pStyle w:val="23"/>
              <w:keepNext/>
              <w:spacing w:line="440" w:lineRule="exact"/>
              <w:ind w:left="63" w:right="63"/>
              <w:rPr>
                <w:rFonts w:ascii="仿宋" w:hAnsi="仿宋" w:eastAsia="仿宋" w:cs="仿宋"/>
                <w:color w:val="000000"/>
                <w:sz w:val="28"/>
                <w:szCs w:val="30"/>
              </w:rPr>
            </w:pPr>
          </w:p>
        </w:tc>
        <w:tc>
          <w:tcPr>
            <w:tcW w:w="1058" w:type="dxa"/>
            <w:vAlign w:val="center"/>
          </w:tcPr>
          <w:p w14:paraId="1A30AB1B">
            <w:pPr>
              <w:pStyle w:val="23"/>
              <w:keepNext/>
              <w:spacing w:line="440" w:lineRule="exact"/>
              <w:ind w:left="63" w:right="63"/>
              <w:rPr>
                <w:rFonts w:ascii="仿宋" w:hAnsi="仿宋" w:eastAsia="仿宋" w:cs="仿宋"/>
                <w:color w:val="000000"/>
                <w:sz w:val="28"/>
                <w:szCs w:val="30"/>
              </w:rPr>
            </w:pPr>
          </w:p>
        </w:tc>
        <w:tc>
          <w:tcPr>
            <w:tcW w:w="880" w:type="dxa"/>
            <w:vAlign w:val="center"/>
          </w:tcPr>
          <w:p w14:paraId="0387806C">
            <w:pPr>
              <w:pStyle w:val="23"/>
              <w:keepNext/>
              <w:spacing w:line="440" w:lineRule="exact"/>
              <w:ind w:left="63" w:right="63"/>
              <w:rPr>
                <w:rFonts w:ascii="仿宋" w:hAnsi="仿宋" w:eastAsia="仿宋" w:cs="仿宋"/>
                <w:color w:val="000000"/>
                <w:sz w:val="28"/>
                <w:szCs w:val="30"/>
              </w:rPr>
            </w:pPr>
          </w:p>
        </w:tc>
        <w:tc>
          <w:tcPr>
            <w:tcW w:w="1020" w:type="dxa"/>
            <w:vAlign w:val="center"/>
          </w:tcPr>
          <w:p w14:paraId="770F6304">
            <w:pPr>
              <w:pStyle w:val="23"/>
              <w:keepNext/>
              <w:spacing w:line="440" w:lineRule="exact"/>
              <w:ind w:left="63" w:right="63"/>
              <w:rPr>
                <w:rFonts w:ascii="仿宋" w:hAnsi="仿宋" w:eastAsia="仿宋" w:cs="仿宋"/>
                <w:color w:val="000000"/>
                <w:sz w:val="28"/>
                <w:szCs w:val="30"/>
              </w:rPr>
            </w:pPr>
          </w:p>
        </w:tc>
        <w:tc>
          <w:tcPr>
            <w:tcW w:w="1480" w:type="dxa"/>
            <w:vAlign w:val="center"/>
          </w:tcPr>
          <w:p w14:paraId="47DEE6E5">
            <w:pPr>
              <w:pStyle w:val="23"/>
              <w:keepNext/>
              <w:spacing w:line="440" w:lineRule="exact"/>
              <w:ind w:left="63" w:right="63"/>
              <w:rPr>
                <w:rFonts w:ascii="仿宋" w:hAnsi="仿宋" w:eastAsia="仿宋" w:cs="仿宋"/>
                <w:color w:val="000000"/>
                <w:sz w:val="28"/>
                <w:szCs w:val="30"/>
              </w:rPr>
            </w:pPr>
          </w:p>
        </w:tc>
        <w:tc>
          <w:tcPr>
            <w:tcW w:w="1020" w:type="dxa"/>
            <w:vAlign w:val="center"/>
          </w:tcPr>
          <w:p w14:paraId="1DF23A97">
            <w:pPr>
              <w:pStyle w:val="23"/>
              <w:keepNext/>
              <w:spacing w:line="440" w:lineRule="exact"/>
              <w:ind w:left="63" w:right="63"/>
              <w:rPr>
                <w:rFonts w:ascii="仿宋" w:hAnsi="仿宋" w:eastAsia="仿宋" w:cs="仿宋"/>
                <w:color w:val="000000"/>
                <w:sz w:val="28"/>
                <w:szCs w:val="30"/>
              </w:rPr>
            </w:pPr>
          </w:p>
        </w:tc>
        <w:tc>
          <w:tcPr>
            <w:tcW w:w="921" w:type="dxa"/>
            <w:vAlign w:val="center"/>
          </w:tcPr>
          <w:p w14:paraId="6ABD71A0">
            <w:pPr>
              <w:pStyle w:val="23"/>
              <w:keepNext/>
              <w:spacing w:line="440" w:lineRule="exact"/>
              <w:ind w:left="63" w:right="63"/>
              <w:rPr>
                <w:rFonts w:ascii="仿宋" w:hAnsi="仿宋" w:eastAsia="仿宋" w:cs="仿宋"/>
                <w:color w:val="000000"/>
                <w:sz w:val="28"/>
                <w:szCs w:val="30"/>
              </w:rPr>
            </w:pPr>
          </w:p>
        </w:tc>
      </w:tr>
      <w:tr w14:paraId="60F1B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6A7710B">
            <w:pPr>
              <w:pStyle w:val="23"/>
              <w:keepNext/>
              <w:spacing w:line="440" w:lineRule="exact"/>
              <w:ind w:left="63" w:right="63"/>
              <w:rPr>
                <w:rFonts w:ascii="仿宋" w:hAnsi="仿宋" w:eastAsia="仿宋" w:cs="仿宋"/>
                <w:color w:val="000000"/>
                <w:sz w:val="28"/>
                <w:szCs w:val="30"/>
              </w:rPr>
            </w:pPr>
          </w:p>
        </w:tc>
        <w:tc>
          <w:tcPr>
            <w:tcW w:w="1418" w:type="dxa"/>
            <w:vAlign w:val="center"/>
          </w:tcPr>
          <w:p w14:paraId="0B02B4AA">
            <w:pPr>
              <w:pStyle w:val="23"/>
              <w:keepNext/>
              <w:spacing w:line="440" w:lineRule="exact"/>
              <w:ind w:left="63" w:right="63"/>
              <w:rPr>
                <w:rFonts w:ascii="仿宋" w:hAnsi="仿宋" w:eastAsia="仿宋" w:cs="仿宋"/>
                <w:color w:val="000000"/>
                <w:sz w:val="28"/>
                <w:szCs w:val="30"/>
              </w:rPr>
            </w:pPr>
          </w:p>
        </w:tc>
        <w:tc>
          <w:tcPr>
            <w:tcW w:w="850" w:type="dxa"/>
            <w:vAlign w:val="center"/>
          </w:tcPr>
          <w:p w14:paraId="0087CA19">
            <w:pPr>
              <w:pStyle w:val="23"/>
              <w:keepNext/>
              <w:spacing w:line="440" w:lineRule="exact"/>
              <w:ind w:left="63" w:right="63"/>
              <w:rPr>
                <w:rFonts w:ascii="仿宋" w:hAnsi="仿宋" w:eastAsia="仿宋" w:cs="仿宋"/>
                <w:color w:val="000000"/>
                <w:sz w:val="28"/>
                <w:szCs w:val="30"/>
              </w:rPr>
            </w:pPr>
          </w:p>
        </w:tc>
        <w:tc>
          <w:tcPr>
            <w:tcW w:w="1058" w:type="dxa"/>
            <w:vAlign w:val="center"/>
          </w:tcPr>
          <w:p w14:paraId="26024F3C">
            <w:pPr>
              <w:pStyle w:val="23"/>
              <w:keepNext/>
              <w:spacing w:line="440" w:lineRule="exact"/>
              <w:ind w:left="63" w:right="63"/>
              <w:rPr>
                <w:rFonts w:ascii="仿宋" w:hAnsi="仿宋" w:eastAsia="仿宋" w:cs="仿宋"/>
                <w:color w:val="000000"/>
                <w:sz w:val="28"/>
                <w:szCs w:val="30"/>
              </w:rPr>
            </w:pPr>
          </w:p>
        </w:tc>
        <w:tc>
          <w:tcPr>
            <w:tcW w:w="880" w:type="dxa"/>
            <w:vAlign w:val="center"/>
          </w:tcPr>
          <w:p w14:paraId="0CC09A2F">
            <w:pPr>
              <w:pStyle w:val="23"/>
              <w:keepNext/>
              <w:spacing w:line="440" w:lineRule="exact"/>
              <w:ind w:left="63" w:right="63"/>
              <w:rPr>
                <w:rFonts w:ascii="仿宋" w:hAnsi="仿宋" w:eastAsia="仿宋" w:cs="仿宋"/>
                <w:color w:val="000000"/>
                <w:sz w:val="28"/>
                <w:szCs w:val="30"/>
              </w:rPr>
            </w:pPr>
          </w:p>
        </w:tc>
        <w:tc>
          <w:tcPr>
            <w:tcW w:w="1020" w:type="dxa"/>
            <w:vAlign w:val="center"/>
          </w:tcPr>
          <w:p w14:paraId="07BF0547">
            <w:pPr>
              <w:pStyle w:val="23"/>
              <w:keepNext/>
              <w:spacing w:line="440" w:lineRule="exact"/>
              <w:ind w:left="63" w:right="63"/>
              <w:rPr>
                <w:rFonts w:ascii="仿宋" w:hAnsi="仿宋" w:eastAsia="仿宋" w:cs="仿宋"/>
                <w:color w:val="000000"/>
                <w:sz w:val="28"/>
                <w:szCs w:val="30"/>
              </w:rPr>
            </w:pPr>
          </w:p>
        </w:tc>
        <w:tc>
          <w:tcPr>
            <w:tcW w:w="1480" w:type="dxa"/>
            <w:vAlign w:val="center"/>
          </w:tcPr>
          <w:p w14:paraId="5498CE90">
            <w:pPr>
              <w:pStyle w:val="23"/>
              <w:keepNext/>
              <w:spacing w:line="440" w:lineRule="exact"/>
              <w:ind w:left="63" w:right="63"/>
              <w:rPr>
                <w:rFonts w:ascii="仿宋" w:hAnsi="仿宋" w:eastAsia="仿宋" w:cs="仿宋"/>
                <w:color w:val="000000"/>
                <w:sz w:val="28"/>
                <w:szCs w:val="30"/>
              </w:rPr>
            </w:pPr>
          </w:p>
        </w:tc>
        <w:tc>
          <w:tcPr>
            <w:tcW w:w="1020" w:type="dxa"/>
            <w:vAlign w:val="center"/>
          </w:tcPr>
          <w:p w14:paraId="72621891">
            <w:pPr>
              <w:pStyle w:val="23"/>
              <w:keepNext/>
              <w:spacing w:line="440" w:lineRule="exact"/>
              <w:ind w:left="63" w:right="63"/>
              <w:rPr>
                <w:rFonts w:ascii="仿宋" w:hAnsi="仿宋" w:eastAsia="仿宋" w:cs="仿宋"/>
                <w:color w:val="000000"/>
                <w:sz w:val="28"/>
                <w:szCs w:val="30"/>
              </w:rPr>
            </w:pPr>
          </w:p>
        </w:tc>
        <w:tc>
          <w:tcPr>
            <w:tcW w:w="921" w:type="dxa"/>
            <w:vAlign w:val="center"/>
          </w:tcPr>
          <w:p w14:paraId="165F5507">
            <w:pPr>
              <w:pStyle w:val="23"/>
              <w:keepNext/>
              <w:spacing w:line="440" w:lineRule="exact"/>
              <w:ind w:left="63" w:right="63"/>
              <w:rPr>
                <w:rFonts w:ascii="仿宋" w:hAnsi="仿宋" w:eastAsia="仿宋" w:cs="仿宋"/>
                <w:color w:val="000000"/>
                <w:sz w:val="28"/>
                <w:szCs w:val="30"/>
              </w:rPr>
            </w:pPr>
          </w:p>
        </w:tc>
      </w:tr>
      <w:tr w14:paraId="11657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3185C8E">
            <w:pPr>
              <w:pStyle w:val="23"/>
              <w:keepNext/>
              <w:spacing w:line="440" w:lineRule="exact"/>
              <w:ind w:left="63" w:right="63"/>
              <w:rPr>
                <w:rFonts w:ascii="仿宋" w:hAnsi="仿宋" w:eastAsia="仿宋" w:cs="仿宋"/>
                <w:color w:val="000000"/>
                <w:sz w:val="28"/>
                <w:szCs w:val="30"/>
              </w:rPr>
            </w:pPr>
          </w:p>
        </w:tc>
        <w:tc>
          <w:tcPr>
            <w:tcW w:w="1418" w:type="dxa"/>
            <w:vAlign w:val="center"/>
          </w:tcPr>
          <w:p w14:paraId="03E651B1">
            <w:pPr>
              <w:pStyle w:val="23"/>
              <w:keepNext/>
              <w:spacing w:line="440" w:lineRule="exact"/>
              <w:ind w:left="63" w:right="63"/>
              <w:rPr>
                <w:rFonts w:ascii="仿宋" w:hAnsi="仿宋" w:eastAsia="仿宋" w:cs="仿宋"/>
                <w:color w:val="000000"/>
                <w:sz w:val="28"/>
                <w:szCs w:val="30"/>
              </w:rPr>
            </w:pPr>
          </w:p>
        </w:tc>
        <w:tc>
          <w:tcPr>
            <w:tcW w:w="850" w:type="dxa"/>
            <w:vAlign w:val="center"/>
          </w:tcPr>
          <w:p w14:paraId="51FECDE5">
            <w:pPr>
              <w:pStyle w:val="23"/>
              <w:keepNext/>
              <w:spacing w:line="440" w:lineRule="exact"/>
              <w:ind w:left="63" w:right="63"/>
              <w:rPr>
                <w:rFonts w:ascii="仿宋" w:hAnsi="仿宋" w:eastAsia="仿宋" w:cs="仿宋"/>
                <w:color w:val="000000"/>
                <w:sz w:val="28"/>
                <w:szCs w:val="30"/>
              </w:rPr>
            </w:pPr>
          </w:p>
        </w:tc>
        <w:tc>
          <w:tcPr>
            <w:tcW w:w="1058" w:type="dxa"/>
            <w:vAlign w:val="center"/>
          </w:tcPr>
          <w:p w14:paraId="6F3B785A">
            <w:pPr>
              <w:pStyle w:val="23"/>
              <w:keepNext/>
              <w:spacing w:line="440" w:lineRule="exact"/>
              <w:ind w:left="63" w:right="63"/>
              <w:rPr>
                <w:rFonts w:ascii="仿宋" w:hAnsi="仿宋" w:eastAsia="仿宋" w:cs="仿宋"/>
                <w:color w:val="000000"/>
                <w:sz w:val="28"/>
                <w:szCs w:val="30"/>
              </w:rPr>
            </w:pPr>
          </w:p>
        </w:tc>
        <w:tc>
          <w:tcPr>
            <w:tcW w:w="880" w:type="dxa"/>
            <w:vAlign w:val="center"/>
          </w:tcPr>
          <w:p w14:paraId="385AD094">
            <w:pPr>
              <w:pStyle w:val="23"/>
              <w:keepNext/>
              <w:spacing w:line="440" w:lineRule="exact"/>
              <w:ind w:left="63" w:right="63"/>
              <w:rPr>
                <w:rFonts w:ascii="仿宋" w:hAnsi="仿宋" w:eastAsia="仿宋" w:cs="仿宋"/>
                <w:color w:val="000000"/>
                <w:sz w:val="28"/>
                <w:szCs w:val="30"/>
              </w:rPr>
            </w:pPr>
          </w:p>
        </w:tc>
        <w:tc>
          <w:tcPr>
            <w:tcW w:w="1020" w:type="dxa"/>
            <w:vAlign w:val="center"/>
          </w:tcPr>
          <w:p w14:paraId="54DF41BD">
            <w:pPr>
              <w:pStyle w:val="23"/>
              <w:keepNext/>
              <w:spacing w:line="440" w:lineRule="exact"/>
              <w:ind w:left="63" w:right="63"/>
              <w:rPr>
                <w:rFonts w:ascii="仿宋" w:hAnsi="仿宋" w:eastAsia="仿宋" w:cs="仿宋"/>
                <w:color w:val="000000"/>
                <w:sz w:val="28"/>
                <w:szCs w:val="30"/>
              </w:rPr>
            </w:pPr>
          </w:p>
        </w:tc>
        <w:tc>
          <w:tcPr>
            <w:tcW w:w="1480" w:type="dxa"/>
            <w:vAlign w:val="center"/>
          </w:tcPr>
          <w:p w14:paraId="233B0B2B">
            <w:pPr>
              <w:pStyle w:val="23"/>
              <w:keepNext/>
              <w:spacing w:line="440" w:lineRule="exact"/>
              <w:ind w:left="63" w:right="63"/>
              <w:rPr>
                <w:rFonts w:ascii="仿宋" w:hAnsi="仿宋" w:eastAsia="仿宋" w:cs="仿宋"/>
                <w:color w:val="000000"/>
                <w:sz w:val="28"/>
                <w:szCs w:val="30"/>
              </w:rPr>
            </w:pPr>
          </w:p>
        </w:tc>
        <w:tc>
          <w:tcPr>
            <w:tcW w:w="1020" w:type="dxa"/>
            <w:vAlign w:val="center"/>
          </w:tcPr>
          <w:p w14:paraId="5B0638A5">
            <w:pPr>
              <w:pStyle w:val="23"/>
              <w:keepNext/>
              <w:spacing w:line="440" w:lineRule="exact"/>
              <w:ind w:left="63" w:right="63"/>
              <w:rPr>
                <w:rFonts w:ascii="仿宋" w:hAnsi="仿宋" w:eastAsia="仿宋" w:cs="仿宋"/>
                <w:color w:val="000000"/>
                <w:sz w:val="28"/>
                <w:szCs w:val="30"/>
              </w:rPr>
            </w:pPr>
          </w:p>
        </w:tc>
        <w:tc>
          <w:tcPr>
            <w:tcW w:w="921" w:type="dxa"/>
            <w:vAlign w:val="center"/>
          </w:tcPr>
          <w:p w14:paraId="1F68F399">
            <w:pPr>
              <w:pStyle w:val="23"/>
              <w:keepNext/>
              <w:spacing w:line="440" w:lineRule="exact"/>
              <w:ind w:left="63" w:right="63"/>
              <w:rPr>
                <w:rFonts w:ascii="仿宋" w:hAnsi="仿宋" w:eastAsia="仿宋" w:cs="仿宋"/>
                <w:color w:val="000000"/>
                <w:sz w:val="28"/>
                <w:szCs w:val="30"/>
              </w:rPr>
            </w:pPr>
          </w:p>
        </w:tc>
      </w:tr>
      <w:tr w14:paraId="665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D673F1B">
            <w:pPr>
              <w:pStyle w:val="23"/>
              <w:keepNext/>
              <w:spacing w:line="440" w:lineRule="exact"/>
              <w:ind w:left="63" w:right="63"/>
              <w:rPr>
                <w:rFonts w:ascii="仿宋" w:hAnsi="仿宋" w:eastAsia="仿宋" w:cs="仿宋"/>
                <w:color w:val="000000"/>
                <w:sz w:val="28"/>
                <w:szCs w:val="30"/>
              </w:rPr>
            </w:pPr>
          </w:p>
        </w:tc>
        <w:tc>
          <w:tcPr>
            <w:tcW w:w="1418" w:type="dxa"/>
            <w:vAlign w:val="center"/>
          </w:tcPr>
          <w:p w14:paraId="61997656">
            <w:pPr>
              <w:pStyle w:val="23"/>
              <w:keepNext/>
              <w:spacing w:line="440" w:lineRule="exact"/>
              <w:ind w:left="63" w:right="63"/>
              <w:rPr>
                <w:rFonts w:ascii="仿宋" w:hAnsi="仿宋" w:eastAsia="仿宋" w:cs="仿宋"/>
                <w:color w:val="000000"/>
                <w:sz w:val="28"/>
                <w:szCs w:val="30"/>
              </w:rPr>
            </w:pPr>
          </w:p>
        </w:tc>
        <w:tc>
          <w:tcPr>
            <w:tcW w:w="850" w:type="dxa"/>
            <w:vAlign w:val="center"/>
          </w:tcPr>
          <w:p w14:paraId="326B9FC5">
            <w:pPr>
              <w:pStyle w:val="23"/>
              <w:keepNext/>
              <w:spacing w:line="440" w:lineRule="exact"/>
              <w:ind w:left="63" w:right="63"/>
              <w:rPr>
                <w:rFonts w:ascii="仿宋" w:hAnsi="仿宋" w:eastAsia="仿宋" w:cs="仿宋"/>
                <w:color w:val="000000"/>
                <w:sz w:val="28"/>
                <w:szCs w:val="30"/>
              </w:rPr>
            </w:pPr>
          </w:p>
        </w:tc>
        <w:tc>
          <w:tcPr>
            <w:tcW w:w="1058" w:type="dxa"/>
            <w:vAlign w:val="center"/>
          </w:tcPr>
          <w:p w14:paraId="413949A7">
            <w:pPr>
              <w:pStyle w:val="23"/>
              <w:keepNext/>
              <w:spacing w:line="440" w:lineRule="exact"/>
              <w:ind w:left="63" w:right="63"/>
              <w:rPr>
                <w:rFonts w:ascii="仿宋" w:hAnsi="仿宋" w:eastAsia="仿宋" w:cs="仿宋"/>
                <w:color w:val="000000"/>
                <w:sz w:val="28"/>
                <w:szCs w:val="30"/>
              </w:rPr>
            </w:pPr>
          </w:p>
        </w:tc>
        <w:tc>
          <w:tcPr>
            <w:tcW w:w="880" w:type="dxa"/>
            <w:vAlign w:val="center"/>
          </w:tcPr>
          <w:p w14:paraId="5723812D">
            <w:pPr>
              <w:pStyle w:val="23"/>
              <w:keepNext/>
              <w:spacing w:line="440" w:lineRule="exact"/>
              <w:ind w:left="63" w:right="63"/>
              <w:rPr>
                <w:rFonts w:ascii="仿宋" w:hAnsi="仿宋" w:eastAsia="仿宋" w:cs="仿宋"/>
                <w:color w:val="000000"/>
                <w:sz w:val="28"/>
                <w:szCs w:val="30"/>
              </w:rPr>
            </w:pPr>
          </w:p>
        </w:tc>
        <w:tc>
          <w:tcPr>
            <w:tcW w:w="1020" w:type="dxa"/>
            <w:vAlign w:val="center"/>
          </w:tcPr>
          <w:p w14:paraId="2B44FF03">
            <w:pPr>
              <w:pStyle w:val="23"/>
              <w:keepNext/>
              <w:spacing w:line="440" w:lineRule="exact"/>
              <w:ind w:left="63" w:right="63"/>
              <w:rPr>
                <w:rFonts w:ascii="仿宋" w:hAnsi="仿宋" w:eastAsia="仿宋" w:cs="仿宋"/>
                <w:color w:val="000000"/>
                <w:sz w:val="28"/>
                <w:szCs w:val="30"/>
              </w:rPr>
            </w:pPr>
          </w:p>
        </w:tc>
        <w:tc>
          <w:tcPr>
            <w:tcW w:w="1480" w:type="dxa"/>
            <w:vAlign w:val="center"/>
          </w:tcPr>
          <w:p w14:paraId="36C4B7C2">
            <w:pPr>
              <w:pStyle w:val="23"/>
              <w:keepNext/>
              <w:spacing w:line="440" w:lineRule="exact"/>
              <w:ind w:left="63" w:right="63"/>
              <w:rPr>
                <w:rFonts w:ascii="仿宋" w:hAnsi="仿宋" w:eastAsia="仿宋" w:cs="仿宋"/>
                <w:color w:val="000000"/>
                <w:sz w:val="28"/>
                <w:szCs w:val="30"/>
              </w:rPr>
            </w:pPr>
          </w:p>
        </w:tc>
        <w:tc>
          <w:tcPr>
            <w:tcW w:w="1020" w:type="dxa"/>
            <w:vAlign w:val="center"/>
          </w:tcPr>
          <w:p w14:paraId="14EB0219">
            <w:pPr>
              <w:pStyle w:val="23"/>
              <w:keepNext/>
              <w:spacing w:line="440" w:lineRule="exact"/>
              <w:ind w:left="63" w:right="63"/>
              <w:rPr>
                <w:rFonts w:ascii="仿宋" w:hAnsi="仿宋" w:eastAsia="仿宋" w:cs="仿宋"/>
                <w:color w:val="000000"/>
                <w:sz w:val="28"/>
                <w:szCs w:val="30"/>
              </w:rPr>
            </w:pPr>
          </w:p>
        </w:tc>
        <w:tc>
          <w:tcPr>
            <w:tcW w:w="921" w:type="dxa"/>
            <w:vAlign w:val="center"/>
          </w:tcPr>
          <w:p w14:paraId="2C81870C">
            <w:pPr>
              <w:pStyle w:val="23"/>
              <w:keepNext/>
              <w:spacing w:line="440" w:lineRule="exact"/>
              <w:ind w:left="63" w:right="63"/>
              <w:rPr>
                <w:rFonts w:ascii="仿宋" w:hAnsi="仿宋" w:eastAsia="仿宋" w:cs="仿宋"/>
                <w:color w:val="000000"/>
                <w:sz w:val="28"/>
                <w:szCs w:val="30"/>
              </w:rPr>
            </w:pPr>
          </w:p>
        </w:tc>
      </w:tr>
      <w:tr w14:paraId="2D8C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6DD0206">
            <w:pPr>
              <w:pStyle w:val="23"/>
              <w:keepNext/>
              <w:spacing w:line="440" w:lineRule="exact"/>
              <w:ind w:left="63" w:right="63"/>
              <w:rPr>
                <w:rFonts w:ascii="仿宋" w:hAnsi="仿宋" w:eastAsia="仿宋" w:cs="仿宋"/>
                <w:color w:val="000000"/>
                <w:sz w:val="28"/>
                <w:szCs w:val="30"/>
              </w:rPr>
            </w:pPr>
          </w:p>
        </w:tc>
        <w:tc>
          <w:tcPr>
            <w:tcW w:w="1418" w:type="dxa"/>
            <w:vAlign w:val="center"/>
          </w:tcPr>
          <w:p w14:paraId="10FAC535">
            <w:pPr>
              <w:pStyle w:val="23"/>
              <w:keepNext/>
              <w:spacing w:line="440" w:lineRule="exact"/>
              <w:ind w:left="63" w:right="63"/>
              <w:rPr>
                <w:rFonts w:ascii="仿宋" w:hAnsi="仿宋" w:eastAsia="仿宋" w:cs="仿宋"/>
                <w:color w:val="000000"/>
                <w:sz w:val="28"/>
                <w:szCs w:val="30"/>
              </w:rPr>
            </w:pPr>
          </w:p>
        </w:tc>
        <w:tc>
          <w:tcPr>
            <w:tcW w:w="850" w:type="dxa"/>
            <w:vAlign w:val="center"/>
          </w:tcPr>
          <w:p w14:paraId="07B74C7F">
            <w:pPr>
              <w:pStyle w:val="23"/>
              <w:keepNext/>
              <w:spacing w:line="440" w:lineRule="exact"/>
              <w:ind w:left="63" w:right="63"/>
              <w:rPr>
                <w:rFonts w:ascii="仿宋" w:hAnsi="仿宋" w:eastAsia="仿宋" w:cs="仿宋"/>
                <w:color w:val="000000"/>
                <w:sz w:val="28"/>
                <w:szCs w:val="30"/>
              </w:rPr>
            </w:pPr>
          </w:p>
        </w:tc>
        <w:tc>
          <w:tcPr>
            <w:tcW w:w="1058" w:type="dxa"/>
            <w:vAlign w:val="center"/>
          </w:tcPr>
          <w:p w14:paraId="4E7DC408">
            <w:pPr>
              <w:pStyle w:val="23"/>
              <w:keepNext/>
              <w:spacing w:line="440" w:lineRule="exact"/>
              <w:ind w:left="63" w:right="63"/>
              <w:rPr>
                <w:rFonts w:ascii="仿宋" w:hAnsi="仿宋" w:eastAsia="仿宋" w:cs="仿宋"/>
                <w:color w:val="000000"/>
                <w:sz w:val="28"/>
                <w:szCs w:val="30"/>
              </w:rPr>
            </w:pPr>
          </w:p>
        </w:tc>
        <w:tc>
          <w:tcPr>
            <w:tcW w:w="880" w:type="dxa"/>
            <w:vAlign w:val="center"/>
          </w:tcPr>
          <w:p w14:paraId="3A1F603C">
            <w:pPr>
              <w:pStyle w:val="23"/>
              <w:keepNext/>
              <w:spacing w:line="440" w:lineRule="exact"/>
              <w:ind w:left="63" w:right="63"/>
              <w:rPr>
                <w:rFonts w:ascii="仿宋" w:hAnsi="仿宋" w:eastAsia="仿宋" w:cs="仿宋"/>
                <w:color w:val="000000"/>
                <w:sz w:val="28"/>
                <w:szCs w:val="30"/>
              </w:rPr>
            </w:pPr>
          </w:p>
        </w:tc>
        <w:tc>
          <w:tcPr>
            <w:tcW w:w="1020" w:type="dxa"/>
            <w:vAlign w:val="center"/>
          </w:tcPr>
          <w:p w14:paraId="11CBFE52">
            <w:pPr>
              <w:pStyle w:val="23"/>
              <w:keepNext/>
              <w:spacing w:line="440" w:lineRule="exact"/>
              <w:ind w:left="63" w:right="63"/>
              <w:rPr>
                <w:rFonts w:ascii="仿宋" w:hAnsi="仿宋" w:eastAsia="仿宋" w:cs="仿宋"/>
                <w:color w:val="000000"/>
                <w:sz w:val="28"/>
                <w:szCs w:val="30"/>
              </w:rPr>
            </w:pPr>
          </w:p>
        </w:tc>
        <w:tc>
          <w:tcPr>
            <w:tcW w:w="1480" w:type="dxa"/>
            <w:vAlign w:val="center"/>
          </w:tcPr>
          <w:p w14:paraId="6810FB62">
            <w:pPr>
              <w:pStyle w:val="23"/>
              <w:keepNext/>
              <w:spacing w:line="440" w:lineRule="exact"/>
              <w:ind w:left="63" w:right="63"/>
              <w:rPr>
                <w:rFonts w:ascii="仿宋" w:hAnsi="仿宋" w:eastAsia="仿宋" w:cs="仿宋"/>
                <w:color w:val="000000"/>
                <w:sz w:val="28"/>
                <w:szCs w:val="30"/>
              </w:rPr>
            </w:pPr>
          </w:p>
        </w:tc>
        <w:tc>
          <w:tcPr>
            <w:tcW w:w="1020" w:type="dxa"/>
            <w:vAlign w:val="center"/>
          </w:tcPr>
          <w:p w14:paraId="41D5B220">
            <w:pPr>
              <w:pStyle w:val="23"/>
              <w:keepNext/>
              <w:spacing w:line="440" w:lineRule="exact"/>
              <w:ind w:left="63" w:right="63"/>
              <w:rPr>
                <w:rFonts w:ascii="仿宋" w:hAnsi="仿宋" w:eastAsia="仿宋" w:cs="仿宋"/>
                <w:color w:val="000000"/>
                <w:sz w:val="28"/>
                <w:szCs w:val="30"/>
              </w:rPr>
            </w:pPr>
          </w:p>
        </w:tc>
        <w:tc>
          <w:tcPr>
            <w:tcW w:w="921" w:type="dxa"/>
            <w:vAlign w:val="center"/>
          </w:tcPr>
          <w:p w14:paraId="706F2AC6">
            <w:pPr>
              <w:pStyle w:val="23"/>
              <w:keepNext/>
              <w:spacing w:line="440" w:lineRule="exact"/>
              <w:ind w:left="63" w:right="63"/>
              <w:rPr>
                <w:rFonts w:ascii="仿宋" w:hAnsi="仿宋" w:eastAsia="仿宋" w:cs="仿宋"/>
                <w:color w:val="000000"/>
                <w:sz w:val="28"/>
                <w:szCs w:val="30"/>
              </w:rPr>
            </w:pPr>
          </w:p>
        </w:tc>
      </w:tr>
      <w:tr w14:paraId="02B77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5F04B91">
            <w:pPr>
              <w:rPr>
                <w:rFonts w:ascii="仿宋" w:hAnsi="仿宋" w:eastAsia="仿宋" w:cs="仿宋"/>
                <w:color w:val="000000"/>
                <w:sz w:val="28"/>
                <w:szCs w:val="30"/>
              </w:rPr>
            </w:pPr>
          </w:p>
        </w:tc>
        <w:tc>
          <w:tcPr>
            <w:tcW w:w="1418" w:type="dxa"/>
          </w:tcPr>
          <w:p w14:paraId="714F8675">
            <w:pPr>
              <w:rPr>
                <w:rFonts w:ascii="仿宋" w:hAnsi="仿宋" w:eastAsia="仿宋" w:cs="仿宋"/>
                <w:color w:val="000000"/>
                <w:sz w:val="28"/>
                <w:szCs w:val="30"/>
              </w:rPr>
            </w:pPr>
          </w:p>
        </w:tc>
        <w:tc>
          <w:tcPr>
            <w:tcW w:w="850" w:type="dxa"/>
          </w:tcPr>
          <w:p w14:paraId="3478B385">
            <w:pPr>
              <w:rPr>
                <w:rFonts w:ascii="仿宋" w:hAnsi="仿宋" w:eastAsia="仿宋" w:cs="仿宋"/>
                <w:color w:val="000000"/>
                <w:sz w:val="28"/>
                <w:szCs w:val="30"/>
              </w:rPr>
            </w:pPr>
          </w:p>
        </w:tc>
        <w:tc>
          <w:tcPr>
            <w:tcW w:w="1058" w:type="dxa"/>
          </w:tcPr>
          <w:p w14:paraId="434D1AB6">
            <w:pPr>
              <w:rPr>
                <w:rFonts w:ascii="仿宋" w:hAnsi="仿宋" w:eastAsia="仿宋" w:cs="仿宋"/>
                <w:color w:val="000000"/>
                <w:sz w:val="28"/>
                <w:szCs w:val="30"/>
              </w:rPr>
            </w:pPr>
          </w:p>
        </w:tc>
        <w:tc>
          <w:tcPr>
            <w:tcW w:w="880" w:type="dxa"/>
          </w:tcPr>
          <w:p w14:paraId="3B4CC51D">
            <w:pPr>
              <w:rPr>
                <w:rFonts w:ascii="仿宋" w:hAnsi="仿宋" w:eastAsia="仿宋" w:cs="仿宋"/>
                <w:color w:val="000000"/>
                <w:sz w:val="28"/>
                <w:szCs w:val="30"/>
              </w:rPr>
            </w:pPr>
          </w:p>
        </w:tc>
        <w:tc>
          <w:tcPr>
            <w:tcW w:w="1020" w:type="dxa"/>
          </w:tcPr>
          <w:p w14:paraId="0F39732B">
            <w:pPr>
              <w:rPr>
                <w:rFonts w:ascii="仿宋" w:hAnsi="仿宋" w:eastAsia="仿宋" w:cs="仿宋"/>
                <w:color w:val="000000"/>
                <w:sz w:val="28"/>
                <w:szCs w:val="30"/>
              </w:rPr>
            </w:pPr>
          </w:p>
        </w:tc>
        <w:tc>
          <w:tcPr>
            <w:tcW w:w="1480" w:type="dxa"/>
          </w:tcPr>
          <w:p w14:paraId="6FBABDC6">
            <w:pPr>
              <w:rPr>
                <w:rFonts w:ascii="仿宋" w:hAnsi="仿宋" w:eastAsia="仿宋" w:cs="仿宋"/>
                <w:color w:val="000000"/>
                <w:sz w:val="28"/>
                <w:szCs w:val="30"/>
              </w:rPr>
            </w:pPr>
          </w:p>
        </w:tc>
        <w:tc>
          <w:tcPr>
            <w:tcW w:w="1020" w:type="dxa"/>
          </w:tcPr>
          <w:p w14:paraId="103AC330">
            <w:pPr>
              <w:rPr>
                <w:rFonts w:ascii="仿宋" w:hAnsi="仿宋" w:eastAsia="仿宋" w:cs="仿宋"/>
                <w:color w:val="000000"/>
                <w:sz w:val="28"/>
                <w:szCs w:val="30"/>
              </w:rPr>
            </w:pPr>
          </w:p>
        </w:tc>
        <w:tc>
          <w:tcPr>
            <w:tcW w:w="921" w:type="dxa"/>
          </w:tcPr>
          <w:p w14:paraId="4719D2EC">
            <w:pPr>
              <w:rPr>
                <w:rFonts w:ascii="仿宋" w:hAnsi="仿宋" w:eastAsia="仿宋" w:cs="仿宋"/>
                <w:color w:val="000000"/>
                <w:sz w:val="28"/>
                <w:szCs w:val="30"/>
              </w:rPr>
            </w:pPr>
          </w:p>
        </w:tc>
      </w:tr>
      <w:tr w14:paraId="23600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C17BCD0">
            <w:pPr>
              <w:pStyle w:val="23"/>
              <w:keepNext/>
              <w:spacing w:line="440" w:lineRule="exact"/>
              <w:ind w:left="63" w:right="63"/>
              <w:rPr>
                <w:rFonts w:ascii="仿宋" w:hAnsi="仿宋" w:eastAsia="仿宋" w:cs="仿宋"/>
                <w:color w:val="000000"/>
                <w:sz w:val="28"/>
                <w:szCs w:val="30"/>
              </w:rPr>
            </w:pPr>
          </w:p>
        </w:tc>
        <w:tc>
          <w:tcPr>
            <w:tcW w:w="1418" w:type="dxa"/>
            <w:vAlign w:val="center"/>
          </w:tcPr>
          <w:p w14:paraId="17DDCD2D">
            <w:pPr>
              <w:pStyle w:val="23"/>
              <w:keepNext/>
              <w:spacing w:line="440" w:lineRule="exact"/>
              <w:ind w:left="63" w:right="63"/>
              <w:rPr>
                <w:rFonts w:ascii="仿宋" w:hAnsi="仿宋" w:eastAsia="仿宋" w:cs="仿宋"/>
                <w:color w:val="000000"/>
                <w:sz w:val="28"/>
                <w:szCs w:val="30"/>
              </w:rPr>
            </w:pPr>
          </w:p>
        </w:tc>
        <w:tc>
          <w:tcPr>
            <w:tcW w:w="850" w:type="dxa"/>
            <w:vAlign w:val="center"/>
          </w:tcPr>
          <w:p w14:paraId="5F03F1AA">
            <w:pPr>
              <w:pStyle w:val="23"/>
              <w:keepNext/>
              <w:spacing w:line="440" w:lineRule="exact"/>
              <w:ind w:left="63" w:right="63"/>
              <w:rPr>
                <w:rFonts w:ascii="仿宋" w:hAnsi="仿宋" w:eastAsia="仿宋" w:cs="仿宋"/>
                <w:color w:val="000000"/>
                <w:sz w:val="28"/>
                <w:szCs w:val="30"/>
              </w:rPr>
            </w:pPr>
          </w:p>
        </w:tc>
        <w:tc>
          <w:tcPr>
            <w:tcW w:w="1058" w:type="dxa"/>
            <w:vAlign w:val="center"/>
          </w:tcPr>
          <w:p w14:paraId="32C3548A">
            <w:pPr>
              <w:pStyle w:val="23"/>
              <w:keepNext/>
              <w:spacing w:line="440" w:lineRule="exact"/>
              <w:ind w:left="63" w:right="63"/>
              <w:rPr>
                <w:rFonts w:ascii="仿宋" w:hAnsi="仿宋" w:eastAsia="仿宋" w:cs="仿宋"/>
                <w:color w:val="000000"/>
                <w:sz w:val="28"/>
                <w:szCs w:val="30"/>
              </w:rPr>
            </w:pPr>
          </w:p>
        </w:tc>
        <w:tc>
          <w:tcPr>
            <w:tcW w:w="880" w:type="dxa"/>
            <w:vAlign w:val="center"/>
          </w:tcPr>
          <w:p w14:paraId="1ED4450F">
            <w:pPr>
              <w:pStyle w:val="23"/>
              <w:keepNext/>
              <w:spacing w:line="440" w:lineRule="exact"/>
              <w:ind w:left="63" w:right="63"/>
              <w:rPr>
                <w:rFonts w:ascii="仿宋" w:hAnsi="仿宋" w:eastAsia="仿宋" w:cs="仿宋"/>
                <w:color w:val="000000"/>
                <w:sz w:val="28"/>
                <w:szCs w:val="30"/>
              </w:rPr>
            </w:pPr>
          </w:p>
        </w:tc>
        <w:tc>
          <w:tcPr>
            <w:tcW w:w="1020" w:type="dxa"/>
            <w:vAlign w:val="center"/>
          </w:tcPr>
          <w:p w14:paraId="591B1F94">
            <w:pPr>
              <w:pStyle w:val="23"/>
              <w:keepNext/>
              <w:spacing w:line="440" w:lineRule="exact"/>
              <w:ind w:left="63" w:right="63"/>
              <w:rPr>
                <w:rFonts w:ascii="仿宋" w:hAnsi="仿宋" w:eastAsia="仿宋" w:cs="仿宋"/>
                <w:color w:val="000000"/>
                <w:sz w:val="28"/>
                <w:szCs w:val="30"/>
              </w:rPr>
            </w:pPr>
          </w:p>
        </w:tc>
        <w:tc>
          <w:tcPr>
            <w:tcW w:w="1480" w:type="dxa"/>
            <w:vAlign w:val="center"/>
          </w:tcPr>
          <w:p w14:paraId="43AC5E15">
            <w:pPr>
              <w:pStyle w:val="23"/>
              <w:keepNext/>
              <w:spacing w:line="440" w:lineRule="exact"/>
              <w:ind w:left="63" w:right="63"/>
              <w:rPr>
                <w:rFonts w:ascii="仿宋" w:hAnsi="仿宋" w:eastAsia="仿宋" w:cs="仿宋"/>
                <w:color w:val="000000"/>
                <w:sz w:val="28"/>
                <w:szCs w:val="30"/>
              </w:rPr>
            </w:pPr>
          </w:p>
        </w:tc>
        <w:tc>
          <w:tcPr>
            <w:tcW w:w="1020" w:type="dxa"/>
            <w:vAlign w:val="center"/>
          </w:tcPr>
          <w:p w14:paraId="33C025B3">
            <w:pPr>
              <w:pStyle w:val="23"/>
              <w:keepNext/>
              <w:spacing w:line="440" w:lineRule="exact"/>
              <w:ind w:left="63" w:right="63"/>
              <w:rPr>
                <w:rFonts w:ascii="仿宋" w:hAnsi="仿宋" w:eastAsia="仿宋" w:cs="仿宋"/>
                <w:color w:val="000000"/>
                <w:sz w:val="28"/>
                <w:szCs w:val="30"/>
              </w:rPr>
            </w:pPr>
          </w:p>
        </w:tc>
        <w:tc>
          <w:tcPr>
            <w:tcW w:w="921" w:type="dxa"/>
            <w:vAlign w:val="center"/>
          </w:tcPr>
          <w:p w14:paraId="7923EC79">
            <w:pPr>
              <w:pStyle w:val="23"/>
              <w:keepNext/>
              <w:spacing w:line="440" w:lineRule="exact"/>
              <w:ind w:left="63" w:right="63"/>
              <w:rPr>
                <w:rFonts w:ascii="仿宋" w:hAnsi="仿宋" w:eastAsia="仿宋" w:cs="仿宋"/>
                <w:color w:val="000000"/>
                <w:sz w:val="28"/>
                <w:szCs w:val="30"/>
              </w:rPr>
            </w:pPr>
          </w:p>
        </w:tc>
      </w:tr>
      <w:tr w14:paraId="6EF68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0A0B035">
            <w:pPr>
              <w:rPr>
                <w:rFonts w:ascii="仿宋" w:hAnsi="仿宋" w:eastAsia="仿宋" w:cs="仿宋"/>
                <w:color w:val="000000"/>
                <w:sz w:val="28"/>
                <w:szCs w:val="30"/>
              </w:rPr>
            </w:pPr>
          </w:p>
        </w:tc>
        <w:tc>
          <w:tcPr>
            <w:tcW w:w="1418" w:type="dxa"/>
          </w:tcPr>
          <w:p w14:paraId="3B8E0855">
            <w:pPr>
              <w:rPr>
                <w:rFonts w:ascii="仿宋" w:hAnsi="仿宋" w:eastAsia="仿宋" w:cs="仿宋"/>
                <w:color w:val="000000"/>
                <w:sz w:val="28"/>
                <w:szCs w:val="30"/>
              </w:rPr>
            </w:pPr>
          </w:p>
        </w:tc>
        <w:tc>
          <w:tcPr>
            <w:tcW w:w="850" w:type="dxa"/>
          </w:tcPr>
          <w:p w14:paraId="3190B304">
            <w:pPr>
              <w:rPr>
                <w:rFonts w:ascii="仿宋" w:hAnsi="仿宋" w:eastAsia="仿宋" w:cs="仿宋"/>
                <w:color w:val="000000"/>
                <w:sz w:val="28"/>
                <w:szCs w:val="30"/>
              </w:rPr>
            </w:pPr>
          </w:p>
        </w:tc>
        <w:tc>
          <w:tcPr>
            <w:tcW w:w="1058" w:type="dxa"/>
          </w:tcPr>
          <w:p w14:paraId="52AE417B">
            <w:pPr>
              <w:rPr>
                <w:rFonts w:ascii="仿宋" w:hAnsi="仿宋" w:eastAsia="仿宋" w:cs="仿宋"/>
                <w:color w:val="000000"/>
                <w:sz w:val="28"/>
                <w:szCs w:val="30"/>
              </w:rPr>
            </w:pPr>
          </w:p>
        </w:tc>
        <w:tc>
          <w:tcPr>
            <w:tcW w:w="880" w:type="dxa"/>
          </w:tcPr>
          <w:p w14:paraId="4E327483">
            <w:pPr>
              <w:rPr>
                <w:rFonts w:ascii="仿宋" w:hAnsi="仿宋" w:eastAsia="仿宋" w:cs="仿宋"/>
                <w:color w:val="000000"/>
                <w:sz w:val="28"/>
                <w:szCs w:val="30"/>
              </w:rPr>
            </w:pPr>
          </w:p>
        </w:tc>
        <w:tc>
          <w:tcPr>
            <w:tcW w:w="1020" w:type="dxa"/>
          </w:tcPr>
          <w:p w14:paraId="7530C160">
            <w:pPr>
              <w:rPr>
                <w:rFonts w:ascii="仿宋" w:hAnsi="仿宋" w:eastAsia="仿宋" w:cs="仿宋"/>
                <w:color w:val="000000"/>
                <w:sz w:val="28"/>
                <w:szCs w:val="30"/>
              </w:rPr>
            </w:pPr>
          </w:p>
        </w:tc>
        <w:tc>
          <w:tcPr>
            <w:tcW w:w="1480" w:type="dxa"/>
          </w:tcPr>
          <w:p w14:paraId="416AA628">
            <w:pPr>
              <w:rPr>
                <w:rFonts w:ascii="仿宋" w:hAnsi="仿宋" w:eastAsia="仿宋" w:cs="仿宋"/>
                <w:color w:val="000000"/>
                <w:sz w:val="28"/>
                <w:szCs w:val="30"/>
              </w:rPr>
            </w:pPr>
          </w:p>
        </w:tc>
        <w:tc>
          <w:tcPr>
            <w:tcW w:w="1020" w:type="dxa"/>
          </w:tcPr>
          <w:p w14:paraId="459E39EF">
            <w:pPr>
              <w:rPr>
                <w:rFonts w:ascii="仿宋" w:hAnsi="仿宋" w:eastAsia="仿宋" w:cs="仿宋"/>
                <w:color w:val="000000"/>
                <w:sz w:val="28"/>
                <w:szCs w:val="30"/>
              </w:rPr>
            </w:pPr>
          </w:p>
        </w:tc>
        <w:tc>
          <w:tcPr>
            <w:tcW w:w="921" w:type="dxa"/>
          </w:tcPr>
          <w:p w14:paraId="08A8EBC9">
            <w:pPr>
              <w:rPr>
                <w:rFonts w:ascii="仿宋" w:hAnsi="仿宋" w:eastAsia="仿宋" w:cs="仿宋"/>
                <w:color w:val="000000"/>
                <w:sz w:val="28"/>
                <w:szCs w:val="30"/>
              </w:rPr>
            </w:pPr>
          </w:p>
        </w:tc>
      </w:tr>
      <w:tr w14:paraId="7D1C0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7EC53C1">
            <w:pPr>
              <w:rPr>
                <w:rFonts w:ascii="仿宋" w:hAnsi="仿宋" w:eastAsia="仿宋" w:cs="仿宋"/>
                <w:color w:val="000000"/>
                <w:sz w:val="28"/>
                <w:szCs w:val="30"/>
              </w:rPr>
            </w:pPr>
          </w:p>
        </w:tc>
        <w:tc>
          <w:tcPr>
            <w:tcW w:w="1418" w:type="dxa"/>
          </w:tcPr>
          <w:p w14:paraId="147BB523">
            <w:pPr>
              <w:rPr>
                <w:rFonts w:ascii="仿宋" w:hAnsi="仿宋" w:eastAsia="仿宋" w:cs="仿宋"/>
                <w:color w:val="000000"/>
                <w:sz w:val="28"/>
                <w:szCs w:val="30"/>
              </w:rPr>
            </w:pPr>
          </w:p>
        </w:tc>
        <w:tc>
          <w:tcPr>
            <w:tcW w:w="850" w:type="dxa"/>
          </w:tcPr>
          <w:p w14:paraId="11D06347">
            <w:pPr>
              <w:rPr>
                <w:rFonts w:ascii="仿宋" w:hAnsi="仿宋" w:eastAsia="仿宋" w:cs="仿宋"/>
                <w:color w:val="000000"/>
                <w:sz w:val="28"/>
                <w:szCs w:val="30"/>
              </w:rPr>
            </w:pPr>
          </w:p>
        </w:tc>
        <w:tc>
          <w:tcPr>
            <w:tcW w:w="1058" w:type="dxa"/>
          </w:tcPr>
          <w:p w14:paraId="72A85ABB">
            <w:pPr>
              <w:rPr>
                <w:rFonts w:ascii="仿宋" w:hAnsi="仿宋" w:eastAsia="仿宋" w:cs="仿宋"/>
                <w:color w:val="000000"/>
                <w:sz w:val="28"/>
                <w:szCs w:val="30"/>
              </w:rPr>
            </w:pPr>
          </w:p>
        </w:tc>
        <w:tc>
          <w:tcPr>
            <w:tcW w:w="880" w:type="dxa"/>
          </w:tcPr>
          <w:p w14:paraId="1F2992D0">
            <w:pPr>
              <w:rPr>
                <w:rFonts w:ascii="仿宋" w:hAnsi="仿宋" w:eastAsia="仿宋" w:cs="仿宋"/>
                <w:color w:val="000000"/>
                <w:sz w:val="28"/>
                <w:szCs w:val="30"/>
              </w:rPr>
            </w:pPr>
          </w:p>
        </w:tc>
        <w:tc>
          <w:tcPr>
            <w:tcW w:w="1020" w:type="dxa"/>
          </w:tcPr>
          <w:p w14:paraId="1C85620C">
            <w:pPr>
              <w:rPr>
                <w:rFonts w:ascii="仿宋" w:hAnsi="仿宋" w:eastAsia="仿宋" w:cs="仿宋"/>
                <w:color w:val="000000"/>
                <w:sz w:val="28"/>
                <w:szCs w:val="30"/>
              </w:rPr>
            </w:pPr>
          </w:p>
        </w:tc>
        <w:tc>
          <w:tcPr>
            <w:tcW w:w="1480" w:type="dxa"/>
          </w:tcPr>
          <w:p w14:paraId="339CB1E9">
            <w:pPr>
              <w:rPr>
                <w:rFonts w:ascii="仿宋" w:hAnsi="仿宋" w:eastAsia="仿宋" w:cs="仿宋"/>
                <w:color w:val="000000"/>
                <w:sz w:val="28"/>
                <w:szCs w:val="30"/>
              </w:rPr>
            </w:pPr>
          </w:p>
        </w:tc>
        <w:tc>
          <w:tcPr>
            <w:tcW w:w="1020" w:type="dxa"/>
          </w:tcPr>
          <w:p w14:paraId="78361D18">
            <w:pPr>
              <w:rPr>
                <w:rFonts w:ascii="仿宋" w:hAnsi="仿宋" w:eastAsia="仿宋" w:cs="仿宋"/>
                <w:color w:val="000000"/>
                <w:sz w:val="28"/>
                <w:szCs w:val="30"/>
              </w:rPr>
            </w:pPr>
          </w:p>
        </w:tc>
        <w:tc>
          <w:tcPr>
            <w:tcW w:w="921" w:type="dxa"/>
          </w:tcPr>
          <w:p w14:paraId="649EDE75">
            <w:pPr>
              <w:rPr>
                <w:rFonts w:ascii="仿宋" w:hAnsi="仿宋" w:eastAsia="仿宋" w:cs="仿宋"/>
                <w:color w:val="000000"/>
                <w:sz w:val="28"/>
                <w:szCs w:val="30"/>
              </w:rPr>
            </w:pPr>
          </w:p>
        </w:tc>
      </w:tr>
      <w:tr w14:paraId="51350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FE71B4">
            <w:pPr>
              <w:rPr>
                <w:rFonts w:ascii="仿宋" w:hAnsi="仿宋" w:eastAsia="仿宋" w:cs="仿宋"/>
                <w:color w:val="000000"/>
                <w:sz w:val="28"/>
                <w:szCs w:val="30"/>
              </w:rPr>
            </w:pPr>
          </w:p>
        </w:tc>
        <w:tc>
          <w:tcPr>
            <w:tcW w:w="1418" w:type="dxa"/>
          </w:tcPr>
          <w:p w14:paraId="0EBB59DF">
            <w:pPr>
              <w:rPr>
                <w:rFonts w:ascii="仿宋" w:hAnsi="仿宋" w:eastAsia="仿宋" w:cs="仿宋"/>
                <w:color w:val="000000"/>
                <w:sz w:val="28"/>
                <w:szCs w:val="30"/>
              </w:rPr>
            </w:pPr>
          </w:p>
        </w:tc>
        <w:tc>
          <w:tcPr>
            <w:tcW w:w="850" w:type="dxa"/>
          </w:tcPr>
          <w:p w14:paraId="14FF9D24">
            <w:pPr>
              <w:rPr>
                <w:rFonts w:ascii="仿宋" w:hAnsi="仿宋" w:eastAsia="仿宋" w:cs="仿宋"/>
                <w:color w:val="000000"/>
                <w:sz w:val="28"/>
                <w:szCs w:val="30"/>
              </w:rPr>
            </w:pPr>
          </w:p>
        </w:tc>
        <w:tc>
          <w:tcPr>
            <w:tcW w:w="1058" w:type="dxa"/>
          </w:tcPr>
          <w:p w14:paraId="73FA9A9F">
            <w:pPr>
              <w:rPr>
                <w:rFonts w:ascii="仿宋" w:hAnsi="仿宋" w:eastAsia="仿宋" w:cs="仿宋"/>
                <w:color w:val="000000"/>
                <w:sz w:val="28"/>
                <w:szCs w:val="30"/>
              </w:rPr>
            </w:pPr>
          </w:p>
        </w:tc>
        <w:tc>
          <w:tcPr>
            <w:tcW w:w="880" w:type="dxa"/>
          </w:tcPr>
          <w:p w14:paraId="205AD2C2">
            <w:pPr>
              <w:rPr>
                <w:rFonts w:ascii="仿宋" w:hAnsi="仿宋" w:eastAsia="仿宋" w:cs="仿宋"/>
                <w:color w:val="000000"/>
                <w:sz w:val="28"/>
                <w:szCs w:val="30"/>
              </w:rPr>
            </w:pPr>
          </w:p>
        </w:tc>
        <w:tc>
          <w:tcPr>
            <w:tcW w:w="1020" w:type="dxa"/>
          </w:tcPr>
          <w:p w14:paraId="31DB178A">
            <w:pPr>
              <w:rPr>
                <w:rFonts w:ascii="仿宋" w:hAnsi="仿宋" w:eastAsia="仿宋" w:cs="仿宋"/>
                <w:color w:val="000000"/>
                <w:sz w:val="28"/>
                <w:szCs w:val="30"/>
              </w:rPr>
            </w:pPr>
          </w:p>
        </w:tc>
        <w:tc>
          <w:tcPr>
            <w:tcW w:w="1480" w:type="dxa"/>
          </w:tcPr>
          <w:p w14:paraId="7C20DFDD">
            <w:pPr>
              <w:rPr>
                <w:rFonts w:ascii="仿宋" w:hAnsi="仿宋" w:eastAsia="仿宋" w:cs="仿宋"/>
                <w:color w:val="000000"/>
                <w:sz w:val="28"/>
                <w:szCs w:val="30"/>
              </w:rPr>
            </w:pPr>
          </w:p>
        </w:tc>
        <w:tc>
          <w:tcPr>
            <w:tcW w:w="1020" w:type="dxa"/>
          </w:tcPr>
          <w:p w14:paraId="031BA1EA">
            <w:pPr>
              <w:rPr>
                <w:rFonts w:ascii="仿宋" w:hAnsi="仿宋" w:eastAsia="仿宋" w:cs="仿宋"/>
                <w:color w:val="000000"/>
                <w:sz w:val="28"/>
                <w:szCs w:val="30"/>
              </w:rPr>
            </w:pPr>
          </w:p>
        </w:tc>
        <w:tc>
          <w:tcPr>
            <w:tcW w:w="921" w:type="dxa"/>
          </w:tcPr>
          <w:p w14:paraId="38F53FFC">
            <w:pPr>
              <w:rPr>
                <w:rFonts w:ascii="仿宋" w:hAnsi="仿宋" w:eastAsia="仿宋" w:cs="仿宋"/>
                <w:color w:val="000000"/>
                <w:sz w:val="28"/>
                <w:szCs w:val="30"/>
              </w:rPr>
            </w:pPr>
          </w:p>
        </w:tc>
      </w:tr>
      <w:tr w14:paraId="596BF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F862C8C">
            <w:pPr>
              <w:rPr>
                <w:rFonts w:ascii="仿宋" w:hAnsi="仿宋" w:eastAsia="仿宋" w:cs="仿宋"/>
                <w:color w:val="000000"/>
                <w:sz w:val="28"/>
                <w:szCs w:val="30"/>
              </w:rPr>
            </w:pPr>
          </w:p>
        </w:tc>
        <w:tc>
          <w:tcPr>
            <w:tcW w:w="1418" w:type="dxa"/>
          </w:tcPr>
          <w:p w14:paraId="03B3E114">
            <w:pPr>
              <w:rPr>
                <w:rFonts w:ascii="仿宋" w:hAnsi="仿宋" w:eastAsia="仿宋" w:cs="仿宋"/>
                <w:color w:val="000000"/>
                <w:sz w:val="28"/>
                <w:szCs w:val="30"/>
              </w:rPr>
            </w:pPr>
          </w:p>
        </w:tc>
        <w:tc>
          <w:tcPr>
            <w:tcW w:w="850" w:type="dxa"/>
          </w:tcPr>
          <w:p w14:paraId="2FA2E1DB">
            <w:pPr>
              <w:rPr>
                <w:rFonts w:ascii="仿宋" w:hAnsi="仿宋" w:eastAsia="仿宋" w:cs="仿宋"/>
                <w:color w:val="000000"/>
                <w:sz w:val="28"/>
                <w:szCs w:val="30"/>
              </w:rPr>
            </w:pPr>
          </w:p>
        </w:tc>
        <w:tc>
          <w:tcPr>
            <w:tcW w:w="1058" w:type="dxa"/>
          </w:tcPr>
          <w:p w14:paraId="5325E241">
            <w:pPr>
              <w:rPr>
                <w:rFonts w:ascii="仿宋" w:hAnsi="仿宋" w:eastAsia="仿宋" w:cs="仿宋"/>
                <w:color w:val="000000"/>
                <w:sz w:val="28"/>
                <w:szCs w:val="30"/>
              </w:rPr>
            </w:pPr>
          </w:p>
        </w:tc>
        <w:tc>
          <w:tcPr>
            <w:tcW w:w="880" w:type="dxa"/>
          </w:tcPr>
          <w:p w14:paraId="61489DE9">
            <w:pPr>
              <w:rPr>
                <w:rFonts w:ascii="仿宋" w:hAnsi="仿宋" w:eastAsia="仿宋" w:cs="仿宋"/>
                <w:color w:val="000000"/>
                <w:sz w:val="28"/>
                <w:szCs w:val="30"/>
              </w:rPr>
            </w:pPr>
          </w:p>
        </w:tc>
        <w:tc>
          <w:tcPr>
            <w:tcW w:w="1020" w:type="dxa"/>
          </w:tcPr>
          <w:p w14:paraId="2AEFAC90">
            <w:pPr>
              <w:rPr>
                <w:rFonts w:ascii="仿宋" w:hAnsi="仿宋" w:eastAsia="仿宋" w:cs="仿宋"/>
                <w:color w:val="000000"/>
                <w:sz w:val="28"/>
                <w:szCs w:val="30"/>
              </w:rPr>
            </w:pPr>
          </w:p>
        </w:tc>
        <w:tc>
          <w:tcPr>
            <w:tcW w:w="1480" w:type="dxa"/>
          </w:tcPr>
          <w:p w14:paraId="374B4340">
            <w:pPr>
              <w:rPr>
                <w:rFonts w:ascii="仿宋" w:hAnsi="仿宋" w:eastAsia="仿宋" w:cs="仿宋"/>
                <w:color w:val="000000"/>
                <w:sz w:val="28"/>
                <w:szCs w:val="30"/>
              </w:rPr>
            </w:pPr>
          </w:p>
        </w:tc>
        <w:tc>
          <w:tcPr>
            <w:tcW w:w="1020" w:type="dxa"/>
          </w:tcPr>
          <w:p w14:paraId="6D784B0D">
            <w:pPr>
              <w:rPr>
                <w:rFonts w:ascii="仿宋" w:hAnsi="仿宋" w:eastAsia="仿宋" w:cs="仿宋"/>
                <w:color w:val="000000"/>
                <w:sz w:val="28"/>
                <w:szCs w:val="30"/>
              </w:rPr>
            </w:pPr>
          </w:p>
        </w:tc>
        <w:tc>
          <w:tcPr>
            <w:tcW w:w="921" w:type="dxa"/>
          </w:tcPr>
          <w:p w14:paraId="11158886">
            <w:pPr>
              <w:rPr>
                <w:rFonts w:ascii="仿宋" w:hAnsi="仿宋" w:eastAsia="仿宋" w:cs="仿宋"/>
                <w:color w:val="000000"/>
                <w:sz w:val="28"/>
                <w:szCs w:val="30"/>
              </w:rPr>
            </w:pPr>
          </w:p>
        </w:tc>
      </w:tr>
      <w:tr w14:paraId="4F8B6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755473C">
            <w:pPr>
              <w:rPr>
                <w:rFonts w:ascii="仿宋" w:hAnsi="仿宋" w:eastAsia="仿宋" w:cs="仿宋"/>
                <w:color w:val="000000"/>
                <w:sz w:val="28"/>
                <w:szCs w:val="30"/>
              </w:rPr>
            </w:pPr>
          </w:p>
        </w:tc>
        <w:tc>
          <w:tcPr>
            <w:tcW w:w="1418" w:type="dxa"/>
          </w:tcPr>
          <w:p w14:paraId="580F4EC4">
            <w:pPr>
              <w:rPr>
                <w:rFonts w:ascii="仿宋" w:hAnsi="仿宋" w:eastAsia="仿宋" w:cs="仿宋"/>
                <w:color w:val="000000"/>
                <w:sz w:val="28"/>
                <w:szCs w:val="30"/>
              </w:rPr>
            </w:pPr>
          </w:p>
        </w:tc>
        <w:tc>
          <w:tcPr>
            <w:tcW w:w="850" w:type="dxa"/>
          </w:tcPr>
          <w:p w14:paraId="5165E45C">
            <w:pPr>
              <w:rPr>
                <w:rFonts w:ascii="仿宋" w:hAnsi="仿宋" w:eastAsia="仿宋" w:cs="仿宋"/>
                <w:color w:val="000000"/>
                <w:sz w:val="28"/>
                <w:szCs w:val="30"/>
              </w:rPr>
            </w:pPr>
          </w:p>
        </w:tc>
        <w:tc>
          <w:tcPr>
            <w:tcW w:w="1058" w:type="dxa"/>
          </w:tcPr>
          <w:p w14:paraId="2148462D">
            <w:pPr>
              <w:rPr>
                <w:rFonts w:ascii="仿宋" w:hAnsi="仿宋" w:eastAsia="仿宋" w:cs="仿宋"/>
                <w:color w:val="000000"/>
                <w:sz w:val="28"/>
                <w:szCs w:val="30"/>
              </w:rPr>
            </w:pPr>
          </w:p>
        </w:tc>
        <w:tc>
          <w:tcPr>
            <w:tcW w:w="880" w:type="dxa"/>
          </w:tcPr>
          <w:p w14:paraId="0BCB46BC">
            <w:pPr>
              <w:rPr>
                <w:rFonts w:ascii="仿宋" w:hAnsi="仿宋" w:eastAsia="仿宋" w:cs="仿宋"/>
                <w:color w:val="000000"/>
                <w:sz w:val="28"/>
                <w:szCs w:val="30"/>
              </w:rPr>
            </w:pPr>
          </w:p>
        </w:tc>
        <w:tc>
          <w:tcPr>
            <w:tcW w:w="1020" w:type="dxa"/>
          </w:tcPr>
          <w:p w14:paraId="3094449F">
            <w:pPr>
              <w:rPr>
                <w:rFonts w:ascii="仿宋" w:hAnsi="仿宋" w:eastAsia="仿宋" w:cs="仿宋"/>
                <w:color w:val="000000"/>
                <w:sz w:val="28"/>
                <w:szCs w:val="30"/>
              </w:rPr>
            </w:pPr>
          </w:p>
        </w:tc>
        <w:tc>
          <w:tcPr>
            <w:tcW w:w="1480" w:type="dxa"/>
          </w:tcPr>
          <w:p w14:paraId="1EE5A877">
            <w:pPr>
              <w:rPr>
                <w:rFonts w:ascii="仿宋" w:hAnsi="仿宋" w:eastAsia="仿宋" w:cs="仿宋"/>
                <w:color w:val="000000"/>
                <w:sz w:val="28"/>
                <w:szCs w:val="30"/>
              </w:rPr>
            </w:pPr>
          </w:p>
        </w:tc>
        <w:tc>
          <w:tcPr>
            <w:tcW w:w="1020" w:type="dxa"/>
          </w:tcPr>
          <w:p w14:paraId="6BFD5FBA">
            <w:pPr>
              <w:rPr>
                <w:rFonts w:ascii="仿宋" w:hAnsi="仿宋" w:eastAsia="仿宋" w:cs="仿宋"/>
                <w:color w:val="000000"/>
                <w:sz w:val="28"/>
                <w:szCs w:val="30"/>
              </w:rPr>
            </w:pPr>
          </w:p>
        </w:tc>
        <w:tc>
          <w:tcPr>
            <w:tcW w:w="921" w:type="dxa"/>
          </w:tcPr>
          <w:p w14:paraId="587A5C6D">
            <w:pPr>
              <w:rPr>
                <w:rFonts w:ascii="仿宋" w:hAnsi="仿宋" w:eastAsia="仿宋" w:cs="仿宋"/>
                <w:color w:val="000000"/>
                <w:sz w:val="28"/>
                <w:szCs w:val="30"/>
              </w:rPr>
            </w:pPr>
          </w:p>
        </w:tc>
      </w:tr>
      <w:tr w14:paraId="6B257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534F267">
            <w:pPr>
              <w:rPr>
                <w:rFonts w:ascii="仿宋" w:hAnsi="仿宋" w:eastAsia="仿宋" w:cs="仿宋"/>
                <w:color w:val="000000"/>
                <w:sz w:val="28"/>
                <w:szCs w:val="30"/>
              </w:rPr>
            </w:pPr>
          </w:p>
        </w:tc>
        <w:tc>
          <w:tcPr>
            <w:tcW w:w="1418" w:type="dxa"/>
          </w:tcPr>
          <w:p w14:paraId="0A2EA6A4">
            <w:pPr>
              <w:rPr>
                <w:rFonts w:ascii="仿宋" w:hAnsi="仿宋" w:eastAsia="仿宋" w:cs="仿宋"/>
                <w:color w:val="000000"/>
                <w:sz w:val="28"/>
                <w:szCs w:val="30"/>
              </w:rPr>
            </w:pPr>
          </w:p>
        </w:tc>
        <w:tc>
          <w:tcPr>
            <w:tcW w:w="850" w:type="dxa"/>
          </w:tcPr>
          <w:p w14:paraId="1BEBF423">
            <w:pPr>
              <w:rPr>
                <w:rFonts w:ascii="仿宋" w:hAnsi="仿宋" w:eastAsia="仿宋" w:cs="仿宋"/>
                <w:color w:val="000000"/>
                <w:sz w:val="28"/>
                <w:szCs w:val="30"/>
              </w:rPr>
            </w:pPr>
          </w:p>
        </w:tc>
        <w:tc>
          <w:tcPr>
            <w:tcW w:w="1058" w:type="dxa"/>
          </w:tcPr>
          <w:p w14:paraId="3751A892">
            <w:pPr>
              <w:rPr>
                <w:rFonts w:ascii="仿宋" w:hAnsi="仿宋" w:eastAsia="仿宋" w:cs="仿宋"/>
                <w:color w:val="000000"/>
                <w:sz w:val="28"/>
                <w:szCs w:val="30"/>
              </w:rPr>
            </w:pPr>
          </w:p>
        </w:tc>
        <w:tc>
          <w:tcPr>
            <w:tcW w:w="880" w:type="dxa"/>
          </w:tcPr>
          <w:p w14:paraId="1941539A">
            <w:pPr>
              <w:rPr>
                <w:rFonts w:ascii="仿宋" w:hAnsi="仿宋" w:eastAsia="仿宋" w:cs="仿宋"/>
                <w:color w:val="000000"/>
                <w:sz w:val="28"/>
                <w:szCs w:val="30"/>
              </w:rPr>
            </w:pPr>
          </w:p>
        </w:tc>
        <w:tc>
          <w:tcPr>
            <w:tcW w:w="1020" w:type="dxa"/>
          </w:tcPr>
          <w:p w14:paraId="47060481">
            <w:pPr>
              <w:rPr>
                <w:rFonts w:ascii="仿宋" w:hAnsi="仿宋" w:eastAsia="仿宋" w:cs="仿宋"/>
                <w:color w:val="000000"/>
                <w:sz w:val="28"/>
                <w:szCs w:val="30"/>
              </w:rPr>
            </w:pPr>
          </w:p>
        </w:tc>
        <w:tc>
          <w:tcPr>
            <w:tcW w:w="1480" w:type="dxa"/>
          </w:tcPr>
          <w:p w14:paraId="24B7FD28">
            <w:pPr>
              <w:rPr>
                <w:rFonts w:ascii="仿宋" w:hAnsi="仿宋" w:eastAsia="仿宋" w:cs="仿宋"/>
                <w:color w:val="000000"/>
                <w:sz w:val="28"/>
                <w:szCs w:val="30"/>
              </w:rPr>
            </w:pPr>
          </w:p>
        </w:tc>
        <w:tc>
          <w:tcPr>
            <w:tcW w:w="1020" w:type="dxa"/>
          </w:tcPr>
          <w:p w14:paraId="1FCA1843">
            <w:pPr>
              <w:rPr>
                <w:rFonts w:ascii="仿宋" w:hAnsi="仿宋" w:eastAsia="仿宋" w:cs="仿宋"/>
                <w:color w:val="000000"/>
                <w:sz w:val="28"/>
                <w:szCs w:val="30"/>
              </w:rPr>
            </w:pPr>
          </w:p>
        </w:tc>
        <w:tc>
          <w:tcPr>
            <w:tcW w:w="921" w:type="dxa"/>
          </w:tcPr>
          <w:p w14:paraId="6540C9A4">
            <w:pPr>
              <w:rPr>
                <w:rFonts w:ascii="仿宋" w:hAnsi="仿宋" w:eastAsia="仿宋" w:cs="仿宋"/>
                <w:color w:val="000000"/>
                <w:sz w:val="28"/>
                <w:szCs w:val="30"/>
              </w:rPr>
            </w:pPr>
          </w:p>
        </w:tc>
      </w:tr>
      <w:tr w14:paraId="5B350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1A9355">
            <w:pPr>
              <w:rPr>
                <w:rFonts w:ascii="仿宋" w:hAnsi="仿宋" w:eastAsia="仿宋" w:cs="仿宋"/>
                <w:color w:val="000000"/>
                <w:sz w:val="28"/>
                <w:szCs w:val="30"/>
              </w:rPr>
            </w:pPr>
          </w:p>
        </w:tc>
        <w:tc>
          <w:tcPr>
            <w:tcW w:w="1418" w:type="dxa"/>
          </w:tcPr>
          <w:p w14:paraId="15C82DC4">
            <w:pPr>
              <w:rPr>
                <w:rFonts w:ascii="仿宋" w:hAnsi="仿宋" w:eastAsia="仿宋" w:cs="仿宋"/>
                <w:color w:val="000000"/>
                <w:sz w:val="28"/>
                <w:szCs w:val="30"/>
              </w:rPr>
            </w:pPr>
          </w:p>
        </w:tc>
        <w:tc>
          <w:tcPr>
            <w:tcW w:w="850" w:type="dxa"/>
          </w:tcPr>
          <w:p w14:paraId="23AF06D1">
            <w:pPr>
              <w:rPr>
                <w:rFonts w:ascii="仿宋" w:hAnsi="仿宋" w:eastAsia="仿宋" w:cs="仿宋"/>
                <w:color w:val="000000"/>
                <w:sz w:val="28"/>
                <w:szCs w:val="30"/>
              </w:rPr>
            </w:pPr>
          </w:p>
        </w:tc>
        <w:tc>
          <w:tcPr>
            <w:tcW w:w="1058" w:type="dxa"/>
          </w:tcPr>
          <w:p w14:paraId="2882D104">
            <w:pPr>
              <w:rPr>
                <w:rFonts w:ascii="仿宋" w:hAnsi="仿宋" w:eastAsia="仿宋" w:cs="仿宋"/>
                <w:color w:val="000000"/>
                <w:sz w:val="28"/>
                <w:szCs w:val="30"/>
              </w:rPr>
            </w:pPr>
          </w:p>
        </w:tc>
        <w:tc>
          <w:tcPr>
            <w:tcW w:w="880" w:type="dxa"/>
          </w:tcPr>
          <w:p w14:paraId="4941D46D">
            <w:pPr>
              <w:rPr>
                <w:rFonts w:ascii="仿宋" w:hAnsi="仿宋" w:eastAsia="仿宋" w:cs="仿宋"/>
                <w:color w:val="000000"/>
                <w:sz w:val="28"/>
                <w:szCs w:val="30"/>
              </w:rPr>
            </w:pPr>
          </w:p>
        </w:tc>
        <w:tc>
          <w:tcPr>
            <w:tcW w:w="1020" w:type="dxa"/>
          </w:tcPr>
          <w:p w14:paraId="1F91D02F">
            <w:pPr>
              <w:rPr>
                <w:rFonts w:ascii="仿宋" w:hAnsi="仿宋" w:eastAsia="仿宋" w:cs="仿宋"/>
                <w:color w:val="000000"/>
                <w:sz w:val="28"/>
                <w:szCs w:val="30"/>
              </w:rPr>
            </w:pPr>
          </w:p>
        </w:tc>
        <w:tc>
          <w:tcPr>
            <w:tcW w:w="1480" w:type="dxa"/>
          </w:tcPr>
          <w:p w14:paraId="2AF70A6C">
            <w:pPr>
              <w:rPr>
                <w:rFonts w:ascii="仿宋" w:hAnsi="仿宋" w:eastAsia="仿宋" w:cs="仿宋"/>
                <w:color w:val="000000"/>
                <w:sz w:val="28"/>
                <w:szCs w:val="30"/>
              </w:rPr>
            </w:pPr>
          </w:p>
        </w:tc>
        <w:tc>
          <w:tcPr>
            <w:tcW w:w="1020" w:type="dxa"/>
          </w:tcPr>
          <w:p w14:paraId="5E9501A1">
            <w:pPr>
              <w:rPr>
                <w:rFonts w:ascii="仿宋" w:hAnsi="仿宋" w:eastAsia="仿宋" w:cs="仿宋"/>
                <w:color w:val="000000"/>
                <w:sz w:val="28"/>
                <w:szCs w:val="30"/>
              </w:rPr>
            </w:pPr>
          </w:p>
        </w:tc>
        <w:tc>
          <w:tcPr>
            <w:tcW w:w="921" w:type="dxa"/>
          </w:tcPr>
          <w:p w14:paraId="1593A940">
            <w:pPr>
              <w:rPr>
                <w:rFonts w:ascii="仿宋" w:hAnsi="仿宋" w:eastAsia="仿宋" w:cs="仿宋"/>
                <w:color w:val="000000"/>
                <w:sz w:val="28"/>
                <w:szCs w:val="30"/>
              </w:rPr>
            </w:pPr>
          </w:p>
        </w:tc>
      </w:tr>
      <w:tr w14:paraId="0CC47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F4F56D">
            <w:pPr>
              <w:rPr>
                <w:rFonts w:ascii="仿宋" w:hAnsi="仿宋" w:eastAsia="仿宋" w:cs="仿宋"/>
                <w:color w:val="000000"/>
                <w:sz w:val="28"/>
                <w:szCs w:val="30"/>
              </w:rPr>
            </w:pPr>
          </w:p>
        </w:tc>
        <w:tc>
          <w:tcPr>
            <w:tcW w:w="1418" w:type="dxa"/>
          </w:tcPr>
          <w:p w14:paraId="2D29CBA4">
            <w:pPr>
              <w:rPr>
                <w:rFonts w:ascii="仿宋" w:hAnsi="仿宋" w:eastAsia="仿宋" w:cs="仿宋"/>
                <w:color w:val="000000"/>
                <w:sz w:val="28"/>
                <w:szCs w:val="30"/>
              </w:rPr>
            </w:pPr>
          </w:p>
        </w:tc>
        <w:tc>
          <w:tcPr>
            <w:tcW w:w="850" w:type="dxa"/>
          </w:tcPr>
          <w:p w14:paraId="61243388">
            <w:pPr>
              <w:rPr>
                <w:rFonts w:ascii="仿宋" w:hAnsi="仿宋" w:eastAsia="仿宋" w:cs="仿宋"/>
                <w:color w:val="000000"/>
                <w:sz w:val="28"/>
                <w:szCs w:val="30"/>
              </w:rPr>
            </w:pPr>
          </w:p>
        </w:tc>
        <w:tc>
          <w:tcPr>
            <w:tcW w:w="1058" w:type="dxa"/>
          </w:tcPr>
          <w:p w14:paraId="082D0D18">
            <w:pPr>
              <w:rPr>
                <w:rFonts w:ascii="仿宋" w:hAnsi="仿宋" w:eastAsia="仿宋" w:cs="仿宋"/>
                <w:color w:val="000000"/>
                <w:sz w:val="28"/>
                <w:szCs w:val="30"/>
              </w:rPr>
            </w:pPr>
          </w:p>
        </w:tc>
        <w:tc>
          <w:tcPr>
            <w:tcW w:w="880" w:type="dxa"/>
          </w:tcPr>
          <w:p w14:paraId="196E2CD9">
            <w:pPr>
              <w:rPr>
                <w:rFonts w:ascii="仿宋" w:hAnsi="仿宋" w:eastAsia="仿宋" w:cs="仿宋"/>
                <w:color w:val="000000"/>
                <w:sz w:val="28"/>
                <w:szCs w:val="30"/>
              </w:rPr>
            </w:pPr>
          </w:p>
        </w:tc>
        <w:tc>
          <w:tcPr>
            <w:tcW w:w="1020" w:type="dxa"/>
          </w:tcPr>
          <w:p w14:paraId="3CE46FDE">
            <w:pPr>
              <w:rPr>
                <w:rFonts w:ascii="仿宋" w:hAnsi="仿宋" w:eastAsia="仿宋" w:cs="仿宋"/>
                <w:color w:val="000000"/>
                <w:sz w:val="28"/>
                <w:szCs w:val="30"/>
              </w:rPr>
            </w:pPr>
          </w:p>
        </w:tc>
        <w:tc>
          <w:tcPr>
            <w:tcW w:w="1480" w:type="dxa"/>
          </w:tcPr>
          <w:p w14:paraId="5D32AD1D">
            <w:pPr>
              <w:rPr>
                <w:rFonts w:ascii="仿宋" w:hAnsi="仿宋" w:eastAsia="仿宋" w:cs="仿宋"/>
                <w:color w:val="000000"/>
                <w:sz w:val="28"/>
                <w:szCs w:val="30"/>
              </w:rPr>
            </w:pPr>
          </w:p>
        </w:tc>
        <w:tc>
          <w:tcPr>
            <w:tcW w:w="1020" w:type="dxa"/>
          </w:tcPr>
          <w:p w14:paraId="6FF74889">
            <w:pPr>
              <w:rPr>
                <w:rFonts w:ascii="仿宋" w:hAnsi="仿宋" w:eastAsia="仿宋" w:cs="仿宋"/>
                <w:color w:val="000000"/>
                <w:sz w:val="28"/>
                <w:szCs w:val="30"/>
              </w:rPr>
            </w:pPr>
          </w:p>
        </w:tc>
        <w:tc>
          <w:tcPr>
            <w:tcW w:w="921" w:type="dxa"/>
          </w:tcPr>
          <w:p w14:paraId="64B0D633">
            <w:pPr>
              <w:rPr>
                <w:rFonts w:ascii="仿宋" w:hAnsi="仿宋" w:eastAsia="仿宋" w:cs="仿宋"/>
                <w:color w:val="000000"/>
                <w:sz w:val="28"/>
                <w:szCs w:val="30"/>
              </w:rPr>
            </w:pPr>
          </w:p>
        </w:tc>
      </w:tr>
      <w:tr w14:paraId="12102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A8827CC">
            <w:pPr>
              <w:rPr>
                <w:rFonts w:ascii="仿宋" w:hAnsi="仿宋" w:eastAsia="仿宋" w:cs="仿宋"/>
                <w:color w:val="000000"/>
                <w:sz w:val="28"/>
                <w:szCs w:val="30"/>
              </w:rPr>
            </w:pPr>
          </w:p>
        </w:tc>
        <w:tc>
          <w:tcPr>
            <w:tcW w:w="1418" w:type="dxa"/>
          </w:tcPr>
          <w:p w14:paraId="31F889AD">
            <w:pPr>
              <w:rPr>
                <w:rFonts w:ascii="仿宋" w:hAnsi="仿宋" w:eastAsia="仿宋" w:cs="仿宋"/>
                <w:color w:val="000000"/>
                <w:sz w:val="28"/>
                <w:szCs w:val="30"/>
              </w:rPr>
            </w:pPr>
          </w:p>
        </w:tc>
        <w:tc>
          <w:tcPr>
            <w:tcW w:w="850" w:type="dxa"/>
          </w:tcPr>
          <w:p w14:paraId="3EA9DF83">
            <w:pPr>
              <w:rPr>
                <w:rFonts w:ascii="仿宋" w:hAnsi="仿宋" w:eastAsia="仿宋" w:cs="仿宋"/>
                <w:color w:val="000000"/>
                <w:sz w:val="28"/>
                <w:szCs w:val="30"/>
              </w:rPr>
            </w:pPr>
          </w:p>
        </w:tc>
        <w:tc>
          <w:tcPr>
            <w:tcW w:w="1058" w:type="dxa"/>
          </w:tcPr>
          <w:p w14:paraId="41C159E1">
            <w:pPr>
              <w:rPr>
                <w:rFonts w:ascii="仿宋" w:hAnsi="仿宋" w:eastAsia="仿宋" w:cs="仿宋"/>
                <w:color w:val="000000"/>
                <w:sz w:val="28"/>
                <w:szCs w:val="30"/>
              </w:rPr>
            </w:pPr>
          </w:p>
        </w:tc>
        <w:tc>
          <w:tcPr>
            <w:tcW w:w="880" w:type="dxa"/>
          </w:tcPr>
          <w:p w14:paraId="4F8999A2">
            <w:pPr>
              <w:rPr>
                <w:rFonts w:ascii="仿宋" w:hAnsi="仿宋" w:eastAsia="仿宋" w:cs="仿宋"/>
                <w:color w:val="000000"/>
                <w:sz w:val="28"/>
                <w:szCs w:val="30"/>
              </w:rPr>
            </w:pPr>
          </w:p>
        </w:tc>
        <w:tc>
          <w:tcPr>
            <w:tcW w:w="1020" w:type="dxa"/>
          </w:tcPr>
          <w:p w14:paraId="328F6795">
            <w:pPr>
              <w:rPr>
                <w:rFonts w:ascii="仿宋" w:hAnsi="仿宋" w:eastAsia="仿宋" w:cs="仿宋"/>
                <w:color w:val="000000"/>
                <w:sz w:val="28"/>
                <w:szCs w:val="30"/>
              </w:rPr>
            </w:pPr>
          </w:p>
        </w:tc>
        <w:tc>
          <w:tcPr>
            <w:tcW w:w="1480" w:type="dxa"/>
          </w:tcPr>
          <w:p w14:paraId="765B4835">
            <w:pPr>
              <w:rPr>
                <w:rFonts w:ascii="仿宋" w:hAnsi="仿宋" w:eastAsia="仿宋" w:cs="仿宋"/>
                <w:color w:val="000000"/>
                <w:sz w:val="28"/>
                <w:szCs w:val="30"/>
              </w:rPr>
            </w:pPr>
          </w:p>
        </w:tc>
        <w:tc>
          <w:tcPr>
            <w:tcW w:w="1020" w:type="dxa"/>
          </w:tcPr>
          <w:p w14:paraId="34F98974">
            <w:pPr>
              <w:rPr>
                <w:rFonts w:ascii="仿宋" w:hAnsi="仿宋" w:eastAsia="仿宋" w:cs="仿宋"/>
                <w:color w:val="000000"/>
                <w:sz w:val="28"/>
                <w:szCs w:val="30"/>
              </w:rPr>
            </w:pPr>
          </w:p>
        </w:tc>
        <w:tc>
          <w:tcPr>
            <w:tcW w:w="921" w:type="dxa"/>
          </w:tcPr>
          <w:p w14:paraId="002353FD">
            <w:pPr>
              <w:rPr>
                <w:rFonts w:ascii="仿宋" w:hAnsi="仿宋" w:eastAsia="仿宋" w:cs="仿宋"/>
                <w:color w:val="000000"/>
                <w:sz w:val="28"/>
                <w:szCs w:val="30"/>
              </w:rPr>
            </w:pPr>
          </w:p>
        </w:tc>
      </w:tr>
    </w:tbl>
    <w:p w14:paraId="4F93AB02">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t>附</w:t>
      </w:r>
      <w:bookmarkStart w:id="1444" w:name="_Toc296347227"/>
      <w:bookmarkStart w:id="1445" w:name="_Toc296944567"/>
      <w:bookmarkStart w:id="1446" w:name="_Toc296346729"/>
      <w:bookmarkStart w:id="1447" w:name="_Toc267261699"/>
      <w:bookmarkStart w:id="1448" w:name="_Toc296891268"/>
      <w:bookmarkStart w:id="1449" w:name="_Toc296503228"/>
      <w:bookmarkStart w:id="1450" w:name="_Toc296891056"/>
      <w:r>
        <w:rPr>
          <w:rFonts w:hint="eastAsia" w:ascii="仿宋" w:hAnsi="仿宋" w:eastAsia="仿宋" w:cs="仿宋"/>
          <w:color w:val="000000"/>
          <w:sz w:val="28"/>
          <w:szCs w:val="30"/>
        </w:rPr>
        <w:t>件3：</w:t>
      </w:r>
    </w:p>
    <w:bookmarkEnd w:id="1444"/>
    <w:bookmarkEnd w:id="1445"/>
    <w:bookmarkEnd w:id="1446"/>
    <w:bookmarkEnd w:id="1447"/>
    <w:bookmarkEnd w:id="1448"/>
    <w:bookmarkEnd w:id="1449"/>
    <w:bookmarkEnd w:id="1450"/>
    <w:p w14:paraId="0ECB836E">
      <w:pPr>
        <w:adjustRightInd w:val="0"/>
        <w:snapToGrid w:val="0"/>
        <w:spacing w:line="580" w:lineRule="exact"/>
        <w:jc w:val="center"/>
        <w:rPr>
          <w:rFonts w:ascii="仿宋" w:hAnsi="仿宋" w:eastAsia="仿宋" w:cs="仿宋"/>
          <w:b/>
          <w:kern w:val="0"/>
          <w:sz w:val="28"/>
          <w:szCs w:val="30"/>
        </w:rPr>
      </w:pPr>
      <w:r>
        <w:rPr>
          <w:rFonts w:hint="eastAsia" w:ascii="仿宋" w:hAnsi="仿宋" w:eastAsia="仿宋" w:cs="仿宋"/>
          <w:color w:val="000000"/>
          <w:sz w:val="28"/>
          <w:szCs w:val="30"/>
        </w:rPr>
        <w:t>承包人主要施工管理人员表</w:t>
      </w:r>
      <w:r>
        <w:rPr>
          <w:rFonts w:hint="eastAsia" w:ascii="仿宋" w:hAnsi="仿宋" w:eastAsia="仿宋" w:cs="仿宋"/>
          <w:b/>
          <w:kern w:val="0"/>
          <w:sz w:val="28"/>
          <w:szCs w:val="30"/>
          <w:highlight w:val="yellow"/>
        </w:rPr>
        <w:t>（必填）</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299E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2BB76C7">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名    称</w:t>
            </w:r>
          </w:p>
        </w:tc>
        <w:tc>
          <w:tcPr>
            <w:tcW w:w="1418" w:type="dxa"/>
            <w:tcBorders>
              <w:top w:val="single" w:color="auto" w:sz="12" w:space="0"/>
              <w:bottom w:val="double" w:color="auto" w:sz="6" w:space="0"/>
            </w:tcBorders>
            <w:vAlign w:val="center"/>
          </w:tcPr>
          <w:p w14:paraId="45FA11B1">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姓名</w:t>
            </w:r>
          </w:p>
        </w:tc>
        <w:tc>
          <w:tcPr>
            <w:tcW w:w="1134" w:type="dxa"/>
            <w:tcBorders>
              <w:top w:val="single" w:color="auto" w:sz="12" w:space="0"/>
              <w:bottom w:val="double" w:color="auto" w:sz="6" w:space="0"/>
            </w:tcBorders>
            <w:vAlign w:val="center"/>
          </w:tcPr>
          <w:p w14:paraId="6E8EB0EC">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职务</w:t>
            </w:r>
          </w:p>
        </w:tc>
        <w:tc>
          <w:tcPr>
            <w:tcW w:w="1134" w:type="dxa"/>
            <w:tcBorders>
              <w:top w:val="single" w:color="auto" w:sz="12" w:space="0"/>
              <w:bottom w:val="double" w:color="auto" w:sz="6" w:space="0"/>
            </w:tcBorders>
            <w:vAlign w:val="center"/>
          </w:tcPr>
          <w:p w14:paraId="15E3176F">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职称</w:t>
            </w:r>
          </w:p>
        </w:tc>
        <w:tc>
          <w:tcPr>
            <w:tcW w:w="4252" w:type="dxa"/>
            <w:tcBorders>
              <w:top w:val="single" w:color="auto" w:sz="12" w:space="0"/>
              <w:bottom w:val="double" w:color="auto" w:sz="6" w:space="0"/>
            </w:tcBorders>
            <w:vAlign w:val="center"/>
          </w:tcPr>
          <w:p w14:paraId="54478DF6">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主要资历、经验及承担过的项目</w:t>
            </w:r>
          </w:p>
        </w:tc>
      </w:tr>
      <w:tr w14:paraId="25DE2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B1788FD">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一、总部人员</w:t>
            </w:r>
          </w:p>
        </w:tc>
      </w:tr>
      <w:tr w14:paraId="15FF4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9464BE6">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项目主管</w:t>
            </w:r>
          </w:p>
        </w:tc>
        <w:tc>
          <w:tcPr>
            <w:tcW w:w="1418" w:type="dxa"/>
            <w:tcBorders>
              <w:top w:val="nil"/>
            </w:tcBorders>
            <w:vAlign w:val="center"/>
          </w:tcPr>
          <w:p w14:paraId="0D5231FD">
            <w:pPr>
              <w:pStyle w:val="23"/>
              <w:keepNext/>
              <w:spacing w:line="440" w:lineRule="exact"/>
              <w:ind w:left="63" w:right="63"/>
              <w:rPr>
                <w:rFonts w:ascii="仿宋" w:hAnsi="仿宋" w:eastAsia="仿宋" w:cs="仿宋"/>
                <w:color w:val="000000"/>
                <w:sz w:val="24"/>
                <w:szCs w:val="30"/>
              </w:rPr>
            </w:pPr>
          </w:p>
        </w:tc>
        <w:tc>
          <w:tcPr>
            <w:tcW w:w="1134" w:type="dxa"/>
            <w:tcBorders>
              <w:top w:val="nil"/>
            </w:tcBorders>
            <w:vAlign w:val="center"/>
          </w:tcPr>
          <w:p w14:paraId="421E193B">
            <w:pPr>
              <w:pStyle w:val="23"/>
              <w:keepNext/>
              <w:spacing w:line="440" w:lineRule="exact"/>
              <w:ind w:left="63" w:right="63"/>
              <w:rPr>
                <w:rFonts w:ascii="仿宋" w:hAnsi="仿宋" w:eastAsia="仿宋" w:cs="仿宋"/>
                <w:color w:val="000000"/>
                <w:sz w:val="28"/>
                <w:szCs w:val="30"/>
              </w:rPr>
            </w:pPr>
          </w:p>
        </w:tc>
        <w:tc>
          <w:tcPr>
            <w:tcW w:w="1134" w:type="dxa"/>
            <w:tcBorders>
              <w:top w:val="nil"/>
            </w:tcBorders>
            <w:vAlign w:val="center"/>
          </w:tcPr>
          <w:p w14:paraId="088EE7AB">
            <w:pPr>
              <w:pStyle w:val="23"/>
              <w:keepNext/>
              <w:spacing w:line="440" w:lineRule="exact"/>
              <w:ind w:left="63" w:right="63"/>
              <w:rPr>
                <w:rFonts w:ascii="仿宋" w:hAnsi="仿宋" w:eastAsia="仿宋" w:cs="仿宋"/>
                <w:color w:val="000000"/>
                <w:sz w:val="28"/>
                <w:szCs w:val="30"/>
              </w:rPr>
            </w:pPr>
          </w:p>
        </w:tc>
        <w:tc>
          <w:tcPr>
            <w:tcW w:w="4252" w:type="dxa"/>
            <w:tcBorders>
              <w:top w:val="nil"/>
            </w:tcBorders>
            <w:vAlign w:val="center"/>
          </w:tcPr>
          <w:p w14:paraId="6B48871D">
            <w:pPr>
              <w:pStyle w:val="23"/>
              <w:keepNext/>
              <w:spacing w:line="440" w:lineRule="exact"/>
              <w:ind w:left="63" w:right="63"/>
              <w:rPr>
                <w:rFonts w:ascii="仿宋" w:hAnsi="仿宋" w:eastAsia="仿宋" w:cs="仿宋"/>
                <w:color w:val="000000"/>
                <w:sz w:val="28"/>
                <w:szCs w:val="30"/>
              </w:rPr>
            </w:pPr>
          </w:p>
        </w:tc>
      </w:tr>
      <w:tr w14:paraId="45442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4FEAC6D">
            <w:pPr>
              <w:pStyle w:val="23"/>
              <w:keepNext/>
              <w:spacing w:line="440" w:lineRule="exact"/>
              <w:ind w:left="63" w:right="63"/>
              <w:rPr>
                <w:rFonts w:ascii="仿宋" w:hAnsi="仿宋" w:eastAsia="仿宋" w:cs="仿宋"/>
                <w:color w:val="000000"/>
                <w:sz w:val="24"/>
                <w:szCs w:val="30"/>
              </w:rPr>
            </w:pPr>
          </w:p>
        </w:tc>
        <w:tc>
          <w:tcPr>
            <w:tcW w:w="1418" w:type="dxa"/>
            <w:vAlign w:val="center"/>
          </w:tcPr>
          <w:p w14:paraId="3F62D9DD">
            <w:pPr>
              <w:pStyle w:val="23"/>
              <w:keepNext/>
              <w:spacing w:line="440" w:lineRule="exact"/>
              <w:ind w:left="63" w:right="63"/>
              <w:rPr>
                <w:rFonts w:ascii="仿宋" w:hAnsi="仿宋" w:eastAsia="仿宋" w:cs="仿宋"/>
                <w:color w:val="000000"/>
                <w:sz w:val="24"/>
                <w:szCs w:val="30"/>
              </w:rPr>
            </w:pPr>
          </w:p>
        </w:tc>
        <w:tc>
          <w:tcPr>
            <w:tcW w:w="1134" w:type="dxa"/>
            <w:vAlign w:val="center"/>
          </w:tcPr>
          <w:p w14:paraId="3E291089">
            <w:pPr>
              <w:pStyle w:val="23"/>
              <w:keepNext/>
              <w:spacing w:line="440" w:lineRule="exact"/>
              <w:ind w:left="63" w:right="63"/>
              <w:rPr>
                <w:rFonts w:ascii="仿宋" w:hAnsi="仿宋" w:eastAsia="仿宋" w:cs="仿宋"/>
                <w:color w:val="000000"/>
                <w:sz w:val="28"/>
                <w:szCs w:val="30"/>
              </w:rPr>
            </w:pPr>
          </w:p>
        </w:tc>
        <w:tc>
          <w:tcPr>
            <w:tcW w:w="1134" w:type="dxa"/>
            <w:vAlign w:val="center"/>
          </w:tcPr>
          <w:p w14:paraId="291319E1">
            <w:pPr>
              <w:pStyle w:val="23"/>
              <w:keepNext/>
              <w:spacing w:line="440" w:lineRule="exact"/>
              <w:ind w:left="63" w:right="63"/>
              <w:rPr>
                <w:rFonts w:ascii="仿宋" w:hAnsi="仿宋" w:eastAsia="仿宋" w:cs="仿宋"/>
                <w:color w:val="000000"/>
                <w:sz w:val="28"/>
                <w:szCs w:val="30"/>
              </w:rPr>
            </w:pPr>
          </w:p>
        </w:tc>
        <w:tc>
          <w:tcPr>
            <w:tcW w:w="4252" w:type="dxa"/>
            <w:vAlign w:val="center"/>
          </w:tcPr>
          <w:p w14:paraId="6A2F66A7">
            <w:pPr>
              <w:pStyle w:val="23"/>
              <w:keepNext/>
              <w:spacing w:line="440" w:lineRule="exact"/>
              <w:ind w:left="63" w:right="63"/>
              <w:rPr>
                <w:rFonts w:ascii="仿宋" w:hAnsi="仿宋" w:eastAsia="仿宋" w:cs="仿宋"/>
                <w:color w:val="000000"/>
                <w:sz w:val="28"/>
                <w:szCs w:val="30"/>
              </w:rPr>
            </w:pPr>
          </w:p>
        </w:tc>
      </w:tr>
      <w:tr w14:paraId="73101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39EB195">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14:paraId="4A871AE4">
            <w:pPr>
              <w:pStyle w:val="23"/>
              <w:keepNext/>
              <w:spacing w:line="440" w:lineRule="exact"/>
              <w:ind w:left="63" w:right="63"/>
              <w:rPr>
                <w:rFonts w:ascii="仿宋" w:hAnsi="仿宋" w:eastAsia="仿宋" w:cs="仿宋"/>
                <w:color w:val="000000"/>
                <w:sz w:val="24"/>
                <w:szCs w:val="30"/>
              </w:rPr>
            </w:pPr>
          </w:p>
        </w:tc>
        <w:tc>
          <w:tcPr>
            <w:tcW w:w="1134" w:type="dxa"/>
            <w:vAlign w:val="center"/>
          </w:tcPr>
          <w:p w14:paraId="6F02C5EA">
            <w:pPr>
              <w:pStyle w:val="23"/>
              <w:keepNext/>
              <w:spacing w:line="440" w:lineRule="exact"/>
              <w:ind w:left="63" w:right="63"/>
              <w:rPr>
                <w:rFonts w:ascii="仿宋" w:hAnsi="仿宋" w:eastAsia="仿宋" w:cs="仿宋"/>
                <w:color w:val="000000"/>
                <w:sz w:val="28"/>
                <w:szCs w:val="30"/>
              </w:rPr>
            </w:pPr>
          </w:p>
        </w:tc>
        <w:tc>
          <w:tcPr>
            <w:tcW w:w="1134" w:type="dxa"/>
            <w:vAlign w:val="center"/>
          </w:tcPr>
          <w:p w14:paraId="0EFA20E3">
            <w:pPr>
              <w:pStyle w:val="23"/>
              <w:keepNext/>
              <w:spacing w:line="440" w:lineRule="exact"/>
              <w:ind w:left="63" w:right="63"/>
              <w:rPr>
                <w:rFonts w:ascii="仿宋" w:hAnsi="仿宋" w:eastAsia="仿宋" w:cs="仿宋"/>
                <w:color w:val="000000"/>
                <w:sz w:val="28"/>
                <w:szCs w:val="30"/>
              </w:rPr>
            </w:pPr>
          </w:p>
        </w:tc>
        <w:tc>
          <w:tcPr>
            <w:tcW w:w="4252" w:type="dxa"/>
            <w:vAlign w:val="center"/>
          </w:tcPr>
          <w:p w14:paraId="48C9ED8B">
            <w:pPr>
              <w:pStyle w:val="23"/>
              <w:keepNext/>
              <w:spacing w:line="440" w:lineRule="exact"/>
              <w:ind w:left="63" w:right="63"/>
              <w:rPr>
                <w:rFonts w:ascii="仿宋" w:hAnsi="仿宋" w:eastAsia="仿宋" w:cs="仿宋"/>
                <w:color w:val="000000"/>
                <w:sz w:val="28"/>
                <w:szCs w:val="30"/>
              </w:rPr>
            </w:pPr>
          </w:p>
        </w:tc>
      </w:tr>
      <w:tr w14:paraId="3CADB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BF61542">
            <w:pPr>
              <w:pStyle w:val="23"/>
              <w:keepNext/>
              <w:spacing w:line="440" w:lineRule="exact"/>
              <w:ind w:left="63" w:right="63"/>
              <w:rPr>
                <w:rFonts w:ascii="仿宋" w:hAnsi="仿宋" w:eastAsia="仿宋" w:cs="仿宋"/>
                <w:color w:val="000000"/>
                <w:sz w:val="24"/>
                <w:szCs w:val="30"/>
              </w:rPr>
            </w:pPr>
          </w:p>
        </w:tc>
        <w:tc>
          <w:tcPr>
            <w:tcW w:w="1418" w:type="dxa"/>
            <w:vAlign w:val="center"/>
          </w:tcPr>
          <w:p w14:paraId="21DBE8BE">
            <w:pPr>
              <w:pStyle w:val="23"/>
              <w:keepNext/>
              <w:spacing w:line="440" w:lineRule="exact"/>
              <w:ind w:left="63" w:right="63"/>
              <w:rPr>
                <w:rFonts w:ascii="仿宋" w:hAnsi="仿宋" w:eastAsia="仿宋" w:cs="仿宋"/>
                <w:color w:val="000000"/>
                <w:sz w:val="24"/>
                <w:szCs w:val="30"/>
              </w:rPr>
            </w:pPr>
          </w:p>
        </w:tc>
        <w:tc>
          <w:tcPr>
            <w:tcW w:w="1134" w:type="dxa"/>
            <w:vAlign w:val="center"/>
          </w:tcPr>
          <w:p w14:paraId="2E626A8C">
            <w:pPr>
              <w:pStyle w:val="23"/>
              <w:keepNext/>
              <w:spacing w:line="440" w:lineRule="exact"/>
              <w:ind w:left="63" w:right="63"/>
              <w:rPr>
                <w:rFonts w:ascii="仿宋" w:hAnsi="仿宋" w:eastAsia="仿宋" w:cs="仿宋"/>
                <w:color w:val="000000"/>
                <w:sz w:val="28"/>
                <w:szCs w:val="30"/>
              </w:rPr>
            </w:pPr>
          </w:p>
        </w:tc>
        <w:tc>
          <w:tcPr>
            <w:tcW w:w="1134" w:type="dxa"/>
            <w:vAlign w:val="center"/>
          </w:tcPr>
          <w:p w14:paraId="2720D08F">
            <w:pPr>
              <w:pStyle w:val="23"/>
              <w:keepNext/>
              <w:spacing w:line="440" w:lineRule="exact"/>
              <w:ind w:left="63" w:right="63"/>
              <w:rPr>
                <w:rFonts w:ascii="仿宋" w:hAnsi="仿宋" w:eastAsia="仿宋" w:cs="仿宋"/>
                <w:color w:val="000000"/>
                <w:sz w:val="28"/>
                <w:szCs w:val="30"/>
              </w:rPr>
            </w:pPr>
          </w:p>
        </w:tc>
        <w:tc>
          <w:tcPr>
            <w:tcW w:w="4252" w:type="dxa"/>
            <w:vAlign w:val="center"/>
          </w:tcPr>
          <w:p w14:paraId="32205870">
            <w:pPr>
              <w:pStyle w:val="23"/>
              <w:keepNext/>
              <w:spacing w:line="440" w:lineRule="exact"/>
              <w:ind w:left="63" w:right="63"/>
              <w:rPr>
                <w:rFonts w:ascii="仿宋" w:hAnsi="仿宋" w:eastAsia="仿宋" w:cs="仿宋"/>
                <w:color w:val="000000"/>
                <w:sz w:val="28"/>
                <w:szCs w:val="30"/>
              </w:rPr>
            </w:pPr>
          </w:p>
        </w:tc>
      </w:tr>
      <w:tr w14:paraId="2C2D2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2BA36A5">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二、现场人员</w:t>
            </w:r>
          </w:p>
        </w:tc>
      </w:tr>
      <w:tr w14:paraId="441D7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CDA8FC8">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项目经理</w:t>
            </w:r>
          </w:p>
        </w:tc>
        <w:tc>
          <w:tcPr>
            <w:tcW w:w="1418" w:type="dxa"/>
            <w:vAlign w:val="center"/>
          </w:tcPr>
          <w:p w14:paraId="046FF670">
            <w:pPr>
              <w:pStyle w:val="23"/>
              <w:keepNext/>
              <w:spacing w:line="440" w:lineRule="exact"/>
              <w:ind w:left="63" w:right="63"/>
              <w:rPr>
                <w:rFonts w:ascii="仿宋" w:hAnsi="仿宋" w:eastAsia="仿宋" w:cs="仿宋"/>
                <w:color w:val="000000"/>
                <w:sz w:val="24"/>
                <w:szCs w:val="30"/>
              </w:rPr>
            </w:pPr>
          </w:p>
        </w:tc>
        <w:tc>
          <w:tcPr>
            <w:tcW w:w="1134" w:type="dxa"/>
            <w:vAlign w:val="center"/>
          </w:tcPr>
          <w:p w14:paraId="47B23BC5">
            <w:pPr>
              <w:pStyle w:val="23"/>
              <w:keepNext/>
              <w:spacing w:line="440" w:lineRule="exact"/>
              <w:ind w:left="63" w:right="63"/>
              <w:rPr>
                <w:rFonts w:ascii="仿宋" w:hAnsi="仿宋" w:eastAsia="仿宋" w:cs="仿宋"/>
                <w:color w:val="000000"/>
                <w:sz w:val="28"/>
                <w:szCs w:val="30"/>
              </w:rPr>
            </w:pPr>
          </w:p>
        </w:tc>
        <w:tc>
          <w:tcPr>
            <w:tcW w:w="1134" w:type="dxa"/>
            <w:vAlign w:val="center"/>
          </w:tcPr>
          <w:p w14:paraId="4684A2DF">
            <w:pPr>
              <w:pStyle w:val="23"/>
              <w:keepNext/>
              <w:spacing w:line="440" w:lineRule="exact"/>
              <w:ind w:left="63" w:right="63"/>
              <w:rPr>
                <w:rFonts w:ascii="仿宋" w:hAnsi="仿宋" w:eastAsia="仿宋" w:cs="仿宋"/>
                <w:color w:val="000000"/>
                <w:sz w:val="28"/>
                <w:szCs w:val="30"/>
              </w:rPr>
            </w:pPr>
          </w:p>
        </w:tc>
        <w:tc>
          <w:tcPr>
            <w:tcW w:w="4252" w:type="dxa"/>
            <w:vAlign w:val="center"/>
          </w:tcPr>
          <w:p w14:paraId="6E9422EA">
            <w:pPr>
              <w:pStyle w:val="23"/>
              <w:keepNext/>
              <w:spacing w:line="440" w:lineRule="exact"/>
              <w:ind w:left="63" w:right="63"/>
              <w:rPr>
                <w:rFonts w:ascii="仿宋" w:hAnsi="仿宋" w:eastAsia="仿宋" w:cs="仿宋"/>
                <w:color w:val="000000"/>
                <w:sz w:val="28"/>
                <w:szCs w:val="30"/>
              </w:rPr>
            </w:pPr>
          </w:p>
        </w:tc>
      </w:tr>
      <w:tr w14:paraId="3D2EA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9FACFAD">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项目副经理</w:t>
            </w:r>
          </w:p>
        </w:tc>
        <w:tc>
          <w:tcPr>
            <w:tcW w:w="1418" w:type="dxa"/>
            <w:vAlign w:val="center"/>
          </w:tcPr>
          <w:p w14:paraId="6CCD610E">
            <w:pPr>
              <w:pStyle w:val="23"/>
              <w:keepNext/>
              <w:spacing w:line="440" w:lineRule="exact"/>
              <w:ind w:left="63" w:right="63"/>
              <w:rPr>
                <w:rFonts w:ascii="仿宋" w:hAnsi="仿宋" w:eastAsia="仿宋" w:cs="仿宋"/>
                <w:color w:val="000000"/>
                <w:sz w:val="24"/>
                <w:szCs w:val="30"/>
              </w:rPr>
            </w:pPr>
          </w:p>
        </w:tc>
        <w:tc>
          <w:tcPr>
            <w:tcW w:w="1134" w:type="dxa"/>
            <w:vAlign w:val="center"/>
          </w:tcPr>
          <w:p w14:paraId="5E5B6227">
            <w:pPr>
              <w:pStyle w:val="23"/>
              <w:keepNext/>
              <w:spacing w:line="440" w:lineRule="exact"/>
              <w:ind w:left="63" w:right="63"/>
              <w:rPr>
                <w:rFonts w:ascii="仿宋" w:hAnsi="仿宋" w:eastAsia="仿宋" w:cs="仿宋"/>
                <w:color w:val="000000"/>
                <w:sz w:val="28"/>
                <w:szCs w:val="30"/>
              </w:rPr>
            </w:pPr>
          </w:p>
        </w:tc>
        <w:tc>
          <w:tcPr>
            <w:tcW w:w="1134" w:type="dxa"/>
            <w:vAlign w:val="center"/>
          </w:tcPr>
          <w:p w14:paraId="64D440BA">
            <w:pPr>
              <w:pStyle w:val="23"/>
              <w:keepNext/>
              <w:spacing w:line="440" w:lineRule="exact"/>
              <w:ind w:left="63" w:right="63"/>
              <w:rPr>
                <w:rFonts w:ascii="仿宋" w:hAnsi="仿宋" w:eastAsia="仿宋" w:cs="仿宋"/>
                <w:color w:val="000000"/>
                <w:sz w:val="28"/>
                <w:szCs w:val="30"/>
              </w:rPr>
            </w:pPr>
          </w:p>
        </w:tc>
        <w:tc>
          <w:tcPr>
            <w:tcW w:w="4252" w:type="dxa"/>
            <w:vAlign w:val="center"/>
          </w:tcPr>
          <w:p w14:paraId="728D40A9">
            <w:pPr>
              <w:pStyle w:val="23"/>
              <w:keepNext/>
              <w:spacing w:line="440" w:lineRule="exact"/>
              <w:ind w:left="63" w:right="63"/>
              <w:rPr>
                <w:rFonts w:ascii="仿宋" w:hAnsi="仿宋" w:eastAsia="仿宋" w:cs="仿宋"/>
                <w:color w:val="000000"/>
                <w:sz w:val="28"/>
                <w:szCs w:val="30"/>
              </w:rPr>
            </w:pPr>
          </w:p>
        </w:tc>
      </w:tr>
      <w:tr w14:paraId="75B1E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DE3A189">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技术负责人</w:t>
            </w:r>
          </w:p>
        </w:tc>
        <w:tc>
          <w:tcPr>
            <w:tcW w:w="1418" w:type="dxa"/>
            <w:vAlign w:val="center"/>
          </w:tcPr>
          <w:p w14:paraId="5BD6CCD1">
            <w:pPr>
              <w:pStyle w:val="23"/>
              <w:keepNext/>
              <w:spacing w:line="440" w:lineRule="exact"/>
              <w:ind w:left="63" w:right="63"/>
              <w:rPr>
                <w:rFonts w:ascii="仿宋" w:hAnsi="仿宋" w:eastAsia="仿宋" w:cs="仿宋"/>
                <w:color w:val="000000"/>
                <w:sz w:val="24"/>
                <w:szCs w:val="30"/>
              </w:rPr>
            </w:pPr>
          </w:p>
        </w:tc>
        <w:tc>
          <w:tcPr>
            <w:tcW w:w="1134" w:type="dxa"/>
            <w:vAlign w:val="center"/>
          </w:tcPr>
          <w:p w14:paraId="3626C957">
            <w:pPr>
              <w:pStyle w:val="23"/>
              <w:keepNext/>
              <w:spacing w:line="440" w:lineRule="exact"/>
              <w:ind w:left="63" w:right="63"/>
              <w:rPr>
                <w:rFonts w:ascii="仿宋" w:hAnsi="仿宋" w:eastAsia="仿宋" w:cs="仿宋"/>
                <w:color w:val="000000"/>
                <w:sz w:val="28"/>
                <w:szCs w:val="30"/>
              </w:rPr>
            </w:pPr>
          </w:p>
        </w:tc>
        <w:tc>
          <w:tcPr>
            <w:tcW w:w="1134" w:type="dxa"/>
            <w:vAlign w:val="center"/>
          </w:tcPr>
          <w:p w14:paraId="6E7EBEDE">
            <w:pPr>
              <w:pStyle w:val="23"/>
              <w:keepNext/>
              <w:spacing w:line="440" w:lineRule="exact"/>
              <w:ind w:left="63" w:right="63"/>
              <w:rPr>
                <w:rFonts w:ascii="仿宋" w:hAnsi="仿宋" w:eastAsia="仿宋" w:cs="仿宋"/>
                <w:color w:val="000000"/>
                <w:sz w:val="28"/>
                <w:szCs w:val="30"/>
              </w:rPr>
            </w:pPr>
          </w:p>
        </w:tc>
        <w:tc>
          <w:tcPr>
            <w:tcW w:w="4252" w:type="dxa"/>
            <w:vAlign w:val="center"/>
          </w:tcPr>
          <w:p w14:paraId="21D01396">
            <w:pPr>
              <w:pStyle w:val="23"/>
              <w:keepNext/>
              <w:spacing w:line="440" w:lineRule="exact"/>
              <w:ind w:left="63" w:right="63"/>
              <w:rPr>
                <w:rFonts w:ascii="仿宋" w:hAnsi="仿宋" w:eastAsia="仿宋" w:cs="仿宋"/>
                <w:color w:val="000000"/>
                <w:sz w:val="28"/>
                <w:szCs w:val="30"/>
              </w:rPr>
            </w:pPr>
          </w:p>
        </w:tc>
      </w:tr>
      <w:tr w14:paraId="01E82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181ED64">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造价管理</w:t>
            </w:r>
          </w:p>
        </w:tc>
        <w:tc>
          <w:tcPr>
            <w:tcW w:w="1418" w:type="dxa"/>
            <w:vAlign w:val="center"/>
          </w:tcPr>
          <w:p w14:paraId="13C32F0D">
            <w:pPr>
              <w:pStyle w:val="23"/>
              <w:keepNext/>
              <w:spacing w:line="440" w:lineRule="exact"/>
              <w:ind w:left="63" w:right="63"/>
              <w:rPr>
                <w:rFonts w:ascii="仿宋" w:hAnsi="仿宋" w:eastAsia="仿宋" w:cs="仿宋"/>
                <w:color w:val="000000"/>
                <w:sz w:val="24"/>
                <w:szCs w:val="30"/>
              </w:rPr>
            </w:pPr>
          </w:p>
        </w:tc>
        <w:tc>
          <w:tcPr>
            <w:tcW w:w="1134" w:type="dxa"/>
            <w:vAlign w:val="center"/>
          </w:tcPr>
          <w:p w14:paraId="6815F647">
            <w:pPr>
              <w:pStyle w:val="23"/>
              <w:keepNext/>
              <w:spacing w:line="440" w:lineRule="exact"/>
              <w:ind w:left="63" w:right="63"/>
              <w:rPr>
                <w:rFonts w:ascii="仿宋" w:hAnsi="仿宋" w:eastAsia="仿宋" w:cs="仿宋"/>
                <w:color w:val="000000"/>
                <w:sz w:val="28"/>
                <w:szCs w:val="30"/>
              </w:rPr>
            </w:pPr>
          </w:p>
        </w:tc>
        <w:tc>
          <w:tcPr>
            <w:tcW w:w="1134" w:type="dxa"/>
            <w:vAlign w:val="center"/>
          </w:tcPr>
          <w:p w14:paraId="5E231487">
            <w:pPr>
              <w:pStyle w:val="23"/>
              <w:keepNext/>
              <w:spacing w:line="440" w:lineRule="exact"/>
              <w:ind w:left="63" w:right="63"/>
              <w:rPr>
                <w:rFonts w:ascii="仿宋" w:hAnsi="仿宋" w:eastAsia="仿宋" w:cs="仿宋"/>
                <w:color w:val="000000"/>
                <w:sz w:val="28"/>
                <w:szCs w:val="30"/>
              </w:rPr>
            </w:pPr>
          </w:p>
        </w:tc>
        <w:tc>
          <w:tcPr>
            <w:tcW w:w="4252" w:type="dxa"/>
            <w:vAlign w:val="center"/>
          </w:tcPr>
          <w:p w14:paraId="71D7F631">
            <w:pPr>
              <w:pStyle w:val="23"/>
              <w:keepNext/>
              <w:spacing w:line="440" w:lineRule="exact"/>
              <w:ind w:left="63" w:right="63"/>
              <w:rPr>
                <w:rFonts w:ascii="仿宋" w:hAnsi="仿宋" w:eastAsia="仿宋" w:cs="仿宋"/>
                <w:color w:val="000000"/>
                <w:sz w:val="28"/>
                <w:szCs w:val="30"/>
              </w:rPr>
            </w:pPr>
          </w:p>
        </w:tc>
      </w:tr>
      <w:tr w14:paraId="41779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7F468B">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质量管理</w:t>
            </w:r>
          </w:p>
        </w:tc>
        <w:tc>
          <w:tcPr>
            <w:tcW w:w="1418" w:type="dxa"/>
            <w:vAlign w:val="center"/>
          </w:tcPr>
          <w:p w14:paraId="357C0D58">
            <w:pPr>
              <w:pStyle w:val="23"/>
              <w:keepNext/>
              <w:spacing w:line="440" w:lineRule="exact"/>
              <w:ind w:left="63" w:right="63"/>
              <w:rPr>
                <w:rFonts w:ascii="仿宋" w:hAnsi="仿宋" w:eastAsia="仿宋" w:cs="仿宋"/>
                <w:color w:val="000000"/>
                <w:sz w:val="24"/>
                <w:szCs w:val="30"/>
              </w:rPr>
            </w:pPr>
          </w:p>
        </w:tc>
        <w:tc>
          <w:tcPr>
            <w:tcW w:w="1134" w:type="dxa"/>
            <w:vAlign w:val="center"/>
          </w:tcPr>
          <w:p w14:paraId="46D2C075">
            <w:pPr>
              <w:pStyle w:val="23"/>
              <w:keepNext/>
              <w:spacing w:line="440" w:lineRule="exact"/>
              <w:ind w:left="63" w:right="63"/>
              <w:rPr>
                <w:rFonts w:ascii="仿宋" w:hAnsi="仿宋" w:eastAsia="仿宋" w:cs="仿宋"/>
                <w:color w:val="000000"/>
                <w:sz w:val="28"/>
                <w:szCs w:val="30"/>
              </w:rPr>
            </w:pPr>
          </w:p>
        </w:tc>
        <w:tc>
          <w:tcPr>
            <w:tcW w:w="1134" w:type="dxa"/>
            <w:vAlign w:val="center"/>
          </w:tcPr>
          <w:p w14:paraId="41365475">
            <w:pPr>
              <w:pStyle w:val="23"/>
              <w:keepNext/>
              <w:spacing w:line="440" w:lineRule="exact"/>
              <w:ind w:left="63" w:right="63"/>
              <w:rPr>
                <w:rFonts w:ascii="仿宋" w:hAnsi="仿宋" w:eastAsia="仿宋" w:cs="仿宋"/>
                <w:color w:val="000000"/>
                <w:sz w:val="28"/>
                <w:szCs w:val="30"/>
              </w:rPr>
            </w:pPr>
          </w:p>
        </w:tc>
        <w:tc>
          <w:tcPr>
            <w:tcW w:w="4252" w:type="dxa"/>
            <w:vAlign w:val="center"/>
          </w:tcPr>
          <w:p w14:paraId="44C79ECD">
            <w:pPr>
              <w:pStyle w:val="23"/>
              <w:keepNext/>
              <w:spacing w:line="440" w:lineRule="exact"/>
              <w:ind w:left="63" w:right="63"/>
              <w:rPr>
                <w:rFonts w:ascii="仿宋" w:hAnsi="仿宋" w:eastAsia="仿宋" w:cs="仿宋"/>
                <w:color w:val="000000"/>
                <w:sz w:val="28"/>
                <w:szCs w:val="30"/>
              </w:rPr>
            </w:pPr>
          </w:p>
        </w:tc>
      </w:tr>
      <w:tr w14:paraId="4674F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2EA985">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材料管理</w:t>
            </w:r>
          </w:p>
        </w:tc>
        <w:tc>
          <w:tcPr>
            <w:tcW w:w="1418" w:type="dxa"/>
            <w:vAlign w:val="center"/>
          </w:tcPr>
          <w:p w14:paraId="568F21F6">
            <w:pPr>
              <w:pStyle w:val="23"/>
              <w:keepNext/>
              <w:spacing w:line="440" w:lineRule="exact"/>
              <w:ind w:left="63" w:right="63"/>
              <w:rPr>
                <w:rFonts w:ascii="仿宋" w:hAnsi="仿宋" w:eastAsia="仿宋" w:cs="仿宋"/>
                <w:color w:val="000000"/>
                <w:sz w:val="24"/>
                <w:szCs w:val="30"/>
              </w:rPr>
            </w:pPr>
          </w:p>
        </w:tc>
        <w:tc>
          <w:tcPr>
            <w:tcW w:w="1134" w:type="dxa"/>
            <w:vAlign w:val="center"/>
          </w:tcPr>
          <w:p w14:paraId="52A3623A">
            <w:pPr>
              <w:pStyle w:val="23"/>
              <w:keepNext/>
              <w:spacing w:line="440" w:lineRule="exact"/>
              <w:ind w:left="63" w:right="63"/>
              <w:rPr>
                <w:rFonts w:ascii="仿宋" w:hAnsi="仿宋" w:eastAsia="仿宋" w:cs="仿宋"/>
                <w:color w:val="000000"/>
                <w:sz w:val="28"/>
                <w:szCs w:val="30"/>
              </w:rPr>
            </w:pPr>
          </w:p>
        </w:tc>
        <w:tc>
          <w:tcPr>
            <w:tcW w:w="1134" w:type="dxa"/>
            <w:vAlign w:val="center"/>
          </w:tcPr>
          <w:p w14:paraId="50BA2F91">
            <w:pPr>
              <w:pStyle w:val="23"/>
              <w:keepNext/>
              <w:spacing w:line="440" w:lineRule="exact"/>
              <w:ind w:left="63" w:right="63"/>
              <w:rPr>
                <w:rFonts w:ascii="仿宋" w:hAnsi="仿宋" w:eastAsia="仿宋" w:cs="仿宋"/>
                <w:color w:val="000000"/>
                <w:sz w:val="28"/>
                <w:szCs w:val="30"/>
              </w:rPr>
            </w:pPr>
          </w:p>
        </w:tc>
        <w:tc>
          <w:tcPr>
            <w:tcW w:w="4252" w:type="dxa"/>
            <w:vAlign w:val="center"/>
          </w:tcPr>
          <w:p w14:paraId="46597398">
            <w:pPr>
              <w:pStyle w:val="23"/>
              <w:keepNext/>
              <w:spacing w:line="440" w:lineRule="exact"/>
              <w:ind w:left="63" w:right="63"/>
              <w:rPr>
                <w:rFonts w:ascii="仿宋" w:hAnsi="仿宋" w:eastAsia="仿宋" w:cs="仿宋"/>
                <w:color w:val="000000"/>
                <w:sz w:val="28"/>
                <w:szCs w:val="30"/>
              </w:rPr>
            </w:pPr>
          </w:p>
        </w:tc>
      </w:tr>
      <w:tr w14:paraId="21491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6F02E75">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计划管理</w:t>
            </w:r>
          </w:p>
        </w:tc>
        <w:tc>
          <w:tcPr>
            <w:tcW w:w="1418" w:type="dxa"/>
            <w:vAlign w:val="center"/>
          </w:tcPr>
          <w:p w14:paraId="0D517257">
            <w:pPr>
              <w:pStyle w:val="23"/>
              <w:keepNext/>
              <w:spacing w:line="440" w:lineRule="exact"/>
              <w:ind w:left="63" w:right="63"/>
              <w:rPr>
                <w:rFonts w:ascii="仿宋" w:hAnsi="仿宋" w:eastAsia="仿宋" w:cs="仿宋"/>
                <w:color w:val="000000"/>
                <w:sz w:val="24"/>
                <w:szCs w:val="30"/>
              </w:rPr>
            </w:pPr>
          </w:p>
        </w:tc>
        <w:tc>
          <w:tcPr>
            <w:tcW w:w="1134" w:type="dxa"/>
            <w:vAlign w:val="center"/>
          </w:tcPr>
          <w:p w14:paraId="053A2BE0">
            <w:pPr>
              <w:pStyle w:val="23"/>
              <w:keepNext/>
              <w:spacing w:line="440" w:lineRule="exact"/>
              <w:ind w:left="63" w:right="63"/>
              <w:rPr>
                <w:rFonts w:ascii="仿宋" w:hAnsi="仿宋" w:eastAsia="仿宋" w:cs="仿宋"/>
                <w:color w:val="000000"/>
                <w:sz w:val="28"/>
                <w:szCs w:val="30"/>
              </w:rPr>
            </w:pPr>
          </w:p>
        </w:tc>
        <w:tc>
          <w:tcPr>
            <w:tcW w:w="1134" w:type="dxa"/>
            <w:vAlign w:val="center"/>
          </w:tcPr>
          <w:p w14:paraId="66CF07CA">
            <w:pPr>
              <w:pStyle w:val="23"/>
              <w:keepNext/>
              <w:spacing w:line="440" w:lineRule="exact"/>
              <w:ind w:left="63" w:right="63"/>
              <w:rPr>
                <w:rFonts w:ascii="仿宋" w:hAnsi="仿宋" w:eastAsia="仿宋" w:cs="仿宋"/>
                <w:color w:val="000000"/>
                <w:sz w:val="28"/>
                <w:szCs w:val="30"/>
              </w:rPr>
            </w:pPr>
          </w:p>
        </w:tc>
        <w:tc>
          <w:tcPr>
            <w:tcW w:w="4252" w:type="dxa"/>
            <w:vAlign w:val="center"/>
          </w:tcPr>
          <w:p w14:paraId="2FCA87D6">
            <w:pPr>
              <w:pStyle w:val="23"/>
              <w:keepNext/>
              <w:spacing w:line="440" w:lineRule="exact"/>
              <w:ind w:left="63" w:right="63"/>
              <w:rPr>
                <w:rFonts w:ascii="仿宋" w:hAnsi="仿宋" w:eastAsia="仿宋" w:cs="仿宋"/>
                <w:color w:val="000000"/>
                <w:sz w:val="28"/>
                <w:szCs w:val="30"/>
              </w:rPr>
            </w:pPr>
          </w:p>
        </w:tc>
      </w:tr>
      <w:tr w14:paraId="6B328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1FF6F2">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安全管理</w:t>
            </w:r>
          </w:p>
        </w:tc>
        <w:tc>
          <w:tcPr>
            <w:tcW w:w="1418" w:type="dxa"/>
            <w:vAlign w:val="center"/>
          </w:tcPr>
          <w:p w14:paraId="69F4797F">
            <w:pPr>
              <w:pStyle w:val="23"/>
              <w:keepNext/>
              <w:spacing w:line="440" w:lineRule="exact"/>
              <w:ind w:left="63" w:right="63"/>
              <w:rPr>
                <w:rFonts w:ascii="仿宋" w:hAnsi="仿宋" w:eastAsia="仿宋" w:cs="仿宋"/>
                <w:color w:val="000000"/>
                <w:sz w:val="24"/>
                <w:szCs w:val="30"/>
              </w:rPr>
            </w:pPr>
          </w:p>
        </w:tc>
        <w:tc>
          <w:tcPr>
            <w:tcW w:w="1134" w:type="dxa"/>
            <w:vAlign w:val="center"/>
          </w:tcPr>
          <w:p w14:paraId="540E77A6">
            <w:pPr>
              <w:pStyle w:val="23"/>
              <w:keepNext/>
              <w:spacing w:line="440" w:lineRule="exact"/>
              <w:ind w:left="63" w:right="63"/>
              <w:rPr>
                <w:rFonts w:ascii="仿宋" w:hAnsi="仿宋" w:eastAsia="仿宋" w:cs="仿宋"/>
                <w:color w:val="000000"/>
                <w:sz w:val="28"/>
                <w:szCs w:val="30"/>
              </w:rPr>
            </w:pPr>
          </w:p>
        </w:tc>
        <w:tc>
          <w:tcPr>
            <w:tcW w:w="1134" w:type="dxa"/>
            <w:vAlign w:val="center"/>
          </w:tcPr>
          <w:p w14:paraId="0239B32F">
            <w:pPr>
              <w:pStyle w:val="23"/>
              <w:keepNext/>
              <w:spacing w:line="440" w:lineRule="exact"/>
              <w:ind w:left="63" w:right="63"/>
              <w:rPr>
                <w:rFonts w:ascii="仿宋" w:hAnsi="仿宋" w:eastAsia="仿宋" w:cs="仿宋"/>
                <w:color w:val="000000"/>
                <w:sz w:val="28"/>
                <w:szCs w:val="30"/>
              </w:rPr>
            </w:pPr>
          </w:p>
        </w:tc>
        <w:tc>
          <w:tcPr>
            <w:tcW w:w="4252" w:type="dxa"/>
            <w:vAlign w:val="center"/>
          </w:tcPr>
          <w:p w14:paraId="3B99FEE2">
            <w:pPr>
              <w:pStyle w:val="23"/>
              <w:keepNext/>
              <w:spacing w:line="440" w:lineRule="exact"/>
              <w:ind w:left="63" w:right="63"/>
              <w:rPr>
                <w:rFonts w:ascii="仿宋" w:hAnsi="仿宋" w:eastAsia="仿宋" w:cs="仿宋"/>
                <w:color w:val="000000"/>
                <w:sz w:val="28"/>
                <w:szCs w:val="30"/>
              </w:rPr>
            </w:pPr>
          </w:p>
        </w:tc>
      </w:tr>
      <w:tr w14:paraId="7EE91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46B4754">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14:paraId="3F54E309">
            <w:pPr>
              <w:pStyle w:val="23"/>
              <w:keepNext/>
              <w:spacing w:line="440" w:lineRule="exact"/>
              <w:ind w:left="63" w:right="63"/>
              <w:rPr>
                <w:rFonts w:ascii="仿宋" w:hAnsi="仿宋" w:eastAsia="仿宋" w:cs="仿宋"/>
                <w:color w:val="000000"/>
                <w:sz w:val="24"/>
                <w:szCs w:val="30"/>
              </w:rPr>
            </w:pPr>
          </w:p>
        </w:tc>
        <w:tc>
          <w:tcPr>
            <w:tcW w:w="1134" w:type="dxa"/>
            <w:vAlign w:val="center"/>
          </w:tcPr>
          <w:p w14:paraId="4234CEAE">
            <w:pPr>
              <w:pStyle w:val="23"/>
              <w:keepNext/>
              <w:spacing w:line="440" w:lineRule="exact"/>
              <w:ind w:left="63" w:right="63"/>
              <w:rPr>
                <w:rFonts w:ascii="仿宋" w:hAnsi="仿宋" w:eastAsia="仿宋" w:cs="仿宋"/>
                <w:color w:val="000000"/>
                <w:sz w:val="28"/>
                <w:szCs w:val="30"/>
              </w:rPr>
            </w:pPr>
          </w:p>
        </w:tc>
        <w:tc>
          <w:tcPr>
            <w:tcW w:w="1134" w:type="dxa"/>
            <w:vAlign w:val="center"/>
          </w:tcPr>
          <w:p w14:paraId="1CE58FA5">
            <w:pPr>
              <w:pStyle w:val="23"/>
              <w:keepNext/>
              <w:spacing w:line="440" w:lineRule="exact"/>
              <w:ind w:left="63" w:right="63"/>
              <w:rPr>
                <w:rFonts w:ascii="仿宋" w:hAnsi="仿宋" w:eastAsia="仿宋" w:cs="仿宋"/>
                <w:color w:val="000000"/>
                <w:sz w:val="28"/>
                <w:szCs w:val="30"/>
              </w:rPr>
            </w:pPr>
          </w:p>
        </w:tc>
        <w:tc>
          <w:tcPr>
            <w:tcW w:w="4252" w:type="dxa"/>
            <w:vAlign w:val="center"/>
          </w:tcPr>
          <w:p w14:paraId="4F5CFA9B">
            <w:pPr>
              <w:pStyle w:val="23"/>
              <w:keepNext/>
              <w:spacing w:line="440" w:lineRule="exact"/>
              <w:ind w:left="63" w:right="63"/>
              <w:rPr>
                <w:rFonts w:ascii="仿宋" w:hAnsi="仿宋" w:eastAsia="仿宋" w:cs="仿宋"/>
                <w:color w:val="000000"/>
                <w:sz w:val="28"/>
                <w:szCs w:val="30"/>
              </w:rPr>
            </w:pPr>
          </w:p>
        </w:tc>
      </w:tr>
      <w:tr w14:paraId="69D78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85D5B86">
            <w:pPr>
              <w:pStyle w:val="23"/>
              <w:keepNext/>
              <w:spacing w:line="440" w:lineRule="exact"/>
              <w:ind w:left="63" w:right="63"/>
              <w:rPr>
                <w:rFonts w:ascii="仿宋" w:hAnsi="仿宋" w:eastAsia="仿宋" w:cs="仿宋"/>
                <w:color w:val="000000"/>
                <w:sz w:val="24"/>
                <w:szCs w:val="30"/>
              </w:rPr>
            </w:pPr>
          </w:p>
        </w:tc>
        <w:tc>
          <w:tcPr>
            <w:tcW w:w="1418" w:type="dxa"/>
            <w:tcBorders>
              <w:bottom w:val="nil"/>
            </w:tcBorders>
            <w:vAlign w:val="center"/>
          </w:tcPr>
          <w:p w14:paraId="5D9DBD72">
            <w:pPr>
              <w:pStyle w:val="23"/>
              <w:keepNext/>
              <w:spacing w:line="440" w:lineRule="exact"/>
              <w:ind w:left="63" w:right="63"/>
              <w:rPr>
                <w:rFonts w:ascii="仿宋" w:hAnsi="仿宋" w:eastAsia="仿宋" w:cs="仿宋"/>
                <w:color w:val="000000"/>
                <w:sz w:val="24"/>
                <w:szCs w:val="30"/>
              </w:rPr>
            </w:pPr>
          </w:p>
        </w:tc>
        <w:tc>
          <w:tcPr>
            <w:tcW w:w="1134" w:type="dxa"/>
            <w:tcBorders>
              <w:bottom w:val="nil"/>
            </w:tcBorders>
            <w:vAlign w:val="center"/>
          </w:tcPr>
          <w:p w14:paraId="229B64E5">
            <w:pPr>
              <w:pStyle w:val="23"/>
              <w:keepNext/>
              <w:spacing w:line="440" w:lineRule="exact"/>
              <w:ind w:left="63" w:right="63"/>
              <w:rPr>
                <w:rFonts w:ascii="仿宋" w:hAnsi="仿宋" w:eastAsia="仿宋" w:cs="仿宋"/>
                <w:color w:val="000000"/>
                <w:sz w:val="28"/>
                <w:szCs w:val="30"/>
              </w:rPr>
            </w:pPr>
          </w:p>
        </w:tc>
        <w:tc>
          <w:tcPr>
            <w:tcW w:w="1134" w:type="dxa"/>
            <w:tcBorders>
              <w:bottom w:val="nil"/>
            </w:tcBorders>
            <w:vAlign w:val="center"/>
          </w:tcPr>
          <w:p w14:paraId="48BDAA25">
            <w:pPr>
              <w:pStyle w:val="23"/>
              <w:keepNext/>
              <w:spacing w:line="440" w:lineRule="exact"/>
              <w:ind w:left="63" w:right="63"/>
              <w:rPr>
                <w:rFonts w:ascii="仿宋" w:hAnsi="仿宋" w:eastAsia="仿宋" w:cs="仿宋"/>
                <w:color w:val="000000"/>
                <w:sz w:val="28"/>
                <w:szCs w:val="30"/>
              </w:rPr>
            </w:pPr>
          </w:p>
        </w:tc>
        <w:tc>
          <w:tcPr>
            <w:tcW w:w="4252" w:type="dxa"/>
            <w:tcBorders>
              <w:bottom w:val="nil"/>
            </w:tcBorders>
            <w:vAlign w:val="center"/>
          </w:tcPr>
          <w:p w14:paraId="3F09553F">
            <w:pPr>
              <w:pStyle w:val="23"/>
              <w:keepNext/>
              <w:spacing w:line="440" w:lineRule="exact"/>
              <w:ind w:left="63" w:right="63"/>
              <w:rPr>
                <w:rFonts w:ascii="仿宋" w:hAnsi="仿宋" w:eastAsia="仿宋" w:cs="仿宋"/>
                <w:color w:val="000000"/>
                <w:sz w:val="28"/>
                <w:szCs w:val="30"/>
              </w:rPr>
            </w:pPr>
          </w:p>
        </w:tc>
      </w:tr>
      <w:tr w14:paraId="375F0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535449B">
            <w:pPr>
              <w:pStyle w:val="23"/>
              <w:keepNext/>
              <w:spacing w:line="440" w:lineRule="exact"/>
              <w:ind w:left="63" w:right="63"/>
              <w:rPr>
                <w:rFonts w:ascii="仿宋" w:hAnsi="仿宋" w:eastAsia="仿宋" w:cs="仿宋"/>
                <w:color w:val="000000"/>
                <w:sz w:val="24"/>
                <w:szCs w:val="30"/>
              </w:rPr>
            </w:pPr>
          </w:p>
        </w:tc>
        <w:tc>
          <w:tcPr>
            <w:tcW w:w="1418" w:type="dxa"/>
            <w:vAlign w:val="center"/>
          </w:tcPr>
          <w:p w14:paraId="5F09FA80">
            <w:pPr>
              <w:pStyle w:val="23"/>
              <w:keepNext/>
              <w:spacing w:line="440" w:lineRule="exact"/>
              <w:ind w:left="63" w:right="63"/>
              <w:rPr>
                <w:rFonts w:ascii="仿宋" w:hAnsi="仿宋" w:eastAsia="仿宋" w:cs="仿宋"/>
                <w:color w:val="000000"/>
                <w:sz w:val="24"/>
                <w:szCs w:val="30"/>
              </w:rPr>
            </w:pPr>
          </w:p>
        </w:tc>
        <w:tc>
          <w:tcPr>
            <w:tcW w:w="1134" w:type="dxa"/>
            <w:vAlign w:val="center"/>
          </w:tcPr>
          <w:p w14:paraId="2B5343B3">
            <w:pPr>
              <w:pStyle w:val="23"/>
              <w:keepNext/>
              <w:spacing w:line="440" w:lineRule="exact"/>
              <w:ind w:left="63" w:right="63"/>
              <w:rPr>
                <w:rFonts w:ascii="仿宋" w:hAnsi="仿宋" w:eastAsia="仿宋" w:cs="仿宋"/>
                <w:color w:val="000000"/>
                <w:sz w:val="28"/>
                <w:szCs w:val="30"/>
              </w:rPr>
            </w:pPr>
          </w:p>
        </w:tc>
        <w:tc>
          <w:tcPr>
            <w:tcW w:w="1134" w:type="dxa"/>
            <w:vAlign w:val="center"/>
          </w:tcPr>
          <w:p w14:paraId="730A61E8">
            <w:pPr>
              <w:pStyle w:val="23"/>
              <w:keepNext/>
              <w:spacing w:line="440" w:lineRule="exact"/>
              <w:ind w:left="63" w:right="63"/>
              <w:rPr>
                <w:rFonts w:ascii="仿宋" w:hAnsi="仿宋" w:eastAsia="仿宋" w:cs="仿宋"/>
                <w:color w:val="000000"/>
                <w:sz w:val="28"/>
                <w:szCs w:val="30"/>
              </w:rPr>
            </w:pPr>
          </w:p>
        </w:tc>
        <w:tc>
          <w:tcPr>
            <w:tcW w:w="4252" w:type="dxa"/>
            <w:vAlign w:val="center"/>
          </w:tcPr>
          <w:p w14:paraId="66FA18B6">
            <w:pPr>
              <w:pStyle w:val="23"/>
              <w:keepNext/>
              <w:spacing w:line="440" w:lineRule="exact"/>
              <w:ind w:left="63" w:right="63"/>
              <w:rPr>
                <w:rFonts w:ascii="仿宋" w:hAnsi="仿宋" w:eastAsia="仿宋" w:cs="仿宋"/>
                <w:color w:val="000000"/>
                <w:sz w:val="28"/>
                <w:szCs w:val="30"/>
              </w:rPr>
            </w:pPr>
          </w:p>
        </w:tc>
      </w:tr>
      <w:tr w14:paraId="59E40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1BFE30">
            <w:pPr>
              <w:pStyle w:val="23"/>
              <w:keepNext/>
              <w:spacing w:line="440" w:lineRule="exact"/>
              <w:ind w:left="63" w:right="63"/>
              <w:rPr>
                <w:rFonts w:ascii="仿宋" w:hAnsi="仿宋" w:eastAsia="仿宋" w:cs="仿宋"/>
                <w:color w:val="000000"/>
                <w:sz w:val="24"/>
                <w:szCs w:val="30"/>
              </w:rPr>
            </w:pPr>
          </w:p>
        </w:tc>
        <w:tc>
          <w:tcPr>
            <w:tcW w:w="1418" w:type="dxa"/>
            <w:vAlign w:val="center"/>
          </w:tcPr>
          <w:p w14:paraId="7F7131D2">
            <w:pPr>
              <w:pStyle w:val="23"/>
              <w:keepNext/>
              <w:spacing w:line="440" w:lineRule="exact"/>
              <w:ind w:left="63" w:right="63"/>
              <w:rPr>
                <w:rFonts w:ascii="仿宋" w:hAnsi="仿宋" w:eastAsia="仿宋" w:cs="仿宋"/>
                <w:color w:val="000000"/>
                <w:sz w:val="24"/>
                <w:szCs w:val="30"/>
              </w:rPr>
            </w:pPr>
          </w:p>
        </w:tc>
        <w:tc>
          <w:tcPr>
            <w:tcW w:w="1134" w:type="dxa"/>
            <w:vAlign w:val="center"/>
          </w:tcPr>
          <w:p w14:paraId="56161879">
            <w:pPr>
              <w:pStyle w:val="23"/>
              <w:keepNext/>
              <w:spacing w:line="440" w:lineRule="exact"/>
              <w:ind w:left="63" w:right="63"/>
              <w:rPr>
                <w:rFonts w:ascii="仿宋" w:hAnsi="仿宋" w:eastAsia="仿宋" w:cs="仿宋"/>
                <w:color w:val="000000"/>
                <w:sz w:val="28"/>
                <w:szCs w:val="30"/>
              </w:rPr>
            </w:pPr>
          </w:p>
        </w:tc>
        <w:tc>
          <w:tcPr>
            <w:tcW w:w="1134" w:type="dxa"/>
            <w:vAlign w:val="center"/>
          </w:tcPr>
          <w:p w14:paraId="349FE289">
            <w:pPr>
              <w:pStyle w:val="23"/>
              <w:keepNext/>
              <w:spacing w:line="440" w:lineRule="exact"/>
              <w:ind w:left="63" w:right="63"/>
              <w:rPr>
                <w:rFonts w:ascii="仿宋" w:hAnsi="仿宋" w:eastAsia="仿宋" w:cs="仿宋"/>
                <w:color w:val="000000"/>
                <w:sz w:val="28"/>
                <w:szCs w:val="30"/>
              </w:rPr>
            </w:pPr>
          </w:p>
        </w:tc>
        <w:tc>
          <w:tcPr>
            <w:tcW w:w="4252" w:type="dxa"/>
            <w:vAlign w:val="center"/>
          </w:tcPr>
          <w:p w14:paraId="04972EF6">
            <w:pPr>
              <w:pStyle w:val="23"/>
              <w:keepNext/>
              <w:spacing w:line="440" w:lineRule="exact"/>
              <w:ind w:left="63" w:right="63"/>
              <w:rPr>
                <w:rFonts w:ascii="仿宋" w:hAnsi="仿宋" w:eastAsia="仿宋" w:cs="仿宋"/>
                <w:color w:val="000000"/>
                <w:sz w:val="28"/>
                <w:szCs w:val="30"/>
              </w:rPr>
            </w:pPr>
          </w:p>
        </w:tc>
      </w:tr>
      <w:tr w14:paraId="57731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2A0D85C">
            <w:pPr>
              <w:pStyle w:val="23"/>
              <w:keepNext/>
              <w:spacing w:line="440" w:lineRule="exact"/>
              <w:ind w:left="63" w:right="63"/>
              <w:rPr>
                <w:rFonts w:ascii="仿宋" w:hAnsi="仿宋" w:eastAsia="仿宋" w:cs="仿宋"/>
                <w:color w:val="000000"/>
                <w:sz w:val="24"/>
                <w:szCs w:val="30"/>
              </w:rPr>
            </w:pPr>
          </w:p>
        </w:tc>
        <w:tc>
          <w:tcPr>
            <w:tcW w:w="1418" w:type="dxa"/>
            <w:vAlign w:val="center"/>
          </w:tcPr>
          <w:p w14:paraId="0FF61E72">
            <w:pPr>
              <w:pStyle w:val="23"/>
              <w:keepNext/>
              <w:spacing w:line="440" w:lineRule="exact"/>
              <w:ind w:left="63" w:right="63"/>
              <w:rPr>
                <w:rFonts w:ascii="仿宋" w:hAnsi="仿宋" w:eastAsia="仿宋" w:cs="仿宋"/>
                <w:color w:val="000000"/>
                <w:sz w:val="24"/>
                <w:szCs w:val="30"/>
              </w:rPr>
            </w:pPr>
          </w:p>
        </w:tc>
        <w:tc>
          <w:tcPr>
            <w:tcW w:w="1134" w:type="dxa"/>
            <w:vAlign w:val="center"/>
          </w:tcPr>
          <w:p w14:paraId="059E47F1">
            <w:pPr>
              <w:pStyle w:val="23"/>
              <w:keepNext/>
              <w:spacing w:line="440" w:lineRule="exact"/>
              <w:ind w:left="63" w:right="63"/>
              <w:rPr>
                <w:rFonts w:ascii="仿宋" w:hAnsi="仿宋" w:eastAsia="仿宋" w:cs="仿宋"/>
                <w:color w:val="000000"/>
                <w:sz w:val="28"/>
                <w:szCs w:val="30"/>
              </w:rPr>
            </w:pPr>
          </w:p>
        </w:tc>
        <w:tc>
          <w:tcPr>
            <w:tcW w:w="1134" w:type="dxa"/>
            <w:vAlign w:val="center"/>
          </w:tcPr>
          <w:p w14:paraId="25C85AB6">
            <w:pPr>
              <w:pStyle w:val="23"/>
              <w:keepNext/>
              <w:spacing w:line="440" w:lineRule="exact"/>
              <w:ind w:left="63" w:right="63"/>
              <w:rPr>
                <w:rFonts w:ascii="仿宋" w:hAnsi="仿宋" w:eastAsia="仿宋" w:cs="仿宋"/>
                <w:color w:val="000000"/>
                <w:sz w:val="28"/>
                <w:szCs w:val="30"/>
              </w:rPr>
            </w:pPr>
          </w:p>
        </w:tc>
        <w:tc>
          <w:tcPr>
            <w:tcW w:w="4252" w:type="dxa"/>
            <w:vAlign w:val="center"/>
          </w:tcPr>
          <w:p w14:paraId="2BC4F490">
            <w:pPr>
              <w:pStyle w:val="23"/>
              <w:keepNext/>
              <w:spacing w:line="440" w:lineRule="exact"/>
              <w:ind w:left="63" w:right="63"/>
              <w:rPr>
                <w:rFonts w:ascii="仿宋" w:hAnsi="仿宋" w:eastAsia="仿宋" w:cs="仿宋"/>
                <w:color w:val="000000"/>
                <w:sz w:val="28"/>
                <w:szCs w:val="30"/>
              </w:rPr>
            </w:pPr>
          </w:p>
        </w:tc>
      </w:tr>
      <w:tr w14:paraId="6C96F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9888F09">
            <w:pPr>
              <w:pStyle w:val="23"/>
              <w:keepNext/>
              <w:spacing w:line="440" w:lineRule="exact"/>
              <w:ind w:left="63" w:right="63"/>
              <w:rPr>
                <w:rFonts w:ascii="仿宋" w:hAnsi="仿宋" w:eastAsia="仿宋" w:cs="仿宋"/>
                <w:color w:val="000000"/>
                <w:sz w:val="24"/>
                <w:szCs w:val="30"/>
              </w:rPr>
            </w:pPr>
          </w:p>
        </w:tc>
        <w:tc>
          <w:tcPr>
            <w:tcW w:w="1418" w:type="dxa"/>
            <w:tcBorders>
              <w:bottom w:val="single" w:color="auto" w:sz="12" w:space="0"/>
            </w:tcBorders>
            <w:vAlign w:val="center"/>
          </w:tcPr>
          <w:p w14:paraId="6E87890C">
            <w:pPr>
              <w:pStyle w:val="23"/>
              <w:keepNext/>
              <w:spacing w:line="440" w:lineRule="exact"/>
              <w:ind w:left="63" w:right="63"/>
              <w:rPr>
                <w:rFonts w:ascii="仿宋" w:hAnsi="仿宋" w:eastAsia="仿宋" w:cs="仿宋"/>
                <w:color w:val="000000"/>
                <w:sz w:val="24"/>
                <w:szCs w:val="30"/>
              </w:rPr>
            </w:pPr>
          </w:p>
        </w:tc>
        <w:tc>
          <w:tcPr>
            <w:tcW w:w="1134" w:type="dxa"/>
            <w:tcBorders>
              <w:bottom w:val="single" w:color="auto" w:sz="12" w:space="0"/>
            </w:tcBorders>
            <w:vAlign w:val="center"/>
          </w:tcPr>
          <w:p w14:paraId="1DB98696">
            <w:pPr>
              <w:pStyle w:val="23"/>
              <w:keepNext/>
              <w:spacing w:line="440" w:lineRule="exact"/>
              <w:ind w:left="63" w:right="63"/>
              <w:rPr>
                <w:rFonts w:ascii="仿宋" w:hAnsi="仿宋" w:eastAsia="仿宋" w:cs="仿宋"/>
                <w:color w:val="000000"/>
                <w:sz w:val="28"/>
                <w:szCs w:val="30"/>
              </w:rPr>
            </w:pPr>
          </w:p>
        </w:tc>
        <w:tc>
          <w:tcPr>
            <w:tcW w:w="1134" w:type="dxa"/>
            <w:tcBorders>
              <w:bottom w:val="single" w:color="auto" w:sz="12" w:space="0"/>
            </w:tcBorders>
            <w:vAlign w:val="center"/>
          </w:tcPr>
          <w:p w14:paraId="7ADCE5A8">
            <w:pPr>
              <w:pStyle w:val="23"/>
              <w:keepNext/>
              <w:spacing w:line="440" w:lineRule="exact"/>
              <w:ind w:left="63" w:right="63"/>
              <w:rPr>
                <w:rFonts w:ascii="仿宋" w:hAnsi="仿宋" w:eastAsia="仿宋" w:cs="仿宋"/>
                <w:color w:val="000000"/>
                <w:sz w:val="28"/>
                <w:szCs w:val="30"/>
              </w:rPr>
            </w:pPr>
          </w:p>
        </w:tc>
        <w:tc>
          <w:tcPr>
            <w:tcW w:w="4252" w:type="dxa"/>
            <w:tcBorders>
              <w:bottom w:val="single" w:color="auto" w:sz="12" w:space="0"/>
            </w:tcBorders>
            <w:vAlign w:val="center"/>
          </w:tcPr>
          <w:p w14:paraId="68AEE38E">
            <w:pPr>
              <w:pStyle w:val="23"/>
              <w:keepNext/>
              <w:spacing w:line="440" w:lineRule="exact"/>
              <w:ind w:left="63" w:right="63"/>
              <w:rPr>
                <w:rFonts w:ascii="仿宋" w:hAnsi="仿宋" w:eastAsia="仿宋" w:cs="仿宋"/>
                <w:color w:val="000000"/>
                <w:sz w:val="28"/>
                <w:szCs w:val="30"/>
              </w:rPr>
            </w:pPr>
          </w:p>
        </w:tc>
      </w:tr>
    </w:tbl>
    <w:p w14:paraId="1CB5E2CA">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br w:type="page"/>
      </w:r>
      <w:r>
        <w:rPr>
          <w:rFonts w:hint="eastAsia" w:ascii="仿宋" w:hAnsi="仿宋" w:eastAsia="仿宋" w:cs="仿宋"/>
          <w:color w:val="000000"/>
          <w:sz w:val="28"/>
          <w:szCs w:val="30"/>
        </w:rPr>
        <w:t>附</w:t>
      </w:r>
      <w:bookmarkStart w:id="1451" w:name="_Toc296347228"/>
      <w:bookmarkStart w:id="1452" w:name="_Toc296891269"/>
      <w:bookmarkStart w:id="1453" w:name="_Toc296346730"/>
      <w:bookmarkStart w:id="1454" w:name="_Toc296944568"/>
      <w:bookmarkStart w:id="1455" w:name="_Toc296503229"/>
      <w:bookmarkStart w:id="1456" w:name="_Toc296891057"/>
      <w:r>
        <w:rPr>
          <w:rFonts w:hint="eastAsia" w:ascii="仿宋" w:hAnsi="仿宋" w:eastAsia="仿宋" w:cs="仿宋"/>
          <w:color w:val="000000"/>
          <w:sz w:val="28"/>
          <w:szCs w:val="30"/>
        </w:rPr>
        <w:t>件4：</w:t>
      </w:r>
    </w:p>
    <w:bookmarkEnd w:id="1451"/>
    <w:bookmarkEnd w:id="1452"/>
    <w:bookmarkEnd w:id="1453"/>
    <w:bookmarkEnd w:id="1454"/>
    <w:bookmarkEnd w:id="1455"/>
    <w:bookmarkEnd w:id="1456"/>
    <w:p w14:paraId="464A92E1">
      <w:pPr>
        <w:spacing w:beforeLines="50"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分包人主要施工管理人员表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8587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E2FADCA">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名    称</w:t>
            </w:r>
          </w:p>
        </w:tc>
        <w:tc>
          <w:tcPr>
            <w:tcW w:w="1418" w:type="dxa"/>
            <w:tcBorders>
              <w:top w:val="single" w:color="auto" w:sz="12" w:space="0"/>
              <w:bottom w:val="double" w:color="auto" w:sz="6" w:space="0"/>
            </w:tcBorders>
            <w:vAlign w:val="center"/>
          </w:tcPr>
          <w:p w14:paraId="239F97F4">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姓名</w:t>
            </w:r>
          </w:p>
        </w:tc>
        <w:tc>
          <w:tcPr>
            <w:tcW w:w="1134" w:type="dxa"/>
            <w:tcBorders>
              <w:top w:val="single" w:color="auto" w:sz="12" w:space="0"/>
              <w:bottom w:val="double" w:color="auto" w:sz="6" w:space="0"/>
            </w:tcBorders>
            <w:vAlign w:val="center"/>
          </w:tcPr>
          <w:p w14:paraId="2386DDFE">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职务</w:t>
            </w:r>
          </w:p>
        </w:tc>
        <w:tc>
          <w:tcPr>
            <w:tcW w:w="1134" w:type="dxa"/>
            <w:tcBorders>
              <w:top w:val="single" w:color="auto" w:sz="12" w:space="0"/>
              <w:bottom w:val="double" w:color="auto" w:sz="6" w:space="0"/>
            </w:tcBorders>
            <w:vAlign w:val="center"/>
          </w:tcPr>
          <w:p w14:paraId="7D513250">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职称</w:t>
            </w:r>
          </w:p>
        </w:tc>
        <w:tc>
          <w:tcPr>
            <w:tcW w:w="4252" w:type="dxa"/>
            <w:tcBorders>
              <w:top w:val="single" w:color="auto" w:sz="12" w:space="0"/>
              <w:bottom w:val="double" w:color="auto" w:sz="6" w:space="0"/>
            </w:tcBorders>
            <w:vAlign w:val="center"/>
          </w:tcPr>
          <w:p w14:paraId="409208CC">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主要资历、经验及承担过的项目</w:t>
            </w:r>
          </w:p>
        </w:tc>
      </w:tr>
      <w:tr w14:paraId="2D10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932498A">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一、总部人员</w:t>
            </w:r>
          </w:p>
        </w:tc>
      </w:tr>
      <w:tr w14:paraId="537E1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7987481">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项目主管</w:t>
            </w:r>
          </w:p>
        </w:tc>
        <w:tc>
          <w:tcPr>
            <w:tcW w:w="1418" w:type="dxa"/>
            <w:tcBorders>
              <w:top w:val="nil"/>
            </w:tcBorders>
            <w:vAlign w:val="center"/>
          </w:tcPr>
          <w:p w14:paraId="30AF35A8">
            <w:pPr>
              <w:pStyle w:val="23"/>
              <w:keepNext/>
              <w:spacing w:line="440" w:lineRule="exact"/>
              <w:ind w:left="63" w:right="63"/>
              <w:rPr>
                <w:rFonts w:ascii="仿宋" w:hAnsi="仿宋" w:eastAsia="仿宋" w:cs="仿宋"/>
                <w:color w:val="000000"/>
                <w:sz w:val="24"/>
                <w:szCs w:val="30"/>
              </w:rPr>
            </w:pPr>
          </w:p>
        </w:tc>
        <w:tc>
          <w:tcPr>
            <w:tcW w:w="1134" w:type="dxa"/>
            <w:tcBorders>
              <w:top w:val="nil"/>
            </w:tcBorders>
            <w:vAlign w:val="center"/>
          </w:tcPr>
          <w:p w14:paraId="553C49CA">
            <w:pPr>
              <w:pStyle w:val="23"/>
              <w:keepNext/>
              <w:spacing w:line="440" w:lineRule="exact"/>
              <w:ind w:left="63" w:right="63"/>
              <w:rPr>
                <w:rFonts w:ascii="仿宋" w:hAnsi="仿宋" w:eastAsia="仿宋" w:cs="仿宋"/>
                <w:color w:val="000000"/>
                <w:sz w:val="28"/>
                <w:szCs w:val="30"/>
              </w:rPr>
            </w:pPr>
          </w:p>
        </w:tc>
        <w:tc>
          <w:tcPr>
            <w:tcW w:w="1134" w:type="dxa"/>
            <w:tcBorders>
              <w:top w:val="nil"/>
            </w:tcBorders>
            <w:vAlign w:val="center"/>
          </w:tcPr>
          <w:p w14:paraId="385C80B2">
            <w:pPr>
              <w:pStyle w:val="23"/>
              <w:keepNext/>
              <w:spacing w:line="440" w:lineRule="exact"/>
              <w:ind w:left="63" w:right="63"/>
              <w:rPr>
                <w:rFonts w:ascii="仿宋" w:hAnsi="仿宋" w:eastAsia="仿宋" w:cs="仿宋"/>
                <w:color w:val="000000"/>
                <w:sz w:val="28"/>
                <w:szCs w:val="30"/>
              </w:rPr>
            </w:pPr>
          </w:p>
        </w:tc>
        <w:tc>
          <w:tcPr>
            <w:tcW w:w="4252" w:type="dxa"/>
            <w:tcBorders>
              <w:top w:val="nil"/>
            </w:tcBorders>
            <w:vAlign w:val="center"/>
          </w:tcPr>
          <w:p w14:paraId="5FDE57CE">
            <w:pPr>
              <w:pStyle w:val="23"/>
              <w:keepNext/>
              <w:spacing w:line="440" w:lineRule="exact"/>
              <w:ind w:left="63" w:right="63"/>
              <w:rPr>
                <w:rFonts w:ascii="仿宋" w:hAnsi="仿宋" w:eastAsia="仿宋" w:cs="仿宋"/>
                <w:color w:val="000000"/>
                <w:sz w:val="28"/>
                <w:szCs w:val="30"/>
              </w:rPr>
            </w:pPr>
          </w:p>
        </w:tc>
      </w:tr>
      <w:tr w14:paraId="22952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F472D7F">
            <w:pPr>
              <w:pStyle w:val="23"/>
              <w:keepNext/>
              <w:spacing w:line="440" w:lineRule="exact"/>
              <w:ind w:left="63" w:right="63"/>
              <w:rPr>
                <w:rFonts w:ascii="仿宋" w:hAnsi="仿宋" w:eastAsia="仿宋" w:cs="仿宋"/>
                <w:color w:val="000000"/>
                <w:sz w:val="24"/>
                <w:szCs w:val="30"/>
              </w:rPr>
            </w:pPr>
          </w:p>
        </w:tc>
        <w:tc>
          <w:tcPr>
            <w:tcW w:w="1418" w:type="dxa"/>
            <w:vAlign w:val="center"/>
          </w:tcPr>
          <w:p w14:paraId="02C8B416">
            <w:pPr>
              <w:pStyle w:val="23"/>
              <w:keepNext/>
              <w:spacing w:line="440" w:lineRule="exact"/>
              <w:ind w:left="63" w:right="63"/>
              <w:rPr>
                <w:rFonts w:ascii="仿宋" w:hAnsi="仿宋" w:eastAsia="仿宋" w:cs="仿宋"/>
                <w:color w:val="000000"/>
                <w:sz w:val="24"/>
                <w:szCs w:val="30"/>
              </w:rPr>
            </w:pPr>
          </w:p>
        </w:tc>
        <w:tc>
          <w:tcPr>
            <w:tcW w:w="1134" w:type="dxa"/>
            <w:vAlign w:val="center"/>
          </w:tcPr>
          <w:p w14:paraId="65F9430E">
            <w:pPr>
              <w:pStyle w:val="23"/>
              <w:keepNext/>
              <w:spacing w:line="440" w:lineRule="exact"/>
              <w:ind w:left="63" w:right="63"/>
              <w:rPr>
                <w:rFonts w:ascii="仿宋" w:hAnsi="仿宋" w:eastAsia="仿宋" w:cs="仿宋"/>
                <w:color w:val="000000"/>
                <w:sz w:val="28"/>
                <w:szCs w:val="30"/>
              </w:rPr>
            </w:pPr>
          </w:p>
        </w:tc>
        <w:tc>
          <w:tcPr>
            <w:tcW w:w="1134" w:type="dxa"/>
            <w:vAlign w:val="center"/>
          </w:tcPr>
          <w:p w14:paraId="4CB7BF0C">
            <w:pPr>
              <w:pStyle w:val="23"/>
              <w:keepNext/>
              <w:spacing w:line="440" w:lineRule="exact"/>
              <w:ind w:left="63" w:right="63"/>
              <w:rPr>
                <w:rFonts w:ascii="仿宋" w:hAnsi="仿宋" w:eastAsia="仿宋" w:cs="仿宋"/>
                <w:color w:val="000000"/>
                <w:sz w:val="28"/>
                <w:szCs w:val="30"/>
              </w:rPr>
            </w:pPr>
          </w:p>
        </w:tc>
        <w:tc>
          <w:tcPr>
            <w:tcW w:w="4252" w:type="dxa"/>
            <w:vAlign w:val="center"/>
          </w:tcPr>
          <w:p w14:paraId="3019E55A">
            <w:pPr>
              <w:pStyle w:val="23"/>
              <w:keepNext/>
              <w:spacing w:line="440" w:lineRule="exact"/>
              <w:ind w:left="63" w:right="63"/>
              <w:rPr>
                <w:rFonts w:ascii="仿宋" w:hAnsi="仿宋" w:eastAsia="仿宋" w:cs="仿宋"/>
                <w:color w:val="000000"/>
                <w:sz w:val="28"/>
                <w:szCs w:val="30"/>
              </w:rPr>
            </w:pPr>
          </w:p>
        </w:tc>
      </w:tr>
      <w:tr w14:paraId="5A101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2CB749D">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14:paraId="599C5D2B">
            <w:pPr>
              <w:pStyle w:val="23"/>
              <w:keepNext/>
              <w:spacing w:line="440" w:lineRule="exact"/>
              <w:ind w:left="63" w:right="63"/>
              <w:rPr>
                <w:rFonts w:ascii="仿宋" w:hAnsi="仿宋" w:eastAsia="仿宋" w:cs="仿宋"/>
                <w:color w:val="000000"/>
                <w:sz w:val="24"/>
                <w:szCs w:val="30"/>
              </w:rPr>
            </w:pPr>
          </w:p>
        </w:tc>
        <w:tc>
          <w:tcPr>
            <w:tcW w:w="1134" w:type="dxa"/>
            <w:vAlign w:val="center"/>
          </w:tcPr>
          <w:p w14:paraId="73D0A99F">
            <w:pPr>
              <w:pStyle w:val="23"/>
              <w:keepNext/>
              <w:spacing w:line="440" w:lineRule="exact"/>
              <w:ind w:left="63" w:right="63"/>
              <w:rPr>
                <w:rFonts w:ascii="仿宋" w:hAnsi="仿宋" w:eastAsia="仿宋" w:cs="仿宋"/>
                <w:color w:val="000000"/>
                <w:sz w:val="28"/>
                <w:szCs w:val="30"/>
              </w:rPr>
            </w:pPr>
          </w:p>
        </w:tc>
        <w:tc>
          <w:tcPr>
            <w:tcW w:w="1134" w:type="dxa"/>
            <w:vAlign w:val="center"/>
          </w:tcPr>
          <w:p w14:paraId="646917A2">
            <w:pPr>
              <w:pStyle w:val="23"/>
              <w:keepNext/>
              <w:spacing w:line="440" w:lineRule="exact"/>
              <w:ind w:left="63" w:right="63"/>
              <w:rPr>
                <w:rFonts w:ascii="仿宋" w:hAnsi="仿宋" w:eastAsia="仿宋" w:cs="仿宋"/>
                <w:color w:val="000000"/>
                <w:sz w:val="28"/>
                <w:szCs w:val="30"/>
              </w:rPr>
            </w:pPr>
          </w:p>
        </w:tc>
        <w:tc>
          <w:tcPr>
            <w:tcW w:w="4252" w:type="dxa"/>
            <w:vAlign w:val="center"/>
          </w:tcPr>
          <w:p w14:paraId="6F405162">
            <w:pPr>
              <w:pStyle w:val="23"/>
              <w:keepNext/>
              <w:spacing w:line="440" w:lineRule="exact"/>
              <w:ind w:left="63" w:right="63"/>
              <w:rPr>
                <w:rFonts w:ascii="仿宋" w:hAnsi="仿宋" w:eastAsia="仿宋" w:cs="仿宋"/>
                <w:color w:val="000000"/>
                <w:sz w:val="28"/>
                <w:szCs w:val="30"/>
              </w:rPr>
            </w:pPr>
          </w:p>
        </w:tc>
      </w:tr>
      <w:tr w14:paraId="09BC5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FAC5D60">
            <w:pPr>
              <w:pStyle w:val="23"/>
              <w:keepNext/>
              <w:spacing w:line="440" w:lineRule="exact"/>
              <w:ind w:left="63" w:right="63"/>
              <w:rPr>
                <w:rFonts w:ascii="仿宋" w:hAnsi="仿宋" w:eastAsia="仿宋" w:cs="仿宋"/>
                <w:color w:val="000000"/>
                <w:sz w:val="24"/>
                <w:szCs w:val="30"/>
              </w:rPr>
            </w:pPr>
          </w:p>
        </w:tc>
        <w:tc>
          <w:tcPr>
            <w:tcW w:w="1418" w:type="dxa"/>
            <w:vAlign w:val="center"/>
          </w:tcPr>
          <w:p w14:paraId="4B2B83C7">
            <w:pPr>
              <w:pStyle w:val="23"/>
              <w:keepNext/>
              <w:spacing w:line="440" w:lineRule="exact"/>
              <w:ind w:left="63" w:right="63"/>
              <w:rPr>
                <w:rFonts w:ascii="仿宋" w:hAnsi="仿宋" w:eastAsia="仿宋" w:cs="仿宋"/>
                <w:color w:val="000000"/>
                <w:sz w:val="24"/>
                <w:szCs w:val="30"/>
              </w:rPr>
            </w:pPr>
          </w:p>
        </w:tc>
        <w:tc>
          <w:tcPr>
            <w:tcW w:w="1134" w:type="dxa"/>
            <w:vAlign w:val="center"/>
          </w:tcPr>
          <w:p w14:paraId="0B9B76E9">
            <w:pPr>
              <w:pStyle w:val="23"/>
              <w:keepNext/>
              <w:spacing w:line="440" w:lineRule="exact"/>
              <w:ind w:left="63" w:right="63"/>
              <w:rPr>
                <w:rFonts w:ascii="仿宋" w:hAnsi="仿宋" w:eastAsia="仿宋" w:cs="仿宋"/>
                <w:color w:val="000000"/>
                <w:sz w:val="28"/>
                <w:szCs w:val="30"/>
              </w:rPr>
            </w:pPr>
          </w:p>
        </w:tc>
        <w:tc>
          <w:tcPr>
            <w:tcW w:w="1134" w:type="dxa"/>
            <w:vAlign w:val="center"/>
          </w:tcPr>
          <w:p w14:paraId="12E1DB70">
            <w:pPr>
              <w:pStyle w:val="23"/>
              <w:keepNext/>
              <w:spacing w:line="440" w:lineRule="exact"/>
              <w:ind w:left="63" w:right="63"/>
              <w:rPr>
                <w:rFonts w:ascii="仿宋" w:hAnsi="仿宋" w:eastAsia="仿宋" w:cs="仿宋"/>
                <w:color w:val="000000"/>
                <w:sz w:val="28"/>
                <w:szCs w:val="30"/>
              </w:rPr>
            </w:pPr>
          </w:p>
        </w:tc>
        <w:tc>
          <w:tcPr>
            <w:tcW w:w="4252" w:type="dxa"/>
            <w:vAlign w:val="center"/>
          </w:tcPr>
          <w:p w14:paraId="7AF55F3B">
            <w:pPr>
              <w:pStyle w:val="23"/>
              <w:keepNext/>
              <w:spacing w:line="440" w:lineRule="exact"/>
              <w:ind w:left="63" w:right="63"/>
              <w:rPr>
                <w:rFonts w:ascii="仿宋" w:hAnsi="仿宋" w:eastAsia="仿宋" w:cs="仿宋"/>
                <w:color w:val="000000"/>
                <w:sz w:val="28"/>
                <w:szCs w:val="30"/>
              </w:rPr>
            </w:pPr>
          </w:p>
        </w:tc>
      </w:tr>
      <w:tr w14:paraId="64D1C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A6BB3B9">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二、现场人员</w:t>
            </w:r>
          </w:p>
        </w:tc>
      </w:tr>
      <w:tr w14:paraId="2CDA2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FA5528E">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项目经理</w:t>
            </w:r>
          </w:p>
        </w:tc>
        <w:tc>
          <w:tcPr>
            <w:tcW w:w="1418" w:type="dxa"/>
            <w:vAlign w:val="center"/>
          </w:tcPr>
          <w:p w14:paraId="2AE1B465">
            <w:pPr>
              <w:pStyle w:val="23"/>
              <w:keepNext/>
              <w:spacing w:line="440" w:lineRule="exact"/>
              <w:ind w:left="63" w:right="63"/>
              <w:rPr>
                <w:rFonts w:ascii="仿宋" w:hAnsi="仿宋" w:eastAsia="仿宋" w:cs="仿宋"/>
                <w:color w:val="000000"/>
                <w:sz w:val="24"/>
                <w:szCs w:val="30"/>
              </w:rPr>
            </w:pPr>
          </w:p>
        </w:tc>
        <w:tc>
          <w:tcPr>
            <w:tcW w:w="1134" w:type="dxa"/>
            <w:vAlign w:val="center"/>
          </w:tcPr>
          <w:p w14:paraId="141799A1">
            <w:pPr>
              <w:pStyle w:val="23"/>
              <w:keepNext/>
              <w:spacing w:line="440" w:lineRule="exact"/>
              <w:ind w:left="63" w:right="63"/>
              <w:rPr>
                <w:rFonts w:ascii="仿宋" w:hAnsi="仿宋" w:eastAsia="仿宋" w:cs="仿宋"/>
                <w:color w:val="000000"/>
                <w:sz w:val="28"/>
                <w:szCs w:val="30"/>
              </w:rPr>
            </w:pPr>
          </w:p>
        </w:tc>
        <w:tc>
          <w:tcPr>
            <w:tcW w:w="1134" w:type="dxa"/>
            <w:vAlign w:val="center"/>
          </w:tcPr>
          <w:p w14:paraId="3F2C0C22">
            <w:pPr>
              <w:pStyle w:val="23"/>
              <w:keepNext/>
              <w:spacing w:line="440" w:lineRule="exact"/>
              <w:ind w:left="63" w:right="63"/>
              <w:rPr>
                <w:rFonts w:ascii="仿宋" w:hAnsi="仿宋" w:eastAsia="仿宋" w:cs="仿宋"/>
                <w:color w:val="000000"/>
                <w:sz w:val="28"/>
                <w:szCs w:val="30"/>
              </w:rPr>
            </w:pPr>
          </w:p>
        </w:tc>
        <w:tc>
          <w:tcPr>
            <w:tcW w:w="4252" w:type="dxa"/>
            <w:vAlign w:val="center"/>
          </w:tcPr>
          <w:p w14:paraId="15720715">
            <w:pPr>
              <w:pStyle w:val="23"/>
              <w:keepNext/>
              <w:spacing w:line="440" w:lineRule="exact"/>
              <w:ind w:left="63" w:right="63"/>
              <w:rPr>
                <w:rFonts w:ascii="仿宋" w:hAnsi="仿宋" w:eastAsia="仿宋" w:cs="仿宋"/>
                <w:color w:val="000000"/>
                <w:sz w:val="28"/>
                <w:szCs w:val="30"/>
              </w:rPr>
            </w:pPr>
          </w:p>
        </w:tc>
      </w:tr>
      <w:tr w14:paraId="35D3F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4D401B">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项目副经理</w:t>
            </w:r>
          </w:p>
        </w:tc>
        <w:tc>
          <w:tcPr>
            <w:tcW w:w="1418" w:type="dxa"/>
            <w:vAlign w:val="center"/>
          </w:tcPr>
          <w:p w14:paraId="50A04F66">
            <w:pPr>
              <w:pStyle w:val="23"/>
              <w:keepNext/>
              <w:spacing w:line="440" w:lineRule="exact"/>
              <w:ind w:left="63" w:right="63"/>
              <w:rPr>
                <w:rFonts w:ascii="仿宋" w:hAnsi="仿宋" w:eastAsia="仿宋" w:cs="仿宋"/>
                <w:color w:val="000000"/>
                <w:sz w:val="24"/>
                <w:szCs w:val="30"/>
              </w:rPr>
            </w:pPr>
          </w:p>
        </w:tc>
        <w:tc>
          <w:tcPr>
            <w:tcW w:w="1134" w:type="dxa"/>
            <w:vAlign w:val="center"/>
          </w:tcPr>
          <w:p w14:paraId="3EF9042F">
            <w:pPr>
              <w:pStyle w:val="23"/>
              <w:keepNext/>
              <w:spacing w:line="440" w:lineRule="exact"/>
              <w:ind w:left="63" w:right="63"/>
              <w:rPr>
                <w:rFonts w:ascii="仿宋" w:hAnsi="仿宋" w:eastAsia="仿宋" w:cs="仿宋"/>
                <w:color w:val="000000"/>
                <w:sz w:val="28"/>
                <w:szCs w:val="30"/>
              </w:rPr>
            </w:pPr>
          </w:p>
        </w:tc>
        <w:tc>
          <w:tcPr>
            <w:tcW w:w="1134" w:type="dxa"/>
            <w:vAlign w:val="center"/>
          </w:tcPr>
          <w:p w14:paraId="5893ED4E">
            <w:pPr>
              <w:pStyle w:val="23"/>
              <w:keepNext/>
              <w:spacing w:line="440" w:lineRule="exact"/>
              <w:ind w:left="63" w:right="63"/>
              <w:rPr>
                <w:rFonts w:ascii="仿宋" w:hAnsi="仿宋" w:eastAsia="仿宋" w:cs="仿宋"/>
                <w:color w:val="000000"/>
                <w:sz w:val="28"/>
                <w:szCs w:val="30"/>
              </w:rPr>
            </w:pPr>
          </w:p>
        </w:tc>
        <w:tc>
          <w:tcPr>
            <w:tcW w:w="4252" w:type="dxa"/>
            <w:vAlign w:val="center"/>
          </w:tcPr>
          <w:p w14:paraId="46DCB21B">
            <w:pPr>
              <w:pStyle w:val="23"/>
              <w:keepNext/>
              <w:spacing w:line="440" w:lineRule="exact"/>
              <w:ind w:left="63" w:right="63"/>
              <w:rPr>
                <w:rFonts w:ascii="仿宋" w:hAnsi="仿宋" w:eastAsia="仿宋" w:cs="仿宋"/>
                <w:color w:val="000000"/>
                <w:sz w:val="28"/>
                <w:szCs w:val="30"/>
              </w:rPr>
            </w:pPr>
          </w:p>
        </w:tc>
      </w:tr>
      <w:tr w14:paraId="0DF86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A3E76AA">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技术负责人</w:t>
            </w:r>
          </w:p>
        </w:tc>
        <w:tc>
          <w:tcPr>
            <w:tcW w:w="1418" w:type="dxa"/>
            <w:vAlign w:val="center"/>
          </w:tcPr>
          <w:p w14:paraId="4D14644C">
            <w:pPr>
              <w:pStyle w:val="23"/>
              <w:keepNext/>
              <w:spacing w:line="440" w:lineRule="exact"/>
              <w:ind w:left="63" w:right="63"/>
              <w:rPr>
                <w:rFonts w:ascii="仿宋" w:hAnsi="仿宋" w:eastAsia="仿宋" w:cs="仿宋"/>
                <w:color w:val="000000"/>
                <w:sz w:val="24"/>
                <w:szCs w:val="30"/>
              </w:rPr>
            </w:pPr>
          </w:p>
        </w:tc>
        <w:tc>
          <w:tcPr>
            <w:tcW w:w="1134" w:type="dxa"/>
            <w:vAlign w:val="center"/>
          </w:tcPr>
          <w:p w14:paraId="5830E8A5">
            <w:pPr>
              <w:pStyle w:val="23"/>
              <w:keepNext/>
              <w:spacing w:line="440" w:lineRule="exact"/>
              <w:ind w:left="63" w:right="63"/>
              <w:rPr>
                <w:rFonts w:ascii="仿宋" w:hAnsi="仿宋" w:eastAsia="仿宋" w:cs="仿宋"/>
                <w:color w:val="000000"/>
                <w:sz w:val="28"/>
                <w:szCs w:val="30"/>
              </w:rPr>
            </w:pPr>
          </w:p>
        </w:tc>
        <w:tc>
          <w:tcPr>
            <w:tcW w:w="1134" w:type="dxa"/>
            <w:vAlign w:val="center"/>
          </w:tcPr>
          <w:p w14:paraId="46DDF6A8">
            <w:pPr>
              <w:pStyle w:val="23"/>
              <w:keepNext/>
              <w:spacing w:line="440" w:lineRule="exact"/>
              <w:ind w:left="63" w:right="63"/>
              <w:rPr>
                <w:rFonts w:ascii="仿宋" w:hAnsi="仿宋" w:eastAsia="仿宋" w:cs="仿宋"/>
                <w:color w:val="000000"/>
                <w:sz w:val="28"/>
                <w:szCs w:val="30"/>
              </w:rPr>
            </w:pPr>
          </w:p>
        </w:tc>
        <w:tc>
          <w:tcPr>
            <w:tcW w:w="4252" w:type="dxa"/>
            <w:vAlign w:val="center"/>
          </w:tcPr>
          <w:p w14:paraId="55871895">
            <w:pPr>
              <w:pStyle w:val="23"/>
              <w:keepNext/>
              <w:spacing w:line="440" w:lineRule="exact"/>
              <w:ind w:left="63" w:right="63"/>
              <w:rPr>
                <w:rFonts w:ascii="仿宋" w:hAnsi="仿宋" w:eastAsia="仿宋" w:cs="仿宋"/>
                <w:color w:val="000000"/>
                <w:sz w:val="28"/>
                <w:szCs w:val="30"/>
              </w:rPr>
            </w:pPr>
          </w:p>
        </w:tc>
      </w:tr>
      <w:tr w14:paraId="10E92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7961201">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造价管理</w:t>
            </w:r>
          </w:p>
        </w:tc>
        <w:tc>
          <w:tcPr>
            <w:tcW w:w="1418" w:type="dxa"/>
            <w:vAlign w:val="center"/>
          </w:tcPr>
          <w:p w14:paraId="2B0B281C">
            <w:pPr>
              <w:pStyle w:val="23"/>
              <w:keepNext/>
              <w:spacing w:line="440" w:lineRule="exact"/>
              <w:ind w:left="63" w:right="63"/>
              <w:rPr>
                <w:rFonts w:ascii="仿宋" w:hAnsi="仿宋" w:eastAsia="仿宋" w:cs="仿宋"/>
                <w:color w:val="000000"/>
                <w:sz w:val="24"/>
                <w:szCs w:val="30"/>
              </w:rPr>
            </w:pPr>
          </w:p>
        </w:tc>
        <w:tc>
          <w:tcPr>
            <w:tcW w:w="1134" w:type="dxa"/>
            <w:vAlign w:val="center"/>
          </w:tcPr>
          <w:p w14:paraId="4506F8E3">
            <w:pPr>
              <w:pStyle w:val="23"/>
              <w:keepNext/>
              <w:spacing w:line="440" w:lineRule="exact"/>
              <w:ind w:left="63" w:right="63"/>
              <w:rPr>
                <w:rFonts w:ascii="仿宋" w:hAnsi="仿宋" w:eastAsia="仿宋" w:cs="仿宋"/>
                <w:color w:val="000000"/>
                <w:sz w:val="28"/>
                <w:szCs w:val="30"/>
              </w:rPr>
            </w:pPr>
          </w:p>
        </w:tc>
        <w:tc>
          <w:tcPr>
            <w:tcW w:w="1134" w:type="dxa"/>
            <w:vAlign w:val="center"/>
          </w:tcPr>
          <w:p w14:paraId="3B82A05B">
            <w:pPr>
              <w:pStyle w:val="23"/>
              <w:keepNext/>
              <w:spacing w:line="440" w:lineRule="exact"/>
              <w:ind w:left="63" w:right="63"/>
              <w:rPr>
                <w:rFonts w:ascii="仿宋" w:hAnsi="仿宋" w:eastAsia="仿宋" w:cs="仿宋"/>
                <w:color w:val="000000"/>
                <w:sz w:val="28"/>
                <w:szCs w:val="30"/>
              </w:rPr>
            </w:pPr>
          </w:p>
        </w:tc>
        <w:tc>
          <w:tcPr>
            <w:tcW w:w="4252" w:type="dxa"/>
            <w:vAlign w:val="center"/>
          </w:tcPr>
          <w:p w14:paraId="69F474CB">
            <w:pPr>
              <w:pStyle w:val="23"/>
              <w:keepNext/>
              <w:spacing w:line="440" w:lineRule="exact"/>
              <w:ind w:left="63" w:right="63"/>
              <w:rPr>
                <w:rFonts w:ascii="仿宋" w:hAnsi="仿宋" w:eastAsia="仿宋" w:cs="仿宋"/>
                <w:color w:val="000000"/>
                <w:sz w:val="28"/>
                <w:szCs w:val="30"/>
              </w:rPr>
            </w:pPr>
          </w:p>
        </w:tc>
      </w:tr>
      <w:tr w14:paraId="478C5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5B60CE">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质量管理</w:t>
            </w:r>
          </w:p>
        </w:tc>
        <w:tc>
          <w:tcPr>
            <w:tcW w:w="1418" w:type="dxa"/>
            <w:vAlign w:val="center"/>
          </w:tcPr>
          <w:p w14:paraId="6871FD8F">
            <w:pPr>
              <w:pStyle w:val="23"/>
              <w:keepNext/>
              <w:spacing w:line="440" w:lineRule="exact"/>
              <w:ind w:left="63" w:right="63"/>
              <w:rPr>
                <w:rFonts w:ascii="仿宋" w:hAnsi="仿宋" w:eastAsia="仿宋" w:cs="仿宋"/>
                <w:color w:val="000000"/>
                <w:sz w:val="24"/>
                <w:szCs w:val="30"/>
              </w:rPr>
            </w:pPr>
          </w:p>
        </w:tc>
        <w:tc>
          <w:tcPr>
            <w:tcW w:w="1134" w:type="dxa"/>
            <w:vAlign w:val="center"/>
          </w:tcPr>
          <w:p w14:paraId="44EA73F3">
            <w:pPr>
              <w:pStyle w:val="23"/>
              <w:keepNext/>
              <w:spacing w:line="440" w:lineRule="exact"/>
              <w:ind w:left="63" w:right="63"/>
              <w:rPr>
                <w:rFonts w:ascii="仿宋" w:hAnsi="仿宋" w:eastAsia="仿宋" w:cs="仿宋"/>
                <w:color w:val="000000"/>
                <w:sz w:val="28"/>
                <w:szCs w:val="30"/>
              </w:rPr>
            </w:pPr>
          </w:p>
        </w:tc>
        <w:tc>
          <w:tcPr>
            <w:tcW w:w="1134" w:type="dxa"/>
            <w:vAlign w:val="center"/>
          </w:tcPr>
          <w:p w14:paraId="61EDFF70">
            <w:pPr>
              <w:pStyle w:val="23"/>
              <w:keepNext/>
              <w:spacing w:line="440" w:lineRule="exact"/>
              <w:ind w:left="63" w:right="63"/>
              <w:rPr>
                <w:rFonts w:ascii="仿宋" w:hAnsi="仿宋" w:eastAsia="仿宋" w:cs="仿宋"/>
                <w:color w:val="000000"/>
                <w:sz w:val="28"/>
                <w:szCs w:val="30"/>
              </w:rPr>
            </w:pPr>
          </w:p>
        </w:tc>
        <w:tc>
          <w:tcPr>
            <w:tcW w:w="4252" w:type="dxa"/>
            <w:vAlign w:val="center"/>
          </w:tcPr>
          <w:p w14:paraId="1E35F72F">
            <w:pPr>
              <w:pStyle w:val="23"/>
              <w:keepNext/>
              <w:spacing w:line="440" w:lineRule="exact"/>
              <w:ind w:left="63" w:right="63"/>
              <w:rPr>
                <w:rFonts w:ascii="仿宋" w:hAnsi="仿宋" w:eastAsia="仿宋" w:cs="仿宋"/>
                <w:color w:val="000000"/>
                <w:sz w:val="28"/>
                <w:szCs w:val="30"/>
              </w:rPr>
            </w:pPr>
          </w:p>
        </w:tc>
      </w:tr>
      <w:tr w14:paraId="66A65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21D141">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材料管理</w:t>
            </w:r>
          </w:p>
        </w:tc>
        <w:tc>
          <w:tcPr>
            <w:tcW w:w="1418" w:type="dxa"/>
            <w:vAlign w:val="center"/>
          </w:tcPr>
          <w:p w14:paraId="20F3D3CB">
            <w:pPr>
              <w:pStyle w:val="23"/>
              <w:keepNext/>
              <w:spacing w:line="440" w:lineRule="exact"/>
              <w:ind w:left="63" w:right="63"/>
              <w:rPr>
                <w:rFonts w:ascii="仿宋" w:hAnsi="仿宋" w:eastAsia="仿宋" w:cs="仿宋"/>
                <w:color w:val="000000"/>
                <w:sz w:val="24"/>
                <w:szCs w:val="30"/>
              </w:rPr>
            </w:pPr>
          </w:p>
        </w:tc>
        <w:tc>
          <w:tcPr>
            <w:tcW w:w="1134" w:type="dxa"/>
            <w:vAlign w:val="center"/>
          </w:tcPr>
          <w:p w14:paraId="28191F74">
            <w:pPr>
              <w:pStyle w:val="23"/>
              <w:keepNext/>
              <w:spacing w:line="440" w:lineRule="exact"/>
              <w:ind w:left="63" w:right="63"/>
              <w:rPr>
                <w:rFonts w:ascii="仿宋" w:hAnsi="仿宋" w:eastAsia="仿宋" w:cs="仿宋"/>
                <w:color w:val="000000"/>
                <w:sz w:val="28"/>
                <w:szCs w:val="30"/>
              </w:rPr>
            </w:pPr>
          </w:p>
        </w:tc>
        <w:tc>
          <w:tcPr>
            <w:tcW w:w="1134" w:type="dxa"/>
            <w:vAlign w:val="center"/>
          </w:tcPr>
          <w:p w14:paraId="4CECF133">
            <w:pPr>
              <w:pStyle w:val="23"/>
              <w:keepNext/>
              <w:spacing w:line="440" w:lineRule="exact"/>
              <w:ind w:left="63" w:right="63"/>
              <w:rPr>
                <w:rFonts w:ascii="仿宋" w:hAnsi="仿宋" w:eastAsia="仿宋" w:cs="仿宋"/>
                <w:color w:val="000000"/>
                <w:sz w:val="28"/>
                <w:szCs w:val="30"/>
              </w:rPr>
            </w:pPr>
          </w:p>
        </w:tc>
        <w:tc>
          <w:tcPr>
            <w:tcW w:w="4252" w:type="dxa"/>
            <w:vAlign w:val="center"/>
          </w:tcPr>
          <w:p w14:paraId="08F468E3">
            <w:pPr>
              <w:pStyle w:val="23"/>
              <w:keepNext/>
              <w:spacing w:line="440" w:lineRule="exact"/>
              <w:ind w:left="63" w:right="63"/>
              <w:rPr>
                <w:rFonts w:ascii="仿宋" w:hAnsi="仿宋" w:eastAsia="仿宋" w:cs="仿宋"/>
                <w:color w:val="000000"/>
                <w:sz w:val="28"/>
                <w:szCs w:val="30"/>
              </w:rPr>
            </w:pPr>
          </w:p>
        </w:tc>
      </w:tr>
      <w:tr w14:paraId="09C74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E87C4FF">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计划管理</w:t>
            </w:r>
          </w:p>
        </w:tc>
        <w:tc>
          <w:tcPr>
            <w:tcW w:w="1418" w:type="dxa"/>
            <w:vAlign w:val="center"/>
          </w:tcPr>
          <w:p w14:paraId="2AF417A3">
            <w:pPr>
              <w:pStyle w:val="23"/>
              <w:keepNext/>
              <w:spacing w:line="440" w:lineRule="exact"/>
              <w:ind w:left="63" w:right="63"/>
              <w:rPr>
                <w:rFonts w:ascii="仿宋" w:hAnsi="仿宋" w:eastAsia="仿宋" w:cs="仿宋"/>
                <w:color w:val="000000"/>
                <w:sz w:val="24"/>
                <w:szCs w:val="30"/>
              </w:rPr>
            </w:pPr>
          </w:p>
        </w:tc>
        <w:tc>
          <w:tcPr>
            <w:tcW w:w="1134" w:type="dxa"/>
            <w:vAlign w:val="center"/>
          </w:tcPr>
          <w:p w14:paraId="4484A155">
            <w:pPr>
              <w:pStyle w:val="23"/>
              <w:keepNext/>
              <w:spacing w:line="440" w:lineRule="exact"/>
              <w:ind w:left="63" w:right="63"/>
              <w:rPr>
                <w:rFonts w:ascii="仿宋" w:hAnsi="仿宋" w:eastAsia="仿宋" w:cs="仿宋"/>
                <w:color w:val="000000"/>
                <w:sz w:val="28"/>
                <w:szCs w:val="30"/>
              </w:rPr>
            </w:pPr>
          </w:p>
        </w:tc>
        <w:tc>
          <w:tcPr>
            <w:tcW w:w="1134" w:type="dxa"/>
            <w:vAlign w:val="center"/>
          </w:tcPr>
          <w:p w14:paraId="78CFD4D1">
            <w:pPr>
              <w:pStyle w:val="23"/>
              <w:keepNext/>
              <w:spacing w:line="440" w:lineRule="exact"/>
              <w:ind w:left="63" w:right="63"/>
              <w:rPr>
                <w:rFonts w:ascii="仿宋" w:hAnsi="仿宋" w:eastAsia="仿宋" w:cs="仿宋"/>
                <w:color w:val="000000"/>
                <w:sz w:val="28"/>
                <w:szCs w:val="30"/>
              </w:rPr>
            </w:pPr>
          </w:p>
        </w:tc>
        <w:tc>
          <w:tcPr>
            <w:tcW w:w="4252" w:type="dxa"/>
            <w:vAlign w:val="center"/>
          </w:tcPr>
          <w:p w14:paraId="7591A2B9">
            <w:pPr>
              <w:pStyle w:val="23"/>
              <w:keepNext/>
              <w:spacing w:line="440" w:lineRule="exact"/>
              <w:ind w:left="63" w:right="63"/>
              <w:rPr>
                <w:rFonts w:ascii="仿宋" w:hAnsi="仿宋" w:eastAsia="仿宋" w:cs="仿宋"/>
                <w:color w:val="000000"/>
                <w:sz w:val="28"/>
                <w:szCs w:val="30"/>
              </w:rPr>
            </w:pPr>
          </w:p>
        </w:tc>
      </w:tr>
      <w:tr w14:paraId="5D34D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0DF180">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安全管理</w:t>
            </w:r>
          </w:p>
        </w:tc>
        <w:tc>
          <w:tcPr>
            <w:tcW w:w="1418" w:type="dxa"/>
            <w:vAlign w:val="center"/>
          </w:tcPr>
          <w:p w14:paraId="6D9F9D93">
            <w:pPr>
              <w:pStyle w:val="23"/>
              <w:keepNext/>
              <w:spacing w:line="440" w:lineRule="exact"/>
              <w:ind w:left="63" w:right="63"/>
              <w:rPr>
                <w:rFonts w:ascii="仿宋" w:hAnsi="仿宋" w:eastAsia="仿宋" w:cs="仿宋"/>
                <w:color w:val="000000"/>
                <w:sz w:val="24"/>
                <w:szCs w:val="30"/>
              </w:rPr>
            </w:pPr>
          </w:p>
        </w:tc>
        <w:tc>
          <w:tcPr>
            <w:tcW w:w="1134" w:type="dxa"/>
            <w:vAlign w:val="center"/>
          </w:tcPr>
          <w:p w14:paraId="1FC32DDA">
            <w:pPr>
              <w:pStyle w:val="23"/>
              <w:keepNext/>
              <w:spacing w:line="440" w:lineRule="exact"/>
              <w:ind w:left="63" w:right="63"/>
              <w:rPr>
                <w:rFonts w:ascii="仿宋" w:hAnsi="仿宋" w:eastAsia="仿宋" w:cs="仿宋"/>
                <w:color w:val="000000"/>
                <w:sz w:val="28"/>
                <w:szCs w:val="30"/>
              </w:rPr>
            </w:pPr>
          </w:p>
        </w:tc>
        <w:tc>
          <w:tcPr>
            <w:tcW w:w="1134" w:type="dxa"/>
            <w:vAlign w:val="center"/>
          </w:tcPr>
          <w:p w14:paraId="6ABD0598">
            <w:pPr>
              <w:pStyle w:val="23"/>
              <w:keepNext/>
              <w:spacing w:line="440" w:lineRule="exact"/>
              <w:ind w:left="63" w:right="63"/>
              <w:rPr>
                <w:rFonts w:ascii="仿宋" w:hAnsi="仿宋" w:eastAsia="仿宋" w:cs="仿宋"/>
                <w:color w:val="000000"/>
                <w:sz w:val="28"/>
                <w:szCs w:val="30"/>
              </w:rPr>
            </w:pPr>
          </w:p>
        </w:tc>
        <w:tc>
          <w:tcPr>
            <w:tcW w:w="4252" w:type="dxa"/>
            <w:vAlign w:val="center"/>
          </w:tcPr>
          <w:p w14:paraId="113A151F">
            <w:pPr>
              <w:pStyle w:val="23"/>
              <w:keepNext/>
              <w:spacing w:line="440" w:lineRule="exact"/>
              <w:ind w:left="63" w:right="63"/>
              <w:rPr>
                <w:rFonts w:ascii="仿宋" w:hAnsi="仿宋" w:eastAsia="仿宋" w:cs="仿宋"/>
                <w:color w:val="000000"/>
                <w:sz w:val="28"/>
                <w:szCs w:val="30"/>
              </w:rPr>
            </w:pPr>
          </w:p>
        </w:tc>
      </w:tr>
      <w:tr w14:paraId="35E73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02EC86E">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14:paraId="72DE5C22">
            <w:pPr>
              <w:pStyle w:val="23"/>
              <w:keepNext/>
              <w:spacing w:line="440" w:lineRule="exact"/>
              <w:ind w:left="63" w:right="63"/>
              <w:rPr>
                <w:rFonts w:ascii="仿宋" w:hAnsi="仿宋" w:eastAsia="仿宋" w:cs="仿宋"/>
                <w:color w:val="000000"/>
                <w:sz w:val="24"/>
                <w:szCs w:val="30"/>
              </w:rPr>
            </w:pPr>
          </w:p>
        </w:tc>
        <w:tc>
          <w:tcPr>
            <w:tcW w:w="1134" w:type="dxa"/>
            <w:vAlign w:val="center"/>
          </w:tcPr>
          <w:p w14:paraId="0754A0A2">
            <w:pPr>
              <w:pStyle w:val="23"/>
              <w:keepNext/>
              <w:spacing w:line="440" w:lineRule="exact"/>
              <w:ind w:left="63" w:right="63"/>
              <w:rPr>
                <w:rFonts w:ascii="仿宋" w:hAnsi="仿宋" w:eastAsia="仿宋" w:cs="仿宋"/>
                <w:color w:val="000000"/>
                <w:sz w:val="28"/>
                <w:szCs w:val="30"/>
              </w:rPr>
            </w:pPr>
          </w:p>
        </w:tc>
        <w:tc>
          <w:tcPr>
            <w:tcW w:w="1134" w:type="dxa"/>
            <w:vAlign w:val="center"/>
          </w:tcPr>
          <w:p w14:paraId="0BFE1245">
            <w:pPr>
              <w:pStyle w:val="23"/>
              <w:keepNext/>
              <w:spacing w:line="440" w:lineRule="exact"/>
              <w:ind w:left="63" w:right="63"/>
              <w:rPr>
                <w:rFonts w:ascii="仿宋" w:hAnsi="仿宋" w:eastAsia="仿宋" w:cs="仿宋"/>
                <w:color w:val="000000"/>
                <w:sz w:val="28"/>
                <w:szCs w:val="30"/>
              </w:rPr>
            </w:pPr>
          </w:p>
        </w:tc>
        <w:tc>
          <w:tcPr>
            <w:tcW w:w="4252" w:type="dxa"/>
            <w:vAlign w:val="center"/>
          </w:tcPr>
          <w:p w14:paraId="23FB9694">
            <w:pPr>
              <w:pStyle w:val="23"/>
              <w:keepNext/>
              <w:spacing w:line="440" w:lineRule="exact"/>
              <w:ind w:left="63" w:right="63"/>
              <w:rPr>
                <w:rFonts w:ascii="仿宋" w:hAnsi="仿宋" w:eastAsia="仿宋" w:cs="仿宋"/>
                <w:color w:val="000000"/>
                <w:sz w:val="28"/>
                <w:szCs w:val="30"/>
              </w:rPr>
            </w:pPr>
          </w:p>
        </w:tc>
      </w:tr>
      <w:tr w14:paraId="5D2CF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971E23D">
            <w:pPr>
              <w:pStyle w:val="23"/>
              <w:keepNext/>
              <w:spacing w:line="440" w:lineRule="exact"/>
              <w:ind w:left="63" w:right="63"/>
              <w:rPr>
                <w:rFonts w:ascii="仿宋" w:hAnsi="仿宋" w:eastAsia="仿宋" w:cs="仿宋"/>
                <w:color w:val="000000"/>
                <w:sz w:val="24"/>
                <w:szCs w:val="30"/>
              </w:rPr>
            </w:pPr>
          </w:p>
        </w:tc>
        <w:tc>
          <w:tcPr>
            <w:tcW w:w="1418" w:type="dxa"/>
            <w:tcBorders>
              <w:bottom w:val="nil"/>
            </w:tcBorders>
            <w:vAlign w:val="center"/>
          </w:tcPr>
          <w:p w14:paraId="4FD559AF">
            <w:pPr>
              <w:pStyle w:val="23"/>
              <w:keepNext/>
              <w:spacing w:line="440" w:lineRule="exact"/>
              <w:ind w:left="63" w:right="63"/>
              <w:rPr>
                <w:rFonts w:ascii="仿宋" w:hAnsi="仿宋" w:eastAsia="仿宋" w:cs="仿宋"/>
                <w:color w:val="000000"/>
                <w:sz w:val="24"/>
                <w:szCs w:val="30"/>
              </w:rPr>
            </w:pPr>
          </w:p>
        </w:tc>
        <w:tc>
          <w:tcPr>
            <w:tcW w:w="1134" w:type="dxa"/>
            <w:tcBorders>
              <w:bottom w:val="nil"/>
            </w:tcBorders>
            <w:vAlign w:val="center"/>
          </w:tcPr>
          <w:p w14:paraId="74DD2CAC">
            <w:pPr>
              <w:pStyle w:val="23"/>
              <w:keepNext/>
              <w:spacing w:line="440" w:lineRule="exact"/>
              <w:ind w:left="63" w:right="63"/>
              <w:rPr>
                <w:rFonts w:ascii="仿宋" w:hAnsi="仿宋" w:eastAsia="仿宋" w:cs="仿宋"/>
                <w:color w:val="000000"/>
                <w:sz w:val="28"/>
                <w:szCs w:val="30"/>
              </w:rPr>
            </w:pPr>
          </w:p>
        </w:tc>
        <w:tc>
          <w:tcPr>
            <w:tcW w:w="1134" w:type="dxa"/>
            <w:tcBorders>
              <w:bottom w:val="nil"/>
            </w:tcBorders>
            <w:vAlign w:val="center"/>
          </w:tcPr>
          <w:p w14:paraId="08E15C65">
            <w:pPr>
              <w:pStyle w:val="23"/>
              <w:keepNext/>
              <w:spacing w:line="440" w:lineRule="exact"/>
              <w:ind w:left="63" w:right="63"/>
              <w:rPr>
                <w:rFonts w:ascii="仿宋" w:hAnsi="仿宋" w:eastAsia="仿宋" w:cs="仿宋"/>
                <w:color w:val="000000"/>
                <w:sz w:val="28"/>
                <w:szCs w:val="30"/>
              </w:rPr>
            </w:pPr>
          </w:p>
        </w:tc>
        <w:tc>
          <w:tcPr>
            <w:tcW w:w="4252" w:type="dxa"/>
            <w:tcBorders>
              <w:bottom w:val="nil"/>
            </w:tcBorders>
            <w:vAlign w:val="center"/>
          </w:tcPr>
          <w:p w14:paraId="4B33F0DA">
            <w:pPr>
              <w:pStyle w:val="23"/>
              <w:keepNext/>
              <w:spacing w:line="440" w:lineRule="exact"/>
              <w:ind w:left="63" w:right="63"/>
              <w:rPr>
                <w:rFonts w:ascii="仿宋" w:hAnsi="仿宋" w:eastAsia="仿宋" w:cs="仿宋"/>
                <w:color w:val="000000"/>
                <w:sz w:val="28"/>
                <w:szCs w:val="30"/>
              </w:rPr>
            </w:pPr>
          </w:p>
        </w:tc>
      </w:tr>
      <w:tr w14:paraId="40BB4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FEB4E3D">
            <w:pPr>
              <w:pStyle w:val="23"/>
              <w:keepNext/>
              <w:spacing w:line="440" w:lineRule="exact"/>
              <w:ind w:left="63" w:right="63"/>
              <w:rPr>
                <w:rFonts w:ascii="仿宋" w:hAnsi="仿宋" w:eastAsia="仿宋" w:cs="仿宋"/>
                <w:color w:val="000000"/>
                <w:sz w:val="24"/>
                <w:szCs w:val="30"/>
              </w:rPr>
            </w:pPr>
          </w:p>
        </w:tc>
        <w:tc>
          <w:tcPr>
            <w:tcW w:w="1418" w:type="dxa"/>
            <w:vAlign w:val="center"/>
          </w:tcPr>
          <w:p w14:paraId="17BC219D">
            <w:pPr>
              <w:pStyle w:val="23"/>
              <w:keepNext/>
              <w:spacing w:line="440" w:lineRule="exact"/>
              <w:ind w:left="63" w:right="63"/>
              <w:rPr>
                <w:rFonts w:ascii="仿宋" w:hAnsi="仿宋" w:eastAsia="仿宋" w:cs="仿宋"/>
                <w:color w:val="000000"/>
                <w:sz w:val="24"/>
                <w:szCs w:val="30"/>
              </w:rPr>
            </w:pPr>
          </w:p>
        </w:tc>
        <w:tc>
          <w:tcPr>
            <w:tcW w:w="1134" w:type="dxa"/>
            <w:vAlign w:val="center"/>
          </w:tcPr>
          <w:p w14:paraId="231B89F0">
            <w:pPr>
              <w:pStyle w:val="23"/>
              <w:keepNext/>
              <w:spacing w:line="440" w:lineRule="exact"/>
              <w:ind w:left="63" w:right="63"/>
              <w:rPr>
                <w:rFonts w:ascii="仿宋" w:hAnsi="仿宋" w:eastAsia="仿宋" w:cs="仿宋"/>
                <w:color w:val="000000"/>
                <w:sz w:val="28"/>
                <w:szCs w:val="30"/>
              </w:rPr>
            </w:pPr>
          </w:p>
        </w:tc>
        <w:tc>
          <w:tcPr>
            <w:tcW w:w="1134" w:type="dxa"/>
            <w:vAlign w:val="center"/>
          </w:tcPr>
          <w:p w14:paraId="3FB2E2CA">
            <w:pPr>
              <w:pStyle w:val="23"/>
              <w:keepNext/>
              <w:spacing w:line="440" w:lineRule="exact"/>
              <w:ind w:left="63" w:right="63"/>
              <w:rPr>
                <w:rFonts w:ascii="仿宋" w:hAnsi="仿宋" w:eastAsia="仿宋" w:cs="仿宋"/>
                <w:color w:val="000000"/>
                <w:sz w:val="28"/>
                <w:szCs w:val="30"/>
              </w:rPr>
            </w:pPr>
          </w:p>
        </w:tc>
        <w:tc>
          <w:tcPr>
            <w:tcW w:w="4252" w:type="dxa"/>
            <w:vAlign w:val="center"/>
          </w:tcPr>
          <w:p w14:paraId="6ADE1566">
            <w:pPr>
              <w:pStyle w:val="23"/>
              <w:keepNext/>
              <w:spacing w:line="440" w:lineRule="exact"/>
              <w:ind w:left="63" w:right="63"/>
              <w:rPr>
                <w:rFonts w:ascii="仿宋" w:hAnsi="仿宋" w:eastAsia="仿宋" w:cs="仿宋"/>
                <w:color w:val="000000"/>
                <w:sz w:val="28"/>
                <w:szCs w:val="30"/>
              </w:rPr>
            </w:pPr>
          </w:p>
        </w:tc>
      </w:tr>
      <w:tr w14:paraId="66EA2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95D9BFF">
            <w:pPr>
              <w:pStyle w:val="23"/>
              <w:keepNext/>
              <w:spacing w:line="440" w:lineRule="exact"/>
              <w:ind w:left="63" w:right="63"/>
              <w:rPr>
                <w:rFonts w:ascii="仿宋" w:hAnsi="仿宋" w:eastAsia="仿宋" w:cs="仿宋"/>
                <w:color w:val="000000"/>
                <w:sz w:val="24"/>
                <w:szCs w:val="30"/>
              </w:rPr>
            </w:pPr>
          </w:p>
        </w:tc>
        <w:tc>
          <w:tcPr>
            <w:tcW w:w="1418" w:type="dxa"/>
            <w:vAlign w:val="center"/>
          </w:tcPr>
          <w:p w14:paraId="1A8FC86E">
            <w:pPr>
              <w:pStyle w:val="23"/>
              <w:keepNext/>
              <w:spacing w:line="440" w:lineRule="exact"/>
              <w:ind w:left="63" w:right="63"/>
              <w:rPr>
                <w:rFonts w:ascii="仿宋" w:hAnsi="仿宋" w:eastAsia="仿宋" w:cs="仿宋"/>
                <w:color w:val="000000"/>
                <w:sz w:val="24"/>
                <w:szCs w:val="30"/>
              </w:rPr>
            </w:pPr>
          </w:p>
        </w:tc>
        <w:tc>
          <w:tcPr>
            <w:tcW w:w="1134" w:type="dxa"/>
            <w:vAlign w:val="center"/>
          </w:tcPr>
          <w:p w14:paraId="0DBC2A1B">
            <w:pPr>
              <w:pStyle w:val="23"/>
              <w:keepNext/>
              <w:spacing w:line="440" w:lineRule="exact"/>
              <w:ind w:left="63" w:right="63"/>
              <w:rPr>
                <w:rFonts w:ascii="仿宋" w:hAnsi="仿宋" w:eastAsia="仿宋" w:cs="仿宋"/>
                <w:color w:val="000000"/>
                <w:sz w:val="28"/>
                <w:szCs w:val="30"/>
              </w:rPr>
            </w:pPr>
          </w:p>
        </w:tc>
        <w:tc>
          <w:tcPr>
            <w:tcW w:w="1134" w:type="dxa"/>
            <w:vAlign w:val="center"/>
          </w:tcPr>
          <w:p w14:paraId="0C10BE0E">
            <w:pPr>
              <w:pStyle w:val="23"/>
              <w:keepNext/>
              <w:spacing w:line="440" w:lineRule="exact"/>
              <w:ind w:left="63" w:right="63"/>
              <w:rPr>
                <w:rFonts w:ascii="仿宋" w:hAnsi="仿宋" w:eastAsia="仿宋" w:cs="仿宋"/>
                <w:color w:val="000000"/>
                <w:sz w:val="28"/>
                <w:szCs w:val="30"/>
              </w:rPr>
            </w:pPr>
          </w:p>
        </w:tc>
        <w:tc>
          <w:tcPr>
            <w:tcW w:w="4252" w:type="dxa"/>
            <w:vAlign w:val="center"/>
          </w:tcPr>
          <w:p w14:paraId="7576AFE7">
            <w:pPr>
              <w:pStyle w:val="23"/>
              <w:keepNext/>
              <w:spacing w:line="440" w:lineRule="exact"/>
              <w:ind w:left="63" w:right="63"/>
              <w:rPr>
                <w:rFonts w:ascii="仿宋" w:hAnsi="仿宋" w:eastAsia="仿宋" w:cs="仿宋"/>
                <w:color w:val="000000"/>
                <w:sz w:val="28"/>
                <w:szCs w:val="30"/>
              </w:rPr>
            </w:pPr>
          </w:p>
        </w:tc>
      </w:tr>
      <w:tr w14:paraId="0364E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3BCC3DA">
            <w:pPr>
              <w:pStyle w:val="23"/>
              <w:keepNext/>
              <w:spacing w:line="440" w:lineRule="exact"/>
              <w:ind w:left="63" w:right="63"/>
              <w:rPr>
                <w:rFonts w:ascii="仿宋" w:hAnsi="仿宋" w:eastAsia="仿宋" w:cs="仿宋"/>
                <w:color w:val="000000"/>
                <w:sz w:val="24"/>
                <w:szCs w:val="30"/>
              </w:rPr>
            </w:pPr>
          </w:p>
        </w:tc>
        <w:tc>
          <w:tcPr>
            <w:tcW w:w="1418" w:type="dxa"/>
            <w:vAlign w:val="center"/>
          </w:tcPr>
          <w:p w14:paraId="2DBC864D">
            <w:pPr>
              <w:pStyle w:val="23"/>
              <w:keepNext/>
              <w:spacing w:line="440" w:lineRule="exact"/>
              <w:ind w:left="63" w:right="63"/>
              <w:rPr>
                <w:rFonts w:ascii="仿宋" w:hAnsi="仿宋" w:eastAsia="仿宋" w:cs="仿宋"/>
                <w:color w:val="000000"/>
                <w:sz w:val="24"/>
                <w:szCs w:val="30"/>
              </w:rPr>
            </w:pPr>
          </w:p>
        </w:tc>
        <w:tc>
          <w:tcPr>
            <w:tcW w:w="1134" w:type="dxa"/>
            <w:vAlign w:val="center"/>
          </w:tcPr>
          <w:p w14:paraId="1D9D6A2E">
            <w:pPr>
              <w:pStyle w:val="23"/>
              <w:keepNext/>
              <w:spacing w:line="440" w:lineRule="exact"/>
              <w:ind w:left="63" w:right="63"/>
              <w:rPr>
                <w:rFonts w:ascii="仿宋" w:hAnsi="仿宋" w:eastAsia="仿宋" w:cs="仿宋"/>
                <w:color w:val="000000"/>
                <w:sz w:val="28"/>
                <w:szCs w:val="30"/>
              </w:rPr>
            </w:pPr>
          </w:p>
        </w:tc>
        <w:tc>
          <w:tcPr>
            <w:tcW w:w="1134" w:type="dxa"/>
            <w:vAlign w:val="center"/>
          </w:tcPr>
          <w:p w14:paraId="55F8059D">
            <w:pPr>
              <w:pStyle w:val="23"/>
              <w:keepNext/>
              <w:spacing w:line="440" w:lineRule="exact"/>
              <w:ind w:left="63" w:right="63"/>
              <w:rPr>
                <w:rFonts w:ascii="仿宋" w:hAnsi="仿宋" w:eastAsia="仿宋" w:cs="仿宋"/>
                <w:color w:val="000000"/>
                <w:sz w:val="28"/>
                <w:szCs w:val="30"/>
              </w:rPr>
            </w:pPr>
          </w:p>
        </w:tc>
        <w:tc>
          <w:tcPr>
            <w:tcW w:w="4252" w:type="dxa"/>
            <w:vAlign w:val="center"/>
          </w:tcPr>
          <w:p w14:paraId="0E72B8D9">
            <w:pPr>
              <w:pStyle w:val="23"/>
              <w:keepNext/>
              <w:spacing w:line="440" w:lineRule="exact"/>
              <w:ind w:left="63" w:right="63"/>
              <w:rPr>
                <w:rFonts w:ascii="仿宋" w:hAnsi="仿宋" w:eastAsia="仿宋" w:cs="仿宋"/>
                <w:color w:val="000000"/>
                <w:sz w:val="28"/>
                <w:szCs w:val="30"/>
              </w:rPr>
            </w:pPr>
          </w:p>
        </w:tc>
      </w:tr>
      <w:tr w14:paraId="1E0A0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68CA864">
            <w:pPr>
              <w:pStyle w:val="23"/>
              <w:keepNext/>
              <w:spacing w:line="440" w:lineRule="exact"/>
              <w:ind w:left="63" w:right="63"/>
              <w:rPr>
                <w:rFonts w:ascii="仿宋" w:hAnsi="仿宋" w:eastAsia="仿宋" w:cs="仿宋"/>
                <w:color w:val="000000"/>
                <w:sz w:val="24"/>
                <w:szCs w:val="30"/>
              </w:rPr>
            </w:pPr>
          </w:p>
        </w:tc>
        <w:tc>
          <w:tcPr>
            <w:tcW w:w="1418" w:type="dxa"/>
            <w:tcBorders>
              <w:bottom w:val="single" w:color="auto" w:sz="12" w:space="0"/>
            </w:tcBorders>
            <w:vAlign w:val="center"/>
          </w:tcPr>
          <w:p w14:paraId="18EFEB5F">
            <w:pPr>
              <w:pStyle w:val="23"/>
              <w:keepNext/>
              <w:spacing w:line="440" w:lineRule="exact"/>
              <w:ind w:left="63" w:right="63"/>
              <w:rPr>
                <w:rFonts w:ascii="仿宋" w:hAnsi="仿宋" w:eastAsia="仿宋" w:cs="仿宋"/>
                <w:color w:val="000000"/>
                <w:sz w:val="24"/>
                <w:szCs w:val="30"/>
              </w:rPr>
            </w:pPr>
          </w:p>
        </w:tc>
        <w:tc>
          <w:tcPr>
            <w:tcW w:w="1134" w:type="dxa"/>
            <w:tcBorders>
              <w:bottom w:val="single" w:color="auto" w:sz="12" w:space="0"/>
            </w:tcBorders>
            <w:vAlign w:val="center"/>
          </w:tcPr>
          <w:p w14:paraId="117BCE2B">
            <w:pPr>
              <w:pStyle w:val="23"/>
              <w:keepNext/>
              <w:spacing w:line="440" w:lineRule="exact"/>
              <w:ind w:left="63" w:right="63"/>
              <w:rPr>
                <w:rFonts w:ascii="仿宋" w:hAnsi="仿宋" w:eastAsia="仿宋" w:cs="仿宋"/>
                <w:color w:val="000000"/>
                <w:sz w:val="28"/>
                <w:szCs w:val="30"/>
              </w:rPr>
            </w:pPr>
          </w:p>
        </w:tc>
        <w:tc>
          <w:tcPr>
            <w:tcW w:w="1134" w:type="dxa"/>
            <w:tcBorders>
              <w:bottom w:val="single" w:color="auto" w:sz="12" w:space="0"/>
            </w:tcBorders>
            <w:vAlign w:val="center"/>
          </w:tcPr>
          <w:p w14:paraId="70A5F3B3">
            <w:pPr>
              <w:pStyle w:val="23"/>
              <w:keepNext/>
              <w:spacing w:line="440" w:lineRule="exact"/>
              <w:ind w:left="63" w:right="63"/>
              <w:rPr>
                <w:rFonts w:ascii="仿宋" w:hAnsi="仿宋" w:eastAsia="仿宋" w:cs="仿宋"/>
                <w:color w:val="000000"/>
                <w:sz w:val="28"/>
                <w:szCs w:val="30"/>
              </w:rPr>
            </w:pPr>
          </w:p>
        </w:tc>
        <w:tc>
          <w:tcPr>
            <w:tcW w:w="4252" w:type="dxa"/>
            <w:tcBorders>
              <w:bottom w:val="single" w:color="auto" w:sz="12" w:space="0"/>
            </w:tcBorders>
            <w:vAlign w:val="center"/>
          </w:tcPr>
          <w:p w14:paraId="4352EB45">
            <w:pPr>
              <w:pStyle w:val="23"/>
              <w:keepNext/>
              <w:spacing w:line="440" w:lineRule="exact"/>
              <w:ind w:left="63" w:right="63"/>
              <w:rPr>
                <w:rFonts w:ascii="仿宋" w:hAnsi="仿宋" w:eastAsia="仿宋" w:cs="仿宋"/>
                <w:color w:val="000000"/>
                <w:sz w:val="28"/>
                <w:szCs w:val="30"/>
              </w:rPr>
            </w:pPr>
          </w:p>
        </w:tc>
      </w:tr>
    </w:tbl>
    <w:p w14:paraId="2D7C072D">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br w:type="page"/>
      </w:r>
      <w:bookmarkStart w:id="1457" w:name="_Toc267261701"/>
      <w:r>
        <w:rPr>
          <w:rFonts w:hint="eastAsia" w:ascii="仿宋" w:hAnsi="仿宋" w:eastAsia="仿宋" w:cs="仿宋"/>
          <w:color w:val="000000"/>
          <w:sz w:val="28"/>
          <w:szCs w:val="30"/>
        </w:rPr>
        <w:t>附</w:t>
      </w:r>
      <w:bookmarkStart w:id="1458" w:name="_Toc296891059"/>
      <w:bookmarkStart w:id="1459" w:name="_Toc296944570"/>
      <w:bookmarkStart w:id="1460" w:name="_Toc296346732"/>
      <w:bookmarkStart w:id="1461" w:name="_Toc296891271"/>
      <w:bookmarkStart w:id="1462" w:name="_Toc296347230"/>
      <w:bookmarkStart w:id="1463" w:name="_Toc296503231"/>
      <w:r>
        <w:rPr>
          <w:rFonts w:hint="eastAsia" w:ascii="仿宋" w:hAnsi="仿宋" w:eastAsia="仿宋" w:cs="仿宋"/>
          <w:color w:val="000000"/>
          <w:sz w:val="28"/>
          <w:szCs w:val="30"/>
        </w:rPr>
        <w:t>件5：</w:t>
      </w:r>
    </w:p>
    <w:bookmarkEnd w:id="1457"/>
    <w:bookmarkEnd w:id="1458"/>
    <w:bookmarkEnd w:id="1459"/>
    <w:bookmarkEnd w:id="1460"/>
    <w:bookmarkEnd w:id="1461"/>
    <w:bookmarkEnd w:id="1462"/>
    <w:bookmarkEnd w:id="1463"/>
    <w:p w14:paraId="015E2A08">
      <w:pPr>
        <w:spacing w:beforeLines="50"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履约担保</w:t>
      </w:r>
    </w:p>
    <w:p w14:paraId="30458AB6">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rPr>
        <w:t>（发包人名称）：</w:t>
      </w:r>
    </w:p>
    <w:p w14:paraId="455F72ED">
      <w:pPr>
        <w:rPr>
          <w:rFonts w:ascii="仿宋" w:hAnsi="仿宋" w:eastAsia="仿宋" w:cs="仿宋"/>
          <w:color w:val="000000"/>
          <w:sz w:val="24"/>
          <w:szCs w:val="24"/>
          <w:highlight w:val="none"/>
        </w:rPr>
      </w:pPr>
    </w:p>
    <w:p w14:paraId="786528C4">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鉴于（发包人名称，以下简称“发包人”）与</w:t>
      </w:r>
    </w:p>
    <w:p w14:paraId="3CBF2BE6">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50DC7725">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 担保金额及低价风险保证金（若有）人民币（大写）元（¥</w:t>
      </w:r>
      <w:r>
        <w:rPr>
          <w:rFonts w:hint="eastAsia" w:ascii="仿宋" w:hAnsi="仿宋" w:eastAsia="仿宋" w:cs="仿宋"/>
          <w:color w:val="000000"/>
          <w:sz w:val="24"/>
          <w:szCs w:val="24"/>
          <w:highlight w:val="none"/>
          <w:lang w:val="en-US" w:eastAsia="zh-CN"/>
        </w:rPr>
        <w:t xml:space="preserve">        元</w:t>
      </w:r>
      <w:r>
        <w:rPr>
          <w:rFonts w:hint="eastAsia" w:ascii="仿宋" w:hAnsi="仿宋" w:eastAsia="仿宋" w:cs="仿宋"/>
          <w:color w:val="000000"/>
          <w:sz w:val="24"/>
          <w:szCs w:val="24"/>
          <w:highlight w:val="none"/>
        </w:rPr>
        <w:t>）。</w:t>
      </w:r>
    </w:p>
    <w:p w14:paraId="5614A591">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 担保有效期自你方与承包人签订的合同生效之日起至你方签发或应签发工程接收证书之日止。</w:t>
      </w:r>
    </w:p>
    <w:p w14:paraId="4DBE5C13">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04B97150">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 你方和承包人按合同约定变更合同时，我方</w:t>
      </w:r>
      <w:r>
        <w:rPr>
          <w:rFonts w:hint="eastAsia"/>
          <w:highlight w:val="none"/>
          <w:lang w:val="en-US" w:eastAsia="zh-CN"/>
        </w:rPr>
        <w:t xml:space="preserve">   （此处填写担保人名称）                      </w:t>
      </w:r>
      <w:r>
        <w:rPr>
          <w:rFonts w:hint="eastAsia" w:ascii="仿宋" w:hAnsi="仿宋" w:eastAsia="仿宋" w:cs="仿宋"/>
          <w:color w:val="000000"/>
          <w:sz w:val="24"/>
          <w:szCs w:val="24"/>
          <w:highlight w:val="none"/>
        </w:rPr>
        <w:t>承担本担保规定的义务不变。</w:t>
      </w:r>
    </w:p>
    <w:p w14:paraId="771D541C">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 因本保函发生的纠纷，可由双方协商解决，协商不成的，任何一方均可向杭州市上城区人民法院提起诉讼。</w:t>
      </w:r>
    </w:p>
    <w:p w14:paraId="79640D6F">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 本保函自我方法定代表人（或其授权代理人）签字并加盖公章之日起生效。</w:t>
      </w:r>
    </w:p>
    <w:p w14:paraId="03835967">
      <w:pPr>
        <w:rPr>
          <w:rFonts w:ascii="仿宋" w:hAnsi="仿宋" w:eastAsia="仿宋" w:cs="仿宋"/>
          <w:color w:val="000000"/>
          <w:sz w:val="24"/>
          <w:szCs w:val="24"/>
          <w:highlight w:val="none"/>
        </w:rPr>
      </w:pPr>
    </w:p>
    <w:p w14:paraId="2A8E89E8">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担 保 人：（盖单位章）</w:t>
      </w:r>
    </w:p>
    <w:p w14:paraId="53469EF7">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p>
    <w:p w14:paraId="4630742C">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p>
    <w:p w14:paraId="39959C04">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p>
    <w:p w14:paraId="0E6E3740">
      <w:p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电    话：</w:t>
      </w:r>
    </w:p>
    <w:p w14:paraId="2E299919">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    真：</w:t>
      </w:r>
    </w:p>
    <w:p w14:paraId="528EDFD5">
      <w:pPr>
        <w:jc w:val="left"/>
        <w:rPr>
          <w:rFonts w:ascii="仿宋" w:hAnsi="仿宋" w:eastAsia="仿宋" w:cs="仿宋"/>
          <w:color w:val="000000"/>
          <w:sz w:val="24"/>
          <w:szCs w:val="24"/>
          <w:highlight w:val="none"/>
          <w:u w:val="single"/>
        </w:rPr>
      </w:pPr>
    </w:p>
    <w:p w14:paraId="7BAC8FFD">
      <w:pPr>
        <w:ind w:left="1519" w:hanging="1519" w:hangingChars="633"/>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年月日</w:t>
      </w:r>
    </w:p>
    <w:p w14:paraId="7B347080">
      <w:pPr>
        <w:spacing w:line="360" w:lineRule="auto"/>
        <w:ind w:left="1772" w:hanging="1772" w:hangingChars="633"/>
        <w:rPr>
          <w:rFonts w:ascii="仿宋" w:hAnsi="仿宋" w:eastAsia="仿宋" w:cs="仿宋"/>
          <w:color w:val="000000"/>
          <w:sz w:val="28"/>
          <w:szCs w:val="30"/>
          <w:highlight w:val="none"/>
        </w:rPr>
      </w:pPr>
    </w:p>
    <w:p w14:paraId="72D8CE0E">
      <w:pPr>
        <w:spacing w:line="360" w:lineRule="auto"/>
        <w:ind w:left="1772" w:hanging="1772" w:hangingChars="633"/>
        <w:rPr>
          <w:rFonts w:ascii="仿宋" w:hAnsi="仿宋" w:eastAsia="仿宋" w:cs="仿宋"/>
          <w:color w:val="000000"/>
          <w:sz w:val="28"/>
          <w:szCs w:val="30"/>
          <w:highlight w:val="none"/>
        </w:rPr>
      </w:pPr>
    </w:p>
    <w:p w14:paraId="278F4303">
      <w:pPr>
        <w:spacing w:line="360" w:lineRule="auto"/>
        <w:ind w:left="1772" w:hanging="1772" w:hangingChars="633"/>
        <w:rPr>
          <w:rFonts w:ascii="仿宋" w:hAnsi="仿宋" w:eastAsia="仿宋" w:cs="仿宋"/>
          <w:color w:val="000000"/>
          <w:sz w:val="28"/>
          <w:szCs w:val="30"/>
        </w:rPr>
      </w:pPr>
    </w:p>
    <w:p w14:paraId="7729B4FF">
      <w:pPr>
        <w:spacing w:line="360" w:lineRule="auto"/>
        <w:ind w:left="1772" w:hanging="1772" w:hangingChars="633"/>
        <w:rPr>
          <w:rFonts w:ascii="仿宋" w:hAnsi="仿宋" w:eastAsia="仿宋" w:cs="仿宋"/>
          <w:color w:val="000000"/>
          <w:sz w:val="28"/>
          <w:szCs w:val="30"/>
        </w:rPr>
      </w:pPr>
    </w:p>
    <w:p w14:paraId="490FFB09">
      <w:pPr>
        <w:pStyle w:val="42"/>
        <w:rPr>
          <w:rFonts w:ascii="仿宋" w:hAnsi="仿宋" w:eastAsia="仿宋" w:cs="仿宋"/>
        </w:rPr>
      </w:pPr>
    </w:p>
    <w:p w14:paraId="5A3079DD">
      <w:pPr>
        <w:rPr>
          <w:rFonts w:ascii="仿宋" w:hAnsi="仿宋" w:eastAsia="仿宋" w:cs="仿宋"/>
        </w:rPr>
      </w:pPr>
    </w:p>
    <w:p w14:paraId="6BB6F17B">
      <w:pPr>
        <w:pStyle w:val="42"/>
        <w:rPr>
          <w:rFonts w:ascii="仿宋" w:hAnsi="仿宋" w:eastAsia="仿宋" w:cs="仿宋"/>
        </w:rPr>
      </w:pPr>
    </w:p>
    <w:p w14:paraId="10CAD56D">
      <w:pPr>
        <w:pStyle w:val="42"/>
        <w:rPr>
          <w:rFonts w:ascii="仿宋" w:hAnsi="仿宋" w:eastAsia="仿宋" w:cs="仿宋"/>
        </w:rPr>
      </w:pPr>
    </w:p>
    <w:p w14:paraId="630CCCC4">
      <w:pPr>
        <w:rPr>
          <w:rFonts w:ascii="仿宋" w:hAnsi="仿宋" w:eastAsia="仿宋" w:cs="仿宋"/>
        </w:rPr>
      </w:pPr>
    </w:p>
    <w:p w14:paraId="6221CF2D">
      <w:pPr>
        <w:adjustRightInd w:val="0"/>
        <w:snapToGrid w:val="0"/>
        <w:spacing w:line="340" w:lineRule="atLeast"/>
        <w:rPr>
          <w:rFonts w:ascii="仿宋" w:hAnsi="仿宋" w:eastAsia="仿宋" w:cs="仿宋"/>
          <w:kern w:val="0"/>
          <w:sz w:val="24"/>
          <w:szCs w:val="24"/>
        </w:rPr>
      </w:pPr>
      <w:r>
        <w:rPr>
          <w:rFonts w:hint="eastAsia" w:ascii="仿宋" w:hAnsi="仿宋" w:eastAsia="仿宋" w:cs="仿宋"/>
          <w:sz w:val="24"/>
          <w:szCs w:val="24"/>
        </w:rPr>
        <w:t>附件6：</w:t>
      </w:r>
    </w:p>
    <w:p w14:paraId="265B7D83">
      <w:pPr>
        <w:adjustRightInd w:val="0"/>
        <w:snapToGrid w:val="0"/>
        <w:spacing w:line="340" w:lineRule="atLeast"/>
        <w:jc w:val="center"/>
        <w:rPr>
          <w:rFonts w:ascii="仿宋" w:hAnsi="仿宋" w:eastAsia="仿宋" w:cs="仿宋"/>
          <w:kern w:val="0"/>
          <w:sz w:val="36"/>
          <w:szCs w:val="36"/>
        </w:rPr>
      </w:pPr>
      <w:r>
        <w:rPr>
          <w:rFonts w:hint="eastAsia" w:ascii="仿宋" w:hAnsi="仿宋" w:eastAsia="仿宋" w:cs="仿宋"/>
          <w:b/>
          <w:kern w:val="0"/>
          <w:sz w:val="36"/>
          <w:szCs w:val="36"/>
        </w:rPr>
        <w:t>建设工程廉政责任书</w:t>
      </w:r>
    </w:p>
    <w:p w14:paraId="2CA2B147">
      <w:pPr>
        <w:spacing w:line="340" w:lineRule="atLeast"/>
        <w:rPr>
          <w:rFonts w:ascii="仿宋" w:hAnsi="仿宋" w:eastAsia="仿宋" w:cs="仿宋"/>
          <w:sz w:val="24"/>
          <w:szCs w:val="24"/>
        </w:rPr>
      </w:pPr>
    </w:p>
    <w:p w14:paraId="3B3F6B91">
      <w:pPr>
        <w:widowControl/>
        <w:jc w:val="left"/>
        <w:rPr>
          <w:rFonts w:hint="eastAsia" w:ascii="仿宋" w:hAnsi="仿宋" w:eastAsia="仿宋" w:cs="仿宋"/>
          <w:sz w:val="24"/>
          <w:szCs w:val="24"/>
          <w:lang w:eastAsia="zh-CN"/>
        </w:rPr>
      </w:pPr>
      <w:r>
        <w:rPr>
          <w:rFonts w:hint="eastAsia" w:ascii="仿宋" w:hAnsi="仿宋" w:eastAsia="仿宋" w:cs="仿宋"/>
          <w:sz w:val="24"/>
          <w:szCs w:val="24"/>
        </w:rPr>
        <w:t>工程项目名称：</w:t>
      </w:r>
      <w:r>
        <w:rPr>
          <w:rFonts w:hint="eastAsia" w:ascii="仿宋" w:hAnsi="仿宋" w:eastAsia="仿宋" w:cs="仿宋"/>
          <w:sz w:val="24"/>
          <w:szCs w:val="24"/>
          <w:u w:val="single"/>
          <w:lang w:val="en-US" w:eastAsia="zh-CN"/>
        </w:rPr>
        <w:t xml:space="preserve">                                 </w:t>
      </w:r>
    </w:p>
    <w:p w14:paraId="65E42065">
      <w:pPr>
        <w:spacing w:line="340" w:lineRule="atLeast"/>
        <w:rPr>
          <w:rFonts w:ascii="仿宋" w:hAnsi="仿宋" w:eastAsia="仿宋" w:cs="仿宋"/>
          <w:sz w:val="24"/>
          <w:szCs w:val="24"/>
        </w:rPr>
      </w:pPr>
      <w:r>
        <w:rPr>
          <w:rFonts w:hint="eastAsia" w:ascii="仿宋" w:hAnsi="仿宋" w:eastAsia="仿宋" w:cs="仿宋"/>
          <w:sz w:val="24"/>
          <w:szCs w:val="24"/>
        </w:rPr>
        <w:t>工程项目地址：</w:t>
      </w:r>
      <w:r>
        <w:rPr>
          <w:rFonts w:hint="eastAsia" w:ascii="仿宋" w:hAnsi="仿宋" w:eastAsia="仿宋" w:cs="仿宋"/>
          <w:sz w:val="24"/>
          <w:szCs w:val="24"/>
          <w:u w:val="single"/>
        </w:rPr>
        <w:t xml:space="preserve">  杭州市上城区</w:t>
      </w:r>
    </w:p>
    <w:p w14:paraId="48ED8547">
      <w:pPr>
        <w:spacing w:line="340" w:lineRule="atLeast"/>
        <w:rPr>
          <w:rFonts w:hint="eastAsia" w:ascii="仿宋" w:hAnsi="仿宋" w:eastAsia="仿宋" w:cs="仿宋"/>
          <w:sz w:val="24"/>
          <w:szCs w:val="24"/>
          <w:u w:val="single"/>
          <w:lang w:val="en-US" w:eastAsia="zh-CN"/>
        </w:rPr>
      </w:pPr>
      <w:r>
        <w:rPr>
          <w:rFonts w:hint="eastAsia" w:ascii="仿宋" w:hAnsi="仿宋" w:eastAsia="仿宋" w:cs="仿宋"/>
          <w:sz w:val="24"/>
          <w:szCs w:val="24"/>
        </w:rPr>
        <w:t>甲方（建设单位）：</w:t>
      </w:r>
      <w:r>
        <w:rPr>
          <w:rFonts w:hint="eastAsia" w:ascii="仿宋" w:hAnsi="仿宋" w:eastAsia="仿宋" w:cs="仿宋"/>
          <w:sz w:val="24"/>
          <w:szCs w:val="24"/>
          <w:u w:val="single"/>
          <w:lang w:val="en-US" w:eastAsia="zh-CN"/>
        </w:rPr>
        <w:t xml:space="preserve">                                         </w:t>
      </w:r>
    </w:p>
    <w:p w14:paraId="4994D45C">
      <w:pPr>
        <w:spacing w:line="340" w:lineRule="atLeast"/>
        <w:rPr>
          <w:rFonts w:hint="default" w:ascii="仿宋" w:hAnsi="仿宋" w:eastAsia="仿宋" w:cs="仿宋"/>
          <w:sz w:val="24"/>
          <w:szCs w:val="24"/>
          <w:lang w:val="en-US" w:eastAsia="zh-CN"/>
        </w:rPr>
      </w:pPr>
      <w:r>
        <w:rPr>
          <w:rFonts w:hint="eastAsia" w:ascii="仿宋" w:hAnsi="仿宋" w:eastAsia="仿宋" w:cs="仿宋"/>
          <w:sz w:val="24"/>
          <w:szCs w:val="24"/>
        </w:rPr>
        <w:t>乙方（施工单位）：</w:t>
      </w:r>
      <w:r>
        <w:rPr>
          <w:rFonts w:hint="eastAsia" w:ascii="仿宋" w:hAnsi="仿宋" w:eastAsia="仿宋" w:cs="仿宋"/>
          <w:sz w:val="24"/>
          <w:szCs w:val="24"/>
          <w:u w:val="single"/>
          <w:lang w:val="en-US" w:eastAsia="zh-CN"/>
        </w:rPr>
        <w:t xml:space="preserve">                                         </w:t>
      </w:r>
    </w:p>
    <w:p w14:paraId="0AC7AB69">
      <w:pPr>
        <w:spacing w:line="340" w:lineRule="atLeast"/>
        <w:rPr>
          <w:rFonts w:ascii="仿宋" w:hAnsi="仿宋" w:eastAsia="仿宋" w:cs="仿宋"/>
          <w:sz w:val="24"/>
          <w:szCs w:val="24"/>
        </w:rPr>
      </w:pPr>
      <w:r>
        <w:rPr>
          <w:rFonts w:hint="eastAsia" w:ascii="仿宋" w:hAnsi="仿宋" w:eastAsia="仿宋" w:cs="仿宋"/>
          <w:sz w:val="24"/>
          <w:szCs w:val="24"/>
        </w:rPr>
        <w:t xml:space="preserve">    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5653F5AA">
      <w:pPr>
        <w:spacing w:line="340" w:lineRule="atLeast"/>
        <w:rPr>
          <w:rFonts w:ascii="仿宋" w:hAnsi="仿宋" w:eastAsia="仿宋" w:cs="仿宋"/>
          <w:b/>
          <w:bCs/>
          <w:sz w:val="24"/>
          <w:szCs w:val="24"/>
        </w:rPr>
      </w:pPr>
      <w:r>
        <w:rPr>
          <w:rFonts w:hint="eastAsia" w:ascii="仿宋" w:hAnsi="仿宋" w:eastAsia="仿宋" w:cs="仿宋"/>
          <w:b/>
          <w:bCs/>
          <w:sz w:val="24"/>
          <w:szCs w:val="24"/>
        </w:rPr>
        <w:t>第一条 甲、乙双方的</w:t>
      </w:r>
      <w:r>
        <w:rPr>
          <w:rFonts w:hint="eastAsia" w:ascii="仿宋" w:hAnsi="仿宋" w:eastAsia="仿宋" w:cs="仿宋"/>
          <w:b/>
          <w:bCs/>
          <w:sz w:val="24"/>
          <w:szCs w:val="24"/>
          <w:lang w:val="en-US" w:eastAsia="zh-CN"/>
        </w:rPr>
        <w:t>共同</w:t>
      </w:r>
      <w:r>
        <w:rPr>
          <w:rFonts w:hint="eastAsia" w:ascii="仿宋" w:hAnsi="仿宋" w:eastAsia="仿宋" w:cs="仿宋"/>
          <w:b/>
          <w:bCs/>
          <w:sz w:val="24"/>
          <w:szCs w:val="24"/>
        </w:rPr>
        <w:t>责任</w:t>
      </w:r>
    </w:p>
    <w:p w14:paraId="52071937">
      <w:pPr>
        <w:spacing w:line="340" w:lineRule="atLeast"/>
        <w:rPr>
          <w:rFonts w:ascii="仿宋" w:hAnsi="仿宋" w:eastAsia="仿宋" w:cs="仿宋"/>
          <w:sz w:val="24"/>
          <w:szCs w:val="24"/>
        </w:rPr>
      </w:pPr>
      <w:r>
        <w:rPr>
          <w:rFonts w:hint="eastAsia" w:ascii="仿宋" w:hAnsi="仿宋" w:eastAsia="仿宋" w:cs="仿宋"/>
          <w:sz w:val="24"/>
          <w:szCs w:val="24"/>
        </w:rPr>
        <w:t xml:space="preserve">    （一）应严格遵守国家关于市场准入、项目招标投标、工程建设、工程监理和市场活动的有关法律、法规，相关政策，以及廉政建设的各项规定。</w:t>
      </w:r>
    </w:p>
    <w:p w14:paraId="756F3FE2">
      <w:pPr>
        <w:spacing w:line="340" w:lineRule="atLeast"/>
        <w:rPr>
          <w:rFonts w:ascii="仿宋" w:hAnsi="仿宋" w:eastAsia="仿宋" w:cs="仿宋"/>
          <w:sz w:val="24"/>
          <w:szCs w:val="24"/>
        </w:rPr>
      </w:pPr>
      <w:r>
        <w:rPr>
          <w:rFonts w:hint="eastAsia" w:ascii="仿宋" w:hAnsi="仿宋" w:eastAsia="仿宋" w:cs="仿宋"/>
          <w:sz w:val="24"/>
          <w:szCs w:val="24"/>
        </w:rPr>
        <w:t>　　（二）严格执行建设工程项目合同文件，自觉按合同办事。</w:t>
      </w:r>
    </w:p>
    <w:p w14:paraId="4280FC1B">
      <w:pPr>
        <w:spacing w:line="340" w:lineRule="atLeast"/>
        <w:rPr>
          <w:rFonts w:ascii="仿宋" w:hAnsi="仿宋" w:eastAsia="仿宋" w:cs="仿宋"/>
          <w:sz w:val="24"/>
          <w:szCs w:val="24"/>
        </w:rPr>
      </w:pPr>
      <w:r>
        <w:rPr>
          <w:rFonts w:hint="eastAsia" w:ascii="仿宋" w:hAnsi="仿宋" w:eastAsia="仿宋" w:cs="仿宋"/>
          <w:sz w:val="24"/>
          <w:szCs w:val="24"/>
        </w:rPr>
        <w:t xml:space="preserve">    （三）业务活动必须坚持公开、公平、诚信、透明的原则（除法律法规另有规定者外），不得为获取不正当利益，损害国家、集体和对方利益，不得违反工程建设的规章制度。</w:t>
      </w:r>
    </w:p>
    <w:p w14:paraId="623AD510">
      <w:pPr>
        <w:spacing w:line="340" w:lineRule="atLeast"/>
        <w:rPr>
          <w:rFonts w:ascii="仿宋" w:hAnsi="仿宋" w:eastAsia="仿宋" w:cs="仿宋"/>
          <w:sz w:val="24"/>
          <w:szCs w:val="24"/>
        </w:rPr>
      </w:pPr>
      <w:r>
        <w:rPr>
          <w:rFonts w:hint="eastAsia" w:ascii="仿宋" w:hAnsi="仿宋" w:eastAsia="仿宋" w:cs="仿宋"/>
          <w:sz w:val="24"/>
          <w:szCs w:val="24"/>
        </w:rPr>
        <w:t xml:space="preserve">    （四）发现对方在业务活动中有违规、违纪、违法行为的，应及时提醒对方，情节严重的，应向其上级主管部门或纪检监察、司法等有关机关举报。</w:t>
      </w:r>
    </w:p>
    <w:p w14:paraId="269A696B">
      <w:pPr>
        <w:spacing w:line="340" w:lineRule="atLeast"/>
        <w:rPr>
          <w:rFonts w:ascii="仿宋" w:hAnsi="仿宋" w:eastAsia="仿宋" w:cs="仿宋"/>
          <w:b/>
          <w:bCs/>
          <w:sz w:val="24"/>
          <w:szCs w:val="24"/>
        </w:rPr>
      </w:pPr>
      <w:r>
        <w:rPr>
          <w:rFonts w:hint="eastAsia" w:ascii="仿宋" w:hAnsi="仿宋" w:eastAsia="仿宋" w:cs="仿宋"/>
          <w:b/>
          <w:bCs/>
          <w:sz w:val="24"/>
          <w:szCs w:val="24"/>
        </w:rPr>
        <w:t>第二条 甲方的责任</w:t>
      </w:r>
    </w:p>
    <w:p w14:paraId="07AF6A22">
      <w:pPr>
        <w:spacing w:line="340" w:lineRule="atLeast"/>
        <w:rPr>
          <w:rFonts w:ascii="仿宋" w:hAnsi="仿宋" w:eastAsia="仿宋" w:cs="仿宋"/>
          <w:sz w:val="24"/>
          <w:szCs w:val="24"/>
        </w:rPr>
      </w:pPr>
      <w:r>
        <w:rPr>
          <w:rFonts w:hint="eastAsia" w:ascii="仿宋" w:hAnsi="仿宋" w:eastAsia="仿宋" w:cs="仿宋"/>
          <w:sz w:val="24"/>
          <w:szCs w:val="24"/>
        </w:rPr>
        <w:t xml:space="preserve">    甲方的领导和从事该建设工程项目的工作人员在工程建设的事前、事中、事后应遵守以下规定：</w:t>
      </w:r>
    </w:p>
    <w:p w14:paraId="0AA67486">
      <w:pPr>
        <w:spacing w:line="340" w:lineRule="atLeast"/>
        <w:rPr>
          <w:rFonts w:ascii="仿宋" w:hAnsi="仿宋" w:eastAsia="仿宋" w:cs="仿宋"/>
          <w:sz w:val="24"/>
          <w:szCs w:val="24"/>
        </w:rPr>
      </w:pPr>
      <w:r>
        <w:rPr>
          <w:rFonts w:hint="eastAsia" w:ascii="仿宋" w:hAnsi="仿宋" w:eastAsia="仿宋" w:cs="仿宋"/>
          <w:sz w:val="24"/>
          <w:szCs w:val="24"/>
        </w:rPr>
        <w:t xml:space="preserve">    （一）不准向乙方和相关单位索要或接受回扣、礼金、有价证券、贵重物品和好处费、感谢费等。</w:t>
      </w:r>
    </w:p>
    <w:p w14:paraId="7D82616F">
      <w:pPr>
        <w:spacing w:line="340" w:lineRule="atLeast"/>
        <w:rPr>
          <w:rFonts w:ascii="仿宋" w:hAnsi="仿宋" w:eastAsia="仿宋" w:cs="仿宋"/>
          <w:sz w:val="24"/>
          <w:szCs w:val="24"/>
        </w:rPr>
      </w:pPr>
      <w:r>
        <w:rPr>
          <w:rFonts w:hint="eastAsia" w:ascii="仿宋" w:hAnsi="仿宋" w:eastAsia="仿宋" w:cs="仿宋"/>
          <w:sz w:val="24"/>
          <w:szCs w:val="24"/>
        </w:rPr>
        <w:t xml:space="preserve">    （二）不准在乙方和相关单位报销任何应由甲方或个人支付的费用。</w:t>
      </w:r>
    </w:p>
    <w:p w14:paraId="15742D70">
      <w:pPr>
        <w:spacing w:line="340" w:lineRule="atLeast"/>
        <w:rPr>
          <w:rFonts w:ascii="仿宋" w:hAnsi="仿宋" w:eastAsia="仿宋" w:cs="仿宋"/>
          <w:sz w:val="24"/>
          <w:szCs w:val="24"/>
        </w:rPr>
      </w:pPr>
      <w:r>
        <w:rPr>
          <w:rFonts w:hint="eastAsia" w:ascii="仿宋" w:hAnsi="仿宋" w:eastAsia="仿宋" w:cs="仿宋"/>
          <w:sz w:val="24"/>
          <w:szCs w:val="24"/>
        </w:rPr>
        <w:t xml:space="preserve">    （三）不准要求、暗示或接受乙方和相关单位为个人装修住房、婚丧嫁娶、配偶子女的工作安排以及出国（境）、旅游等提供方便。</w:t>
      </w:r>
    </w:p>
    <w:p w14:paraId="4CF009B5">
      <w:pPr>
        <w:spacing w:line="340" w:lineRule="atLeast"/>
        <w:rPr>
          <w:rFonts w:ascii="仿宋" w:hAnsi="仿宋" w:eastAsia="仿宋" w:cs="仿宋"/>
          <w:sz w:val="24"/>
          <w:szCs w:val="24"/>
        </w:rPr>
      </w:pPr>
      <w:r>
        <w:rPr>
          <w:rFonts w:hint="eastAsia" w:ascii="仿宋" w:hAnsi="仿宋" w:eastAsia="仿宋" w:cs="仿宋"/>
          <w:sz w:val="24"/>
          <w:szCs w:val="24"/>
        </w:rPr>
        <w:t xml:space="preserve">    （四）不准参加有可能影响公正执行公务的乙方和相关单位的宴请、健身、娱乐等活动。</w:t>
      </w:r>
    </w:p>
    <w:p w14:paraId="0B1847F5">
      <w:pPr>
        <w:spacing w:line="340" w:lineRule="atLeast"/>
        <w:rPr>
          <w:rFonts w:ascii="仿宋" w:hAnsi="仿宋" w:eastAsia="仿宋" w:cs="仿宋"/>
          <w:sz w:val="24"/>
          <w:szCs w:val="24"/>
        </w:rPr>
      </w:pPr>
      <w:r>
        <w:rPr>
          <w:rFonts w:hint="eastAsia" w:ascii="仿宋" w:hAnsi="仿宋" w:eastAsia="仿宋" w:cs="仿宋"/>
          <w:sz w:val="24"/>
          <w:szCs w:val="24"/>
        </w:rPr>
        <w:t xml:space="preserve">    （五）不准向乙方和相关单位介绍或为配偶、子女、亲属参与同甲方项目工程合同有关的设备、材料、工程分包、监理分包、劳务等经济活动。不得以任何理由向乙方和相关单位推荐分包单位和要求购买与项目工程合同规定以外的材料、设备等。</w:t>
      </w:r>
    </w:p>
    <w:p w14:paraId="3C2414D9">
      <w:pPr>
        <w:spacing w:line="340" w:lineRule="atLeast"/>
        <w:rPr>
          <w:rFonts w:ascii="仿宋" w:hAnsi="仿宋" w:eastAsia="仿宋" w:cs="仿宋"/>
          <w:sz w:val="24"/>
          <w:szCs w:val="24"/>
        </w:rPr>
      </w:pPr>
      <w:r>
        <w:rPr>
          <w:rFonts w:hint="eastAsia" w:ascii="仿宋" w:hAnsi="仿宋" w:eastAsia="仿宋" w:cs="仿宋"/>
          <w:b/>
          <w:bCs/>
          <w:sz w:val="24"/>
          <w:szCs w:val="24"/>
        </w:rPr>
        <w:t>第三条 乙方的责任</w:t>
      </w:r>
    </w:p>
    <w:p w14:paraId="357D91D6">
      <w:pPr>
        <w:spacing w:line="340" w:lineRule="atLeast"/>
        <w:rPr>
          <w:rFonts w:ascii="仿宋" w:hAnsi="仿宋" w:eastAsia="仿宋" w:cs="仿宋"/>
          <w:sz w:val="24"/>
          <w:szCs w:val="24"/>
        </w:rPr>
      </w:pPr>
      <w:r>
        <w:rPr>
          <w:rFonts w:hint="eastAsia" w:ascii="仿宋" w:hAnsi="仿宋" w:eastAsia="仿宋" w:cs="仿宋"/>
          <w:sz w:val="24"/>
          <w:szCs w:val="24"/>
        </w:rPr>
        <w:t xml:space="preserve">    应与甲方和相关单位保持正常的业务交往，按照有关法律法规和程序开展业务工作，严格执行工程建设的方针、政策，认真履行职责，并遵守以下规定：</w:t>
      </w:r>
    </w:p>
    <w:p w14:paraId="079CCDF8">
      <w:pPr>
        <w:spacing w:line="340" w:lineRule="atLeast"/>
        <w:rPr>
          <w:rFonts w:ascii="仿宋" w:hAnsi="仿宋" w:eastAsia="仿宋" w:cs="仿宋"/>
          <w:sz w:val="24"/>
          <w:szCs w:val="24"/>
        </w:rPr>
      </w:pPr>
      <w:r>
        <w:rPr>
          <w:rFonts w:hint="eastAsia" w:ascii="仿宋" w:hAnsi="仿宋" w:eastAsia="仿宋" w:cs="仿宋"/>
          <w:sz w:val="24"/>
          <w:szCs w:val="24"/>
        </w:rPr>
        <w:t xml:space="preserve">    （一）不准以任何理由向甲方和相关单位及其工作人员索要、接收或赠送礼金、有价证券、贵重物品及回扣、好处费、感谢费等。</w:t>
      </w:r>
    </w:p>
    <w:p w14:paraId="0AAA0ADA">
      <w:pPr>
        <w:spacing w:line="340" w:lineRule="atLeast"/>
        <w:rPr>
          <w:rFonts w:ascii="仿宋" w:hAnsi="仿宋" w:eastAsia="仿宋" w:cs="仿宋"/>
          <w:sz w:val="24"/>
          <w:szCs w:val="24"/>
        </w:rPr>
      </w:pPr>
      <w:r>
        <w:rPr>
          <w:rFonts w:hint="eastAsia" w:ascii="仿宋" w:hAnsi="仿宋" w:eastAsia="仿宋" w:cs="仿宋"/>
          <w:sz w:val="24"/>
          <w:szCs w:val="24"/>
        </w:rPr>
        <w:t xml:space="preserve">    （二）不准以任何理由为甲方和相关单位报销应由对方或个人支付的费用。</w:t>
      </w:r>
    </w:p>
    <w:p w14:paraId="47908055">
      <w:pPr>
        <w:spacing w:line="340" w:lineRule="atLeast"/>
        <w:rPr>
          <w:rFonts w:ascii="仿宋" w:hAnsi="仿宋" w:eastAsia="仿宋" w:cs="仿宋"/>
          <w:sz w:val="24"/>
          <w:szCs w:val="24"/>
        </w:rPr>
      </w:pPr>
      <w:r>
        <w:rPr>
          <w:rFonts w:hint="eastAsia" w:ascii="仿宋" w:hAnsi="仿宋" w:eastAsia="仿宋" w:cs="仿宋"/>
          <w:sz w:val="24"/>
          <w:szCs w:val="24"/>
        </w:rPr>
        <w:t xml:space="preserve">    （三）不准接受或暗示为甲方、相关单位或个人装修住房、婚丧嫁娶、配偶子女的工作安排以及出国（境）、旅游等提供方便。</w:t>
      </w:r>
    </w:p>
    <w:p w14:paraId="63E623EE">
      <w:pPr>
        <w:spacing w:line="340" w:lineRule="atLeast"/>
        <w:rPr>
          <w:rFonts w:ascii="仿宋" w:hAnsi="仿宋" w:eastAsia="仿宋" w:cs="仿宋"/>
          <w:sz w:val="24"/>
          <w:szCs w:val="24"/>
        </w:rPr>
      </w:pPr>
      <w:r>
        <w:rPr>
          <w:rFonts w:hint="eastAsia" w:ascii="仿宋" w:hAnsi="仿宋" w:eastAsia="仿宋" w:cs="仿宋"/>
          <w:sz w:val="24"/>
          <w:szCs w:val="24"/>
        </w:rPr>
        <w:t xml:space="preserve">    （四）不准违反合同约定而使用甲方、相关单位提供的通信、交通工具和高档办公用品。</w:t>
      </w:r>
    </w:p>
    <w:p w14:paraId="5F16DCF7">
      <w:pPr>
        <w:spacing w:line="340" w:lineRule="atLeast"/>
        <w:rPr>
          <w:rFonts w:ascii="仿宋" w:hAnsi="仿宋" w:eastAsia="仿宋" w:cs="仿宋"/>
          <w:sz w:val="24"/>
          <w:szCs w:val="24"/>
        </w:rPr>
      </w:pPr>
      <w:r>
        <w:rPr>
          <w:rFonts w:hint="eastAsia" w:ascii="仿宋" w:hAnsi="仿宋" w:eastAsia="仿宋" w:cs="仿宋"/>
          <w:sz w:val="24"/>
          <w:szCs w:val="24"/>
        </w:rPr>
        <w:t xml:space="preserve">    （五）不准以任何理由为甲方、相关单位或个人组织有可能影响公正执行公务的宴请、健身、娱乐等活动。</w:t>
      </w:r>
    </w:p>
    <w:p w14:paraId="099E7B41">
      <w:pPr>
        <w:spacing w:line="340" w:lineRule="atLeast"/>
        <w:rPr>
          <w:rFonts w:ascii="仿宋" w:hAnsi="仿宋" w:eastAsia="仿宋" w:cs="仿宋"/>
          <w:sz w:val="24"/>
          <w:szCs w:val="24"/>
        </w:rPr>
      </w:pPr>
      <w:r>
        <w:rPr>
          <w:rFonts w:hint="eastAsia" w:ascii="仿宋" w:hAnsi="仿宋" w:eastAsia="仿宋" w:cs="仿宋"/>
          <w:b/>
          <w:bCs/>
          <w:sz w:val="24"/>
          <w:szCs w:val="24"/>
        </w:rPr>
        <w:t>第四条 违约责任</w:t>
      </w:r>
    </w:p>
    <w:p w14:paraId="1E259D90">
      <w:pPr>
        <w:spacing w:line="340" w:lineRule="atLeast"/>
        <w:rPr>
          <w:rFonts w:ascii="仿宋" w:hAnsi="仿宋" w:eastAsia="仿宋" w:cs="仿宋"/>
          <w:sz w:val="24"/>
          <w:szCs w:val="24"/>
        </w:rPr>
      </w:pPr>
      <w:r>
        <w:rPr>
          <w:rFonts w:hint="eastAsia" w:ascii="仿宋" w:hAnsi="仿宋" w:eastAsia="仿宋" w:cs="仿宋"/>
          <w:sz w:val="24"/>
          <w:szCs w:val="24"/>
        </w:rPr>
        <w:t xml:space="preserve">    （一）甲方工作人员有违反本责任书第一、二条责任行为的，按照管理权限，依据有关法律法规给予党纪、政纪处分或组织处理；涉嫌犯罪的，移交司法机关追究刑事责任；给乙方单位造成经济损失的，应予以赔偿。</w:t>
      </w:r>
    </w:p>
    <w:p w14:paraId="73960E95">
      <w:pPr>
        <w:spacing w:line="340" w:lineRule="atLeast"/>
        <w:rPr>
          <w:rFonts w:ascii="仿宋" w:hAnsi="仿宋" w:eastAsia="仿宋" w:cs="仿宋"/>
          <w:sz w:val="24"/>
          <w:szCs w:val="24"/>
        </w:rPr>
      </w:pPr>
      <w:r>
        <w:rPr>
          <w:rFonts w:hint="eastAsia" w:ascii="仿宋" w:hAnsi="仿宋" w:eastAsia="仿宋" w:cs="仿宋"/>
          <w:sz w:val="24"/>
          <w:szCs w:val="24"/>
        </w:rPr>
        <w:t xml:space="preserve">    （二）乙方工作人员有违反本责任书第一、三条责任行为的，按照管理权限，依据有关法律法规给予党纪、政纪处分或组织处理；涉嫌犯罪的，移交司法机关追究刑事责任；给甲方单位造成经济损失的，应予以赔偿。</w:t>
      </w:r>
    </w:p>
    <w:p w14:paraId="3B9E612D">
      <w:pPr>
        <w:spacing w:line="340" w:lineRule="atLeast"/>
        <w:rPr>
          <w:rFonts w:hint="eastAsia" w:ascii="仿宋" w:hAnsi="仿宋" w:eastAsia="仿宋" w:cs="仿宋"/>
          <w:b/>
          <w:bCs/>
          <w:sz w:val="24"/>
          <w:szCs w:val="24"/>
        </w:rPr>
      </w:pPr>
      <w:r>
        <w:rPr>
          <w:rFonts w:hint="eastAsia" w:ascii="仿宋" w:hAnsi="仿宋" w:eastAsia="仿宋" w:cs="仿宋"/>
          <w:b/>
          <w:bCs/>
          <w:sz w:val="24"/>
          <w:szCs w:val="24"/>
        </w:rPr>
        <w:t>第五条 本责任书效力</w:t>
      </w:r>
    </w:p>
    <w:p w14:paraId="524186C0">
      <w:pPr>
        <w:spacing w:line="34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本责任书作为工程合同的附件，与工程合同具有同等法律效力。经双方</w:t>
      </w:r>
      <w:r>
        <w:rPr>
          <w:rFonts w:hint="eastAsia" w:ascii="仿宋" w:hAnsi="仿宋" w:eastAsia="仿宋" w:cs="仿宋"/>
          <w:b/>
          <w:bCs/>
          <w:sz w:val="24"/>
          <w:szCs w:val="24"/>
          <w:lang w:val="en-US" w:eastAsia="zh-CN"/>
        </w:rPr>
        <w:t>签字盖章</w:t>
      </w:r>
      <w:r>
        <w:rPr>
          <w:rFonts w:hint="eastAsia" w:ascii="仿宋" w:hAnsi="仿宋" w:eastAsia="仿宋" w:cs="仿宋"/>
          <w:b/>
          <w:bCs/>
          <w:sz w:val="24"/>
          <w:szCs w:val="24"/>
        </w:rPr>
        <w:t>后立即生效。</w:t>
      </w:r>
    </w:p>
    <w:p w14:paraId="291FF30A">
      <w:pPr>
        <w:spacing w:line="340" w:lineRule="atLeast"/>
        <w:rPr>
          <w:rFonts w:hint="eastAsia" w:ascii="仿宋" w:hAnsi="仿宋" w:eastAsia="仿宋" w:cs="仿宋"/>
          <w:b/>
          <w:bCs/>
          <w:sz w:val="24"/>
          <w:szCs w:val="24"/>
        </w:rPr>
      </w:pPr>
      <w:r>
        <w:rPr>
          <w:rFonts w:hint="eastAsia" w:ascii="仿宋" w:hAnsi="仿宋" w:eastAsia="仿宋" w:cs="仿宋"/>
          <w:b/>
          <w:bCs/>
          <w:sz w:val="24"/>
          <w:szCs w:val="24"/>
        </w:rPr>
        <w:t xml:space="preserve">    第六条 责任承担期限</w:t>
      </w:r>
    </w:p>
    <w:p w14:paraId="4846131A">
      <w:pPr>
        <w:spacing w:line="34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本责任书的有效期为双方</w:t>
      </w:r>
      <w:r>
        <w:rPr>
          <w:rFonts w:hint="eastAsia" w:ascii="仿宋" w:hAnsi="仿宋" w:eastAsia="仿宋" w:cs="仿宋"/>
          <w:b/>
          <w:bCs/>
          <w:sz w:val="24"/>
          <w:szCs w:val="24"/>
          <w:lang w:val="en-US" w:eastAsia="zh-CN"/>
        </w:rPr>
        <w:t>签字盖章</w:t>
      </w:r>
      <w:r>
        <w:rPr>
          <w:rFonts w:hint="eastAsia" w:ascii="仿宋" w:hAnsi="仿宋" w:eastAsia="仿宋" w:cs="仿宋"/>
          <w:b/>
          <w:bCs/>
          <w:sz w:val="24"/>
          <w:szCs w:val="24"/>
        </w:rPr>
        <w:t>之日起至该工程项目竣工验收合格时止。</w:t>
      </w:r>
    </w:p>
    <w:p w14:paraId="74E30D7E">
      <w:pPr>
        <w:ind w:firstLine="480" w:firstLineChars="200"/>
        <w:rPr>
          <w:rFonts w:ascii="仿宋" w:hAnsi="仿宋" w:eastAsia="仿宋" w:cs="仿宋"/>
          <w:sz w:val="24"/>
          <w:szCs w:val="24"/>
        </w:rPr>
      </w:pPr>
      <w:r>
        <w:rPr>
          <w:rFonts w:hint="eastAsia" w:ascii="仿宋" w:hAnsi="仿宋" w:eastAsia="仿宋" w:cs="仿宋"/>
          <w:sz w:val="24"/>
          <w:szCs w:val="24"/>
        </w:rPr>
        <w:t>（以下为签字页）</w:t>
      </w:r>
    </w:p>
    <w:p w14:paraId="0DB8F7A7">
      <w:pPr>
        <w:spacing w:line="340" w:lineRule="atLeast"/>
        <w:rPr>
          <w:rFonts w:ascii="仿宋" w:hAnsi="仿宋" w:eastAsia="仿宋" w:cs="仿宋"/>
          <w:sz w:val="24"/>
          <w:szCs w:val="24"/>
        </w:rPr>
      </w:pPr>
    </w:p>
    <w:p w14:paraId="18C8F716">
      <w:pPr>
        <w:spacing w:line="340" w:lineRule="atLeast"/>
        <w:rPr>
          <w:rFonts w:ascii="仿宋" w:hAnsi="仿宋" w:eastAsia="仿宋" w:cs="仿宋"/>
          <w:sz w:val="24"/>
          <w:szCs w:val="24"/>
          <w:highlight w:val="none"/>
        </w:rPr>
      </w:pPr>
    </w:p>
    <w:p w14:paraId="018EF136">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甲方单位：（盖章）</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乙方单位：（盖章）</w:t>
      </w:r>
    </w:p>
    <w:p w14:paraId="25D939A1">
      <w:pPr>
        <w:spacing w:line="340" w:lineRule="atLeast"/>
        <w:rPr>
          <w:rFonts w:ascii="仿宋" w:hAnsi="仿宋" w:eastAsia="仿宋" w:cs="仿宋"/>
          <w:sz w:val="24"/>
          <w:szCs w:val="24"/>
          <w:highlight w:val="none"/>
        </w:rPr>
      </w:pPr>
    </w:p>
    <w:p w14:paraId="1DFAF630">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法定代表人：</w:t>
      </w:r>
    </w:p>
    <w:p w14:paraId="2F395951">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地址：                            地址：</w:t>
      </w:r>
    </w:p>
    <w:p w14:paraId="45C88895">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电话：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rPr>
        <w:tab/>
      </w:r>
    </w:p>
    <w:p w14:paraId="33556F94">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年  月  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年  月  日</w:t>
      </w:r>
    </w:p>
    <w:p w14:paraId="42A914A7">
      <w:pPr>
        <w:spacing w:line="340" w:lineRule="atLeast"/>
        <w:rPr>
          <w:rFonts w:ascii="仿宋" w:hAnsi="仿宋" w:eastAsia="仿宋" w:cs="仿宋"/>
          <w:sz w:val="24"/>
          <w:szCs w:val="24"/>
          <w:highlight w:val="none"/>
        </w:rPr>
      </w:pPr>
    </w:p>
    <w:p w14:paraId="0A3E81CA">
      <w:pPr>
        <w:spacing w:line="340" w:lineRule="atLeast"/>
        <w:rPr>
          <w:rFonts w:ascii="仿宋" w:hAnsi="仿宋" w:eastAsia="仿宋" w:cs="仿宋"/>
          <w:sz w:val="24"/>
          <w:szCs w:val="24"/>
          <w:highlight w:val="none"/>
        </w:rPr>
      </w:pPr>
    </w:p>
    <w:p w14:paraId="5DB45680"/>
    <w:p w14:paraId="0800CA93"/>
    <w:p w14:paraId="2F554716"/>
    <w:p w14:paraId="29754E34"/>
    <w:p w14:paraId="1DD11EF6"/>
    <w:p w14:paraId="68C6FB76"/>
    <w:p w14:paraId="5C9A64D5"/>
    <w:p w14:paraId="539EF07D"/>
    <w:p w14:paraId="4776E07A">
      <w:pPr>
        <w:tabs>
          <w:tab w:val="left" w:pos="1583"/>
        </w:tabs>
        <w:jc w:val="left"/>
        <w:sectPr>
          <w:pgSz w:w="11906" w:h="16838"/>
          <w:pgMar w:top="1418" w:right="1555" w:bottom="1418" w:left="1531" w:header="851" w:footer="992" w:gutter="0"/>
          <w:pgNumType w:fmt="decimal"/>
          <w:cols w:space="720" w:num="1"/>
          <w:titlePg/>
          <w:docGrid w:type="lines" w:linePitch="312" w:charSpace="0"/>
        </w:sectPr>
      </w:pPr>
    </w:p>
    <w:p w14:paraId="3498F5F0">
      <w:pPr>
        <w:spacing w:line="340" w:lineRule="atLeast"/>
        <w:rPr>
          <w:rFonts w:ascii="仿宋" w:hAnsi="仿宋" w:eastAsia="仿宋" w:cs="仿宋"/>
          <w:sz w:val="24"/>
          <w:szCs w:val="24"/>
        </w:rPr>
      </w:pPr>
      <w:r>
        <w:rPr>
          <w:rFonts w:hint="eastAsia" w:ascii="仿宋" w:hAnsi="仿宋" w:eastAsia="仿宋" w:cs="仿宋"/>
          <w:sz w:val="24"/>
          <w:szCs w:val="24"/>
        </w:rPr>
        <w:t>附件7：</w:t>
      </w:r>
    </w:p>
    <w:p w14:paraId="2B9DAB44">
      <w:pPr>
        <w:adjustRightInd w:val="0"/>
        <w:snapToGrid w:val="0"/>
        <w:spacing w:line="340" w:lineRule="atLeast"/>
        <w:jc w:val="left"/>
        <w:rPr>
          <w:rFonts w:ascii="仿宋" w:hAnsi="仿宋" w:eastAsia="仿宋" w:cs="仿宋"/>
          <w:sz w:val="24"/>
          <w:szCs w:val="24"/>
        </w:rPr>
      </w:pPr>
    </w:p>
    <w:p w14:paraId="0EC0524D">
      <w:pPr>
        <w:adjustRightInd w:val="0"/>
        <w:snapToGrid w:val="0"/>
        <w:spacing w:line="340" w:lineRule="atLeast"/>
        <w:jc w:val="center"/>
        <w:rPr>
          <w:rFonts w:ascii="仿宋" w:hAnsi="仿宋" w:eastAsia="仿宋" w:cs="仿宋"/>
          <w:b/>
          <w:kern w:val="0"/>
          <w:sz w:val="36"/>
          <w:szCs w:val="36"/>
        </w:rPr>
      </w:pPr>
      <w:r>
        <w:rPr>
          <w:rFonts w:hint="eastAsia" w:ascii="仿宋" w:hAnsi="仿宋" w:eastAsia="仿宋" w:cs="仿宋"/>
          <w:b/>
          <w:kern w:val="0"/>
          <w:sz w:val="36"/>
          <w:szCs w:val="36"/>
        </w:rPr>
        <w:t xml:space="preserve">市政建设工程质量安全文明施工责任书 </w:t>
      </w:r>
    </w:p>
    <w:p w14:paraId="35A0B337">
      <w:pPr>
        <w:adjustRightInd w:val="0"/>
        <w:snapToGrid w:val="0"/>
        <w:spacing w:line="340" w:lineRule="atLeast"/>
        <w:jc w:val="center"/>
        <w:rPr>
          <w:rFonts w:ascii="仿宋" w:hAnsi="仿宋" w:eastAsia="仿宋" w:cs="仿宋"/>
          <w:kern w:val="0"/>
          <w:sz w:val="24"/>
          <w:szCs w:val="24"/>
        </w:rPr>
      </w:pPr>
    </w:p>
    <w:p w14:paraId="68076B63">
      <w:pPr>
        <w:spacing w:line="340" w:lineRule="atLeast"/>
        <w:rPr>
          <w:rFonts w:ascii="仿宋" w:hAnsi="仿宋" w:eastAsia="仿宋" w:cs="仿宋"/>
          <w:sz w:val="24"/>
          <w:szCs w:val="24"/>
        </w:rPr>
      </w:pPr>
    </w:p>
    <w:p w14:paraId="6C8F5A5F">
      <w:pPr>
        <w:widowControl/>
        <w:jc w:val="left"/>
        <w:rPr>
          <w:rFonts w:hint="eastAsia" w:ascii="仿宋" w:hAnsi="仿宋" w:eastAsia="仿宋" w:cs="仿宋"/>
          <w:sz w:val="24"/>
          <w:szCs w:val="24"/>
          <w:u w:val="single"/>
          <w:lang w:eastAsia="zh-CN"/>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 xml:space="preserve"> </w:t>
      </w:r>
    </w:p>
    <w:p w14:paraId="5DC215D8">
      <w:pPr>
        <w:rPr>
          <w:rFonts w:ascii="仿宋" w:hAnsi="仿宋" w:eastAsia="仿宋" w:cs="仿宋"/>
          <w:sz w:val="24"/>
          <w:szCs w:val="24"/>
        </w:rPr>
      </w:pPr>
    </w:p>
    <w:p w14:paraId="4B204040">
      <w:pPr>
        <w:rPr>
          <w:rFonts w:hint="eastAsia" w:ascii="仿宋" w:hAnsi="仿宋" w:eastAsia="仿宋" w:cs="仿宋"/>
          <w:sz w:val="24"/>
          <w:szCs w:val="24"/>
          <w:lang w:eastAsia="zh-CN"/>
        </w:rPr>
      </w:pPr>
      <w:r>
        <w:rPr>
          <w:rFonts w:hint="eastAsia" w:ascii="仿宋" w:hAnsi="仿宋" w:eastAsia="仿宋" w:cs="仿宋"/>
          <w:sz w:val="24"/>
          <w:szCs w:val="24"/>
        </w:rPr>
        <w:t>建设单位（简称甲方）：</w:t>
      </w:r>
      <w:r>
        <w:rPr>
          <w:rFonts w:hint="eastAsia" w:ascii="仿宋" w:hAnsi="仿宋" w:eastAsia="仿宋" w:cs="仿宋"/>
          <w:bCs/>
          <w:color w:val="000000"/>
          <w:sz w:val="24"/>
          <w:szCs w:val="24"/>
          <w:lang w:val="en-US" w:eastAsia="zh-CN"/>
        </w:rPr>
        <w:t xml:space="preserve"> </w:t>
      </w:r>
    </w:p>
    <w:p w14:paraId="5374AB07">
      <w:pPr>
        <w:rPr>
          <w:rFonts w:ascii="仿宋" w:hAnsi="仿宋" w:eastAsia="仿宋" w:cs="仿宋"/>
          <w:sz w:val="24"/>
          <w:szCs w:val="24"/>
        </w:rPr>
      </w:pPr>
      <w:r>
        <w:rPr>
          <w:rFonts w:hint="eastAsia" w:ascii="仿宋" w:hAnsi="仿宋" w:eastAsia="仿宋" w:cs="仿宋"/>
          <w:sz w:val="24"/>
          <w:szCs w:val="24"/>
        </w:rPr>
        <w:t>法人代表：</w:t>
      </w:r>
    </w:p>
    <w:p w14:paraId="51981FAC">
      <w:pPr>
        <w:rPr>
          <w:rFonts w:ascii="仿宋" w:hAnsi="仿宋" w:eastAsia="仿宋" w:cs="仿宋"/>
          <w:sz w:val="24"/>
          <w:szCs w:val="24"/>
        </w:rPr>
      </w:pPr>
    </w:p>
    <w:p w14:paraId="3D2714ED">
      <w:pPr>
        <w:rPr>
          <w:rFonts w:hint="eastAsia" w:ascii="仿宋" w:hAnsi="仿宋" w:eastAsia="仿宋" w:cs="仿宋"/>
          <w:sz w:val="24"/>
          <w:szCs w:val="24"/>
          <w:lang w:eastAsia="zh-CN"/>
        </w:rPr>
      </w:pPr>
      <w:r>
        <w:rPr>
          <w:rFonts w:hint="eastAsia" w:ascii="仿宋" w:hAnsi="仿宋" w:eastAsia="仿宋" w:cs="仿宋"/>
          <w:sz w:val="24"/>
          <w:szCs w:val="24"/>
        </w:rPr>
        <w:t>施工单位（简称乙方）：</w:t>
      </w:r>
      <w:r>
        <w:rPr>
          <w:rFonts w:hint="eastAsia" w:ascii="仿宋" w:hAnsi="仿宋" w:eastAsia="仿宋" w:cs="仿宋"/>
          <w:sz w:val="24"/>
          <w:szCs w:val="24"/>
          <w:lang w:val="en-US" w:eastAsia="zh-CN"/>
        </w:rPr>
        <w:t xml:space="preserve"> </w:t>
      </w:r>
    </w:p>
    <w:p w14:paraId="2E7D89D0">
      <w:pPr>
        <w:rPr>
          <w:rFonts w:ascii="仿宋" w:hAnsi="仿宋" w:eastAsia="仿宋" w:cs="仿宋"/>
          <w:sz w:val="24"/>
          <w:szCs w:val="24"/>
          <w:highlight w:val="none"/>
        </w:rPr>
      </w:pPr>
    </w:p>
    <w:p w14:paraId="4A0001A7">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14:paraId="70C65652">
      <w:pPr>
        <w:rPr>
          <w:rFonts w:ascii="仿宋" w:hAnsi="仿宋" w:eastAsia="仿宋" w:cs="仿宋"/>
          <w:sz w:val="24"/>
          <w:szCs w:val="24"/>
          <w:highlight w:val="none"/>
        </w:rPr>
      </w:pPr>
    </w:p>
    <w:p w14:paraId="05011B75">
      <w:pPr>
        <w:rPr>
          <w:rFonts w:ascii="仿宋" w:hAnsi="仿宋" w:eastAsia="仿宋" w:cs="仿宋"/>
          <w:sz w:val="24"/>
          <w:szCs w:val="24"/>
          <w:highlight w:val="none"/>
        </w:rPr>
      </w:pPr>
      <w:r>
        <w:rPr>
          <w:rFonts w:hint="eastAsia" w:ascii="仿宋" w:hAnsi="仿宋" w:eastAsia="仿宋" w:cs="仿宋"/>
          <w:sz w:val="24"/>
          <w:szCs w:val="24"/>
          <w:highlight w:val="none"/>
        </w:rPr>
        <w:t>监理单位（简称丙方）：</w:t>
      </w:r>
    </w:p>
    <w:p w14:paraId="5B3FF94F">
      <w:pPr>
        <w:rPr>
          <w:rFonts w:ascii="仿宋" w:hAnsi="仿宋" w:eastAsia="仿宋" w:cs="仿宋"/>
          <w:sz w:val="24"/>
          <w:szCs w:val="24"/>
          <w:highlight w:val="none"/>
        </w:rPr>
      </w:pPr>
    </w:p>
    <w:p w14:paraId="46C7EA27">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14:paraId="66AEF239">
      <w:pPr>
        <w:rPr>
          <w:rFonts w:ascii="仿宋" w:hAnsi="仿宋" w:eastAsia="仿宋" w:cs="仿宋"/>
          <w:sz w:val="24"/>
          <w:szCs w:val="24"/>
          <w:highlight w:val="none"/>
        </w:rPr>
      </w:pPr>
    </w:p>
    <w:p w14:paraId="578D9170">
      <w:pPr>
        <w:rPr>
          <w:rFonts w:ascii="仿宋" w:hAnsi="仿宋" w:eastAsia="仿宋" w:cs="仿宋"/>
          <w:sz w:val="24"/>
          <w:szCs w:val="24"/>
          <w:highlight w:val="none"/>
        </w:rPr>
      </w:pPr>
    </w:p>
    <w:p w14:paraId="75405082">
      <w:pPr>
        <w:rPr>
          <w:rFonts w:ascii="仿宋" w:hAnsi="仿宋" w:eastAsia="仿宋" w:cs="仿宋"/>
          <w:sz w:val="24"/>
          <w:szCs w:val="24"/>
          <w:highlight w:val="none"/>
        </w:rPr>
      </w:pPr>
      <w:r>
        <w:rPr>
          <w:rFonts w:hint="eastAsia" w:ascii="仿宋" w:hAnsi="仿宋" w:eastAsia="仿宋" w:cs="仿宋"/>
          <w:sz w:val="24"/>
          <w:szCs w:val="24"/>
          <w:highlight w:val="none"/>
        </w:rPr>
        <w:t>签订日期：     年   月    日</w:t>
      </w:r>
    </w:p>
    <w:p w14:paraId="5143EA3D">
      <w:pPr>
        <w:rPr>
          <w:rFonts w:ascii="仿宋" w:hAnsi="仿宋" w:eastAsia="仿宋" w:cs="仿宋"/>
          <w:sz w:val="24"/>
          <w:szCs w:val="24"/>
          <w:highlight w:val="none"/>
        </w:rPr>
      </w:pPr>
    </w:p>
    <w:p w14:paraId="7AD39FAA">
      <w:pPr>
        <w:rPr>
          <w:rFonts w:ascii="仿宋" w:hAnsi="仿宋" w:eastAsia="仿宋" w:cs="仿宋"/>
          <w:sz w:val="24"/>
          <w:szCs w:val="24"/>
        </w:rPr>
      </w:pPr>
    </w:p>
    <w:p w14:paraId="58A66060">
      <w:pPr>
        <w:rPr>
          <w:rFonts w:ascii="仿宋" w:hAnsi="仿宋" w:eastAsia="仿宋" w:cs="仿宋"/>
          <w:sz w:val="24"/>
          <w:szCs w:val="24"/>
        </w:rPr>
      </w:pPr>
      <w:r>
        <w:rPr>
          <w:rFonts w:hint="eastAsia" w:ascii="仿宋" w:hAnsi="仿宋" w:eastAsia="仿宋" w:cs="仿宋"/>
          <w:sz w:val="24"/>
          <w:szCs w:val="24"/>
        </w:rPr>
        <w:t xml:space="preserve">    根据《中华人民共和国安全生产法》、《中华人民共和国建筑法》、《建设工程质量管理条例》、《建设工程安全生产管理条例》、《建筑施工安全检查标准》等有关法律法规和强制性标准、承发包双方签订的《建设工程施工合同》等。本责任书作为施工合同的附件，对各方在工程实施过程中质量安全文明施工管理职责和要求进一步明确如下：</w:t>
      </w:r>
    </w:p>
    <w:p w14:paraId="5D65F620">
      <w:pPr>
        <w:rPr>
          <w:rFonts w:ascii="仿宋" w:hAnsi="仿宋" w:eastAsia="仿宋" w:cs="仿宋"/>
          <w:b/>
          <w:bCs/>
          <w:sz w:val="24"/>
          <w:szCs w:val="24"/>
        </w:rPr>
      </w:pPr>
      <w:r>
        <w:rPr>
          <w:rFonts w:hint="eastAsia" w:ascii="仿宋" w:hAnsi="仿宋" w:eastAsia="仿宋" w:cs="仿宋"/>
          <w:b/>
          <w:bCs/>
          <w:sz w:val="24"/>
          <w:szCs w:val="24"/>
        </w:rPr>
        <w:t>一、各方职责</w:t>
      </w:r>
    </w:p>
    <w:p w14:paraId="6BF25F70">
      <w:pPr>
        <w:rPr>
          <w:rFonts w:ascii="仿宋" w:hAnsi="仿宋" w:eastAsia="仿宋" w:cs="仿宋"/>
          <w:b/>
          <w:bCs/>
          <w:sz w:val="24"/>
          <w:szCs w:val="24"/>
        </w:rPr>
      </w:pPr>
      <w:r>
        <w:rPr>
          <w:rFonts w:hint="eastAsia" w:ascii="仿宋" w:hAnsi="仿宋" w:eastAsia="仿宋" w:cs="仿宋"/>
          <w:b/>
          <w:bCs/>
          <w:sz w:val="24"/>
          <w:szCs w:val="24"/>
        </w:rPr>
        <w:t>（一）甲方职责</w:t>
      </w:r>
    </w:p>
    <w:p w14:paraId="455A353D">
      <w:pPr>
        <w:rPr>
          <w:rFonts w:ascii="仿宋" w:hAnsi="仿宋" w:eastAsia="仿宋" w:cs="仿宋"/>
          <w:sz w:val="24"/>
          <w:szCs w:val="24"/>
        </w:rPr>
      </w:pPr>
      <w:r>
        <w:rPr>
          <w:rFonts w:hint="eastAsia" w:ascii="仿宋" w:hAnsi="仿宋" w:eastAsia="仿宋" w:cs="仿宋"/>
          <w:sz w:val="24"/>
          <w:szCs w:val="24"/>
        </w:rPr>
        <w:t xml:space="preserve">    1、按合同要求在开工前提供符合开工条件的施工场地，落实施工所需的水、电等接口。</w:t>
      </w:r>
    </w:p>
    <w:p w14:paraId="1A056F88">
      <w:pPr>
        <w:rPr>
          <w:rFonts w:ascii="仿宋" w:hAnsi="仿宋" w:eastAsia="仿宋" w:cs="仿宋"/>
          <w:sz w:val="24"/>
          <w:szCs w:val="24"/>
        </w:rPr>
      </w:pPr>
      <w:r>
        <w:rPr>
          <w:rFonts w:hint="eastAsia" w:ascii="仿宋" w:hAnsi="仿宋" w:eastAsia="仿宋" w:cs="仿宋"/>
          <w:sz w:val="24"/>
          <w:szCs w:val="24"/>
        </w:rPr>
        <w:t xml:space="preserve">    2、向乙方提供工程地质报告和施工现场及毗邻区域内供水、排水、供电、供气、供热、通信、广播电视等地下管线资料，气象和水文观测资料，相邻建筑物和构筑物、地下工程的有关资料，在现有条件下，尽可能保证资料的真实、准确、完整。同时组织会审乙方制定的管线保护及周边建筑物保护方案，落实相关费用。</w:t>
      </w:r>
    </w:p>
    <w:p w14:paraId="0524E6AB">
      <w:pPr>
        <w:rPr>
          <w:rFonts w:ascii="仿宋" w:hAnsi="仿宋" w:eastAsia="仿宋" w:cs="仿宋"/>
          <w:sz w:val="24"/>
          <w:szCs w:val="24"/>
        </w:rPr>
      </w:pPr>
      <w:r>
        <w:rPr>
          <w:rFonts w:hint="eastAsia" w:ascii="仿宋" w:hAnsi="仿宋" w:eastAsia="仿宋" w:cs="仿宋"/>
          <w:sz w:val="24"/>
          <w:szCs w:val="24"/>
        </w:rPr>
        <w:t xml:space="preserve">    3、实行监理的建设工程，甲方应当委托具有相应资质等级的工程监理单位进行监理。</w:t>
      </w:r>
    </w:p>
    <w:p w14:paraId="3E29B458">
      <w:pPr>
        <w:rPr>
          <w:rFonts w:ascii="仿宋" w:hAnsi="仿宋" w:eastAsia="仿宋" w:cs="仿宋"/>
          <w:sz w:val="24"/>
          <w:szCs w:val="24"/>
        </w:rPr>
      </w:pPr>
      <w:r>
        <w:rPr>
          <w:rFonts w:hint="eastAsia" w:ascii="仿宋" w:hAnsi="仿宋" w:eastAsia="仿宋" w:cs="仿宋"/>
          <w:sz w:val="24"/>
          <w:szCs w:val="24"/>
        </w:rPr>
        <w:t xml:space="preserve">    4、按照施工合同约定，由甲方采购工程材料、构配件和设备的，甲方应当保证建筑材料、建筑构配件和设备符合设计文件和合同要求。不得明示或者暗示乙方使用不合格的建筑材料、建筑构配件和设备。</w:t>
      </w:r>
    </w:p>
    <w:p w14:paraId="06C271D6">
      <w:pPr>
        <w:rPr>
          <w:rFonts w:ascii="仿宋" w:hAnsi="仿宋" w:eastAsia="仿宋" w:cs="仿宋"/>
          <w:sz w:val="24"/>
          <w:szCs w:val="24"/>
        </w:rPr>
      </w:pPr>
      <w:r>
        <w:rPr>
          <w:rFonts w:hint="eastAsia" w:ascii="仿宋" w:hAnsi="仿宋" w:eastAsia="仿宋" w:cs="仿宋"/>
          <w:sz w:val="24"/>
          <w:szCs w:val="24"/>
        </w:rPr>
        <w:t xml:space="preserve">    5、对施工过程中的交通组织、社会治安等外围工作进行协调处理。对同一施工场地内的多家施工单位（分包除外）的管理进行协调。</w:t>
      </w:r>
    </w:p>
    <w:p w14:paraId="642AAF0E">
      <w:pPr>
        <w:rPr>
          <w:rFonts w:ascii="仿宋" w:hAnsi="仿宋" w:eastAsia="仿宋" w:cs="仿宋"/>
          <w:sz w:val="24"/>
          <w:szCs w:val="24"/>
        </w:rPr>
      </w:pPr>
      <w:r>
        <w:rPr>
          <w:rFonts w:hint="eastAsia" w:ascii="仿宋" w:hAnsi="仿宋" w:eastAsia="仿宋" w:cs="仿宋"/>
          <w:sz w:val="24"/>
          <w:szCs w:val="24"/>
        </w:rPr>
        <w:t xml:space="preserve">    6、涉及工程主体和承重结构变动的工程，甲方应当在施工前委托原设计单位或者具有相应资质等级的设计单位提出设计方案；没有设计方案的，不得施工。</w:t>
      </w:r>
    </w:p>
    <w:p w14:paraId="038DC3FD">
      <w:pPr>
        <w:rPr>
          <w:rFonts w:ascii="仿宋" w:hAnsi="仿宋" w:eastAsia="仿宋" w:cs="仿宋"/>
          <w:sz w:val="24"/>
          <w:szCs w:val="24"/>
        </w:rPr>
      </w:pPr>
      <w:r>
        <w:rPr>
          <w:rFonts w:hint="eastAsia" w:ascii="仿宋" w:hAnsi="仿宋" w:eastAsia="仿宋" w:cs="仿宋"/>
          <w:sz w:val="24"/>
          <w:szCs w:val="24"/>
        </w:rPr>
        <w:t xml:space="preserve">    7、对甲方进入施工现场的人员加强安全教育，自觉遵守现场各项安全管理规定，提供必要的劳动保护用品。</w:t>
      </w:r>
    </w:p>
    <w:p w14:paraId="162E3D1B">
      <w:pPr>
        <w:rPr>
          <w:rFonts w:ascii="仿宋" w:hAnsi="仿宋" w:eastAsia="仿宋" w:cs="仿宋"/>
          <w:sz w:val="24"/>
          <w:szCs w:val="24"/>
        </w:rPr>
      </w:pPr>
      <w:r>
        <w:rPr>
          <w:rFonts w:hint="eastAsia" w:ascii="仿宋" w:hAnsi="仿宋" w:eastAsia="仿宋" w:cs="仿宋"/>
          <w:sz w:val="24"/>
          <w:szCs w:val="24"/>
        </w:rPr>
        <w:t xml:space="preserve">    8、督促乙方制订完善质量安全文明施工措施计划、质量安全专项组织设计及其它有关承诺的落实情况，监督检查质量安全文明施工费及质量安全措施费的使用情况。</w:t>
      </w:r>
    </w:p>
    <w:p w14:paraId="7AABA5CD">
      <w:pPr>
        <w:rPr>
          <w:rFonts w:ascii="仿宋" w:hAnsi="仿宋" w:eastAsia="仿宋" w:cs="仿宋"/>
          <w:sz w:val="24"/>
          <w:szCs w:val="24"/>
        </w:rPr>
      </w:pPr>
      <w:r>
        <w:rPr>
          <w:rFonts w:hint="eastAsia" w:ascii="仿宋" w:hAnsi="仿宋" w:eastAsia="仿宋" w:cs="仿宋"/>
          <w:sz w:val="24"/>
          <w:szCs w:val="24"/>
        </w:rPr>
        <w:t xml:space="preserve">    9、根据各级主管部门布置的质量安全文明施工管理要求，进行定期或不定期检查考评或专项整治督查，提出整改意见，出具整改通知书。</w:t>
      </w:r>
    </w:p>
    <w:p w14:paraId="3D746EF0">
      <w:pPr>
        <w:rPr>
          <w:rFonts w:ascii="仿宋" w:hAnsi="仿宋" w:eastAsia="仿宋" w:cs="仿宋"/>
          <w:sz w:val="24"/>
          <w:szCs w:val="24"/>
        </w:rPr>
      </w:pPr>
      <w:r>
        <w:rPr>
          <w:rFonts w:hint="eastAsia" w:ascii="仿宋" w:hAnsi="仿宋" w:eastAsia="仿宋" w:cs="仿宋"/>
          <w:sz w:val="24"/>
          <w:szCs w:val="24"/>
        </w:rPr>
        <w:t xml:space="preserve">    10、收到建设工程竣工报告后，应当及时组织各管理单位以及设计、施工、工程监理等有关单位进行竣工验收。</w:t>
      </w:r>
    </w:p>
    <w:p w14:paraId="625B3F67">
      <w:pPr>
        <w:rPr>
          <w:rFonts w:ascii="仿宋" w:hAnsi="仿宋" w:eastAsia="仿宋" w:cs="仿宋"/>
          <w:sz w:val="24"/>
          <w:szCs w:val="24"/>
        </w:rPr>
      </w:pPr>
      <w:r>
        <w:rPr>
          <w:rFonts w:hint="eastAsia" w:ascii="仿宋" w:hAnsi="仿宋" w:eastAsia="仿宋" w:cs="仿宋"/>
          <w:sz w:val="24"/>
          <w:szCs w:val="24"/>
        </w:rPr>
        <w:t xml:space="preserve">    11、严格按照国家有关档案管理的规定，及时收集、整理建设项目各环节的文件资料，建立、健全建设项目档案，并在建设工程竣工验收后，及时向建设行政主管部门或者其他有关部门移交建设项目档案。</w:t>
      </w:r>
    </w:p>
    <w:p w14:paraId="29E45F52">
      <w:pPr>
        <w:rPr>
          <w:rFonts w:ascii="仿宋" w:hAnsi="仿宋" w:eastAsia="仿宋" w:cs="仿宋"/>
          <w:sz w:val="24"/>
          <w:szCs w:val="24"/>
        </w:rPr>
      </w:pPr>
      <w:r>
        <w:rPr>
          <w:rFonts w:hint="eastAsia" w:ascii="仿宋" w:hAnsi="仿宋" w:eastAsia="仿宋" w:cs="仿宋"/>
          <w:sz w:val="24"/>
          <w:szCs w:val="24"/>
        </w:rPr>
        <w:t xml:space="preserve">    12、督促乙方落实交通安全管理责任、制度，将工程交通安全管理纳入建设工程安全监管之中。检查乙方对工程车辆的交通安全监管及驾驶员的安全教育情况。</w:t>
      </w:r>
    </w:p>
    <w:p w14:paraId="5E9E4F19">
      <w:pPr>
        <w:rPr>
          <w:rFonts w:ascii="仿宋" w:hAnsi="仿宋" w:eastAsia="仿宋" w:cs="仿宋"/>
          <w:b/>
          <w:bCs/>
          <w:sz w:val="24"/>
          <w:szCs w:val="24"/>
        </w:rPr>
      </w:pPr>
      <w:r>
        <w:rPr>
          <w:rFonts w:hint="eastAsia" w:ascii="仿宋" w:hAnsi="仿宋" w:eastAsia="仿宋" w:cs="仿宋"/>
          <w:b/>
          <w:bCs/>
          <w:sz w:val="24"/>
          <w:szCs w:val="24"/>
        </w:rPr>
        <w:t>（二）乙方职责</w:t>
      </w:r>
    </w:p>
    <w:p w14:paraId="2CA1313F">
      <w:pPr>
        <w:rPr>
          <w:rFonts w:ascii="仿宋" w:hAnsi="仿宋" w:eastAsia="仿宋" w:cs="仿宋"/>
          <w:sz w:val="24"/>
          <w:szCs w:val="24"/>
        </w:rPr>
      </w:pPr>
      <w:r>
        <w:rPr>
          <w:rFonts w:hint="eastAsia" w:ascii="仿宋" w:hAnsi="仿宋" w:eastAsia="仿宋" w:cs="仿宋"/>
          <w:sz w:val="24"/>
          <w:szCs w:val="24"/>
        </w:rPr>
        <w:t xml:space="preserve">    1、严格遵守有关工程质量、安全生产、文明施工的法律、法规的规定，建立健全质量安全生产责任制确定安全与技术负责人和施工管理负责人，制定各项质量安全生产规章制度和操作规程，保证本项目质量安全文明施工费用的专款专用。</w:t>
      </w:r>
    </w:p>
    <w:p w14:paraId="791A789A">
      <w:pPr>
        <w:rPr>
          <w:rFonts w:ascii="仿宋" w:hAnsi="仿宋" w:eastAsia="仿宋" w:cs="仿宋"/>
          <w:sz w:val="24"/>
          <w:szCs w:val="24"/>
        </w:rPr>
      </w:pPr>
      <w:r>
        <w:rPr>
          <w:rFonts w:hint="eastAsia" w:ascii="仿宋" w:hAnsi="仿宋" w:eastAsia="仿宋" w:cs="仿宋"/>
          <w:sz w:val="24"/>
          <w:szCs w:val="24"/>
        </w:rPr>
        <w:t xml:space="preserve">    2、在施工组织设计中编制安全技术措施和施工现场临时用电方案，对达到一定规模的基坑支护与降水工程、土方开挖工程、模板工程、起重吊装工程、脚手架工程、拆除与爆破工程等危险性较大的分部分项工程，编制专项施工方案，经监理单位和总监签字审定后，报甲方备案。</w:t>
      </w:r>
    </w:p>
    <w:p w14:paraId="18CDCF61">
      <w:pPr>
        <w:rPr>
          <w:rFonts w:ascii="仿宋" w:hAnsi="仿宋" w:eastAsia="仿宋" w:cs="仿宋"/>
          <w:sz w:val="24"/>
          <w:szCs w:val="24"/>
        </w:rPr>
      </w:pPr>
      <w:r>
        <w:rPr>
          <w:rFonts w:hint="eastAsia" w:ascii="仿宋" w:hAnsi="仿宋" w:eastAsia="仿宋" w:cs="仿宋"/>
          <w:sz w:val="24"/>
          <w:szCs w:val="24"/>
        </w:rPr>
        <w:t xml:space="preserve">    3、严格按照工程设计图纸和施工技术标准施工，不得擅自修改工程设计，不得偷工减料。</w:t>
      </w:r>
    </w:p>
    <w:p w14:paraId="0D88CA50">
      <w:pPr>
        <w:rPr>
          <w:rFonts w:ascii="仿宋" w:hAnsi="仿宋" w:eastAsia="仿宋" w:cs="仿宋"/>
          <w:sz w:val="24"/>
          <w:szCs w:val="24"/>
        </w:rPr>
      </w:pPr>
      <w:r>
        <w:rPr>
          <w:rFonts w:hint="eastAsia" w:ascii="仿宋" w:hAnsi="仿宋" w:eastAsia="仿宋" w:cs="仿宋"/>
          <w:sz w:val="24"/>
          <w:szCs w:val="24"/>
        </w:rPr>
        <w:t xml:space="preserve">    4、组织各级质量控制要点和安全技术交底，开展经常性的自查自纠，切实加强质量管理和安全生产工作。</w:t>
      </w:r>
    </w:p>
    <w:p w14:paraId="18FB352B">
      <w:pPr>
        <w:rPr>
          <w:rFonts w:ascii="仿宋" w:hAnsi="仿宋" w:eastAsia="仿宋" w:cs="仿宋"/>
          <w:sz w:val="24"/>
          <w:szCs w:val="24"/>
        </w:rPr>
      </w:pPr>
      <w:r>
        <w:rPr>
          <w:rFonts w:hint="eastAsia" w:ascii="仿宋" w:hAnsi="仿宋" w:eastAsia="仿宋" w:cs="仿宋"/>
          <w:sz w:val="24"/>
          <w:szCs w:val="24"/>
        </w:rPr>
        <w:t xml:space="preserve">    5、按照工程设计要求、施工技术标准和合同约定，对工程材料、构配件、设备和商品混凝土进行检验，检验应当有书面记录和专人签字；未经检验或者检验不合格的，不得使用。</w:t>
      </w:r>
    </w:p>
    <w:p w14:paraId="1917CAE2">
      <w:pPr>
        <w:rPr>
          <w:rFonts w:ascii="仿宋" w:hAnsi="仿宋" w:eastAsia="仿宋" w:cs="仿宋"/>
          <w:sz w:val="24"/>
          <w:szCs w:val="24"/>
        </w:rPr>
      </w:pPr>
      <w:r>
        <w:rPr>
          <w:rFonts w:hint="eastAsia" w:ascii="仿宋" w:hAnsi="仿宋" w:eastAsia="仿宋" w:cs="仿宋"/>
          <w:sz w:val="24"/>
          <w:szCs w:val="24"/>
        </w:rPr>
        <w:t xml:space="preserve">    6、建立、健全施工质量的检验制度，严格工序管理，作好隐蔽工程的质量检查和记录。隐蔽工程在隐蔽前，乙方应当通知甲方和建设工程质量监督机构。</w:t>
      </w:r>
    </w:p>
    <w:p w14:paraId="743821BC">
      <w:pPr>
        <w:rPr>
          <w:rFonts w:ascii="仿宋" w:hAnsi="仿宋" w:eastAsia="仿宋" w:cs="仿宋"/>
          <w:sz w:val="24"/>
          <w:szCs w:val="24"/>
        </w:rPr>
      </w:pPr>
      <w:r>
        <w:rPr>
          <w:rFonts w:hint="eastAsia" w:ascii="仿宋" w:hAnsi="仿宋" w:eastAsia="仿宋" w:cs="仿宋"/>
          <w:sz w:val="24"/>
          <w:szCs w:val="24"/>
        </w:rPr>
        <w:t xml:space="preserve">    7、对涉及结构安全的试块、试件以及有关材料，应当在甲方或者工程监理单位监督下现场取样，并送具有相应资质等级的质量检测单位进行检测。</w:t>
      </w:r>
    </w:p>
    <w:p w14:paraId="112BDB56">
      <w:pPr>
        <w:rPr>
          <w:rFonts w:ascii="仿宋" w:hAnsi="仿宋" w:eastAsia="仿宋" w:cs="仿宋"/>
          <w:sz w:val="24"/>
          <w:szCs w:val="24"/>
        </w:rPr>
      </w:pPr>
      <w:r>
        <w:rPr>
          <w:rFonts w:hint="eastAsia" w:ascii="仿宋" w:hAnsi="仿宋" w:eastAsia="仿宋" w:cs="仿宋"/>
          <w:sz w:val="24"/>
          <w:szCs w:val="24"/>
        </w:rPr>
        <w:t xml:space="preserve">    8、建立、健全质量安全生产教育培训制度，特种作业人员必须按照国家有关规定经过专门的安全作业培训，取得操作资格证后，方可上岗作业，并按期复检。</w:t>
      </w:r>
    </w:p>
    <w:p w14:paraId="67B0A4C3">
      <w:pPr>
        <w:rPr>
          <w:rFonts w:ascii="仿宋" w:hAnsi="仿宋" w:eastAsia="仿宋" w:cs="仿宋"/>
          <w:sz w:val="24"/>
          <w:szCs w:val="24"/>
        </w:rPr>
      </w:pPr>
      <w:r>
        <w:rPr>
          <w:rFonts w:hint="eastAsia" w:ascii="仿宋" w:hAnsi="仿宋" w:eastAsia="仿宋" w:cs="仿宋"/>
          <w:sz w:val="24"/>
          <w:szCs w:val="24"/>
        </w:rPr>
        <w:t xml:space="preserve">    9、严格执行建设部发布的《工程建设重大事故报告和调查程序规定》，一旦出现事故应按照规定，及时向建设行政主管部门及甲方报告，对发生重大质量安全事故或重大治安案件报告的及时性负责，并对由于发生瞒报、迟报而产生的后果承担全部责任。</w:t>
      </w:r>
    </w:p>
    <w:p w14:paraId="58484C12">
      <w:pPr>
        <w:rPr>
          <w:rFonts w:ascii="仿宋" w:hAnsi="仿宋" w:eastAsia="仿宋" w:cs="仿宋"/>
          <w:sz w:val="24"/>
          <w:szCs w:val="24"/>
        </w:rPr>
      </w:pPr>
      <w:r>
        <w:rPr>
          <w:rFonts w:hint="eastAsia" w:ascii="仿宋" w:hAnsi="仿宋" w:eastAsia="仿宋" w:cs="仿宋"/>
          <w:sz w:val="24"/>
          <w:szCs w:val="24"/>
        </w:rPr>
        <w:t xml:space="preserve">    10、接受各行业主管部门开展的质量安全文明施工监督检查；接受甲方的检查考评，及时落实整改，并限期向甲方消项；接受监理方现场管理与监督，对发现的违规施工和存在的质量安全事故隐患，应当及时整改。</w:t>
      </w:r>
    </w:p>
    <w:p w14:paraId="5B2FA986">
      <w:pPr>
        <w:rPr>
          <w:rFonts w:ascii="仿宋" w:hAnsi="仿宋" w:eastAsia="仿宋" w:cs="仿宋"/>
          <w:sz w:val="24"/>
          <w:szCs w:val="24"/>
        </w:rPr>
      </w:pPr>
      <w:r>
        <w:rPr>
          <w:rFonts w:hint="eastAsia" w:ascii="仿宋" w:hAnsi="仿宋" w:eastAsia="仿宋" w:cs="仿宋"/>
          <w:sz w:val="24"/>
          <w:szCs w:val="24"/>
        </w:rPr>
        <w:t xml:space="preserve">    11、对施工中出现质量问题的建设工程或者竣工验收不合格的建设工程，应当负责返修。工程竣工后，在未验收交接前须加强成品质量和安全管理，确保设施完好，防止事故发生。</w:t>
      </w:r>
    </w:p>
    <w:p w14:paraId="275C9F6D">
      <w:pPr>
        <w:rPr>
          <w:rFonts w:ascii="仿宋" w:hAnsi="仿宋" w:eastAsia="仿宋" w:cs="仿宋"/>
          <w:sz w:val="24"/>
          <w:szCs w:val="24"/>
        </w:rPr>
      </w:pPr>
      <w:r>
        <w:rPr>
          <w:rFonts w:hint="eastAsia" w:ascii="仿宋" w:hAnsi="仿宋" w:eastAsia="仿宋" w:cs="仿宋"/>
          <w:sz w:val="24"/>
          <w:szCs w:val="24"/>
        </w:rPr>
        <w:t xml:space="preserve">    12、施工前积极主动进行现场管线调查，组织安全生产文明施工技术交底，开展经常性的自查自纠，切实加强安全生产文明施工工作。</w:t>
      </w:r>
    </w:p>
    <w:p w14:paraId="2C8D6790">
      <w:pPr>
        <w:rPr>
          <w:rFonts w:ascii="仿宋" w:hAnsi="仿宋" w:eastAsia="仿宋" w:cs="仿宋"/>
          <w:b/>
          <w:bCs/>
          <w:sz w:val="24"/>
          <w:szCs w:val="24"/>
        </w:rPr>
      </w:pPr>
      <w:r>
        <w:rPr>
          <w:rFonts w:hint="eastAsia" w:ascii="仿宋" w:hAnsi="仿宋" w:eastAsia="仿宋" w:cs="仿宋"/>
          <w:b/>
          <w:bCs/>
          <w:sz w:val="24"/>
          <w:szCs w:val="24"/>
        </w:rPr>
        <w:t>（三）丙方职责</w:t>
      </w:r>
    </w:p>
    <w:p w14:paraId="7E8B7369">
      <w:pPr>
        <w:rPr>
          <w:rFonts w:ascii="仿宋" w:hAnsi="仿宋" w:eastAsia="仿宋" w:cs="仿宋"/>
          <w:sz w:val="24"/>
          <w:szCs w:val="24"/>
        </w:rPr>
      </w:pPr>
      <w:r>
        <w:rPr>
          <w:rFonts w:hint="eastAsia" w:ascii="仿宋" w:hAnsi="仿宋" w:eastAsia="仿宋" w:cs="仿宋"/>
          <w:sz w:val="24"/>
          <w:szCs w:val="24"/>
        </w:rPr>
        <w:t xml:space="preserve">    1、应当按照法律、法规和工程建设强制性标准实施监理，并对建设工程的质量和安全生产承担监理责任。</w:t>
      </w:r>
    </w:p>
    <w:p w14:paraId="150F25B8">
      <w:pPr>
        <w:rPr>
          <w:rFonts w:ascii="仿宋" w:hAnsi="仿宋" w:eastAsia="仿宋" w:cs="仿宋"/>
          <w:sz w:val="24"/>
          <w:szCs w:val="24"/>
        </w:rPr>
      </w:pPr>
      <w:r>
        <w:rPr>
          <w:rFonts w:hint="eastAsia" w:ascii="仿宋" w:hAnsi="仿宋" w:eastAsia="仿宋" w:cs="仿宋"/>
          <w:sz w:val="24"/>
          <w:szCs w:val="24"/>
        </w:rPr>
        <w:t xml:space="preserve">    2、对工程设计中的技术问题,按照安全和优化的原则,向设计人提出建议;当发现工程设计不符合国家颁布的建设工程质量标准或设计合同约定的质量标准时,应当书面报告甲方。</w:t>
      </w:r>
    </w:p>
    <w:p w14:paraId="403A55C5">
      <w:pPr>
        <w:rPr>
          <w:rFonts w:ascii="仿宋" w:hAnsi="仿宋" w:eastAsia="仿宋" w:cs="仿宋"/>
          <w:sz w:val="24"/>
          <w:szCs w:val="24"/>
        </w:rPr>
      </w:pPr>
      <w:r>
        <w:rPr>
          <w:rFonts w:hint="eastAsia" w:ascii="仿宋" w:hAnsi="仿宋" w:eastAsia="仿宋" w:cs="仿宋"/>
          <w:sz w:val="24"/>
          <w:szCs w:val="24"/>
        </w:rPr>
        <w:t xml:space="preserve">    3、及时编制监理规划和监理细则,并报甲方审核后认真实施。及时认真审核乙方的工程施工组织设计和各种专项技术、安全方案,并报甲方备案后实施。</w:t>
      </w:r>
    </w:p>
    <w:p w14:paraId="2C098E94">
      <w:pPr>
        <w:rPr>
          <w:rFonts w:ascii="仿宋" w:hAnsi="仿宋" w:eastAsia="仿宋" w:cs="仿宋"/>
          <w:sz w:val="24"/>
          <w:szCs w:val="24"/>
        </w:rPr>
      </w:pPr>
      <w:r>
        <w:rPr>
          <w:rFonts w:hint="eastAsia" w:ascii="仿宋" w:hAnsi="仿宋" w:eastAsia="仿宋" w:cs="仿宋"/>
          <w:sz w:val="24"/>
          <w:szCs w:val="24"/>
        </w:rPr>
        <w:t xml:space="preserve">    4、总监主持每周监理例会和按照合同要求主持或参加其它协调会, 监理人员按照规范要求旁站到位,并严格执行见证制度。</w:t>
      </w:r>
    </w:p>
    <w:p w14:paraId="015304A5">
      <w:pPr>
        <w:rPr>
          <w:rFonts w:ascii="仿宋" w:hAnsi="仿宋" w:eastAsia="仿宋" w:cs="仿宋"/>
          <w:sz w:val="24"/>
          <w:szCs w:val="24"/>
        </w:rPr>
      </w:pPr>
      <w:r>
        <w:rPr>
          <w:rFonts w:hint="eastAsia" w:ascii="仿宋" w:hAnsi="仿宋" w:eastAsia="仿宋" w:cs="仿宋"/>
          <w:sz w:val="24"/>
          <w:szCs w:val="24"/>
        </w:rPr>
        <w:t xml:space="preserve">    5、在实施监理过程中，发现存在质量和安全事故隐患的，应当要求乙方整改；情况严重的，应当要求乙方暂时停止施工，并及时报告甲方。乙方拒不整改或者不停止施工的，丙方应当及时向有关主管部门报告。严格执行建设部发布的《工程建设重大事故报告和调查程序规定》，一旦出现事故应按照规定，及时向建设行政主管部门及甲方报告，对发生重大质量安全事故或重大治安案件报告的及时性负责，并对由于丙方原因发生瞒报、迟报而产生的后果承担全部责任。</w:t>
      </w:r>
    </w:p>
    <w:p w14:paraId="1FA265F4">
      <w:pPr>
        <w:rPr>
          <w:rFonts w:ascii="仿宋" w:hAnsi="仿宋" w:eastAsia="仿宋" w:cs="仿宋"/>
          <w:sz w:val="24"/>
          <w:szCs w:val="24"/>
        </w:rPr>
      </w:pPr>
      <w:r>
        <w:rPr>
          <w:rFonts w:hint="eastAsia" w:ascii="仿宋" w:hAnsi="仿宋" w:eastAsia="仿宋" w:cs="仿宋"/>
          <w:sz w:val="24"/>
          <w:szCs w:val="24"/>
        </w:rPr>
        <w:t xml:space="preserve">    6、对甲方发出的有效指令和按照协调会议精神认真执行。按照要求认真审核施工单位的工程变更联系单并及时报甲方审核。</w:t>
      </w:r>
    </w:p>
    <w:p w14:paraId="3B637C79">
      <w:pPr>
        <w:rPr>
          <w:rFonts w:ascii="仿宋" w:hAnsi="仿宋" w:eastAsia="仿宋" w:cs="仿宋"/>
          <w:sz w:val="24"/>
          <w:szCs w:val="24"/>
        </w:rPr>
      </w:pPr>
      <w:r>
        <w:rPr>
          <w:rFonts w:hint="eastAsia" w:ascii="仿宋" w:hAnsi="仿宋" w:eastAsia="仿宋" w:cs="仿宋"/>
          <w:sz w:val="24"/>
          <w:szCs w:val="24"/>
        </w:rPr>
        <w:t xml:space="preserve">    7、对施工单位的本月工程完成情况和工程进度款支付申请进行认真及时的审核,并提出相应意见。及时向甲方提供监理月报和监理费用支付。</w:t>
      </w:r>
    </w:p>
    <w:p w14:paraId="0210BA11">
      <w:pPr>
        <w:rPr>
          <w:rFonts w:ascii="仿宋" w:hAnsi="仿宋" w:eastAsia="仿宋" w:cs="仿宋"/>
          <w:sz w:val="24"/>
          <w:szCs w:val="24"/>
        </w:rPr>
      </w:pPr>
      <w:r>
        <w:rPr>
          <w:rFonts w:hint="eastAsia" w:ascii="仿宋" w:hAnsi="仿宋" w:eastAsia="仿宋" w:cs="仿宋"/>
          <w:sz w:val="24"/>
          <w:szCs w:val="24"/>
        </w:rPr>
        <w:t xml:space="preserve">    8、监理资料按照要求及时整理完成,并督促施工单位及时按照要求整理完成本月施工资料。</w:t>
      </w:r>
    </w:p>
    <w:p w14:paraId="34158174">
      <w:pPr>
        <w:rPr>
          <w:rFonts w:ascii="仿宋" w:hAnsi="仿宋" w:eastAsia="仿宋" w:cs="仿宋"/>
          <w:sz w:val="24"/>
          <w:szCs w:val="24"/>
        </w:rPr>
      </w:pPr>
      <w:r>
        <w:rPr>
          <w:rFonts w:hint="eastAsia" w:ascii="仿宋" w:hAnsi="仿宋" w:eastAsia="仿宋" w:cs="仿宋"/>
          <w:sz w:val="24"/>
          <w:szCs w:val="24"/>
        </w:rPr>
        <w:t xml:space="preserve">    9、接受各行业主管部门开展的质量安全文明施工监督检查；接受甲方的检查考评，及时落实整改，并限期向甲方消项。</w:t>
      </w:r>
    </w:p>
    <w:p w14:paraId="0E4EA083">
      <w:pPr>
        <w:rPr>
          <w:rFonts w:ascii="仿宋" w:hAnsi="仿宋" w:eastAsia="仿宋" w:cs="仿宋"/>
          <w:sz w:val="24"/>
          <w:szCs w:val="24"/>
        </w:rPr>
      </w:pPr>
      <w:r>
        <w:rPr>
          <w:rFonts w:hint="eastAsia" w:ascii="仿宋" w:hAnsi="仿宋" w:eastAsia="仿宋" w:cs="仿宋"/>
          <w:sz w:val="24"/>
          <w:szCs w:val="24"/>
        </w:rPr>
        <w:t xml:space="preserve">    10、对施工中出现质量问题的建设工程或者竣工验收不合格的建设工程，应当督促乙方负责返修。工程竣工后，在未验收交接要督促乙方前加强成品质量和安全管理，确保设施完好，防止事故发生。</w:t>
      </w:r>
    </w:p>
    <w:p w14:paraId="0ACE7836">
      <w:pPr>
        <w:rPr>
          <w:rFonts w:ascii="仿宋" w:hAnsi="仿宋" w:eastAsia="仿宋" w:cs="仿宋"/>
          <w:b/>
          <w:bCs/>
          <w:sz w:val="24"/>
          <w:szCs w:val="24"/>
        </w:rPr>
      </w:pPr>
      <w:r>
        <w:rPr>
          <w:rFonts w:hint="eastAsia" w:ascii="仿宋" w:hAnsi="仿宋" w:eastAsia="仿宋" w:cs="仿宋"/>
          <w:b/>
          <w:bCs/>
          <w:sz w:val="24"/>
          <w:szCs w:val="24"/>
        </w:rPr>
        <w:t>二、关于甲方的检查与评价</w:t>
      </w:r>
    </w:p>
    <w:p w14:paraId="226AEAC8">
      <w:pPr>
        <w:rPr>
          <w:rFonts w:ascii="仿宋" w:hAnsi="仿宋" w:eastAsia="仿宋" w:cs="仿宋"/>
          <w:sz w:val="24"/>
          <w:szCs w:val="24"/>
        </w:rPr>
      </w:pPr>
      <w:r>
        <w:rPr>
          <w:rFonts w:hint="eastAsia" w:ascii="仿宋" w:hAnsi="仿宋" w:eastAsia="仿宋" w:cs="仿宋"/>
          <w:sz w:val="24"/>
          <w:szCs w:val="24"/>
        </w:rPr>
        <w:t xml:space="preserve">    甲方对质量安全文明施工检查考评，采取日常检查和事故双控制，即通过对质量安全文明施工每月现场检查综合评价，以及在施工过程中是否发生工程建设有责质量安全事故，作为对乙方、丙方质量安全文明施工管理的评价依据，分为优良、合格、不合格三个档次。</w:t>
      </w:r>
    </w:p>
    <w:p w14:paraId="5B567777">
      <w:pPr>
        <w:rPr>
          <w:rFonts w:ascii="仿宋" w:hAnsi="仿宋" w:eastAsia="仿宋" w:cs="仿宋"/>
          <w:sz w:val="24"/>
          <w:szCs w:val="24"/>
        </w:rPr>
      </w:pPr>
      <w:r>
        <w:rPr>
          <w:rFonts w:hint="eastAsia" w:ascii="仿宋" w:hAnsi="仿宋" w:eastAsia="仿宋" w:cs="仿宋"/>
          <w:sz w:val="24"/>
          <w:szCs w:val="24"/>
        </w:rPr>
        <w:t xml:space="preserve">    1、优良</w:t>
      </w:r>
    </w:p>
    <w:p w14:paraId="650AF3B0">
      <w:pPr>
        <w:rPr>
          <w:rFonts w:ascii="仿宋" w:hAnsi="仿宋" w:eastAsia="仿宋" w:cs="仿宋"/>
          <w:sz w:val="24"/>
          <w:szCs w:val="24"/>
        </w:rPr>
      </w:pPr>
      <w:r>
        <w:rPr>
          <w:rFonts w:hint="eastAsia" w:ascii="仿宋" w:hAnsi="仿宋" w:eastAsia="仿宋" w:cs="仿宋"/>
          <w:sz w:val="24"/>
          <w:szCs w:val="24"/>
        </w:rPr>
        <w:t xml:space="preserve">    日常管理严格按照质量安全文明施工要求组织施工，建设各方、政府部门及沿线社区（单位）反映良好，施工过程中未发生工程建设有责质量安全事故，且月度考评分数在85分以上（含85分）的。</w:t>
      </w:r>
    </w:p>
    <w:p w14:paraId="6F787860">
      <w:pPr>
        <w:rPr>
          <w:rFonts w:ascii="仿宋" w:hAnsi="仿宋" w:eastAsia="仿宋" w:cs="仿宋"/>
          <w:sz w:val="24"/>
          <w:szCs w:val="24"/>
        </w:rPr>
      </w:pPr>
      <w:r>
        <w:rPr>
          <w:rFonts w:hint="eastAsia" w:ascii="仿宋" w:hAnsi="仿宋" w:eastAsia="仿宋" w:cs="仿宋"/>
          <w:sz w:val="24"/>
          <w:szCs w:val="24"/>
        </w:rPr>
        <w:t xml:space="preserve">    2、合格</w:t>
      </w:r>
    </w:p>
    <w:p w14:paraId="3316D0F2">
      <w:pPr>
        <w:rPr>
          <w:rFonts w:ascii="仿宋" w:hAnsi="仿宋" w:eastAsia="仿宋" w:cs="仿宋"/>
          <w:sz w:val="24"/>
          <w:szCs w:val="24"/>
        </w:rPr>
      </w:pPr>
      <w:r>
        <w:rPr>
          <w:rFonts w:hint="eastAsia" w:ascii="仿宋" w:hAnsi="仿宋" w:eastAsia="仿宋" w:cs="仿宋"/>
          <w:sz w:val="24"/>
          <w:szCs w:val="24"/>
        </w:rPr>
        <w:t xml:space="preserve">    日常管理基本按照质量安全文明施工要求组织施工，施工过程中未发生工程建设有责质量安全事故，且月度考评分数在70分以上（含70分）85分以下的。</w:t>
      </w:r>
    </w:p>
    <w:p w14:paraId="05A07C70">
      <w:pPr>
        <w:rPr>
          <w:rFonts w:ascii="仿宋" w:hAnsi="仿宋" w:eastAsia="仿宋" w:cs="仿宋"/>
          <w:sz w:val="24"/>
          <w:szCs w:val="24"/>
        </w:rPr>
      </w:pPr>
      <w:r>
        <w:rPr>
          <w:rFonts w:hint="eastAsia" w:ascii="仿宋" w:hAnsi="仿宋" w:eastAsia="仿宋" w:cs="仿宋"/>
          <w:sz w:val="24"/>
          <w:szCs w:val="24"/>
        </w:rPr>
        <w:t xml:space="preserve">    3、不合格</w:t>
      </w:r>
    </w:p>
    <w:p w14:paraId="6E9AF104">
      <w:pPr>
        <w:rPr>
          <w:rFonts w:ascii="仿宋" w:hAnsi="仿宋" w:eastAsia="仿宋" w:cs="仿宋"/>
          <w:sz w:val="24"/>
          <w:szCs w:val="24"/>
        </w:rPr>
      </w:pPr>
      <w:r>
        <w:rPr>
          <w:rFonts w:hint="eastAsia" w:ascii="仿宋" w:hAnsi="仿宋" w:eastAsia="仿宋" w:cs="仿宋"/>
          <w:sz w:val="24"/>
          <w:szCs w:val="24"/>
        </w:rPr>
        <w:t xml:space="preserve">    由于乙方责任导致施工过程中发生工程建设有责质量安全事故的；主管部门或质量安全监督部门检查中发现问题较多；被通报批评或新闻曝光、网上曝光，并经查实确为乙方责任的；甲方在日常监督检查中发现问题较多、较严重，整改不及时不到位的；月度考评分数在70分以下的。</w:t>
      </w:r>
    </w:p>
    <w:p w14:paraId="3BCB4FBF">
      <w:pPr>
        <w:rPr>
          <w:rFonts w:ascii="仿宋" w:hAnsi="仿宋" w:eastAsia="仿宋" w:cs="仿宋"/>
          <w:sz w:val="24"/>
          <w:szCs w:val="24"/>
        </w:rPr>
      </w:pPr>
      <w:r>
        <w:rPr>
          <w:rFonts w:hint="eastAsia" w:ascii="仿宋" w:hAnsi="仿宋" w:eastAsia="仿宋" w:cs="仿宋"/>
          <w:sz w:val="24"/>
          <w:szCs w:val="24"/>
        </w:rPr>
        <w:t xml:space="preserve">    甲方每月施工现场进行一次检查考评或不定期抽查，并将每月检查考评结果予以通报。</w:t>
      </w:r>
    </w:p>
    <w:p w14:paraId="65A5E6A6">
      <w:pPr>
        <w:rPr>
          <w:rFonts w:hint="eastAsia" w:ascii="仿宋" w:hAnsi="仿宋" w:eastAsia="仿宋" w:cs="仿宋"/>
          <w:b/>
          <w:bCs/>
          <w:sz w:val="24"/>
          <w:szCs w:val="24"/>
        </w:rPr>
      </w:pPr>
      <w:r>
        <w:rPr>
          <w:rFonts w:hint="eastAsia" w:ascii="仿宋" w:hAnsi="仿宋" w:eastAsia="仿宋" w:cs="仿宋"/>
          <w:b/>
          <w:bCs/>
          <w:sz w:val="24"/>
          <w:szCs w:val="24"/>
        </w:rPr>
        <w:t>三、责任承担期限</w:t>
      </w:r>
    </w:p>
    <w:p w14:paraId="0938D684">
      <w:pPr>
        <w:ind w:firstLine="482" w:firstLineChars="200"/>
        <w:rPr>
          <w:rFonts w:ascii="仿宋" w:hAnsi="仿宋" w:eastAsia="仿宋" w:cs="仿宋"/>
          <w:b/>
          <w:bCs/>
          <w:sz w:val="24"/>
          <w:szCs w:val="24"/>
        </w:rPr>
      </w:pPr>
      <w:r>
        <w:rPr>
          <w:rFonts w:hint="eastAsia" w:ascii="仿宋" w:hAnsi="仿宋" w:eastAsia="仿宋" w:cs="仿宋"/>
          <w:b/>
          <w:bCs/>
          <w:sz w:val="24"/>
          <w:szCs w:val="24"/>
        </w:rPr>
        <w:t>本责任书自项目开工之日至工程通过竣工验收并交付管理单位日止。</w:t>
      </w:r>
    </w:p>
    <w:p w14:paraId="48DC05AB">
      <w:pPr>
        <w:rPr>
          <w:rFonts w:hint="eastAsia" w:ascii="仿宋" w:hAnsi="仿宋" w:eastAsia="仿宋" w:cs="仿宋"/>
          <w:b/>
          <w:bCs/>
          <w:sz w:val="24"/>
          <w:szCs w:val="24"/>
        </w:rPr>
      </w:pPr>
      <w:r>
        <w:rPr>
          <w:rFonts w:hint="eastAsia" w:ascii="仿宋" w:hAnsi="仿宋" w:eastAsia="仿宋" w:cs="仿宋"/>
          <w:b/>
          <w:bCs/>
          <w:sz w:val="24"/>
          <w:szCs w:val="24"/>
        </w:rPr>
        <w:t>四、生效时间</w:t>
      </w:r>
    </w:p>
    <w:p w14:paraId="2074B833">
      <w:pPr>
        <w:ind w:firstLine="482" w:firstLineChars="200"/>
        <w:rPr>
          <w:rFonts w:ascii="仿宋" w:hAnsi="仿宋" w:eastAsia="仿宋" w:cs="仿宋"/>
          <w:b/>
          <w:bCs/>
          <w:sz w:val="24"/>
          <w:szCs w:val="24"/>
        </w:rPr>
      </w:pPr>
      <w:r>
        <w:rPr>
          <w:rFonts w:hint="eastAsia" w:ascii="仿宋" w:hAnsi="仿宋" w:eastAsia="仿宋" w:cs="仿宋"/>
          <w:b/>
          <w:bCs/>
          <w:sz w:val="24"/>
          <w:szCs w:val="24"/>
        </w:rPr>
        <w:t>本责任书经甲、乙、丙三方签字盖章后生效。</w:t>
      </w:r>
    </w:p>
    <w:p w14:paraId="3AD8F517">
      <w:pPr>
        <w:ind w:firstLine="480" w:firstLineChars="200"/>
        <w:rPr>
          <w:rFonts w:ascii="仿宋" w:hAnsi="仿宋" w:eastAsia="仿宋" w:cs="仿宋"/>
          <w:sz w:val="24"/>
          <w:szCs w:val="24"/>
        </w:rPr>
      </w:pPr>
      <w:r>
        <w:rPr>
          <w:rFonts w:hint="eastAsia" w:ascii="仿宋" w:hAnsi="仿宋" w:eastAsia="仿宋" w:cs="仿宋"/>
          <w:sz w:val="24"/>
          <w:szCs w:val="24"/>
        </w:rPr>
        <w:t>（以下为签字页）</w:t>
      </w:r>
    </w:p>
    <w:p w14:paraId="30B2C31A">
      <w:pPr>
        <w:ind w:firstLine="480" w:firstLineChars="200"/>
        <w:rPr>
          <w:rFonts w:ascii="仿宋" w:hAnsi="仿宋" w:eastAsia="仿宋" w:cs="仿宋"/>
          <w:sz w:val="24"/>
          <w:szCs w:val="24"/>
        </w:rPr>
      </w:pPr>
    </w:p>
    <w:p w14:paraId="24F823EC">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甲方单位：（盖章）</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乙方单位：（盖章）</w:t>
      </w:r>
    </w:p>
    <w:p w14:paraId="68C737C7">
      <w:pPr>
        <w:spacing w:line="340" w:lineRule="atLeast"/>
        <w:ind w:firstLine="480" w:firstLineChars="200"/>
        <w:rPr>
          <w:rFonts w:ascii="仿宋" w:hAnsi="仿宋" w:eastAsia="仿宋" w:cs="仿宋"/>
          <w:sz w:val="24"/>
          <w:szCs w:val="24"/>
        </w:rPr>
      </w:pPr>
    </w:p>
    <w:p w14:paraId="4F2A04B7">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法定代表人：</w:t>
      </w:r>
    </w:p>
    <w:p w14:paraId="21CD9930">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地址：                            地址：</w:t>
      </w:r>
    </w:p>
    <w:p w14:paraId="58B802B9">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电话：</w:t>
      </w:r>
      <w:r>
        <w:rPr>
          <w:rFonts w:hint="eastAsia" w:ascii="仿宋" w:hAnsi="仿宋" w:eastAsia="仿宋" w:cs="仿宋"/>
          <w:sz w:val="24"/>
          <w:szCs w:val="24"/>
        </w:rPr>
        <w:tab/>
      </w:r>
    </w:p>
    <w:p w14:paraId="07080C4C">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年  月  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年  月  日</w:t>
      </w:r>
    </w:p>
    <w:p w14:paraId="3CE882E3">
      <w:pPr>
        <w:ind w:firstLine="640" w:firstLineChars="200"/>
        <w:rPr>
          <w:rFonts w:ascii="仿宋" w:hAnsi="仿宋" w:eastAsia="仿宋" w:cs="Times New Roman"/>
          <w:sz w:val="32"/>
          <w:szCs w:val="24"/>
        </w:rPr>
      </w:pPr>
    </w:p>
    <w:p w14:paraId="5A8953D8">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丙方单位：（盖章）</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56A52D55">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14:paraId="4667B9B5">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14:paraId="52C5AE8A">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p>
    <w:p w14:paraId="1A9C5EB7">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年  月  日</w:t>
      </w:r>
      <w:r>
        <w:rPr>
          <w:rFonts w:hint="eastAsia" w:ascii="仿宋" w:hAnsi="仿宋" w:eastAsia="仿宋" w:cs="仿宋"/>
          <w:sz w:val="24"/>
          <w:szCs w:val="24"/>
        </w:rPr>
        <w:tab/>
      </w:r>
    </w:p>
    <w:p w14:paraId="67F8584B">
      <w:pPr>
        <w:spacing w:before="156" w:after="156" w:line="360" w:lineRule="auto"/>
        <w:rPr>
          <w:rFonts w:ascii="仿宋" w:hAnsi="仿宋" w:eastAsia="仿宋" w:cs="仿宋"/>
        </w:rPr>
      </w:pPr>
    </w:p>
    <w:p w14:paraId="6B361DCA">
      <w:pPr>
        <w:ind w:firstLine="640" w:firstLineChars="200"/>
        <w:rPr>
          <w:rFonts w:ascii="仿宋" w:hAnsi="仿宋" w:eastAsia="仿宋" w:cs="Times New Roman"/>
          <w:sz w:val="32"/>
          <w:szCs w:val="24"/>
        </w:rPr>
      </w:pPr>
    </w:p>
    <w:p w14:paraId="1C566B1C">
      <w:pPr>
        <w:ind w:firstLine="640" w:firstLineChars="200"/>
        <w:rPr>
          <w:rFonts w:ascii="仿宋" w:hAnsi="仿宋" w:eastAsia="仿宋" w:cs="Times New Roman"/>
          <w:sz w:val="32"/>
          <w:szCs w:val="24"/>
        </w:rPr>
      </w:pPr>
    </w:p>
    <w:p w14:paraId="4426DE25">
      <w:pPr>
        <w:ind w:firstLine="640" w:firstLineChars="200"/>
        <w:rPr>
          <w:rFonts w:ascii="仿宋" w:hAnsi="仿宋" w:eastAsia="仿宋" w:cs="Times New Roman"/>
          <w:sz w:val="32"/>
          <w:szCs w:val="24"/>
        </w:rPr>
      </w:pPr>
    </w:p>
    <w:p w14:paraId="3E41F29D">
      <w:pPr>
        <w:ind w:firstLine="640" w:firstLineChars="200"/>
        <w:rPr>
          <w:rFonts w:ascii="仿宋" w:hAnsi="仿宋" w:eastAsia="仿宋" w:cs="Times New Roman"/>
          <w:sz w:val="32"/>
          <w:szCs w:val="24"/>
        </w:rPr>
      </w:pPr>
    </w:p>
    <w:p w14:paraId="391997DD">
      <w:pPr>
        <w:pStyle w:val="42"/>
      </w:pPr>
    </w:p>
    <w:p w14:paraId="3CFBCAF4"/>
    <w:p w14:paraId="11C7EEB3">
      <w:pPr>
        <w:pStyle w:val="42"/>
      </w:pPr>
    </w:p>
    <w:p w14:paraId="100748D3"/>
    <w:p w14:paraId="1DED8F55">
      <w:pPr>
        <w:pStyle w:val="42"/>
      </w:pPr>
    </w:p>
    <w:p w14:paraId="3AFCEFD6"/>
    <w:p w14:paraId="25FC222D">
      <w:pPr>
        <w:pStyle w:val="42"/>
      </w:pPr>
    </w:p>
    <w:p w14:paraId="21A68149"/>
    <w:p w14:paraId="24C17ACF">
      <w:pPr>
        <w:pStyle w:val="42"/>
      </w:pPr>
    </w:p>
    <w:p w14:paraId="40F62192">
      <w:pPr>
        <w:spacing w:line="340" w:lineRule="atLeast"/>
        <w:rPr>
          <w:rFonts w:ascii="仿宋" w:hAnsi="仿宋" w:eastAsia="仿宋" w:cs="仿宋"/>
          <w:sz w:val="24"/>
          <w:szCs w:val="24"/>
        </w:rPr>
      </w:pPr>
      <w:r>
        <w:rPr>
          <w:rFonts w:hint="eastAsia" w:ascii="仿宋" w:hAnsi="仿宋" w:eastAsia="仿宋" w:cs="仿宋"/>
          <w:sz w:val="24"/>
          <w:szCs w:val="24"/>
        </w:rPr>
        <w:t>附件8：</w:t>
      </w:r>
    </w:p>
    <w:p w14:paraId="30A2593C">
      <w:pPr>
        <w:autoSpaceDE w:val="0"/>
        <w:autoSpaceDN w:val="0"/>
        <w:adjustRightInd w:val="0"/>
        <w:jc w:val="center"/>
        <w:rPr>
          <w:rFonts w:ascii="黑体" w:hAnsi="黑体" w:eastAsia="黑体" w:cs="方正小标宋简体"/>
          <w:kern w:val="0"/>
          <w:sz w:val="44"/>
          <w:szCs w:val="44"/>
          <w:lang w:val="zh-CN"/>
        </w:rPr>
      </w:pPr>
      <w:r>
        <w:rPr>
          <w:rFonts w:hint="eastAsia" w:ascii="黑体" w:hAnsi="黑体" w:eastAsia="黑体" w:cs="方正小标宋简体"/>
          <w:kern w:val="0"/>
          <w:sz w:val="44"/>
          <w:szCs w:val="44"/>
          <w:lang w:val="zh-CN"/>
        </w:rPr>
        <w:t>杭州市新建市政</w:t>
      </w:r>
      <w:r>
        <w:rPr>
          <w:rFonts w:hint="eastAsia" w:ascii="黑体" w:hAnsi="黑体" w:eastAsia="黑体" w:cs="方正小标宋简体"/>
          <w:kern w:val="0"/>
          <w:sz w:val="44"/>
          <w:szCs w:val="44"/>
        </w:rPr>
        <w:t>道路</w:t>
      </w:r>
      <w:r>
        <w:rPr>
          <w:rFonts w:hint="eastAsia" w:ascii="黑体" w:hAnsi="黑体" w:eastAsia="黑体" w:cs="方正小标宋简体"/>
          <w:kern w:val="0"/>
          <w:sz w:val="44"/>
          <w:szCs w:val="44"/>
          <w:lang w:val="zh-CN"/>
        </w:rPr>
        <w:t>工程移交接收检测</w:t>
      </w:r>
    </w:p>
    <w:p w14:paraId="7092B5EF">
      <w:pPr>
        <w:autoSpaceDE w:val="0"/>
        <w:autoSpaceDN w:val="0"/>
        <w:adjustRightInd w:val="0"/>
        <w:jc w:val="center"/>
        <w:rPr>
          <w:rFonts w:ascii="黑体" w:hAnsi="黑体" w:eastAsia="黑体" w:cs="方正小标宋简体"/>
          <w:kern w:val="0"/>
          <w:sz w:val="44"/>
          <w:szCs w:val="44"/>
        </w:rPr>
      </w:pPr>
      <w:r>
        <w:rPr>
          <w:rFonts w:hint="eastAsia" w:ascii="黑体" w:hAnsi="黑体" w:eastAsia="黑体" w:cs="方正小标宋简体"/>
          <w:kern w:val="0"/>
          <w:sz w:val="44"/>
          <w:szCs w:val="44"/>
        </w:rPr>
        <w:t>实施方案</w:t>
      </w:r>
    </w:p>
    <w:p w14:paraId="4D700A52">
      <w:pPr>
        <w:spacing w:line="620" w:lineRule="exact"/>
        <w:ind w:firstLine="480" w:firstLineChars="200"/>
        <w:jc w:val="left"/>
        <w:rPr>
          <w:rFonts w:ascii="仿宋" w:hAnsi="仿宋" w:eastAsia="仿宋" w:cs="仿宋"/>
          <w:kern w:val="0"/>
          <w:sz w:val="24"/>
          <w:szCs w:val="24"/>
          <w:lang w:val="zh-CN"/>
        </w:rPr>
      </w:pPr>
    </w:p>
    <w:p w14:paraId="5B43830F">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为加强市政道路工程建设项目移交接收管理，推进关口前移、管理前置，确保新接收道路工程质量，依据工程建设管理相关规定，进一步完善《杭州市市政工程建设项目移交接管实施细则（试行）》（杭城管委[2012]279号），结合新版《杭州市建设工程质量监督报告》及工作实际，制定本实施意见。</w:t>
      </w:r>
    </w:p>
    <w:p w14:paraId="238C9514">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一、工作目标</w:t>
      </w:r>
    </w:p>
    <w:p w14:paraId="0C778D77">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深入贯彻市政基础设施全生命周期管理理念，通过技术检测手段，切实把好市政道路设施移交接收关，强化建管衔接，避免“带病移交”，提升道路品质，确保道路设施高品质安全运行。</w:t>
      </w:r>
    </w:p>
    <w:p w14:paraId="6415B4C8">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二、适用范围</w:t>
      </w:r>
    </w:p>
    <w:p w14:paraId="73AC08C6">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杭州全市范围内新建、改建、扩建的市政道路设施。</w:t>
      </w:r>
    </w:p>
    <w:p w14:paraId="7D66C0D1">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三、检测依据及判定标准</w:t>
      </w:r>
    </w:p>
    <w:p w14:paraId="21924865">
      <w:pPr>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1.《城镇道路工程施工与质量验收规范》CJJ1；</w:t>
      </w:r>
    </w:p>
    <w:p w14:paraId="7E2B73DA">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2.《公路路基路面现场测试规程》 JTG 3450 </w:t>
      </w:r>
    </w:p>
    <w:p w14:paraId="16B02298">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3.《公路工程质量检验评定标准 第一册 土建工程》JTGF80/1；</w:t>
      </w:r>
    </w:p>
    <w:p w14:paraId="2BCF9815">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4.《公路沥青路面施工技术规范》JTG F40；</w:t>
      </w:r>
    </w:p>
    <w:p w14:paraId="5FF02328">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5.《混凝土路面砖》GB/T 28635；</w:t>
      </w:r>
    </w:p>
    <w:p w14:paraId="2D9DF8AF">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6.《天然饰面石材试验方法》GB/T 9966；</w:t>
      </w:r>
    </w:p>
    <w:p w14:paraId="1F0482B9">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7.《给水排水管道工程施工及验收规范》 GB50268；</w:t>
      </w:r>
    </w:p>
    <w:p w14:paraId="6B14D2F8">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8.《城镇排水管道维护安全技术规程》CJJ6；</w:t>
      </w:r>
    </w:p>
    <w:p w14:paraId="27BE8462">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9.《城镇排水管道检测与评估技术规程》CJJ181；</w:t>
      </w:r>
    </w:p>
    <w:p w14:paraId="11790B33">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10.其他相关标准规范及设计文件。</w:t>
      </w:r>
    </w:p>
    <w:p w14:paraId="3A5CD4B9">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（注：以上标准规范版本以最新版本为准）</w:t>
      </w:r>
    </w:p>
    <w:p w14:paraId="36593029">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推荐采用方法：</w:t>
      </w:r>
    </w:p>
    <w:p w14:paraId="29CDCB61">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T0912  挖坑和钻芯测试路面厚度方法</w:t>
      </w:r>
    </w:p>
    <w:p w14:paraId="0AC34DA7">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T0924  钻芯测试路面压实度方法</w:t>
      </w:r>
    </w:p>
    <w:p w14:paraId="78BFB84C">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T0931  三米直尺测试平整度方法</w:t>
      </w:r>
    </w:p>
    <w:p w14:paraId="1F41F4BB">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T0932  连续式平整度仪测试平整度方法</w:t>
      </w:r>
    </w:p>
    <w:p w14:paraId="4D899CDA">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T0951  贝克曼梁测试路基路面回弹弯沉方法</w:t>
      </w:r>
    </w:p>
    <w:p w14:paraId="289C687B">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四、实施方法</w:t>
      </w:r>
    </w:p>
    <w:p w14:paraId="719B6C8F">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由城管部门(接收部门)负责委托有资质的第三方检测机构，按验收规范要求进行抽样检测。</w:t>
      </w:r>
    </w:p>
    <w:p w14:paraId="49C9D480">
      <w:pPr>
        <w:autoSpaceDE w:val="0"/>
        <w:autoSpaceDN w:val="0"/>
        <w:adjustRightInd w:val="0"/>
        <w:ind w:firstLine="482" w:firstLineChars="200"/>
        <w:rPr>
          <w:rFonts w:ascii="仿宋" w:hAnsi="仿宋" w:eastAsia="仿宋" w:cs="仿宋"/>
          <w:b/>
          <w:kern w:val="0"/>
          <w:sz w:val="24"/>
          <w:szCs w:val="24"/>
          <w:lang w:val="zh-CN"/>
        </w:rPr>
      </w:pPr>
      <w:r>
        <w:rPr>
          <w:rFonts w:hint="eastAsia" w:ascii="仿宋" w:hAnsi="仿宋" w:eastAsia="仿宋" w:cs="仿宋"/>
          <w:b/>
          <w:kern w:val="0"/>
          <w:sz w:val="24"/>
          <w:szCs w:val="24"/>
          <w:lang w:val="zh-CN"/>
        </w:rPr>
        <w:t>（一）检测项目</w:t>
      </w:r>
    </w:p>
    <w:p w14:paraId="2AE3A9D5">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1.车行道（含非机动车道）：主控项目为沥青混合料面层压实度、面层（基层）厚度、弯沉、平整度。</w:t>
      </w:r>
    </w:p>
    <w:p w14:paraId="5DB80446">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2.人行道：主控项目为平整度、沥青混合料铺筑人行道厚度、沥青混合料压实度；一般项目为料石、混凝土预制砌块铺砌人行道强度和料石铺砌人行道外观尺寸。</w:t>
      </w:r>
    </w:p>
    <w:p w14:paraId="16B52A47">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3.排水管道：开展管道CCTV检测、潜望镜检测，为主控项目，必要时对管道材质进行抽检。</w:t>
      </w:r>
    </w:p>
    <w:p w14:paraId="07A19A2F">
      <w:pPr>
        <w:autoSpaceDE w:val="0"/>
        <w:autoSpaceDN w:val="0"/>
        <w:adjustRightInd w:val="0"/>
        <w:ind w:firstLine="482" w:firstLineChars="200"/>
        <w:rPr>
          <w:rFonts w:ascii="仿宋" w:hAnsi="仿宋" w:eastAsia="仿宋" w:cs="仿宋"/>
          <w:b/>
          <w:kern w:val="0"/>
          <w:sz w:val="24"/>
          <w:szCs w:val="24"/>
          <w:lang w:val="zh-CN"/>
        </w:rPr>
      </w:pPr>
      <w:r>
        <w:rPr>
          <w:rFonts w:hint="eastAsia" w:ascii="仿宋" w:hAnsi="仿宋" w:eastAsia="仿宋" w:cs="仿宋"/>
          <w:b/>
          <w:kern w:val="0"/>
          <w:sz w:val="24"/>
          <w:szCs w:val="24"/>
          <w:lang w:val="zh-CN"/>
        </w:rPr>
        <w:t>（二）检测方法</w:t>
      </w:r>
    </w:p>
    <w:p w14:paraId="70690FE3">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新建、改建、扩建的市政道路移交前，由城管部门（接收部门）委托有资质的第三方检测机构现场</w:t>
      </w:r>
      <w:r>
        <w:rPr>
          <w:rFonts w:hint="eastAsia" w:ascii="仿宋" w:hAnsi="仿宋" w:eastAsia="仿宋" w:cs="仿宋"/>
          <w:kern w:val="0"/>
          <w:sz w:val="24"/>
          <w:szCs w:val="24"/>
        </w:rPr>
        <w:t>抽</w:t>
      </w:r>
      <w:r>
        <w:rPr>
          <w:rFonts w:hint="eastAsia" w:ascii="仿宋" w:hAnsi="仿宋" w:eastAsia="仿宋" w:cs="仿宋"/>
          <w:kern w:val="0"/>
          <w:sz w:val="24"/>
          <w:szCs w:val="24"/>
          <w:lang w:val="zh-CN"/>
        </w:rPr>
        <w:t>检，</w:t>
      </w:r>
      <w:r>
        <w:rPr>
          <w:rFonts w:hint="eastAsia" w:ascii="仿宋" w:hAnsi="仿宋" w:eastAsia="仿宋" w:cs="仿宋"/>
          <w:kern w:val="0"/>
          <w:sz w:val="24"/>
          <w:szCs w:val="24"/>
        </w:rPr>
        <w:t>根据抽检报告，</w:t>
      </w:r>
      <w:r>
        <w:rPr>
          <w:rFonts w:hint="eastAsia" w:ascii="仿宋" w:hAnsi="仿宋" w:eastAsia="仿宋" w:cs="仿宋"/>
          <w:kern w:val="0"/>
          <w:sz w:val="24"/>
          <w:szCs w:val="24"/>
          <w:lang w:val="zh-CN"/>
        </w:rPr>
        <w:t>城管部门</w:t>
      </w:r>
      <w:r>
        <w:rPr>
          <w:rFonts w:hint="eastAsia" w:ascii="仿宋" w:hAnsi="仿宋" w:eastAsia="仿宋" w:cs="仿宋"/>
          <w:kern w:val="0"/>
          <w:sz w:val="24"/>
          <w:szCs w:val="24"/>
        </w:rPr>
        <w:t>及时</w:t>
      </w:r>
      <w:r>
        <w:rPr>
          <w:rFonts w:hint="eastAsia" w:ascii="仿宋" w:hAnsi="仿宋" w:eastAsia="仿宋" w:cs="仿宋"/>
          <w:kern w:val="0"/>
          <w:sz w:val="24"/>
          <w:szCs w:val="24"/>
          <w:lang w:val="zh-CN"/>
        </w:rPr>
        <w:t>组织建设等单位，邀请建设主管部门召开移交检测会议。</w:t>
      </w:r>
    </w:p>
    <w:p w14:paraId="7162E0D6">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按照项目每标段、每200米、每半幅为一个检测单元（不满200米按一个单元计，每标段至少一个单元），检测单元进行编号，现场随机抽取10%-20%的单元进行检测，抽检频率详见附件1。检测过程由检测单位采用录像拍照等方式记录留档，检测样品做好存档。</w:t>
      </w:r>
    </w:p>
    <w:p w14:paraId="163C3E17">
      <w:pPr>
        <w:autoSpaceDE w:val="0"/>
        <w:autoSpaceDN w:val="0"/>
        <w:adjustRightInd w:val="0"/>
        <w:ind w:firstLine="482" w:firstLineChars="200"/>
        <w:rPr>
          <w:rFonts w:ascii="仿宋" w:hAnsi="仿宋" w:eastAsia="仿宋" w:cs="仿宋"/>
          <w:b/>
          <w:kern w:val="0"/>
          <w:sz w:val="24"/>
          <w:szCs w:val="24"/>
          <w:lang w:val="zh-CN"/>
        </w:rPr>
      </w:pPr>
      <w:r>
        <w:rPr>
          <w:rFonts w:hint="eastAsia" w:ascii="仿宋" w:hAnsi="仿宋" w:eastAsia="仿宋" w:cs="仿宋"/>
          <w:b/>
          <w:kern w:val="0"/>
          <w:sz w:val="24"/>
          <w:szCs w:val="24"/>
          <w:lang w:val="zh-CN"/>
        </w:rPr>
        <w:t>（三）判定标准（详见附件2）</w:t>
      </w:r>
    </w:p>
    <w:p w14:paraId="6643C154">
      <w:pPr>
        <w:autoSpaceDE w:val="0"/>
        <w:autoSpaceDN w:val="0"/>
        <w:adjustRightInd w:val="0"/>
        <w:ind w:firstLine="482" w:firstLineChars="200"/>
        <w:rPr>
          <w:rFonts w:ascii="仿宋" w:hAnsi="仿宋" w:eastAsia="仿宋" w:cs="仿宋"/>
          <w:b/>
          <w:kern w:val="0"/>
          <w:sz w:val="24"/>
          <w:szCs w:val="24"/>
          <w:lang w:val="zh-CN"/>
        </w:rPr>
      </w:pPr>
      <w:r>
        <w:rPr>
          <w:rFonts w:hint="eastAsia" w:ascii="仿宋" w:hAnsi="仿宋" w:eastAsia="仿宋" w:cs="仿宋"/>
          <w:b/>
          <w:kern w:val="0"/>
          <w:sz w:val="24"/>
          <w:szCs w:val="24"/>
          <w:lang w:val="zh-CN"/>
        </w:rPr>
        <w:t>（四）成果资料</w:t>
      </w:r>
    </w:p>
    <w:p w14:paraId="7D4A28EB">
      <w:pPr>
        <w:numPr>
          <w:ilvl w:val="255"/>
          <w:numId w:val="0"/>
        </w:numPr>
        <w:autoSpaceDE w:val="0"/>
        <w:autoSpaceDN w:val="0"/>
        <w:adjustRightInd w:val="0"/>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1.检测报告：各项检测内容出具书面报告。检测报告应包含：工程概况、检测范围、检测依据、检测设备、检测结论、分项检测报告等（详见附件5）。</w:t>
      </w:r>
    </w:p>
    <w:p w14:paraId="5E824548">
      <w:pPr>
        <w:numPr>
          <w:ilvl w:val="255"/>
          <w:numId w:val="0"/>
        </w:numPr>
        <w:autoSpaceDE w:val="0"/>
        <w:autoSpaceDN w:val="0"/>
        <w:adjustRightInd w:val="0"/>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2.检测资料存档：市、区两级城管部门（接收部门），应做好资料的整理归档工作，存档期限不得少于三年，重要资料应长期保存。</w:t>
      </w:r>
    </w:p>
    <w:p w14:paraId="1ECAFED0">
      <w:pPr>
        <w:autoSpaceDE w:val="0"/>
        <w:autoSpaceDN w:val="0"/>
        <w:adjustRightInd w:val="0"/>
        <w:ind w:firstLine="480" w:firstLineChars="200"/>
        <w:rPr>
          <w:rFonts w:ascii="仿宋" w:hAnsi="仿宋" w:eastAsia="仿宋" w:cs="仿宋"/>
          <w:kern w:val="0"/>
          <w:sz w:val="24"/>
          <w:szCs w:val="24"/>
        </w:rPr>
      </w:pPr>
      <w:r>
        <w:rPr>
          <w:rFonts w:hint="eastAsia" w:ascii="仿宋" w:hAnsi="仿宋" w:eastAsia="仿宋" w:cs="仿宋"/>
          <w:kern w:val="0"/>
          <w:sz w:val="24"/>
          <w:szCs w:val="24"/>
          <w:lang w:val="zh-CN"/>
        </w:rPr>
        <w:t>五、工作要求</w:t>
      </w:r>
    </w:p>
    <w:p w14:paraId="1F9100E5">
      <w:pPr>
        <w:autoSpaceDE w:val="0"/>
        <w:autoSpaceDN w:val="0"/>
        <w:adjustRightInd w:val="0"/>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1.建立机制。</w:t>
      </w:r>
      <w:r>
        <w:rPr>
          <w:rFonts w:hint="eastAsia" w:ascii="仿宋" w:hAnsi="仿宋" w:eastAsia="仿宋" w:cs="仿宋"/>
          <w:kern w:val="0"/>
          <w:sz w:val="24"/>
          <w:szCs w:val="24"/>
        </w:rPr>
        <w:t>各</w:t>
      </w:r>
      <w:r>
        <w:rPr>
          <w:rFonts w:hint="eastAsia" w:ascii="仿宋" w:hAnsi="仿宋" w:eastAsia="仿宋" w:cs="仿宋"/>
          <w:kern w:val="0"/>
          <w:sz w:val="24"/>
          <w:szCs w:val="24"/>
          <w:lang w:val="zh-CN"/>
        </w:rPr>
        <w:t>区城管局</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应结合城区实际，建立并落实市政</w:t>
      </w:r>
      <w:r>
        <w:rPr>
          <w:rFonts w:hint="eastAsia" w:ascii="仿宋" w:hAnsi="仿宋" w:eastAsia="仿宋" w:cs="仿宋"/>
          <w:kern w:val="0"/>
          <w:sz w:val="24"/>
          <w:szCs w:val="24"/>
        </w:rPr>
        <w:t>道路工程</w:t>
      </w:r>
      <w:r>
        <w:rPr>
          <w:rFonts w:hint="eastAsia" w:ascii="仿宋" w:hAnsi="仿宋" w:eastAsia="仿宋" w:cs="仿宋"/>
          <w:kern w:val="0"/>
          <w:sz w:val="24"/>
          <w:szCs w:val="24"/>
          <w:lang w:val="zh-CN"/>
        </w:rPr>
        <w:t>移交接收检测工作机制，一是主动与住建部门对接，了解新建、改建、扩建的市政</w:t>
      </w:r>
      <w:r>
        <w:rPr>
          <w:rFonts w:hint="eastAsia" w:ascii="仿宋" w:hAnsi="仿宋" w:eastAsia="仿宋" w:cs="仿宋"/>
          <w:kern w:val="0"/>
          <w:sz w:val="24"/>
          <w:szCs w:val="24"/>
        </w:rPr>
        <w:t>道路</w:t>
      </w:r>
      <w:r>
        <w:rPr>
          <w:rFonts w:hint="eastAsia" w:ascii="仿宋" w:hAnsi="仿宋" w:eastAsia="仿宋" w:cs="仿宋"/>
          <w:kern w:val="0"/>
          <w:sz w:val="24"/>
          <w:szCs w:val="24"/>
          <w:lang w:val="zh-CN"/>
        </w:rPr>
        <w:t>设施情况；二是委托有资质的第三方开展检测，确保新接收市政道路设施检测工作全覆盖；三是检测合格项目及时办理移交；</w:t>
      </w:r>
      <w:r>
        <w:rPr>
          <w:rFonts w:hint="eastAsia" w:ascii="仿宋" w:hAnsi="仿宋" w:eastAsia="仿宋" w:cs="仿宋"/>
          <w:kern w:val="0"/>
          <w:sz w:val="24"/>
          <w:szCs w:val="24"/>
        </w:rPr>
        <w:t>四是检测工作开展</w:t>
      </w:r>
      <w:r>
        <w:rPr>
          <w:rFonts w:hint="eastAsia" w:ascii="仿宋" w:hAnsi="仿宋" w:eastAsia="仿宋" w:cs="仿宋"/>
          <w:kern w:val="0"/>
          <w:sz w:val="24"/>
          <w:szCs w:val="24"/>
          <w:lang w:val="zh-CN"/>
        </w:rPr>
        <w:t>情况纳入城市管理目标考核。</w:t>
      </w:r>
    </w:p>
    <w:p w14:paraId="1C3075A1">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2.保障经费。</w:t>
      </w:r>
      <w:r>
        <w:rPr>
          <w:rFonts w:hint="eastAsia" w:ascii="仿宋" w:hAnsi="仿宋" w:eastAsia="仿宋" w:cs="仿宋"/>
          <w:kern w:val="0"/>
          <w:sz w:val="24"/>
          <w:szCs w:val="24"/>
        </w:rPr>
        <w:t>项目检测经费由各级相关部门统筹安排。一是</w:t>
      </w:r>
      <w:r>
        <w:rPr>
          <w:rFonts w:hint="eastAsia" w:ascii="仿宋" w:hAnsi="仿宋" w:eastAsia="仿宋" w:cs="仿宋"/>
          <w:kern w:val="0"/>
          <w:sz w:val="24"/>
          <w:szCs w:val="24"/>
          <w:lang w:val="zh-CN"/>
        </w:rPr>
        <w:t>市本级投资建设的道路，检测工作由市政中心负责，经费争取市财政保障；</w:t>
      </w:r>
      <w:r>
        <w:rPr>
          <w:rFonts w:hint="eastAsia" w:ascii="仿宋" w:hAnsi="仿宋" w:eastAsia="仿宋" w:cs="仿宋"/>
          <w:kern w:val="0"/>
          <w:sz w:val="24"/>
          <w:szCs w:val="24"/>
        </w:rPr>
        <w:t>二是其他建成后移交城管部门管养的道路</w:t>
      </w:r>
      <w:r>
        <w:rPr>
          <w:rFonts w:hint="eastAsia" w:ascii="仿宋" w:hAnsi="仿宋" w:eastAsia="仿宋" w:cs="仿宋"/>
          <w:kern w:val="0"/>
          <w:sz w:val="24"/>
          <w:szCs w:val="24"/>
          <w:lang w:val="zh-CN"/>
        </w:rPr>
        <w:t>，检测工作各区城管部门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负责，经费争取区财政保障。</w:t>
      </w:r>
    </w:p>
    <w:p w14:paraId="08069858">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3.问题整改</w:t>
      </w:r>
      <w:r>
        <w:rPr>
          <w:rFonts w:hint="eastAsia" w:ascii="仿宋" w:hAnsi="仿宋" w:eastAsia="仿宋" w:cs="仿宋"/>
          <w:kern w:val="0"/>
          <w:sz w:val="24"/>
          <w:szCs w:val="24"/>
        </w:rPr>
        <w:t>。</w:t>
      </w:r>
      <w:r>
        <w:rPr>
          <w:rFonts w:hint="eastAsia" w:ascii="仿宋" w:hAnsi="仿宋" w:eastAsia="仿宋" w:cs="仿宋"/>
          <w:kern w:val="0"/>
          <w:sz w:val="24"/>
          <w:szCs w:val="24"/>
          <w:lang w:val="zh-CN"/>
        </w:rPr>
        <w:t>市本级投资建设道路检测发现的问题，由市城管局抄送市建委；区级财政投资建设道路检测发现的问题，由各区城管局部门</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抄送属地住建部门，并</w:t>
      </w:r>
      <w:r>
        <w:rPr>
          <w:rFonts w:hint="eastAsia" w:ascii="仿宋" w:hAnsi="仿宋" w:eastAsia="仿宋" w:cs="仿宋"/>
          <w:kern w:val="0"/>
          <w:sz w:val="24"/>
          <w:szCs w:val="24"/>
        </w:rPr>
        <w:t>上报</w:t>
      </w:r>
      <w:r>
        <w:rPr>
          <w:rFonts w:hint="eastAsia" w:ascii="仿宋" w:hAnsi="仿宋" w:eastAsia="仿宋" w:cs="仿宋"/>
          <w:kern w:val="0"/>
          <w:sz w:val="24"/>
          <w:szCs w:val="24"/>
          <w:lang w:val="zh-CN"/>
        </w:rPr>
        <w:t>市城管局。</w:t>
      </w:r>
    </w:p>
    <w:p w14:paraId="3A41F575">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六、结果应用 </w:t>
      </w:r>
    </w:p>
    <w:p w14:paraId="2827835A">
      <w:pPr>
        <w:autoSpaceDE w:val="0"/>
        <w:autoSpaceDN w:val="0"/>
        <w:adjustRightInd w:val="0"/>
        <w:ind w:firstLine="482" w:firstLineChars="200"/>
        <w:rPr>
          <w:rFonts w:ascii="仿宋" w:hAnsi="仿宋" w:eastAsia="仿宋" w:cs="仿宋"/>
          <w:kern w:val="0"/>
          <w:sz w:val="24"/>
          <w:szCs w:val="24"/>
        </w:rPr>
      </w:pPr>
      <w:r>
        <w:rPr>
          <w:rFonts w:hint="eastAsia" w:ascii="仿宋" w:hAnsi="仿宋" w:eastAsia="仿宋" w:cs="仿宋"/>
          <w:b/>
          <w:bCs/>
          <w:kern w:val="0"/>
          <w:sz w:val="24"/>
          <w:szCs w:val="24"/>
          <w:lang w:val="zh-CN"/>
        </w:rPr>
        <w:t>1.作为</w:t>
      </w:r>
      <w:r>
        <w:rPr>
          <w:rFonts w:hint="eastAsia" w:ascii="仿宋" w:hAnsi="仿宋" w:eastAsia="仿宋" w:cs="仿宋"/>
          <w:b/>
          <w:bCs/>
          <w:kern w:val="0"/>
          <w:sz w:val="24"/>
          <w:szCs w:val="24"/>
        </w:rPr>
        <w:t>移交接收依据。</w:t>
      </w:r>
      <w:r>
        <w:rPr>
          <w:rFonts w:hint="eastAsia" w:ascii="仿宋" w:hAnsi="仿宋" w:eastAsia="仿宋" w:cs="仿宋"/>
          <w:kern w:val="0"/>
          <w:sz w:val="24"/>
          <w:szCs w:val="24"/>
        </w:rPr>
        <w:t>移交接收检测</w:t>
      </w:r>
      <w:r>
        <w:rPr>
          <w:rFonts w:hint="eastAsia" w:ascii="仿宋" w:hAnsi="仿宋" w:eastAsia="仿宋" w:cs="仿宋"/>
          <w:kern w:val="0"/>
          <w:sz w:val="24"/>
          <w:szCs w:val="24"/>
          <w:lang w:val="zh-CN"/>
        </w:rPr>
        <w:t>结果</w:t>
      </w:r>
      <w:r>
        <w:rPr>
          <w:rFonts w:hint="eastAsia" w:ascii="仿宋" w:hAnsi="仿宋" w:eastAsia="仿宋" w:cs="仿宋"/>
          <w:kern w:val="0"/>
          <w:sz w:val="24"/>
          <w:szCs w:val="24"/>
        </w:rPr>
        <w:t>未经城管部门认可</w:t>
      </w:r>
      <w:r>
        <w:rPr>
          <w:rFonts w:hint="eastAsia" w:ascii="仿宋" w:hAnsi="仿宋" w:eastAsia="仿宋" w:cs="仿宋"/>
          <w:kern w:val="0"/>
          <w:sz w:val="24"/>
          <w:szCs w:val="24"/>
          <w:lang w:val="zh-CN"/>
        </w:rPr>
        <w:t>的工程不予接收，不合格问题经整改销项，征得城管部门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同意后方可接收。</w:t>
      </w:r>
      <w:r>
        <w:rPr>
          <w:rFonts w:hint="eastAsia" w:ascii="仿宋" w:hAnsi="仿宋" w:eastAsia="仿宋" w:cs="仿宋"/>
          <w:kern w:val="0"/>
          <w:sz w:val="24"/>
          <w:szCs w:val="24"/>
        </w:rPr>
        <w:t>必要时城管部门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rPr>
        <w:t>将组织专家对整改销项完成情况进行论证。</w:t>
      </w:r>
    </w:p>
    <w:p w14:paraId="19A46F0C">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2.组织召开例会通报。</w:t>
      </w:r>
      <w:r>
        <w:rPr>
          <w:rFonts w:hint="eastAsia" w:ascii="仿宋" w:hAnsi="仿宋" w:eastAsia="仿宋" w:cs="仿宋"/>
          <w:bCs/>
          <w:kern w:val="0"/>
          <w:sz w:val="24"/>
          <w:szCs w:val="24"/>
        </w:rPr>
        <w:t>市、区</w:t>
      </w:r>
      <w:r>
        <w:rPr>
          <w:rFonts w:hint="eastAsia" w:ascii="仿宋" w:hAnsi="仿宋" w:eastAsia="仿宋" w:cs="仿宋"/>
          <w:kern w:val="0"/>
          <w:sz w:val="24"/>
          <w:szCs w:val="24"/>
        </w:rPr>
        <w:t>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rPr>
        <w:t>组织召开道路移交接收管理工作例会，邀请建设和财政部门、行业专家参加，</w:t>
      </w:r>
      <w:r>
        <w:rPr>
          <w:rFonts w:hint="eastAsia" w:ascii="仿宋" w:hAnsi="仿宋" w:eastAsia="仿宋" w:cs="仿宋"/>
          <w:kern w:val="0"/>
          <w:sz w:val="24"/>
          <w:szCs w:val="24"/>
          <w:lang w:val="zh-CN"/>
        </w:rPr>
        <w:t>通报市政道路设施移交接收检测和整改工作情况。</w:t>
      </w:r>
    </w:p>
    <w:p w14:paraId="613F5216">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3.</w:t>
      </w:r>
      <w:r>
        <w:rPr>
          <w:rFonts w:hint="eastAsia" w:ascii="仿宋" w:hAnsi="仿宋" w:eastAsia="仿宋" w:cs="仿宋"/>
          <w:b/>
          <w:bCs/>
          <w:kern w:val="0"/>
          <w:sz w:val="24"/>
          <w:szCs w:val="24"/>
          <w:lang w:val="zh-CN"/>
        </w:rPr>
        <w:t>纳入信用管理体系。</w:t>
      </w:r>
      <w:r>
        <w:rPr>
          <w:rFonts w:hint="eastAsia" w:ascii="仿宋" w:hAnsi="仿宋" w:eastAsia="仿宋" w:cs="仿宋"/>
          <w:kern w:val="0"/>
          <w:sz w:val="24"/>
          <w:szCs w:val="24"/>
        </w:rPr>
        <w:t>一是</w:t>
      </w:r>
      <w:r>
        <w:rPr>
          <w:rFonts w:hint="eastAsia" w:ascii="仿宋" w:hAnsi="仿宋" w:eastAsia="仿宋" w:cs="仿宋"/>
          <w:kern w:val="0"/>
          <w:sz w:val="24"/>
          <w:szCs w:val="24"/>
          <w:lang w:val="zh-CN"/>
        </w:rPr>
        <w:t>对涉及道路建设质量问题</w:t>
      </w:r>
      <w:r>
        <w:rPr>
          <w:rFonts w:hint="eastAsia" w:ascii="仿宋" w:hAnsi="仿宋" w:eastAsia="仿宋" w:cs="仿宋"/>
          <w:kern w:val="0"/>
          <w:sz w:val="24"/>
          <w:szCs w:val="24"/>
        </w:rPr>
        <w:t>的建设、施工、监理、检测等责任单位，在后续其他道路设施移交检测中增加抽检频率；</w:t>
      </w:r>
      <w:r>
        <w:rPr>
          <w:rFonts w:hint="eastAsia" w:ascii="仿宋" w:hAnsi="仿宋" w:eastAsia="仿宋" w:cs="仿宋"/>
          <w:kern w:val="0"/>
          <w:sz w:val="24"/>
          <w:szCs w:val="24"/>
          <w:lang w:val="zh-CN"/>
        </w:rPr>
        <w:t>对道路移交接收检测工作积极配合、检测结果较好的相关</w:t>
      </w:r>
      <w:r>
        <w:rPr>
          <w:rFonts w:hint="eastAsia" w:ascii="仿宋" w:hAnsi="仿宋" w:eastAsia="仿宋" w:cs="仿宋"/>
          <w:kern w:val="0"/>
          <w:sz w:val="24"/>
          <w:szCs w:val="24"/>
        </w:rPr>
        <w:t>单位，可减少检测频率或免检。二是将</w:t>
      </w:r>
      <w:r>
        <w:rPr>
          <w:rFonts w:hint="eastAsia" w:ascii="仿宋" w:hAnsi="仿宋" w:eastAsia="仿宋" w:cs="仿宋"/>
          <w:kern w:val="0"/>
          <w:sz w:val="24"/>
          <w:szCs w:val="24"/>
          <w:lang w:val="zh-CN"/>
        </w:rPr>
        <w:t>涉及道路建设质量问题</w:t>
      </w:r>
      <w:r>
        <w:rPr>
          <w:rFonts w:hint="eastAsia" w:ascii="仿宋" w:hAnsi="仿宋" w:eastAsia="仿宋" w:cs="仿宋"/>
          <w:kern w:val="0"/>
          <w:sz w:val="24"/>
          <w:szCs w:val="24"/>
        </w:rPr>
        <w:t>的责任主体纳入城管系统信用管理，限制进入城管相关投标项目。</w:t>
      </w:r>
      <w:r>
        <w:rPr>
          <w:rFonts w:hint="eastAsia" w:ascii="仿宋" w:hAnsi="仿宋" w:eastAsia="仿宋" w:cs="仿宋"/>
          <w:kern w:val="0"/>
          <w:sz w:val="24"/>
          <w:szCs w:val="24"/>
          <w:lang w:val="zh-CN"/>
        </w:rPr>
        <w:t>三是对检测发现不合格问题拒不整改、未按规定时间整改或整改不到位的，</w:t>
      </w:r>
      <w:r>
        <w:rPr>
          <w:rFonts w:hint="eastAsia" w:ascii="仿宋" w:hAnsi="仿宋" w:eastAsia="仿宋" w:cs="仿宋"/>
          <w:kern w:val="0"/>
          <w:sz w:val="24"/>
          <w:szCs w:val="24"/>
        </w:rPr>
        <w:t>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rPr>
        <w:t>将有关情况抄送建设主管部门。</w:t>
      </w:r>
    </w:p>
    <w:p w14:paraId="62F351B0">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4</w:t>
      </w:r>
      <w:r>
        <w:rPr>
          <w:rFonts w:hint="eastAsia" w:ascii="仿宋" w:hAnsi="仿宋" w:eastAsia="仿宋" w:cs="仿宋"/>
          <w:b/>
          <w:bCs/>
          <w:kern w:val="0"/>
          <w:sz w:val="24"/>
          <w:szCs w:val="24"/>
          <w:lang w:val="zh-CN"/>
        </w:rPr>
        <w:t>.建议取消评奖资格。</w:t>
      </w:r>
      <w:r>
        <w:rPr>
          <w:rFonts w:hint="eastAsia" w:ascii="仿宋" w:hAnsi="仿宋" w:eastAsia="仿宋" w:cs="仿宋"/>
          <w:kern w:val="0"/>
          <w:sz w:val="24"/>
          <w:szCs w:val="24"/>
          <w:lang w:val="zh-CN"/>
        </w:rPr>
        <w:t>对检测发现存在严重建设质量问题的</w:t>
      </w:r>
      <w:r>
        <w:rPr>
          <w:rFonts w:hint="eastAsia" w:ascii="仿宋" w:hAnsi="仿宋" w:eastAsia="仿宋" w:cs="仿宋"/>
          <w:kern w:val="0"/>
          <w:sz w:val="24"/>
          <w:szCs w:val="24"/>
        </w:rPr>
        <w:t>道路</w:t>
      </w:r>
      <w:r>
        <w:rPr>
          <w:rFonts w:hint="eastAsia" w:ascii="仿宋" w:hAnsi="仿宋" w:eastAsia="仿宋" w:cs="仿宋"/>
          <w:kern w:val="0"/>
          <w:sz w:val="24"/>
          <w:szCs w:val="24"/>
          <w:lang w:val="zh-CN"/>
        </w:rPr>
        <w:t>，城管部门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将有关情况</w:t>
      </w:r>
      <w:r>
        <w:rPr>
          <w:rFonts w:hint="eastAsia" w:ascii="仿宋" w:hAnsi="仿宋" w:eastAsia="仿宋" w:cs="仿宋"/>
          <w:kern w:val="0"/>
          <w:sz w:val="24"/>
          <w:szCs w:val="24"/>
        </w:rPr>
        <w:t>抄送有关部门，建议</w:t>
      </w:r>
      <w:r>
        <w:rPr>
          <w:rFonts w:hint="eastAsia" w:ascii="仿宋" w:hAnsi="仿宋" w:eastAsia="仿宋" w:cs="仿宋"/>
          <w:kern w:val="0"/>
          <w:sz w:val="24"/>
          <w:szCs w:val="24"/>
          <w:lang w:val="zh-CN"/>
        </w:rPr>
        <w:t>取消该项目参加行业相关奖项的评选资格。</w:t>
      </w:r>
    </w:p>
    <w:p w14:paraId="3914D7C2">
      <w:pPr>
        <w:autoSpaceDE w:val="0"/>
        <w:autoSpaceDN w:val="0"/>
        <w:adjustRightInd w:val="0"/>
        <w:ind w:firstLine="482" w:firstLineChars="200"/>
        <w:rPr>
          <w:rFonts w:ascii="仿宋" w:hAnsi="仿宋" w:eastAsia="仿宋" w:cs="仿宋"/>
          <w:kern w:val="0"/>
          <w:sz w:val="24"/>
          <w:szCs w:val="24"/>
          <w:lang w:val="zh-CN"/>
        </w:rPr>
      </w:pPr>
      <w:r>
        <w:rPr>
          <w:rFonts w:hint="eastAsia" w:ascii="仿宋" w:hAnsi="仿宋" w:eastAsia="仿宋" w:cs="仿宋"/>
          <w:b/>
          <w:bCs/>
          <w:kern w:val="0"/>
          <w:sz w:val="24"/>
          <w:szCs w:val="24"/>
        </w:rPr>
        <w:t>5</w:t>
      </w:r>
      <w:r>
        <w:rPr>
          <w:rFonts w:hint="eastAsia" w:ascii="仿宋" w:hAnsi="仿宋" w:eastAsia="仿宋" w:cs="仿宋"/>
          <w:b/>
          <w:bCs/>
          <w:kern w:val="0"/>
          <w:sz w:val="24"/>
          <w:szCs w:val="24"/>
          <w:lang w:val="zh-CN"/>
        </w:rPr>
        <w:t>.及时通报有关问题。</w:t>
      </w:r>
      <w:r>
        <w:rPr>
          <w:rFonts w:hint="eastAsia" w:ascii="仿宋" w:hAnsi="仿宋" w:eastAsia="仿宋" w:cs="仿宋"/>
          <w:kern w:val="0"/>
          <w:sz w:val="24"/>
          <w:szCs w:val="24"/>
          <w:lang w:val="zh-CN"/>
        </w:rPr>
        <w:t>经检测发现存在严重建设质量问题或在抽检过程中弄虚作假的责任单位、相关人员等情况，城管部门</w:t>
      </w:r>
      <w:r>
        <w:rPr>
          <w:rFonts w:hint="eastAsia" w:ascii="仿宋" w:hAnsi="仿宋" w:eastAsia="仿宋" w:cs="仿宋"/>
          <w:bCs/>
          <w:kern w:val="0"/>
          <w:sz w:val="24"/>
          <w:szCs w:val="24"/>
        </w:rPr>
        <w:t>（接收部门）</w:t>
      </w:r>
      <w:r>
        <w:rPr>
          <w:rFonts w:hint="eastAsia" w:ascii="仿宋" w:hAnsi="仿宋" w:eastAsia="仿宋" w:cs="仿宋"/>
          <w:kern w:val="0"/>
          <w:sz w:val="24"/>
          <w:szCs w:val="24"/>
          <w:lang w:val="zh-CN"/>
        </w:rPr>
        <w:t>将向有关部门</w:t>
      </w:r>
      <w:r>
        <w:rPr>
          <w:rFonts w:hint="eastAsia" w:ascii="仿宋" w:hAnsi="仿宋" w:eastAsia="仿宋" w:cs="仿宋"/>
          <w:kern w:val="0"/>
          <w:sz w:val="24"/>
          <w:szCs w:val="24"/>
        </w:rPr>
        <w:t>及时通报</w:t>
      </w:r>
      <w:r>
        <w:rPr>
          <w:rFonts w:hint="eastAsia" w:ascii="仿宋" w:hAnsi="仿宋" w:eastAsia="仿宋" w:cs="仿宋"/>
          <w:kern w:val="0"/>
          <w:sz w:val="24"/>
          <w:szCs w:val="24"/>
          <w:lang w:val="zh-CN"/>
        </w:rPr>
        <w:t>。</w:t>
      </w:r>
    </w:p>
    <w:p w14:paraId="0696B570">
      <w:pPr>
        <w:autoSpaceDE w:val="0"/>
        <w:autoSpaceDN w:val="0"/>
        <w:adjustRightInd w:val="0"/>
        <w:ind w:firstLine="561"/>
        <w:rPr>
          <w:rFonts w:ascii="仿宋" w:hAnsi="仿宋" w:eastAsia="仿宋" w:cs="仿宋"/>
          <w:kern w:val="0"/>
          <w:sz w:val="24"/>
          <w:szCs w:val="24"/>
          <w:lang w:val="zh-CN"/>
        </w:rPr>
      </w:pPr>
    </w:p>
    <w:p w14:paraId="2D6488CF">
      <w:pPr>
        <w:autoSpaceDE w:val="0"/>
        <w:autoSpaceDN w:val="0"/>
        <w:adjustRightInd w:val="0"/>
        <w:ind w:firstLine="480" w:firstLineChars="200"/>
        <w:rPr>
          <w:rFonts w:ascii="仿宋" w:hAnsi="仿宋" w:eastAsia="仿宋" w:cs="仿宋"/>
          <w:kern w:val="0"/>
          <w:sz w:val="24"/>
          <w:szCs w:val="24"/>
        </w:rPr>
      </w:pPr>
      <w:r>
        <w:rPr>
          <w:rFonts w:hint="eastAsia" w:ascii="仿宋" w:hAnsi="仿宋" w:eastAsia="仿宋" w:cs="仿宋"/>
          <w:kern w:val="0"/>
          <w:sz w:val="24"/>
          <w:szCs w:val="24"/>
          <w:lang w:val="zh-CN"/>
        </w:rPr>
        <w:t>附件：</w:t>
      </w:r>
      <w:r>
        <w:rPr>
          <w:rFonts w:hint="eastAsia" w:ascii="仿宋" w:hAnsi="仿宋" w:eastAsia="仿宋" w:cs="仿宋"/>
          <w:kern w:val="0"/>
          <w:sz w:val="24"/>
          <w:szCs w:val="24"/>
        </w:rPr>
        <w:t>检测项目抽检频率</w:t>
      </w:r>
    </w:p>
    <w:p w14:paraId="62487C7B">
      <w:pPr>
        <w:autoSpaceDE w:val="0"/>
        <w:autoSpaceDN w:val="0"/>
        <w:adjustRightIn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      检测项目判定标准</w:t>
      </w:r>
    </w:p>
    <w:p w14:paraId="18766E8C">
      <w:pPr>
        <w:autoSpaceDE w:val="0"/>
        <w:autoSpaceDN w:val="0"/>
        <w:adjustRightInd w:val="0"/>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杭州市新建市政道路工程移交接收检测记录表 </w:t>
      </w:r>
    </w:p>
    <w:p w14:paraId="017F737D">
      <w:pPr>
        <w:numPr>
          <w:ilvl w:val="255"/>
          <w:numId w:val="0"/>
        </w:numPr>
        <w:autoSpaceDE w:val="0"/>
        <w:autoSpaceDN w:val="0"/>
        <w:adjustRightInd w:val="0"/>
        <w:ind w:firstLine="1200" w:firstLineChars="500"/>
        <w:rPr>
          <w:rFonts w:ascii="仿宋" w:hAnsi="仿宋" w:eastAsia="仿宋" w:cs="仿宋"/>
          <w:kern w:val="0"/>
          <w:sz w:val="24"/>
          <w:szCs w:val="24"/>
        </w:rPr>
      </w:pPr>
      <w:r>
        <w:rPr>
          <w:rFonts w:hint="eastAsia" w:ascii="仿宋" w:hAnsi="仿宋" w:eastAsia="仿宋" w:cs="仿宋"/>
          <w:kern w:val="0"/>
          <w:sz w:val="24"/>
          <w:szCs w:val="24"/>
          <w:lang w:val="zh-CN"/>
        </w:rPr>
        <w:t>杭州市新建市政道路工程移交接收检测</w:t>
      </w:r>
      <w:r>
        <w:rPr>
          <w:rFonts w:hint="eastAsia" w:ascii="仿宋" w:hAnsi="仿宋" w:eastAsia="仿宋" w:cs="仿宋"/>
          <w:kern w:val="0"/>
          <w:sz w:val="24"/>
          <w:szCs w:val="24"/>
        </w:rPr>
        <w:t>委托单</w:t>
      </w:r>
    </w:p>
    <w:p w14:paraId="19736C46">
      <w:pPr>
        <w:numPr>
          <w:ilvl w:val="255"/>
          <w:numId w:val="0"/>
        </w:numPr>
        <w:autoSpaceDE w:val="0"/>
        <w:autoSpaceDN w:val="0"/>
        <w:adjustRightInd w:val="0"/>
        <w:ind w:firstLine="1200" w:firstLineChars="500"/>
        <w:rPr>
          <w:rFonts w:ascii="仿宋" w:hAnsi="仿宋" w:eastAsia="仿宋" w:cs="仿宋"/>
          <w:kern w:val="0"/>
          <w:sz w:val="24"/>
          <w:szCs w:val="24"/>
        </w:rPr>
      </w:pPr>
      <w:r>
        <w:rPr>
          <w:rFonts w:hint="eastAsia" w:ascii="仿宋" w:hAnsi="仿宋" w:eastAsia="仿宋" w:cs="仿宋"/>
          <w:kern w:val="0"/>
          <w:sz w:val="24"/>
          <w:szCs w:val="24"/>
          <w:lang w:val="zh-CN"/>
        </w:rPr>
        <w:t>杭州市新建市政道路工程移交接收检测</w:t>
      </w:r>
      <w:r>
        <w:rPr>
          <w:rFonts w:hint="eastAsia" w:ascii="仿宋" w:hAnsi="仿宋" w:eastAsia="仿宋" w:cs="仿宋"/>
          <w:kern w:val="0"/>
          <w:sz w:val="24"/>
          <w:szCs w:val="24"/>
        </w:rPr>
        <w:t>报告</w:t>
      </w:r>
    </w:p>
    <w:p w14:paraId="1BA67C4D">
      <w:pPr>
        <w:autoSpaceDE w:val="0"/>
        <w:autoSpaceDN w:val="0"/>
        <w:adjustRightInd w:val="0"/>
        <w:spacing w:line="620" w:lineRule="exact"/>
        <w:ind w:firstLine="561"/>
        <w:rPr>
          <w:rFonts w:ascii="仿宋" w:eastAsia="仿宋" w:cs="仿宋"/>
          <w:kern w:val="0"/>
          <w:sz w:val="32"/>
          <w:szCs w:val="32"/>
        </w:rPr>
      </w:pPr>
    </w:p>
    <w:p w14:paraId="67C5FF0A">
      <w:pPr>
        <w:autoSpaceDE w:val="0"/>
        <w:autoSpaceDN w:val="0"/>
        <w:adjustRightInd w:val="0"/>
        <w:spacing w:line="620" w:lineRule="exact"/>
        <w:ind w:firstLine="561"/>
        <w:rPr>
          <w:rFonts w:ascii="仿宋" w:eastAsia="仿宋" w:cs="仿宋"/>
          <w:kern w:val="0"/>
          <w:sz w:val="32"/>
          <w:szCs w:val="32"/>
        </w:rPr>
      </w:pPr>
    </w:p>
    <w:p w14:paraId="01E8B05C">
      <w:pPr>
        <w:jc w:val="left"/>
        <w:rPr>
          <w:rFonts w:ascii="黑体" w:hAnsi="黑体" w:eastAsia="黑体"/>
          <w:sz w:val="32"/>
          <w:szCs w:val="32"/>
        </w:rPr>
      </w:pPr>
    </w:p>
    <w:p w14:paraId="615E6A76">
      <w:pPr>
        <w:jc w:val="left"/>
        <w:rPr>
          <w:rFonts w:ascii="黑体" w:hAnsi="黑体" w:eastAsia="黑体"/>
          <w:sz w:val="32"/>
          <w:szCs w:val="32"/>
        </w:rPr>
      </w:pPr>
    </w:p>
    <w:p w14:paraId="3D0DA6AF">
      <w:pPr>
        <w:jc w:val="left"/>
        <w:rPr>
          <w:rFonts w:ascii="黑体" w:hAnsi="黑体" w:eastAsia="黑体"/>
          <w:sz w:val="32"/>
          <w:szCs w:val="32"/>
        </w:rPr>
      </w:pPr>
    </w:p>
    <w:p w14:paraId="1BB75530">
      <w:pPr>
        <w:jc w:val="left"/>
        <w:rPr>
          <w:rFonts w:ascii="黑体" w:hAnsi="黑体" w:eastAsia="黑体"/>
          <w:sz w:val="32"/>
          <w:szCs w:val="32"/>
        </w:rPr>
      </w:pPr>
    </w:p>
    <w:p w14:paraId="14FBB101">
      <w:pPr>
        <w:pStyle w:val="42"/>
        <w:rPr>
          <w:rFonts w:ascii="黑体" w:hAnsi="黑体" w:eastAsia="黑体"/>
          <w:sz w:val="32"/>
          <w:szCs w:val="32"/>
        </w:rPr>
      </w:pPr>
    </w:p>
    <w:p w14:paraId="2A8738E2">
      <w:pPr>
        <w:rPr>
          <w:rFonts w:ascii="黑体" w:hAnsi="黑体" w:eastAsia="黑体"/>
          <w:sz w:val="32"/>
          <w:szCs w:val="32"/>
        </w:rPr>
      </w:pPr>
    </w:p>
    <w:p w14:paraId="29BBD60E">
      <w:pPr>
        <w:pStyle w:val="42"/>
        <w:rPr>
          <w:rFonts w:ascii="黑体" w:hAnsi="黑体" w:eastAsia="黑体"/>
          <w:sz w:val="32"/>
          <w:szCs w:val="32"/>
        </w:rPr>
      </w:pPr>
    </w:p>
    <w:p w14:paraId="385416F2">
      <w:pPr>
        <w:rPr>
          <w:rFonts w:ascii="黑体" w:hAnsi="黑体" w:eastAsia="黑体"/>
          <w:sz w:val="32"/>
          <w:szCs w:val="32"/>
        </w:rPr>
      </w:pPr>
    </w:p>
    <w:p w14:paraId="3098ED06">
      <w:pPr>
        <w:pStyle w:val="42"/>
        <w:rPr>
          <w:rFonts w:ascii="黑体" w:hAnsi="黑体" w:eastAsia="黑体"/>
          <w:sz w:val="32"/>
          <w:szCs w:val="32"/>
        </w:rPr>
      </w:pPr>
    </w:p>
    <w:p w14:paraId="1FF4C761">
      <w:pPr>
        <w:rPr>
          <w:rFonts w:ascii="黑体" w:hAnsi="黑体" w:eastAsia="黑体"/>
          <w:sz w:val="32"/>
          <w:szCs w:val="32"/>
        </w:rPr>
      </w:pPr>
    </w:p>
    <w:p w14:paraId="6383BCA0">
      <w:pPr>
        <w:pStyle w:val="42"/>
        <w:rPr>
          <w:rFonts w:ascii="黑体" w:hAnsi="黑体" w:eastAsia="黑体"/>
          <w:sz w:val="32"/>
          <w:szCs w:val="32"/>
        </w:rPr>
      </w:pPr>
    </w:p>
    <w:p w14:paraId="73E8D8C2">
      <w:pPr>
        <w:rPr>
          <w:rFonts w:ascii="黑体" w:hAnsi="黑体" w:eastAsia="黑体"/>
          <w:sz w:val="32"/>
          <w:szCs w:val="32"/>
        </w:rPr>
      </w:pPr>
    </w:p>
    <w:p w14:paraId="6C3EA407">
      <w:pPr>
        <w:pStyle w:val="42"/>
        <w:rPr>
          <w:rFonts w:ascii="黑体" w:hAnsi="黑体" w:eastAsia="黑体"/>
          <w:sz w:val="32"/>
          <w:szCs w:val="32"/>
        </w:rPr>
      </w:pPr>
    </w:p>
    <w:p w14:paraId="4D43341C">
      <w:pPr>
        <w:rPr>
          <w:rFonts w:ascii="黑体" w:hAnsi="黑体" w:eastAsia="黑体"/>
          <w:sz w:val="32"/>
          <w:szCs w:val="32"/>
        </w:rPr>
      </w:pPr>
    </w:p>
    <w:p w14:paraId="28DAAF87">
      <w:pPr>
        <w:pStyle w:val="42"/>
        <w:rPr>
          <w:rFonts w:ascii="黑体" w:hAnsi="黑体" w:eastAsia="黑体"/>
          <w:sz w:val="32"/>
          <w:szCs w:val="32"/>
        </w:rPr>
      </w:pPr>
    </w:p>
    <w:p w14:paraId="250CB935">
      <w:pPr>
        <w:rPr>
          <w:rFonts w:ascii="黑体" w:hAnsi="黑体" w:eastAsia="黑体"/>
          <w:sz w:val="32"/>
          <w:szCs w:val="32"/>
        </w:rPr>
      </w:pPr>
    </w:p>
    <w:p w14:paraId="0832C8B2">
      <w:pPr>
        <w:pStyle w:val="42"/>
        <w:rPr>
          <w:rFonts w:ascii="黑体" w:hAnsi="黑体" w:eastAsia="黑体"/>
          <w:sz w:val="32"/>
          <w:szCs w:val="32"/>
        </w:rPr>
      </w:pPr>
    </w:p>
    <w:p w14:paraId="037EEE48"/>
    <w:p w14:paraId="42A09E35">
      <w:pPr>
        <w:pStyle w:val="42"/>
        <w:rPr>
          <w:rFonts w:ascii="黑体" w:hAnsi="黑体" w:eastAsia="黑体"/>
          <w:sz w:val="32"/>
          <w:szCs w:val="32"/>
        </w:rPr>
      </w:pPr>
    </w:p>
    <w:p w14:paraId="34266BD4"/>
    <w:p w14:paraId="77177A7F">
      <w:pPr>
        <w:jc w:val="left"/>
        <w:rPr>
          <w:rFonts w:ascii="黑体" w:hAnsi="黑体" w:eastAsia="黑体"/>
          <w:sz w:val="32"/>
          <w:szCs w:val="32"/>
        </w:rPr>
      </w:pPr>
    </w:p>
    <w:p w14:paraId="19BB4AF4">
      <w:pPr>
        <w:spacing w:afterLines="50"/>
        <w:jc w:val="center"/>
        <w:rPr>
          <w:rFonts w:ascii="黑体" w:hAnsi="黑体" w:eastAsia="黑体"/>
          <w:sz w:val="84"/>
        </w:rPr>
      </w:pPr>
      <w:r>
        <w:rPr>
          <w:rFonts w:hint="eastAsia" w:ascii="黑体" w:hAnsi="黑体" w:eastAsia="黑体" w:cs="仿宋"/>
          <w:kern w:val="0"/>
          <w:sz w:val="44"/>
          <w:szCs w:val="44"/>
        </w:rPr>
        <w:t>检测项目抽检</w:t>
      </w:r>
      <w:r>
        <w:rPr>
          <w:rFonts w:hint="eastAsia" w:ascii="黑体" w:hAnsi="黑体" w:eastAsia="黑体" w:cs="仿宋"/>
          <w:kern w:val="0"/>
          <w:sz w:val="44"/>
          <w:szCs w:val="44"/>
          <w:lang w:val="zh-CN"/>
        </w:rPr>
        <w:t>频率</w:t>
      </w:r>
    </w:p>
    <w:tbl>
      <w:tblPr>
        <w:tblStyle w:val="62"/>
        <w:tblW w:w="9417" w:type="dxa"/>
        <w:jc w:val="center"/>
        <w:tblLayout w:type="fixed"/>
        <w:tblCellMar>
          <w:top w:w="0" w:type="dxa"/>
          <w:left w:w="0" w:type="dxa"/>
          <w:bottom w:w="0" w:type="dxa"/>
          <w:right w:w="0" w:type="dxa"/>
        </w:tblCellMar>
      </w:tblPr>
      <w:tblGrid>
        <w:gridCol w:w="600"/>
        <w:gridCol w:w="1183"/>
        <w:gridCol w:w="2673"/>
        <w:gridCol w:w="4961"/>
      </w:tblGrid>
      <w:tr w14:paraId="077B19EC">
        <w:tblPrEx>
          <w:tblCellMar>
            <w:top w:w="0" w:type="dxa"/>
            <w:left w:w="0" w:type="dxa"/>
            <w:bottom w:w="0" w:type="dxa"/>
            <w:right w:w="0" w:type="dxa"/>
          </w:tblCellMar>
        </w:tblPrEx>
        <w:trPr>
          <w:trHeight w:val="54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58881">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9059C">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部位</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D711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检测项目</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2F4D1">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检测频率</w:t>
            </w:r>
          </w:p>
        </w:tc>
      </w:tr>
      <w:tr w14:paraId="226A80CE">
        <w:tblPrEx>
          <w:tblCellMar>
            <w:top w:w="0" w:type="dxa"/>
            <w:left w:w="0" w:type="dxa"/>
            <w:bottom w:w="0" w:type="dxa"/>
            <w:right w:w="0" w:type="dxa"/>
          </w:tblCellMar>
        </w:tblPrEx>
        <w:trPr>
          <w:trHeight w:val="75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6FC8F">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CD759">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车行道（含非机动车道）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F39F0">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★沥青混合料面层压实度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1AFE2">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每1000</w:t>
            </w:r>
            <w:r>
              <w:rPr>
                <w:rFonts w:hint="eastAsia" w:ascii="仿宋_GB2312" w:hAnsi="宋体"/>
                <w:sz w:val="24"/>
                <w:szCs w:val="24"/>
              </w:rPr>
              <w:t>㎡</w:t>
            </w:r>
            <w:r>
              <w:rPr>
                <w:rFonts w:hint="eastAsia" w:ascii="仿宋_GB2312" w:hAnsi="宋体" w:eastAsia="仿宋_GB2312"/>
                <w:sz w:val="24"/>
                <w:szCs w:val="24"/>
              </w:rPr>
              <w:t>测1点（不满1000</w:t>
            </w:r>
            <w:r>
              <w:rPr>
                <w:rFonts w:hint="eastAsia" w:ascii="仿宋_GB2312" w:hAnsi="宋体"/>
                <w:sz w:val="24"/>
                <w:szCs w:val="24"/>
              </w:rPr>
              <w:t>㎡</w:t>
            </w:r>
            <w:r>
              <w:rPr>
                <w:rFonts w:hint="eastAsia" w:ascii="仿宋_GB2312" w:hAnsi="宋体" w:eastAsia="仿宋_GB2312"/>
                <w:sz w:val="24"/>
                <w:szCs w:val="24"/>
              </w:rPr>
              <w:t>的按1000</w:t>
            </w:r>
            <w:r>
              <w:rPr>
                <w:rFonts w:hint="eastAsia" w:ascii="仿宋_GB2312" w:hAnsi="宋体"/>
                <w:sz w:val="24"/>
                <w:szCs w:val="24"/>
              </w:rPr>
              <w:t>㎡</w:t>
            </w:r>
            <w:r>
              <w:rPr>
                <w:rFonts w:hint="eastAsia" w:ascii="仿宋_GB2312" w:hAnsi="宋体" w:eastAsia="仿宋_GB2312"/>
                <w:sz w:val="24"/>
                <w:szCs w:val="24"/>
              </w:rPr>
              <w:t>测）。</w:t>
            </w:r>
          </w:p>
        </w:tc>
      </w:tr>
      <w:tr w14:paraId="09C140DC">
        <w:tblPrEx>
          <w:tblCellMar>
            <w:top w:w="0" w:type="dxa"/>
            <w:left w:w="0" w:type="dxa"/>
            <w:bottom w:w="0" w:type="dxa"/>
            <w:right w:w="0" w:type="dxa"/>
          </w:tblCellMar>
        </w:tblPrEx>
        <w:trPr>
          <w:trHeight w:val="57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69EBB">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08786">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7367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★面层（基层）厚度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DA955">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每1000</w:t>
            </w:r>
            <w:r>
              <w:rPr>
                <w:rFonts w:hint="eastAsia" w:ascii="仿宋_GB2312" w:hAnsi="宋体"/>
                <w:sz w:val="24"/>
                <w:szCs w:val="24"/>
              </w:rPr>
              <w:t>㎡</w:t>
            </w:r>
            <w:r>
              <w:rPr>
                <w:rFonts w:hint="eastAsia" w:ascii="仿宋_GB2312" w:hAnsi="宋体" w:eastAsia="仿宋_GB2312"/>
                <w:sz w:val="24"/>
                <w:szCs w:val="24"/>
              </w:rPr>
              <w:t>测1点。</w:t>
            </w:r>
          </w:p>
        </w:tc>
      </w:tr>
      <w:tr w14:paraId="7BA8489F">
        <w:tblPrEx>
          <w:tblCellMar>
            <w:top w:w="0" w:type="dxa"/>
            <w:left w:w="0" w:type="dxa"/>
            <w:bottom w:w="0" w:type="dxa"/>
            <w:right w:w="0" w:type="dxa"/>
          </w:tblCellMar>
        </w:tblPrEx>
        <w:trPr>
          <w:trHeight w:val="60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F6E27">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A4C91">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82D65">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★弯沉</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C044D">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每车道、每20m，测1点。</w:t>
            </w:r>
          </w:p>
        </w:tc>
      </w:tr>
      <w:tr w14:paraId="13448704">
        <w:tblPrEx>
          <w:tblCellMar>
            <w:top w:w="0" w:type="dxa"/>
            <w:left w:w="0" w:type="dxa"/>
            <w:bottom w:w="0" w:type="dxa"/>
            <w:right w:w="0" w:type="dxa"/>
          </w:tblCellMar>
        </w:tblPrEx>
        <w:trPr>
          <w:trHeight w:val="11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15BAC">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B5A11">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79930">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★平整度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5FA86">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路宽＜9m，每100米1条测线；</w:t>
            </w:r>
          </w:p>
          <w:p w14:paraId="67A98F03">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路宽9m-15m，每100米2条测线；</w:t>
            </w:r>
          </w:p>
          <w:p w14:paraId="3A5AD71F">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路宽＞15m，每100米3条测线。</w:t>
            </w:r>
          </w:p>
        </w:tc>
      </w:tr>
      <w:tr w14:paraId="63F9AC81">
        <w:tblPrEx>
          <w:tblCellMar>
            <w:top w:w="0" w:type="dxa"/>
            <w:left w:w="0" w:type="dxa"/>
            <w:bottom w:w="0" w:type="dxa"/>
            <w:right w:w="0" w:type="dxa"/>
          </w:tblCellMar>
        </w:tblPrEx>
        <w:trPr>
          <w:trHeight w:val="73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107D6">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18C2B">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人行道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9FCD9">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料石、混凝土预制砌块铺砌人行道强度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9A2D0">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每标段工程对应样品检测1组。</w:t>
            </w:r>
          </w:p>
        </w:tc>
      </w:tr>
      <w:tr w14:paraId="2BCD87EF">
        <w:tblPrEx>
          <w:tblCellMar>
            <w:top w:w="0" w:type="dxa"/>
            <w:left w:w="0" w:type="dxa"/>
            <w:bottom w:w="0" w:type="dxa"/>
            <w:right w:w="0" w:type="dxa"/>
          </w:tblCellMar>
        </w:tblPrEx>
        <w:trPr>
          <w:trHeight w:val="70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67F86">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85EC4">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F1874">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料石铺砌人行道外观尺寸</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77297">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每标段工程对应样品检测1组。</w:t>
            </w:r>
          </w:p>
        </w:tc>
      </w:tr>
      <w:tr w14:paraId="73951AB3">
        <w:tblPrEx>
          <w:tblCellMar>
            <w:top w:w="0" w:type="dxa"/>
            <w:left w:w="0" w:type="dxa"/>
            <w:bottom w:w="0" w:type="dxa"/>
            <w:right w:w="0" w:type="dxa"/>
          </w:tblCellMar>
        </w:tblPrEx>
        <w:trPr>
          <w:trHeight w:val="69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E7D5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65A8E">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30FEC">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★平整度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50CB8">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每单元每20米测1点。</w:t>
            </w:r>
          </w:p>
        </w:tc>
      </w:tr>
      <w:tr w14:paraId="4EDA858B">
        <w:tblPrEx>
          <w:tblCellMar>
            <w:top w:w="0" w:type="dxa"/>
            <w:left w:w="0" w:type="dxa"/>
            <w:bottom w:w="0" w:type="dxa"/>
            <w:right w:w="0" w:type="dxa"/>
          </w:tblCellMar>
        </w:tblPrEx>
        <w:trPr>
          <w:trHeight w:val="7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1CFDD">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A1BED">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24FE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★沥青混合料铺筑人行道厚度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624E6">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每单元每100米测1点。</w:t>
            </w:r>
          </w:p>
        </w:tc>
      </w:tr>
      <w:tr w14:paraId="0E1A60C0">
        <w:tblPrEx>
          <w:tblCellMar>
            <w:top w:w="0" w:type="dxa"/>
            <w:left w:w="0" w:type="dxa"/>
            <w:bottom w:w="0" w:type="dxa"/>
            <w:right w:w="0" w:type="dxa"/>
          </w:tblCellMar>
        </w:tblPrEx>
        <w:trPr>
          <w:trHeight w:val="73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DDB77">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551F3">
            <w:pPr>
              <w:spacing w:line="440" w:lineRule="exact"/>
              <w:jc w:val="center"/>
              <w:rPr>
                <w:rFonts w:ascii="仿宋_GB2312" w:hAnsi="宋体" w:eastAsia="仿宋_GB2312"/>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70491">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★沥青混合料压实度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DD08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每单元每100米查1点。</w:t>
            </w:r>
          </w:p>
        </w:tc>
      </w:tr>
      <w:tr w14:paraId="483836DC">
        <w:tblPrEx>
          <w:tblCellMar>
            <w:top w:w="0" w:type="dxa"/>
            <w:left w:w="0" w:type="dxa"/>
            <w:bottom w:w="0" w:type="dxa"/>
            <w:right w:w="0"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CA450">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1FA3F">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排水管道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318EA">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★排水管道检测</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6BA23">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每单元范围内所有排水管道。</w:t>
            </w:r>
          </w:p>
        </w:tc>
      </w:tr>
      <w:tr w14:paraId="2EF11DFA">
        <w:tblPrEx>
          <w:tblCellMar>
            <w:top w:w="0" w:type="dxa"/>
            <w:left w:w="0" w:type="dxa"/>
            <w:bottom w:w="0" w:type="dxa"/>
            <w:right w:w="0" w:type="dxa"/>
          </w:tblCellMar>
        </w:tblPrEx>
        <w:trPr>
          <w:trHeight w:val="596" w:hRule="atLeast"/>
          <w:jc w:val="center"/>
        </w:trPr>
        <w:tc>
          <w:tcPr>
            <w:tcW w:w="941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AD130">
            <w:pPr>
              <w:widowControl/>
              <w:tabs>
                <w:tab w:val="left" w:pos="7962"/>
              </w:tabs>
              <w:spacing w:line="440" w:lineRule="exact"/>
              <w:jc w:val="left"/>
              <w:rPr>
                <w:rFonts w:ascii="仿宋_GB2312" w:hAnsi="宋体" w:eastAsia="仿宋_GB2312"/>
                <w:sz w:val="24"/>
                <w:szCs w:val="24"/>
              </w:rPr>
            </w:pPr>
            <w:r>
              <w:rPr>
                <w:rFonts w:hint="eastAsia" w:ascii="仿宋_GB2312" w:hAnsi="宋体" w:eastAsia="仿宋_GB2312"/>
                <w:sz w:val="24"/>
                <w:szCs w:val="24"/>
              </w:rPr>
              <w:t xml:space="preserve"> 注：带★为主控项目，其余为一般项目。</w:t>
            </w:r>
            <w:r>
              <w:rPr>
                <w:rFonts w:hint="eastAsia" w:ascii="仿宋_GB2312" w:hAnsi="宋体" w:eastAsia="仿宋_GB2312"/>
                <w:sz w:val="24"/>
                <w:szCs w:val="24"/>
              </w:rPr>
              <w:tab/>
            </w:r>
          </w:p>
        </w:tc>
      </w:tr>
    </w:tbl>
    <w:p w14:paraId="51EC4354">
      <w:pPr>
        <w:autoSpaceDE w:val="0"/>
        <w:autoSpaceDN w:val="0"/>
        <w:adjustRightInd w:val="0"/>
        <w:spacing w:line="620" w:lineRule="exact"/>
        <w:ind w:firstLine="560"/>
        <w:rPr>
          <w:rFonts w:ascii="仿宋_GB2312" w:eastAsia="仿宋_GB2312" w:cs="仿宋"/>
          <w:b/>
          <w:kern w:val="0"/>
          <w:sz w:val="32"/>
          <w:szCs w:val="32"/>
          <w:lang w:val="zh-CN"/>
        </w:rPr>
      </w:pPr>
    </w:p>
    <w:p w14:paraId="4B7852FF">
      <w:pPr>
        <w:autoSpaceDE w:val="0"/>
        <w:autoSpaceDN w:val="0"/>
        <w:adjustRightInd w:val="0"/>
        <w:spacing w:line="620" w:lineRule="exact"/>
        <w:ind w:firstLine="560"/>
        <w:rPr>
          <w:rFonts w:ascii="仿宋_GB2312" w:eastAsia="仿宋_GB2312" w:cs="仿宋"/>
          <w:b/>
          <w:kern w:val="0"/>
          <w:sz w:val="32"/>
          <w:szCs w:val="32"/>
          <w:lang w:val="zh-CN"/>
        </w:rPr>
      </w:pPr>
    </w:p>
    <w:p w14:paraId="36EB957A">
      <w:pPr>
        <w:autoSpaceDE w:val="0"/>
        <w:autoSpaceDN w:val="0"/>
        <w:adjustRightInd w:val="0"/>
        <w:spacing w:line="620" w:lineRule="exact"/>
        <w:ind w:firstLine="560"/>
        <w:rPr>
          <w:rFonts w:ascii="仿宋_GB2312" w:eastAsia="仿宋_GB2312" w:cs="仿宋"/>
          <w:b/>
          <w:kern w:val="0"/>
          <w:sz w:val="32"/>
          <w:szCs w:val="32"/>
          <w:lang w:val="zh-CN"/>
        </w:rPr>
      </w:pPr>
    </w:p>
    <w:p w14:paraId="01068DCF">
      <w:pPr>
        <w:rPr>
          <w:rFonts w:ascii="黑体" w:hAnsi="黑体" w:eastAsia="黑体" w:cs="仿宋"/>
          <w:kern w:val="0"/>
          <w:sz w:val="44"/>
          <w:szCs w:val="44"/>
        </w:rPr>
      </w:pPr>
      <w:r>
        <w:rPr>
          <w:rFonts w:hint="eastAsia" w:ascii="黑体" w:hAnsi="黑体" w:eastAsia="黑体" w:cs="仿宋"/>
          <w:kern w:val="0"/>
          <w:sz w:val="44"/>
          <w:szCs w:val="44"/>
        </w:rPr>
        <w:br w:type="page"/>
      </w:r>
    </w:p>
    <w:p w14:paraId="1F3F760F">
      <w:pPr>
        <w:spacing w:afterLines="50"/>
        <w:jc w:val="center"/>
        <w:rPr>
          <w:rFonts w:ascii="黑体" w:hAnsi="黑体" w:eastAsia="黑体"/>
          <w:sz w:val="84"/>
        </w:rPr>
      </w:pPr>
      <w:r>
        <w:rPr>
          <w:rFonts w:hint="eastAsia" w:ascii="黑体" w:hAnsi="黑体" w:eastAsia="黑体" w:cs="仿宋"/>
          <w:kern w:val="0"/>
          <w:sz w:val="44"/>
          <w:szCs w:val="44"/>
        </w:rPr>
        <w:t>检测项目判定标准</w:t>
      </w:r>
    </w:p>
    <w:tbl>
      <w:tblPr>
        <w:tblStyle w:val="6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160"/>
        <w:gridCol w:w="5290"/>
      </w:tblGrid>
      <w:tr w14:paraId="14C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jc w:val="center"/>
        </w:trPr>
        <w:tc>
          <w:tcPr>
            <w:tcW w:w="697" w:type="dxa"/>
            <w:vAlign w:val="center"/>
          </w:tcPr>
          <w:p w14:paraId="339EB839">
            <w:pPr>
              <w:spacing w:before="120" w:after="120" w:line="44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3160" w:type="dxa"/>
            <w:vAlign w:val="center"/>
          </w:tcPr>
          <w:p w14:paraId="712FDB43">
            <w:pPr>
              <w:spacing w:before="120" w:after="120" w:line="440" w:lineRule="exact"/>
              <w:jc w:val="center"/>
              <w:rPr>
                <w:rFonts w:ascii="仿宋_GB2312" w:hAnsi="宋体" w:eastAsia="仿宋_GB2312"/>
                <w:sz w:val="24"/>
                <w:szCs w:val="24"/>
              </w:rPr>
            </w:pPr>
            <w:r>
              <w:rPr>
                <w:rFonts w:hint="eastAsia" w:ascii="仿宋_GB2312" w:hAnsi="宋体" w:eastAsia="仿宋_GB2312"/>
                <w:sz w:val="24"/>
                <w:szCs w:val="24"/>
              </w:rPr>
              <w:t>项目名称</w:t>
            </w:r>
          </w:p>
        </w:tc>
        <w:tc>
          <w:tcPr>
            <w:tcW w:w="5290" w:type="dxa"/>
            <w:vAlign w:val="center"/>
          </w:tcPr>
          <w:p w14:paraId="6E01AE0D">
            <w:pPr>
              <w:spacing w:before="120" w:after="120" w:line="440" w:lineRule="exact"/>
              <w:jc w:val="center"/>
              <w:rPr>
                <w:rFonts w:ascii="仿宋_GB2312" w:hAnsi="宋体" w:eastAsia="仿宋_GB2312"/>
                <w:sz w:val="24"/>
                <w:szCs w:val="24"/>
              </w:rPr>
            </w:pPr>
            <w:r>
              <w:rPr>
                <w:rFonts w:hint="eastAsia" w:ascii="仿宋_GB2312" w:hAnsi="宋体" w:eastAsia="仿宋_GB2312"/>
                <w:sz w:val="24"/>
                <w:szCs w:val="24"/>
              </w:rPr>
              <w:t>判定标准</w:t>
            </w:r>
          </w:p>
        </w:tc>
      </w:tr>
      <w:tr w14:paraId="72AE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97" w:type="dxa"/>
            <w:vAlign w:val="center"/>
          </w:tcPr>
          <w:p w14:paraId="58B15F03">
            <w:pPr>
              <w:spacing w:line="440" w:lineRule="exact"/>
              <w:jc w:val="center"/>
              <w:rPr>
                <w:rFonts w:ascii="仿宋_GB2312" w:hAnsi="??" w:eastAsia="仿宋_GB2312"/>
                <w:sz w:val="24"/>
                <w:szCs w:val="24"/>
              </w:rPr>
            </w:pPr>
            <w:r>
              <w:rPr>
                <w:rFonts w:hint="eastAsia" w:ascii="仿宋_GB2312" w:hAnsi="??" w:eastAsia="仿宋_GB2312"/>
                <w:sz w:val="24"/>
                <w:szCs w:val="24"/>
              </w:rPr>
              <w:t>1</w:t>
            </w:r>
          </w:p>
        </w:tc>
        <w:tc>
          <w:tcPr>
            <w:tcW w:w="3160" w:type="dxa"/>
            <w:vAlign w:val="center"/>
          </w:tcPr>
          <w:p w14:paraId="5DB52F89">
            <w:pPr>
              <w:spacing w:line="440" w:lineRule="exact"/>
              <w:jc w:val="center"/>
              <w:rPr>
                <w:rFonts w:ascii="仿宋_GB2312" w:hAnsi="??" w:eastAsia="仿宋_GB2312"/>
                <w:sz w:val="24"/>
                <w:szCs w:val="24"/>
              </w:rPr>
            </w:pPr>
            <w:r>
              <w:rPr>
                <w:rFonts w:hint="eastAsia" w:ascii="仿宋_GB2312" w:hAnsi="宋体" w:eastAsia="仿宋_GB2312"/>
                <w:sz w:val="24"/>
                <w:szCs w:val="24"/>
              </w:rPr>
              <w:t>★车行道弯沉值</w:t>
            </w:r>
          </w:p>
        </w:tc>
        <w:tc>
          <w:tcPr>
            <w:tcW w:w="5290" w:type="dxa"/>
            <w:vAlign w:val="center"/>
          </w:tcPr>
          <w:p w14:paraId="1CF5A7D5">
            <w:pPr>
              <w:widowControl/>
              <w:spacing w:line="440" w:lineRule="exact"/>
              <w:jc w:val="left"/>
              <w:rPr>
                <w:rFonts w:ascii="仿宋_GB2312" w:hAnsi="??" w:eastAsia="仿宋_GB2312"/>
                <w:sz w:val="24"/>
                <w:szCs w:val="24"/>
              </w:rPr>
            </w:pPr>
            <w:r>
              <w:rPr>
                <w:rFonts w:hint="eastAsia" w:ascii="仿宋_GB2312" w:hAnsi="??" w:eastAsia="仿宋_GB2312"/>
                <w:sz w:val="24"/>
                <w:szCs w:val="24"/>
              </w:rPr>
              <w:t>实测弯沉值不应大于设计规定。</w:t>
            </w:r>
          </w:p>
        </w:tc>
      </w:tr>
      <w:tr w14:paraId="3106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697" w:type="dxa"/>
            <w:vAlign w:val="center"/>
          </w:tcPr>
          <w:p w14:paraId="6622893E">
            <w:pPr>
              <w:spacing w:line="440" w:lineRule="exact"/>
              <w:jc w:val="center"/>
              <w:rPr>
                <w:rFonts w:ascii="仿宋_GB2312" w:hAnsi="??" w:eastAsia="仿宋_GB2312"/>
                <w:sz w:val="24"/>
                <w:szCs w:val="24"/>
              </w:rPr>
            </w:pPr>
            <w:r>
              <w:rPr>
                <w:rFonts w:hint="eastAsia" w:ascii="仿宋_GB2312" w:hAnsi="??" w:eastAsia="仿宋_GB2312"/>
                <w:sz w:val="24"/>
                <w:szCs w:val="24"/>
              </w:rPr>
              <w:t>2</w:t>
            </w:r>
          </w:p>
        </w:tc>
        <w:tc>
          <w:tcPr>
            <w:tcW w:w="3160" w:type="dxa"/>
            <w:vAlign w:val="center"/>
          </w:tcPr>
          <w:p w14:paraId="679E5BE9">
            <w:pPr>
              <w:spacing w:line="440" w:lineRule="exact"/>
              <w:jc w:val="center"/>
              <w:rPr>
                <w:rFonts w:ascii="仿宋_GB2312" w:hAnsi="??" w:eastAsia="仿宋_GB2312"/>
                <w:sz w:val="24"/>
                <w:szCs w:val="24"/>
              </w:rPr>
            </w:pPr>
            <w:r>
              <w:rPr>
                <w:rFonts w:hint="eastAsia" w:ascii="仿宋_GB2312" w:hAnsi="宋体" w:eastAsia="仿宋_GB2312"/>
                <w:sz w:val="24"/>
                <w:szCs w:val="24"/>
              </w:rPr>
              <w:t>★车行道结构层厚度</w:t>
            </w:r>
          </w:p>
        </w:tc>
        <w:tc>
          <w:tcPr>
            <w:tcW w:w="5290" w:type="dxa"/>
            <w:vAlign w:val="center"/>
          </w:tcPr>
          <w:p w14:paraId="5658B63F">
            <w:pPr>
              <w:widowControl/>
              <w:spacing w:line="360" w:lineRule="exact"/>
              <w:jc w:val="left"/>
              <w:rPr>
                <w:rFonts w:ascii="仿宋_GB2312" w:hAnsi="??" w:eastAsia="仿宋_GB2312"/>
                <w:sz w:val="24"/>
                <w:szCs w:val="24"/>
              </w:rPr>
            </w:pPr>
            <w:r>
              <w:rPr>
                <w:rFonts w:hint="eastAsia" w:ascii="仿宋_GB2312" w:hAnsi="??" w:eastAsia="仿宋_GB2312"/>
                <w:sz w:val="24"/>
                <w:szCs w:val="24"/>
              </w:rPr>
              <w:t>1.符合设计规定；</w:t>
            </w:r>
          </w:p>
          <w:p w14:paraId="3C75ECA9">
            <w:pPr>
              <w:widowControl/>
              <w:spacing w:line="360" w:lineRule="exact"/>
              <w:jc w:val="left"/>
              <w:rPr>
                <w:rFonts w:ascii="仿宋_GB2312" w:hAnsi="??" w:eastAsia="仿宋_GB2312"/>
                <w:sz w:val="24"/>
                <w:szCs w:val="24"/>
              </w:rPr>
            </w:pPr>
            <w:r>
              <w:rPr>
                <w:rFonts w:hint="eastAsia" w:ascii="仿宋_GB2312" w:hAnsi="??" w:eastAsia="仿宋_GB2312"/>
                <w:sz w:val="24"/>
                <w:szCs w:val="24"/>
              </w:rPr>
              <w:t>2.沥青混合料面层厚度允许偏差为+10— -5mm；</w:t>
            </w:r>
          </w:p>
          <w:p w14:paraId="57A9FEE9">
            <w:pPr>
              <w:widowControl/>
              <w:spacing w:line="360" w:lineRule="exact"/>
              <w:jc w:val="left"/>
              <w:rPr>
                <w:rFonts w:ascii="仿宋_GB2312" w:hAnsi="??" w:eastAsia="仿宋_GB2312"/>
                <w:sz w:val="24"/>
                <w:szCs w:val="24"/>
              </w:rPr>
            </w:pPr>
            <w:r>
              <w:rPr>
                <w:rFonts w:hint="eastAsia" w:ascii="仿宋_GB2312" w:hAnsi="??" w:eastAsia="仿宋_GB2312"/>
                <w:sz w:val="24"/>
                <w:szCs w:val="24"/>
              </w:rPr>
              <w:t>3.基层厚度根据不同类型确定允许偏差：</w:t>
            </w:r>
          </w:p>
          <w:p w14:paraId="1B71B715">
            <w:pPr>
              <w:widowControl/>
              <w:spacing w:line="360" w:lineRule="exact"/>
              <w:jc w:val="left"/>
              <w:rPr>
                <w:rFonts w:ascii="仿宋_GB2312" w:hAnsi="??" w:eastAsia="仿宋_GB2312"/>
                <w:sz w:val="24"/>
                <w:szCs w:val="24"/>
              </w:rPr>
            </w:pPr>
            <w:r>
              <w:rPr>
                <w:rFonts w:hint="eastAsia" w:ascii="仿宋_GB2312" w:hAnsi="??" w:eastAsia="仿宋_GB2312"/>
                <w:sz w:val="24"/>
                <w:szCs w:val="24"/>
              </w:rPr>
              <w:t>石灰稳定土类基层及底基层和沥青碎石基层允许偏差为±10mm；级配砂砾石（碎石）及级配砾石（砂碎石）基层和底基层中砂石允许偏差为+20— -10mm，砾石允许偏差为+20mm— -10%层厚；</w:t>
            </w:r>
          </w:p>
          <w:p w14:paraId="57FD8803">
            <w:pPr>
              <w:widowControl/>
              <w:spacing w:line="360" w:lineRule="exact"/>
              <w:jc w:val="left"/>
              <w:rPr>
                <w:rFonts w:ascii="仿宋_GB2312" w:hAnsi="??" w:eastAsia="仿宋_GB2312"/>
                <w:sz w:val="24"/>
                <w:szCs w:val="24"/>
              </w:rPr>
            </w:pPr>
            <w:r>
              <w:rPr>
                <w:rFonts w:hint="eastAsia" w:ascii="仿宋_GB2312" w:hAnsi="??" w:eastAsia="仿宋_GB2312"/>
                <w:sz w:val="24"/>
                <w:szCs w:val="24"/>
              </w:rPr>
              <w:t>沥青贯入式碎石基层和底基层允许偏差为+20mm— -10%层厚。</w:t>
            </w:r>
          </w:p>
        </w:tc>
      </w:tr>
      <w:tr w14:paraId="6F52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97" w:type="dxa"/>
            <w:vMerge w:val="restart"/>
            <w:vAlign w:val="center"/>
          </w:tcPr>
          <w:p w14:paraId="0B1EA39C">
            <w:pPr>
              <w:spacing w:line="440" w:lineRule="exact"/>
              <w:jc w:val="center"/>
              <w:rPr>
                <w:rFonts w:ascii="仿宋_GB2312" w:hAnsi="??" w:eastAsia="仿宋_GB2312"/>
                <w:sz w:val="24"/>
                <w:szCs w:val="24"/>
              </w:rPr>
            </w:pPr>
            <w:r>
              <w:rPr>
                <w:rFonts w:hint="eastAsia" w:ascii="仿宋_GB2312" w:hAnsi="??" w:eastAsia="仿宋_GB2312"/>
                <w:sz w:val="24"/>
                <w:szCs w:val="24"/>
              </w:rPr>
              <w:t>3</w:t>
            </w:r>
          </w:p>
        </w:tc>
        <w:tc>
          <w:tcPr>
            <w:tcW w:w="3160" w:type="dxa"/>
            <w:vMerge w:val="restart"/>
            <w:vAlign w:val="center"/>
          </w:tcPr>
          <w:p w14:paraId="60E8F4C8">
            <w:pPr>
              <w:spacing w:line="440" w:lineRule="exact"/>
              <w:jc w:val="center"/>
              <w:rPr>
                <w:rFonts w:ascii="仿宋_GB2312" w:hAnsi="??" w:eastAsia="仿宋_GB2312"/>
                <w:sz w:val="24"/>
                <w:szCs w:val="24"/>
              </w:rPr>
            </w:pPr>
            <w:r>
              <w:rPr>
                <w:rFonts w:hint="eastAsia" w:ascii="仿宋_GB2312" w:hAnsi="宋体" w:eastAsia="仿宋_GB2312"/>
                <w:sz w:val="24"/>
                <w:szCs w:val="24"/>
              </w:rPr>
              <w:t>★车行道平整度</w:t>
            </w:r>
          </w:p>
        </w:tc>
        <w:tc>
          <w:tcPr>
            <w:tcW w:w="5290" w:type="dxa"/>
            <w:vAlign w:val="center"/>
          </w:tcPr>
          <w:p w14:paraId="4166AF0B">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快速路和主干路：标准差δ值≤1.5mm。</w:t>
            </w:r>
          </w:p>
        </w:tc>
      </w:tr>
      <w:tr w14:paraId="34CF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7" w:type="dxa"/>
            <w:vMerge w:val="continue"/>
            <w:vAlign w:val="center"/>
          </w:tcPr>
          <w:p w14:paraId="7BE25C0E">
            <w:pPr>
              <w:spacing w:line="440" w:lineRule="exact"/>
              <w:jc w:val="center"/>
              <w:rPr>
                <w:rFonts w:ascii="仿宋_GB2312" w:hAnsi="??" w:eastAsia="仿宋_GB2312"/>
                <w:sz w:val="24"/>
                <w:szCs w:val="24"/>
              </w:rPr>
            </w:pPr>
          </w:p>
        </w:tc>
        <w:tc>
          <w:tcPr>
            <w:tcW w:w="3160" w:type="dxa"/>
            <w:vMerge w:val="continue"/>
            <w:vAlign w:val="center"/>
          </w:tcPr>
          <w:p w14:paraId="6E045818">
            <w:pPr>
              <w:spacing w:line="440" w:lineRule="exact"/>
              <w:jc w:val="center"/>
              <w:rPr>
                <w:rFonts w:ascii="仿宋_GB2312" w:hAnsi="宋体" w:eastAsia="仿宋_GB2312"/>
                <w:sz w:val="24"/>
                <w:szCs w:val="24"/>
              </w:rPr>
            </w:pPr>
          </w:p>
        </w:tc>
        <w:tc>
          <w:tcPr>
            <w:tcW w:w="5290" w:type="dxa"/>
            <w:vAlign w:val="center"/>
          </w:tcPr>
          <w:p w14:paraId="2B192CEF">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次干路和支路：标准差δ值≤2.4mm。</w:t>
            </w:r>
          </w:p>
        </w:tc>
      </w:tr>
      <w:tr w14:paraId="03DA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97" w:type="dxa"/>
            <w:vMerge w:val="restart"/>
            <w:vAlign w:val="center"/>
          </w:tcPr>
          <w:p w14:paraId="6B488E3C">
            <w:pPr>
              <w:spacing w:line="440" w:lineRule="exact"/>
              <w:jc w:val="center"/>
              <w:rPr>
                <w:rFonts w:ascii="仿宋_GB2312" w:hAnsi="??" w:eastAsia="仿宋_GB2312"/>
                <w:sz w:val="24"/>
                <w:szCs w:val="24"/>
              </w:rPr>
            </w:pPr>
            <w:r>
              <w:rPr>
                <w:rFonts w:hint="eastAsia" w:ascii="仿宋_GB2312" w:hAnsi="??" w:eastAsia="仿宋_GB2312"/>
                <w:sz w:val="24"/>
                <w:szCs w:val="24"/>
              </w:rPr>
              <w:t>4</w:t>
            </w:r>
          </w:p>
        </w:tc>
        <w:tc>
          <w:tcPr>
            <w:tcW w:w="3160" w:type="dxa"/>
            <w:vMerge w:val="restart"/>
            <w:vAlign w:val="center"/>
          </w:tcPr>
          <w:p w14:paraId="59CCF46B">
            <w:pPr>
              <w:spacing w:line="440" w:lineRule="exact"/>
              <w:jc w:val="center"/>
              <w:rPr>
                <w:rFonts w:ascii="仿宋_GB2312" w:hAnsi="??" w:eastAsia="仿宋_GB2312"/>
                <w:sz w:val="24"/>
                <w:szCs w:val="24"/>
              </w:rPr>
            </w:pPr>
            <w:r>
              <w:rPr>
                <w:rFonts w:hint="eastAsia" w:ascii="仿宋_GB2312" w:hAnsi="宋体" w:eastAsia="仿宋_GB2312"/>
                <w:sz w:val="24"/>
                <w:szCs w:val="24"/>
              </w:rPr>
              <w:t>★沥青混合料面层压实度</w:t>
            </w:r>
          </w:p>
        </w:tc>
        <w:tc>
          <w:tcPr>
            <w:tcW w:w="5290" w:type="dxa"/>
            <w:vAlign w:val="center"/>
          </w:tcPr>
          <w:p w14:paraId="20DE024E">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城市快速路、主干路不应小于96%。</w:t>
            </w:r>
          </w:p>
        </w:tc>
      </w:tr>
      <w:tr w14:paraId="6B34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97" w:type="dxa"/>
            <w:vMerge w:val="continue"/>
            <w:vAlign w:val="center"/>
          </w:tcPr>
          <w:p w14:paraId="27B75273">
            <w:pPr>
              <w:spacing w:line="440" w:lineRule="exact"/>
              <w:jc w:val="center"/>
              <w:rPr>
                <w:rFonts w:ascii="仿宋_GB2312" w:hAnsi="??" w:eastAsia="仿宋_GB2312"/>
                <w:sz w:val="24"/>
                <w:szCs w:val="24"/>
              </w:rPr>
            </w:pPr>
          </w:p>
        </w:tc>
        <w:tc>
          <w:tcPr>
            <w:tcW w:w="3160" w:type="dxa"/>
            <w:vMerge w:val="continue"/>
            <w:vAlign w:val="center"/>
          </w:tcPr>
          <w:p w14:paraId="375F12D2">
            <w:pPr>
              <w:spacing w:line="440" w:lineRule="exact"/>
              <w:jc w:val="center"/>
              <w:rPr>
                <w:rFonts w:ascii="仿宋_GB2312" w:hAnsi="宋体" w:eastAsia="仿宋_GB2312"/>
                <w:sz w:val="24"/>
                <w:szCs w:val="24"/>
              </w:rPr>
            </w:pPr>
          </w:p>
        </w:tc>
        <w:tc>
          <w:tcPr>
            <w:tcW w:w="5290" w:type="dxa"/>
            <w:vAlign w:val="center"/>
          </w:tcPr>
          <w:p w14:paraId="6C2EFF90">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次干路及以下道路不应小于95%。</w:t>
            </w:r>
          </w:p>
        </w:tc>
      </w:tr>
      <w:tr w14:paraId="769D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97" w:type="dxa"/>
            <w:vAlign w:val="center"/>
          </w:tcPr>
          <w:p w14:paraId="2DA0209B">
            <w:pPr>
              <w:widowControl/>
              <w:spacing w:line="440" w:lineRule="exact"/>
              <w:jc w:val="center"/>
              <w:rPr>
                <w:rFonts w:ascii="仿宋_GB2312" w:hAnsi="??" w:eastAsia="仿宋_GB2312"/>
                <w:spacing w:val="20"/>
                <w:sz w:val="24"/>
                <w:szCs w:val="24"/>
              </w:rPr>
            </w:pPr>
            <w:r>
              <w:rPr>
                <w:rFonts w:hint="eastAsia" w:ascii="仿宋_GB2312" w:hAnsi="??" w:eastAsia="仿宋_GB2312"/>
                <w:spacing w:val="20"/>
                <w:sz w:val="24"/>
                <w:szCs w:val="24"/>
              </w:rPr>
              <w:t>5</w:t>
            </w:r>
          </w:p>
        </w:tc>
        <w:tc>
          <w:tcPr>
            <w:tcW w:w="3160" w:type="dxa"/>
            <w:vAlign w:val="center"/>
          </w:tcPr>
          <w:p w14:paraId="0FC4B4F8">
            <w:pPr>
              <w:widowControl/>
              <w:spacing w:line="440" w:lineRule="exact"/>
              <w:jc w:val="center"/>
              <w:rPr>
                <w:rFonts w:ascii="仿宋_GB2312" w:hAnsi="??" w:eastAsia="仿宋_GB2312"/>
                <w:sz w:val="24"/>
                <w:szCs w:val="24"/>
              </w:rPr>
            </w:pPr>
            <w:r>
              <w:rPr>
                <w:rFonts w:hint="eastAsia" w:ascii="仿宋_GB2312" w:hAnsi="??" w:eastAsia="仿宋_GB2312"/>
                <w:sz w:val="24"/>
                <w:szCs w:val="24"/>
              </w:rPr>
              <w:t>人行道材料强度</w:t>
            </w:r>
          </w:p>
        </w:tc>
        <w:tc>
          <w:tcPr>
            <w:tcW w:w="5290" w:type="dxa"/>
            <w:vAlign w:val="center"/>
          </w:tcPr>
          <w:p w14:paraId="38CA0EE1">
            <w:pPr>
              <w:widowControl/>
              <w:spacing w:line="440" w:lineRule="exact"/>
              <w:jc w:val="left"/>
              <w:rPr>
                <w:rFonts w:ascii="仿宋_GB2312" w:hAnsi="??" w:eastAsia="仿宋_GB2312"/>
                <w:sz w:val="24"/>
                <w:szCs w:val="24"/>
              </w:rPr>
            </w:pPr>
            <w:r>
              <w:rPr>
                <w:rFonts w:hint="eastAsia" w:ascii="仿宋_GB2312" w:hAnsi="??" w:eastAsia="仿宋_GB2312"/>
                <w:sz w:val="24"/>
                <w:szCs w:val="24"/>
              </w:rPr>
              <w:t>符合设计规定。</w:t>
            </w:r>
          </w:p>
        </w:tc>
      </w:tr>
      <w:tr w14:paraId="5387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97" w:type="dxa"/>
            <w:vAlign w:val="center"/>
          </w:tcPr>
          <w:p w14:paraId="7ABF3A04">
            <w:pPr>
              <w:widowControl/>
              <w:spacing w:line="440" w:lineRule="exact"/>
              <w:jc w:val="center"/>
              <w:rPr>
                <w:rFonts w:ascii="仿宋_GB2312" w:hAnsi="??" w:eastAsia="仿宋_GB2312"/>
                <w:spacing w:val="-22"/>
                <w:sz w:val="24"/>
                <w:szCs w:val="24"/>
              </w:rPr>
            </w:pPr>
            <w:r>
              <w:rPr>
                <w:rFonts w:hint="eastAsia" w:ascii="仿宋_GB2312" w:hAnsi="??" w:eastAsia="仿宋_GB2312"/>
                <w:spacing w:val="-22"/>
                <w:sz w:val="24"/>
                <w:szCs w:val="24"/>
              </w:rPr>
              <w:t>6</w:t>
            </w:r>
          </w:p>
        </w:tc>
        <w:tc>
          <w:tcPr>
            <w:tcW w:w="3160" w:type="dxa"/>
            <w:vAlign w:val="center"/>
          </w:tcPr>
          <w:p w14:paraId="3522BC24">
            <w:pPr>
              <w:widowControl/>
              <w:spacing w:line="440" w:lineRule="exact"/>
              <w:jc w:val="center"/>
              <w:rPr>
                <w:rFonts w:ascii="仿宋_GB2312" w:hAnsi="??" w:eastAsia="仿宋_GB2312"/>
                <w:sz w:val="24"/>
                <w:szCs w:val="24"/>
              </w:rPr>
            </w:pPr>
            <w:r>
              <w:rPr>
                <w:rFonts w:hint="eastAsia" w:ascii="仿宋_GB2312" w:hAnsi="宋体" w:eastAsia="仿宋_GB2312"/>
                <w:sz w:val="24"/>
                <w:szCs w:val="24"/>
              </w:rPr>
              <w:t>人行道材料外观尺寸</w:t>
            </w:r>
          </w:p>
        </w:tc>
        <w:tc>
          <w:tcPr>
            <w:tcW w:w="5290" w:type="dxa"/>
            <w:vAlign w:val="center"/>
          </w:tcPr>
          <w:p w14:paraId="793D4A2A">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符合设计规定。</w:t>
            </w:r>
          </w:p>
        </w:tc>
      </w:tr>
      <w:tr w14:paraId="26EB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97" w:type="dxa"/>
            <w:vMerge w:val="restart"/>
            <w:vAlign w:val="center"/>
          </w:tcPr>
          <w:p w14:paraId="6DCE9DF6">
            <w:pPr>
              <w:widowControl/>
              <w:spacing w:line="440" w:lineRule="exact"/>
              <w:jc w:val="center"/>
              <w:rPr>
                <w:rFonts w:ascii="仿宋_GB2312" w:hAnsi="??" w:eastAsia="仿宋_GB2312"/>
                <w:spacing w:val="20"/>
                <w:sz w:val="24"/>
                <w:szCs w:val="24"/>
              </w:rPr>
            </w:pPr>
            <w:r>
              <w:rPr>
                <w:rFonts w:hint="eastAsia" w:ascii="仿宋_GB2312" w:hAnsi="??" w:eastAsia="仿宋_GB2312"/>
                <w:spacing w:val="20"/>
                <w:sz w:val="24"/>
                <w:szCs w:val="24"/>
              </w:rPr>
              <w:t>7</w:t>
            </w:r>
          </w:p>
        </w:tc>
        <w:tc>
          <w:tcPr>
            <w:tcW w:w="3160" w:type="dxa"/>
            <w:vMerge w:val="restart"/>
            <w:vAlign w:val="center"/>
          </w:tcPr>
          <w:p w14:paraId="3B491BCD">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★人行道平整度</w:t>
            </w:r>
          </w:p>
        </w:tc>
        <w:tc>
          <w:tcPr>
            <w:tcW w:w="5290" w:type="dxa"/>
            <w:vAlign w:val="center"/>
          </w:tcPr>
          <w:p w14:paraId="19C68A1D">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料石铺砌人行道：允许偏差≤3mm。</w:t>
            </w:r>
          </w:p>
        </w:tc>
      </w:tr>
      <w:tr w14:paraId="2A80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97" w:type="dxa"/>
            <w:vMerge w:val="continue"/>
            <w:vAlign w:val="center"/>
          </w:tcPr>
          <w:p w14:paraId="70059770">
            <w:pPr>
              <w:widowControl/>
              <w:spacing w:line="440" w:lineRule="exact"/>
              <w:jc w:val="center"/>
              <w:rPr>
                <w:rFonts w:ascii="仿宋_GB2312" w:hAnsi="??" w:eastAsia="仿宋_GB2312"/>
                <w:spacing w:val="20"/>
                <w:sz w:val="24"/>
                <w:szCs w:val="24"/>
              </w:rPr>
            </w:pPr>
          </w:p>
        </w:tc>
        <w:tc>
          <w:tcPr>
            <w:tcW w:w="3160" w:type="dxa"/>
            <w:vMerge w:val="continue"/>
            <w:vAlign w:val="center"/>
          </w:tcPr>
          <w:p w14:paraId="6009D97D">
            <w:pPr>
              <w:widowControl/>
              <w:spacing w:line="440" w:lineRule="exact"/>
              <w:jc w:val="center"/>
              <w:rPr>
                <w:rFonts w:ascii="仿宋_GB2312" w:hAnsi="宋体" w:eastAsia="仿宋_GB2312"/>
                <w:sz w:val="24"/>
                <w:szCs w:val="24"/>
              </w:rPr>
            </w:pPr>
          </w:p>
        </w:tc>
        <w:tc>
          <w:tcPr>
            <w:tcW w:w="5290" w:type="dxa"/>
            <w:vAlign w:val="center"/>
          </w:tcPr>
          <w:p w14:paraId="38D09B98">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预制砌块铺砌人行道：允许偏差≤5mm。</w:t>
            </w:r>
          </w:p>
        </w:tc>
      </w:tr>
      <w:tr w14:paraId="2F34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697" w:type="dxa"/>
            <w:vMerge w:val="continue"/>
            <w:vAlign w:val="center"/>
          </w:tcPr>
          <w:p w14:paraId="430B9526">
            <w:pPr>
              <w:widowControl/>
              <w:spacing w:line="440" w:lineRule="exact"/>
              <w:jc w:val="center"/>
              <w:rPr>
                <w:rFonts w:ascii="仿宋_GB2312" w:hAnsi="??" w:eastAsia="仿宋_GB2312"/>
                <w:spacing w:val="20"/>
                <w:sz w:val="24"/>
                <w:szCs w:val="24"/>
              </w:rPr>
            </w:pPr>
          </w:p>
        </w:tc>
        <w:tc>
          <w:tcPr>
            <w:tcW w:w="3160" w:type="dxa"/>
            <w:vMerge w:val="continue"/>
            <w:vAlign w:val="center"/>
          </w:tcPr>
          <w:p w14:paraId="0DE4D1A6">
            <w:pPr>
              <w:widowControl/>
              <w:spacing w:line="440" w:lineRule="exact"/>
              <w:jc w:val="center"/>
              <w:rPr>
                <w:rFonts w:ascii="仿宋_GB2312" w:hAnsi="宋体" w:eastAsia="仿宋_GB2312"/>
                <w:sz w:val="24"/>
                <w:szCs w:val="24"/>
              </w:rPr>
            </w:pPr>
          </w:p>
        </w:tc>
        <w:tc>
          <w:tcPr>
            <w:tcW w:w="5290" w:type="dxa"/>
            <w:vAlign w:val="center"/>
          </w:tcPr>
          <w:p w14:paraId="600380E5">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沥青混合料铺筑人行道：沥青混凝土允许偏差≤5mm，其他类型允许偏差≤7mm。</w:t>
            </w:r>
          </w:p>
        </w:tc>
      </w:tr>
      <w:tr w14:paraId="73A4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97" w:type="dxa"/>
            <w:vAlign w:val="center"/>
          </w:tcPr>
          <w:p w14:paraId="28D16112">
            <w:pPr>
              <w:widowControl/>
              <w:spacing w:line="440" w:lineRule="exact"/>
              <w:jc w:val="center"/>
              <w:rPr>
                <w:rFonts w:ascii="仿宋_GB2312" w:hAnsi="??" w:eastAsia="仿宋_GB2312"/>
                <w:spacing w:val="20"/>
                <w:sz w:val="24"/>
                <w:szCs w:val="24"/>
              </w:rPr>
            </w:pPr>
            <w:r>
              <w:rPr>
                <w:rFonts w:hint="eastAsia" w:ascii="仿宋_GB2312" w:hAnsi="??" w:eastAsia="仿宋_GB2312"/>
                <w:spacing w:val="20"/>
                <w:sz w:val="24"/>
                <w:szCs w:val="24"/>
              </w:rPr>
              <w:t>8</w:t>
            </w:r>
          </w:p>
        </w:tc>
        <w:tc>
          <w:tcPr>
            <w:tcW w:w="3160" w:type="dxa"/>
            <w:vAlign w:val="center"/>
          </w:tcPr>
          <w:p w14:paraId="46778F16">
            <w:pPr>
              <w:widowControl/>
              <w:spacing w:line="440" w:lineRule="exact"/>
              <w:jc w:val="center"/>
              <w:rPr>
                <w:rFonts w:ascii="仿宋_GB2312" w:hAnsi="??" w:eastAsia="仿宋_GB2312"/>
                <w:sz w:val="24"/>
                <w:szCs w:val="24"/>
              </w:rPr>
            </w:pPr>
            <w:r>
              <w:rPr>
                <w:rFonts w:hint="eastAsia" w:ascii="仿宋_GB2312" w:hAnsi="宋体" w:eastAsia="仿宋_GB2312"/>
                <w:sz w:val="24"/>
                <w:szCs w:val="24"/>
              </w:rPr>
              <w:t>沥青混合料铺筑人行道厚度</w:t>
            </w:r>
          </w:p>
        </w:tc>
        <w:tc>
          <w:tcPr>
            <w:tcW w:w="5290" w:type="dxa"/>
            <w:vAlign w:val="center"/>
          </w:tcPr>
          <w:p w14:paraId="2D446FC6">
            <w:pPr>
              <w:widowControl/>
              <w:spacing w:line="440" w:lineRule="exact"/>
              <w:rPr>
                <w:rFonts w:ascii="仿宋_GB2312" w:hAnsi="??" w:eastAsia="仿宋_GB2312"/>
                <w:spacing w:val="20"/>
                <w:sz w:val="24"/>
                <w:szCs w:val="24"/>
              </w:rPr>
            </w:pPr>
            <w:r>
              <w:rPr>
                <w:rFonts w:hint="eastAsia" w:ascii="仿宋_GB2312" w:hAnsi="??" w:eastAsia="仿宋_GB2312"/>
                <w:sz w:val="24"/>
                <w:szCs w:val="24"/>
              </w:rPr>
              <w:t>符合设计规定，允许偏差为±5mm。</w:t>
            </w:r>
          </w:p>
        </w:tc>
      </w:tr>
      <w:tr w14:paraId="62CC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97" w:type="dxa"/>
            <w:vAlign w:val="center"/>
          </w:tcPr>
          <w:p w14:paraId="49B1A786">
            <w:pPr>
              <w:widowControl/>
              <w:spacing w:line="440" w:lineRule="exact"/>
              <w:jc w:val="center"/>
              <w:rPr>
                <w:rFonts w:ascii="仿宋_GB2312" w:hAnsi="??" w:eastAsia="仿宋_GB2312"/>
                <w:spacing w:val="20"/>
                <w:sz w:val="24"/>
                <w:szCs w:val="24"/>
              </w:rPr>
            </w:pPr>
            <w:r>
              <w:rPr>
                <w:rFonts w:hint="eastAsia" w:ascii="仿宋_GB2312" w:hAnsi="??" w:eastAsia="仿宋_GB2312"/>
                <w:spacing w:val="20"/>
                <w:sz w:val="24"/>
                <w:szCs w:val="24"/>
              </w:rPr>
              <w:t>9</w:t>
            </w:r>
          </w:p>
        </w:tc>
        <w:tc>
          <w:tcPr>
            <w:tcW w:w="3160" w:type="dxa"/>
            <w:vAlign w:val="center"/>
          </w:tcPr>
          <w:p w14:paraId="3D4F6F55">
            <w:pPr>
              <w:widowControl/>
              <w:spacing w:line="440" w:lineRule="exact"/>
              <w:jc w:val="center"/>
              <w:rPr>
                <w:rFonts w:ascii="仿宋_GB2312" w:hAnsi="??" w:eastAsia="仿宋_GB2312"/>
                <w:sz w:val="24"/>
                <w:szCs w:val="24"/>
              </w:rPr>
            </w:pPr>
            <w:r>
              <w:rPr>
                <w:rFonts w:hint="eastAsia" w:ascii="仿宋_GB2312" w:hAnsi="宋体" w:eastAsia="仿宋_GB2312"/>
                <w:sz w:val="24"/>
                <w:szCs w:val="24"/>
              </w:rPr>
              <w:t>★人行道沥青混合料压实度</w:t>
            </w:r>
          </w:p>
        </w:tc>
        <w:tc>
          <w:tcPr>
            <w:tcW w:w="5290" w:type="dxa"/>
            <w:vAlign w:val="center"/>
          </w:tcPr>
          <w:p w14:paraId="4D4D7B8D">
            <w:pPr>
              <w:widowControl/>
              <w:spacing w:line="440" w:lineRule="exact"/>
              <w:jc w:val="left"/>
              <w:rPr>
                <w:rFonts w:ascii="仿宋_GB2312" w:hAnsi="??" w:eastAsia="仿宋_GB2312"/>
                <w:spacing w:val="20"/>
                <w:sz w:val="24"/>
                <w:szCs w:val="24"/>
              </w:rPr>
            </w:pPr>
            <w:r>
              <w:rPr>
                <w:rFonts w:hint="eastAsia" w:ascii="仿宋_GB2312" w:hAnsi="??" w:eastAsia="仿宋_GB2312"/>
                <w:sz w:val="24"/>
                <w:szCs w:val="24"/>
              </w:rPr>
              <w:t>不应小于95%。</w:t>
            </w:r>
          </w:p>
        </w:tc>
      </w:tr>
      <w:tr w14:paraId="0DC0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97" w:type="dxa"/>
            <w:vAlign w:val="center"/>
          </w:tcPr>
          <w:p w14:paraId="1C3D0D7E">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3160" w:type="dxa"/>
            <w:vAlign w:val="center"/>
          </w:tcPr>
          <w:p w14:paraId="0001F5C8">
            <w:pPr>
              <w:widowControl/>
              <w:spacing w:line="440" w:lineRule="exact"/>
              <w:jc w:val="center"/>
              <w:rPr>
                <w:rFonts w:ascii="仿宋_GB2312" w:hAnsi="宋体" w:eastAsia="仿宋_GB2312"/>
                <w:sz w:val="24"/>
                <w:szCs w:val="24"/>
              </w:rPr>
            </w:pPr>
            <w:r>
              <w:rPr>
                <w:rFonts w:hint="eastAsia" w:ascii="仿宋_GB2312" w:hAnsi="宋体" w:eastAsia="仿宋_GB2312"/>
                <w:sz w:val="24"/>
                <w:szCs w:val="24"/>
              </w:rPr>
              <w:t>★管道CCTV</w:t>
            </w:r>
          </w:p>
        </w:tc>
        <w:tc>
          <w:tcPr>
            <w:tcW w:w="5290" w:type="dxa"/>
            <w:vAlign w:val="center"/>
          </w:tcPr>
          <w:p w14:paraId="43BE39BF">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符合规范要求。</w:t>
            </w:r>
          </w:p>
        </w:tc>
      </w:tr>
      <w:tr w14:paraId="2A30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147" w:type="dxa"/>
            <w:gridSpan w:val="3"/>
            <w:vAlign w:val="center"/>
          </w:tcPr>
          <w:p w14:paraId="2C6B38ED">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注：带★为主控项目，其余为一般项目。</w:t>
            </w:r>
          </w:p>
        </w:tc>
      </w:tr>
    </w:tbl>
    <w:p w14:paraId="0BD14E2A">
      <w:pPr>
        <w:jc w:val="left"/>
        <w:rPr>
          <w:rFonts w:ascii="仿宋" w:hAnsi="仿宋" w:eastAsia="仿宋"/>
          <w:spacing w:val="20"/>
          <w:sz w:val="32"/>
          <w:szCs w:val="32"/>
        </w:rPr>
      </w:pPr>
    </w:p>
    <w:p w14:paraId="08C5A218">
      <w:pPr>
        <w:jc w:val="center"/>
        <w:rPr>
          <w:rFonts w:ascii="黑体" w:hAnsi="黑体" w:eastAsia="黑体"/>
          <w:spacing w:val="20"/>
          <w:sz w:val="52"/>
          <w:szCs w:val="52"/>
        </w:rPr>
      </w:pPr>
      <w:r>
        <w:rPr>
          <w:rFonts w:hint="eastAsia" w:ascii="黑体" w:hAnsi="黑体" w:eastAsia="黑体"/>
          <w:spacing w:val="20"/>
          <w:sz w:val="52"/>
          <w:szCs w:val="52"/>
        </w:rPr>
        <w:t>杭州市新建市政道路工程移交接收</w:t>
      </w:r>
    </w:p>
    <w:p w14:paraId="20C1A23D">
      <w:pPr>
        <w:jc w:val="center"/>
        <w:rPr>
          <w:rFonts w:ascii="黑体" w:hAnsi="黑体" w:eastAsia="黑体"/>
          <w:spacing w:val="20"/>
          <w:sz w:val="52"/>
          <w:szCs w:val="52"/>
        </w:rPr>
      </w:pPr>
      <w:r>
        <w:rPr>
          <w:rFonts w:hint="eastAsia" w:ascii="黑体" w:hAnsi="黑体" w:eastAsia="黑体"/>
          <w:spacing w:val="20"/>
          <w:sz w:val="52"/>
          <w:szCs w:val="52"/>
        </w:rPr>
        <w:t>检测记录表</w:t>
      </w:r>
    </w:p>
    <w:p w14:paraId="62527187">
      <w:pPr>
        <w:jc w:val="center"/>
        <w:rPr>
          <w:rFonts w:ascii="??" w:hAnsi="??"/>
          <w:sz w:val="36"/>
        </w:rPr>
      </w:pPr>
    </w:p>
    <w:p w14:paraId="04D81BF5">
      <w:pPr>
        <w:jc w:val="center"/>
        <w:rPr>
          <w:rFonts w:ascii="??" w:hAnsi="??"/>
          <w:sz w:val="36"/>
        </w:rPr>
      </w:pPr>
    </w:p>
    <w:p w14:paraId="5036C087">
      <w:pPr>
        <w:jc w:val="center"/>
        <w:rPr>
          <w:rFonts w:ascii="??" w:hAnsi="??"/>
          <w:sz w:val="36"/>
        </w:rPr>
      </w:pPr>
    </w:p>
    <w:p w14:paraId="59555833">
      <w:pPr>
        <w:jc w:val="center"/>
        <w:rPr>
          <w:rFonts w:ascii="??" w:hAnsi="??"/>
          <w:sz w:val="36"/>
        </w:rPr>
      </w:pPr>
    </w:p>
    <w:p w14:paraId="1ABFCA9E">
      <w:pPr>
        <w:jc w:val="center"/>
        <w:rPr>
          <w:rFonts w:ascii="??" w:hAnsi="??"/>
          <w:sz w:val="36"/>
        </w:rPr>
      </w:pPr>
    </w:p>
    <w:p w14:paraId="4E4CF0F4">
      <w:pPr>
        <w:jc w:val="center"/>
        <w:rPr>
          <w:rFonts w:ascii="??" w:hAnsi="??"/>
          <w:sz w:val="36"/>
        </w:rPr>
      </w:pPr>
    </w:p>
    <w:p w14:paraId="24631B20">
      <w:pPr>
        <w:ind w:firstLine="1260" w:firstLineChars="600"/>
        <w:rPr>
          <w:rFonts w:ascii="??" w:hAnsi="??" w:eastAsia="Times New Roman"/>
          <w:sz w:val="30"/>
          <w:szCs w:val="30"/>
        </w:rPr>
      </w:pPr>
      <w:r>
        <w:rPr>
          <w:rFonts w:ascii="Calibri" w:hAnsi="Calibri" w:eastAsia="宋体"/>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297180</wp:posOffset>
                </wp:positionV>
                <wp:extent cx="2628900" cy="0"/>
                <wp:effectExtent l="0" t="4445" r="0" b="5080"/>
                <wp:wrapNone/>
                <wp:docPr id="2" name="103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0" o:spid="_x0000_s1026" o:spt="20" style="position:absolute;left:0pt;margin-left:153pt;margin-top:23.4pt;height:0pt;width:207pt;z-index:251666432;mso-width-relative:page;mso-height-relative:page;" filled="f" stroked="t" coordsize="21600,21600" o:gfxdata="UEsDBAoAAAAAAIdO4kAAAAAAAAAAAAAAAAAEAAAAZHJzL1BLAwQUAAAACACHTuJAyNu2/dYAAAAJ&#10;AQAADwAAAGRycy9kb3ducmV2LnhtbE2PzU7DMBCE70i8g7VIXKrWbotSFOL0AOTGhRbEdRsvSUS8&#10;TmP3B56eRRzguLOjmfmK9dn36khj7AJbmM8MKOI6uI4bCy/banoLKiZkh31gsvBJEdbl5UWBuQsn&#10;fqbjJjVKQjjmaKFNaci1jnVLHuMsDMTyew+jxyTn2Gg34knCfa8XxmTaY8fS0OJA9y3VH5uDtxCr&#10;V9pXX5N6Yt6WTaDF/uHpEa29vpqbO1CJzunPDD/zZTqUsmkXDuyi6i0sTSYsycJNJghiWEkfqN2v&#10;oMtC/ycovwFQSwMEFAAAAAgAh07iQMzARmHeAQAA5QMAAA4AAABkcnMvZTJvRG9jLnhtbK1TTW/b&#10;MAy9D9h/EHRf7Lho0RpxemjaXYYtwLYfoEi0LUBfEJU4+fej5DTtuksO80GmROrx8ZFaPR6tYQeI&#10;qL3r+HJRcwZOeqXd0PHfv16+3HOGSTgljHfQ8RMgf1x//rSaQguNH71REBmBOGyn0PExpdBWFcoR&#10;rMCFD+DI2ftoRaJtHCoVxUTo1lRNXd9Vk48qRC8BkU43s5OfEeM1gL7vtYSNl3sLLs2oEYxIVBKO&#10;OiBfF7Z9DzL96HuExEzHqdJUVkpC9i6v1Xol2iGKMGp5piCuofChJiu0o6QXqI1Igu2j/gfKahk9&#10;+j4tpLfVXEhRhKpY1h+0+TmKAKUWkhrDRXT8f7Dy+2EbmVYdbzhzwlLDl/VN0WUK2JL7yW0jqZR3&#10;GLYxF3nso81/os+ORcvTRUs4JibpsLlr7h9qklm++qq3iyFi+gresmx03GiXyxStOHzDRMko9DUk&#10;HxvHpo4/3Da3BCdo5nrqNZk2EG90Q7mL3mj1oo3JNzAOuycT2UHkvpcvt5pw/wrLSTYCxzmuuOaJ&#10;GEGoZ6dYOgVSxNFD4JmCBcWZAXo32Sqzk4Q210RSauMyNShTea7zTdVs7bw6UTf2IephJF2WhXP2&#10;UPcL+/Ok5vF6vyf7/etc/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27b91gAAAAkBAAAPAAAA&#10;AAAAAAEAIAAAACIAAABkcnMvZG93bnJldi54bWxQSwECFAAUAAAACACHTuJAzMBGYd4BAADlAwAA&#10;DgAAAAAAAAABACAAAAAlAQAAZHJzL2Uyb0RvYy54bWxQSwUGAAAAAAYABgBZAQAAdQUAAAAA&#10;">
                <v:fill on="f" focussize="0,0"/>
                <v:stroke color="#000000" joinstyle="round"/>
                <v:imagedata o:title=""/>
                <o:lock v:ext="edit" aspectratio="f"/>
              </v:line>
            </w:pict>
          </mc:Fallback>
        </mc:AlternateContent>
      </w:r>
      <w:r>
        <w:rPr>
          <w:rFonts w:ascii="Calibri" w:hAnsi="Calibri" w:eastAsia="宋体"/>
        </w:rPr>
        <mc:AlternateContent>
          <mc:Choice Requires="wps">
            <w:drawing>
              <wp:anchor distT="0" distB="0" distL="114300" distR="114300" simplePos="0" relativeHeight="251667456" behindDoc="0" locked="0" layoutInCell="0" allowOverlap="1">
                <wp:simplePos x="0" y="0"/>
                <wp:positionH relativeFrom="column">
                  <wp:posOffset>1266825</wp:posOffset>
                </wp:positionH>
                <wp:positionV relativeFrom="paragraph">
                  <wp:posOffset>198120</wp:posOffset>
                </wp:positionV>
                <wp:extent cx="635" cy="0"/>
                <wp:effectExtent l="0" t="4445" r="0" b="5080"/>
                <wp:wrapNone/>
                <wp:docPr id="5" name="103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1" o:spid="_x0000_s1026" o:spt="20" style="position:absolute;left:0pt;margin-left:99.75pt;margin-top:15.6pt;height:0pt;width:0.05pt;z-index:251667456;mso-width-relative:page;mso-height-relative:page;" filled="f" stroked="t" coordsize="21600,21600" o:allowincell="f" o:gfxdata="UEsDBAoAAAAAAIdO4kAAAAAAAAAAAAAAAAAEAAAAZHJzL1BLAwQUAAAACACHTuJAZcZ0PtYAAAAJ&#10;AQAADwAAAGRycy9kb3ducmV2LnhtbE2PTU/DMAyG70j7D5GRuEwsaScmWpruMOiNC9sQV68xbUXj&#10;dE32Ab+eTBzY8bUfvX5cLM+2F0cafedYQzJTIIhrZzpuNGw31f0jCB+QDfaOScM3eViWk5sCc+NO&#10;/EbHdWhELGGfo4Y2hCGX0tctWfQzNxDH3acbLYYYx0aaEU+x3PYyVWohLXYcL7Q40Kql+mt9sBp8&#10;9U776mdaT9XHvHGU7p9fX1Dru9tEPYEIdA7/MFz0ozqU0WnnDmy86GPOsoeIapgnKYgLkGULELu/&#10;gSwLef1B+QtQSwMEFAAAAAgAh07iQM53u0bbAQAA4QMAAA4AAABkcnMvZTJvRG9jLnhtbK1TTW/b&#10;MAy9D9h/EHRfnKRosRlxemjWXYYtwLYfwOjDFqAviEqc/PtRspt13SWH+SBTIvXI90htHs/OspNK&#10;aILv+Gqx5Ex5EaTxfcd//Xz+8JEzzOAl2OBVxy8K+eP2/bvNGFu1DkOwUiVGIB7bMXZ8yDm2TYNi&#10;UA5wEaLy5NQhOci0TX0jE4yE7myzXi4fmjEkGVMQCpFOd5OTz4jpFsCgtRFqF8TRKZ8n1KQsZKKE&#10;g4nIt7VarZXI37VGlZntODHNdaUkZB/K2mw30PYJ4mDEXALcUsIbTg6Mp6RXqB1kYMdk/oFyRqSA&#10;QeeFCK6ZiFRFiMVq+UabHwNEVbmQ1BivouP/gxXfTvvEjOz4PWceHDV8tbxbFV3GiC25n/w+zTuM&#10;+1RInnVy5U/ls3PV8nLVUp0zE3T4cEeA4uW8+XMpJsxfVHCsGB23xheK0MLpK2ZKRKEvIeXYejZ2&#10;/NP9usABzZumPpPpItWMvq93MVgjn4215Qam/vBkEztB6Xn9Ch3C/SusJNkBDlNcdU3TMCiQn71k&#10;+RJJDU+PgJcSnJKcWUVvplgECG0GY2+JpNTWlwuqTuTMs+g7KVqsQ5AX6sQxJtMPpEttQVM81Pla&#10;/TylZbRe78l+/TK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xnQ+1gAAAAkBAAAPAAAAAAAA&#10;AAEAIAAAACIAAABkcnMvZG93bnJldi54bWxQSwECFAAUAAAACACHTuJAzne7RtsBAADhAwAADgAA&#10;AAAAAAABACAAAAAlAQAAZHJzL2Uyb0RvYy54bWxQSwUGAAAAAAYABgBZAQAAcgUAAAAA&#10;">
                <v:fill on="f" focussize="0,0"/>
                <v:stroke color="#000000" joinstyle="round"/>
                <v:imagedata o:title=""/>
                <o:lock v:ext="edit" aspectratio="f"/>
              </v:line>
            </w:pict>
          </mc:Fallback>
        </mc:AlternateContent>
      </w:r>
      <w:r>
        <w:rPr>
          <w:rFonts w:ascii="Calibri" w:hAnsi="Calibri" w:eastAsia="宋体"/>
        </w:rPr>
        <mc:AlternateContent>
          <mc:Choice Requires="wps">
            <w:drawing>
              <wp:anchor distT="0" distB="0" distL="114300" distR="114300" simplePos="0" relativeHeight="251668480" behindDoc="0" locked="0" layoutInCell="0" allowOverlap="1">
                <wp:simplePos x="0" y="0"/>
                <wp:positionH relativeFrom="column">
                  <wp:posOffset>1000125</wp:posOffset>
                </wp:positionH>
                <wp:positionV relativeFrom="paragraph">
                  <wp:posOffset>198120</wp:posOffset>
                </wp:positionV>
                <wp:extent cx="635" cy="0"/>
                <wp:effectExtent l="0" t="4445" r="0" b="5080"/>
                <wp:wrapNone/>
                <wp:docPr id="6" name="103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2" o:spid="_x0000_s1026" o:spt="20" style="position:absolute;left:0pt;margin-left:78.75pt;margin-top:15.6pt;height:0pt;width:0.05pt;z-index:251668480;mso-width-relative:page;mso-height-relative:page;" filled="f" stroked="t" coordsize="21600,21600" o:allowincell="f" o:gfxdata="UEsDBAoAAAAAAIdO4kAAAAAAAAAAAAAAAAAEAAAAZHJzL1BLAwQUAAAACACHTuJAKpNcwNUAAAAJ&#10;AQAADwAAAGRycy9kb3ducmV2LnhtbE2PTU/DMAyG70j8h8hIXCaWtFM3VJruAPS2CwPE1WtMW9E4&#10;XZN9/noy7QDH1370+nGxPNpe7Gn0nWMNyVSBIK6d6bjR8PFePTyC8AHZYO+YNJzIw7K8vSkwN+7A&#10;b7Rfh0bEEvY5amhDGHIpfd2SRT91A3HcfbvRYohxbKQZ8RDLbS9TpebSYsfxQosDPbdU/6x3VoOv&#10;PmlbnSf1RH3NGkfp9mX1ilrf3yXqCUSgY/iD4aIf1aGMThu3Y+NFH3O2yCKqYZakIC5AtpiD2FwH&#10;sizk/w/KX1BLAwQUAAAACACHTuJAGVQt7NsBAADhAwAADgAAAGRycy9lMm9Eb2MueG1srVNNb9sw&#10;DL0P2H8QdG/spGiwGXF6aNpdhi3Ath/ASLItQF8QlTj596NkN+u6Sw7zQaZE6pHvkdo8nq1hJxVR&#10;e9fy5aLmTDnhpXZ9y3/9fLn7xBkmcBKMd6rlF4X8cfvxw2YMjVr5wRupIiMQh80YWj6kFJqqQjEo&#10;C7jwQTlydj5aSLSNfSUjjIRuTbWq63U1+ihD9EIh0ulucvIZMd4C6LtOC7Xz4miVSxNqVAYSUcJB&#10;B+TbUm3XKZG+dx2qxEzLiWkqKyUh+5DXaruBpo8QBi3mEuCWEt5xsqAdJb1C7SABO0b9D5TVInr0&#10;XVoIb6uJSFGEWCzrd9r8GCCowoWkxnAVHf8frPh22kemZcvXnDmw1PBlfb/KuowBG3I/uX2cdxj2&#10;MZM8d9HmP5XPzkXLy1VLdU5M0OH6/oEz8Xpe/bkUIqYvyluWjZYb7TJFaOD0FRMlotDXkHxsHBtb&#10;/vlhleGA5q2jPpNpA9WMri930RstX7Qx+QbG/vBkIjtB7nn5Mh3C/SssJ9kBDlNccU3TMCiQz06y&#10;dAmkhqNHwHMJVknOjKI3ky0ChCaBNrdEUmrj8gVVJnLmmfWdFM3WwcsLdeIYou4H0mVZas4e6nyp&#10;fp7SPFpv92S/fZn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TXMDVAAAACQEAAA8AAAAAAAAA&#10;AQAgAAAAIgAAAGRycy9kb3ducmV2LnhtbFBLAQIUABQAAAAIAIdO4kAZVC3s2wEAAOE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30"/>
        </w:rPr>
        <w:t>工程名称</w:t>
      </w:r>
      <w:r>
        <w:rPr>
          <w:rFonts w:hint="eastAsia" w:ascii="宋体" w:hAnsi="宋体"/>
          <w:sz w:val="30"/>
          <w:szCs w:val="30"/>
        </w:rPr>
        <w:t>：</w:t>
      </w:r>
    </w:p>
    <w:p w14:paraId="7DC6D057">
      <w:pPr>
        <w:ind w:firstLine="1365" w:firstLineChars="650"/>
        <w:rPr>
          <w:rFonts w:ascii="??" w:hAnsi="??" w:eastAsia="Times New Roman"/>
          <w:sz w:val="30"/>
          <w:szCs w:val="30"/>
        </w:rPr>
      </w:pPr>
      <w:r>
        <w:rPr>
          <w:rFonts w:ascii="Calibri" w:hAnsi="Calibri" w:eastAsia="宋体"/>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297180</wp:posOffset>
                </wp:positionV>
                <wp:extent cx="2628900" cy="0"/>
                <wp:effectExtent l="0" t="4445" r="0" b="5080"/>
                <wp:wrapNone/>
                <wp:docPr id="9" name="1033"/>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3" o:spid="_x0000_s1026" o:spt="20" style="position:absolute;left:0pt;margin-left:153pt;margin-top:23.4pt;height:0pt;width:207pt;z-index:251670528;mso-width-relative:page;mso-height-relative:page;" filled="f" stroked="t" coordsize="21600,21600" o:gfxdata="UEsDBAoAAAAAAIdO4kAAAAAAAAAAAAAAAAAEAAAAZHJzL1BLAwQUAAAACACHTuJAyNu2/dYAAAAJ&#10;AQAADwAAAGRycy9kb3ducmV2LnhtbE2PzU7DMBCE70i8g7VIXKrWbotSFOL0AOTGhRbEdRsvSUS8&#10;TmP3B56eRRzguLOjmfmK9dn36khj7AJbmM8MKOI6uI4bCy/banoLKiZkh31gsvBJEdbl5UWBuQsn&#10;fqbjJjVKQjjmaKFNaci1jnVLHuMsDMTyew+jxyTn2Gg34knCfa8XxmTaY8fS0OJA9y3VH5uDtxCr&#10;V9pXX5N6Yt6WTaDF/uHpEa29vpqbO1CJzunPDD/zZTqUsmkXDuyi6i0sTSYsycJNJghiWEkfqN2v&#10;oMtC/ycovwFQSwMEFAAAAAgAh07iQGLOiqzfAQAA5QMAAA4AAABkcnMvZTJvRG9jLnhtbK1TTW/b&#10;MAy9D9h/EHRv7Lho0RpxemjaXYYtwLYfwEiyLUBfEJU4+fej5DTruksO80GmROqR75FaPR2tYQcV&#10;UXvX8eWi5kw54aV2Q8d//Xy9eeAMEzgJxjvV8ZNC/rT+/Gk1hVY1fvRGqsgIxGE7hY6PKYW2qlCM&#10;ygIufFCOnL2PFhJt41DJCBOhW1M1dX1fTT7KEL1QiHS6mZ38jBivAfR9r4XaeLG3yqUZNSoDiSjh&#10;qAPydam275VI3/seVWKm48Q0lZWSkL3La7VeQTtECKMW5xLgmhI+cLKgHSW9QG0gAdtH/Q+U1SJ6&#10;9H1aCG+rmUhRhFgs6w/a/BghqMKFpMZwER3/H6z4dthGpmXHHzlzYKnhy/r2NusyBWzJ/ey28bzD&#10;sI2Z5LGPNv+pfHYsWp4uWqpjYoIOm/vm4bEmmcWbr/pzMURMX5S3LBsdN9plmtDC4SsmSkahbyH5&#10;2Dg2UYF3zR3BAc1cT70m0waqG91Q7qI3Wr5qY/INjMPu2UR2gNz38mVKhPtXWE6yARznuOKaJ2JU&#10;IF+cZOkUSBFHD4HnEqySnBlF7yZbBAhtAm2uiaTUxuULqkzlmWfWeFY1WzsvT9SNfYh6GEmXZak5&#10;e6j7pfrzpObxer8n+/3r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Nu2/dYAAAAJAQAADwAA&#10;AAAAAAABACAAAAAiAAAAZHJzL2Rvd25yZXYueG1sUEsBAhQAFAAAAAgAh07iQGLOiqzfAQAA5Q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sz w:val="30"/>
          <w:szCs w:val="30"/>
        </w:rPr>
        <w:t>编   号：</w:t>
      </w:r>
    </w:p>
    <w:tbl>
      <w:tblPr>
        <w:tblStyle w:val="62"/>
        <w:tblpPr w:leftFromText="180" w:rightFromText="180" w:vertAnchor="text" w:horzAnchor="page" w:tblpX="1374" w:tblpY="123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1260"/>
        <w:gridCol w:w="1980"/>
        <w:gridCol w:w="1620"/>
        <w:gridCol w:w="1620"/>
      </w:tblGrid>
      <w:tr w14:paraId="0F80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720" w:type="dxa"/>
            <w:gridSpan w:val="6"/>
            <w:tcBorders>
              <w:top w:val="single" w:color="auto" w:sz="8" w:space="0"/>
              <w:left w:val="single" w:color="auto" w:sz="8" w:space="0"/>
              <w:right w:val="single" w:color="auto" w:sz="8" w:space="0"/>
            </w:tcBorders>
          </w:tcPr>
          <w:p w14:paraId="38D13A51">
            <w:pPr>
              <w:spacing w:before="360" w:line="360" w:lineRule="auto"/>
              <w:ind w:right="284"/>
              <w:rPr>
                <w:rFonts w:ascii="??" w:hAnsi="??" w:eastAsia="Times New Roman"/>
              </w:rPr>
            </w:pPr>
            <w:r>
              <w:rPr>
                <w:rFonts w:hint="eastAsia" w:ascii="宋体" w:hAnsi="宋体"/>
              </w:rPr>
              <w:t>经监督，本工程竣工技术资料基本齐全，有关建设工程质量的法律、法规、强制性标准的执行情况基本符合要求，结构质量已经过相关验收认可，并通过工程结构及功能项目监督检查及抽样检测。</w:t>
            </w:r>
          </w:p>
          <w:p w14:paraId="03556538">
            <w:pPr>
              <w:spacing w:line="360" w:lineRule="auto"/>
              <w:ind w:left="284" w:right="284" w:firstLine="645"/>
              <w:rPr>
                <w:rFonts w:ascii="??" w:hAnsi="??" w:eastAsia="Times New Roman"/>
              </w:rPr>
            </w:pPr>
            <w:r>
              <w:rPr>
                <w:rFonts w:hint="eastAsia" w:ascii="宋体" w:hAnsi="宋体"/>
              </w:rPr>
              <w:t>经年月日对该工程竣工验收进行监督，该工程已基本具备竣工验收条件。</w:t>
            </w:r>
          </w:p>
          <w:p w14:paraId="168C76C4">
            <w:pPr>
              <w:spacing w:line="360" w:lineRule="auto"/>
              <w:ind w:left="284" w:right="284" w:firstLine="645"/>
              <w:rPr>
                <w:rFonts w:ascii="??" w:hAnsi="??" w:eastAsia="Times New Roman"/>
                <w:sz w:val="28"/>
              </w:rPr>
            </w:pPr>
            <w:r>
              <w:rPr>
                <w:rFonts w:hint="eastAsia" w:ascii="宋体" w:hAnsi="宋体"/>
              </w:rPr>
              <w:t>全部监督资料附后，目录详封底。</w:t>
            </w:r>
          </w:p>
        </w:tc>
      </w:tr>
      <w:tr w14:paraId="4E3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720" w:type="dxa"/>
            <w:vMerge w:val="restart"/>
            <w:tcBorders>
              <w:left w:val="single" w:color="auto" w:sz="8" w:space="0"/>
            </w:tcBorders>
            <w:vAlign w:val="center"/>
          </w:tcPr>
          <w:p w14:paraId="238BFFA1">
            <w:pPr>
              <w:rPr>
                <w:rFonts w:ascii="??" w:hAnsi="??" w:eastAsia="Times New Roman"/>
                <w:sz w:val="28"/>
              </w:rPr>
            </w:pPr>
            <w:r>
              <w:rPr>
                <w:rFonts w:hint="eastAsia" w:ascii="宋体" w:hAnsi="宋体"/>
                <w:sz w:val="28"/>
              </w:rPr>
              <w:t>签</w:t>
            </w:r>
          </w:p>
          <w:p w14:paraId="137F236F">
            <w:pPr>
              <w:rPr>
                <w:rFonts w:ascii="??" w:hAnsi="??" w:eastAsia="Times New Roman"/>
                <w:sz w:val="28"/>
              </w:rPr>
            </w:pPr>
            <w:r>
              <w:rPr>
                <w:rFonts w:hint="eastAsia" w:ascii="宋体" w:hAnsi="宋体"/>
                <w:sz w:val="28"/>
              </w:rPr>
              <w:t>证</w:t>
            </w:r>
          </w:p>
          <w:p w14:paraId="6B4C8A9F">
            <w:pPr>
              <w:rPr>
                <w:rFonts w:ascii="??" w:hAnsi="??" w:eastAsia="Times New Roman"/>
                <w:sz w:val="28"/>
              </w:rPr>
            </w:pPr>
            <w:r>
              <w:rPr>
                <w:rFonts w:hint="eastAsia" w:ascii="宋体" w:hAnsi="宋体"/>
                <w:sz w:val="28"/>
              </w:rPr>
              <w:t>情</w:t>
            </w:r>
          </w:p>
          <w:p w14:paraId="16451980">
            <w:pPr>
              <w:rPr>
                <w:rFonts w:ascii="??" w:hAnsi="??" w:eastAsia="Times New Roman"/>
                <w:sz w:val="28"/>
              </w:rPr>
            </w:pPr>
            <w:r>
              <w:rPr>
                <w:rFonts w:hint="eastAsia" w:ascii="宋体" w:hAnsi="宋体"/>
                <w:sz w:val="28"/>
              </w:rPr>
              <w:t>况</w:t>
            </w:r>
          </w:p>
        </w:tc>
        <w:tc>
          <w:tcPr>
            <w:tcW w:w="2520" w:type="dxa"/>
            <w:vAlign w:val="center"/>
          </w:tcPr>
          <w:p w14:paraId="7A656D36">
            <w:pPr>
              <w:jc w:val="center"/>
              <w:rPr>
                <w:rFonts w:ascii="??" w:hAnsi="??" w:eastAsia="Times New Roman"/>
                <w:sz w:val="28"/>
              </w:rPr>
            </w:pPr>
          </w:p>
        </w:tc>
        <w:tc>
          <w:tcPr>
            <w:tcW w:w="1260" w:type="dxa"/>
            <w:vAlign w:val="center"/>
          </w:tcPr>
          <w:p w14:paraId="01E57D2C">
            <w:pPr>
              <w:jc w:val="center"/>
              <w:rPr>
                <w:rFonts w:ascii="??" w:hAnsi="??" w:eastAsia="Times New Roman"/>
                <w:sz w:val="30"/>
              </w:rPr>
            </w:pPr>
            <w:r>
              <w:rPr>
                <w:rFonts w:hint="eastAsia" w:ascii="宋体" w:hAnsi="宋体"/>
                <w:sz w:val="30"/>
              </w:rPr>
              <w:t>姓名</w:t>
            </w:r>
          </w:p>
        </w:tc>
        <w:tc>
          <w:tcPr>
            <w:tcW w:w="1980" w:type="dxa"/>
            <w:vAlign w:val="center"/>
          </w:tcPr>
          <w:p w14:paraId="2BD5DC76">
            <w:pPr>
              <w:jc w:val="center"/>
              <w:rPr>
                <w:rFonts w:ascii="??" w:hAnsi="??" w:eastAsia="Times New Roman"/>
                <w:sz w:val="30"/>
              </w:rPr>
            </w:pPr>
            <w:r>
              <w:rPr>
                <w:rFonts w:hint="eastAsia" w:ascii="宋体" w:hAnsi="宋体"/>
                <w:sz w:val="30"/>
              </w:rPr>
              <w:t>部门（专业）</w:t>
            </w:r>
          </w:p>
        </w:tc>
        <w:tc>
          <w:tcPr>
            <w:tcW w:w="1620" w:type="dxa"/>
            <w:vAlign w:val="center"/>
          </w:tcPr>
          <w:p w14:paraId="3ECAD27A">
            <w:pPr>
              <w:jc w:val="center"/>
              <w:rPr>
                <w:rFonts w:ascii="??" w:hAnsi="??" w:eastAsia="Times New Roman"/>
                <w:sz w:val="30"/>
              </w:rPr>
            </w:pPr>
            <w:r>
              <w:rPr>
                <w:rFonts w:hint="eastAsia" w:ascii="宋体" w:hAnsi="宋体"/>
                <w:sz w:val="30"/>
              </w:rPr>
              <w:t>证件号码</w:t>
            </w:r>
          </w:p>
        </w:tc>
        <w:tc>
          <w:tcPr>
            <w:tcW w:w="1620" w:type="dxa"/>
            <w:tcBorders>
              <w:right w:val="single" w:color="auto" w:sz="8" w:space="0"/>
            </w:tcBorders>
            <w:vAlign w:val="center"/>
          </w:tcPr>
          <w:p w14:paraId="38F361AC">
            <w:pPr>
              <w:jc w:val="center"/>
              <w:rPr>
                <w:rFonts w:ascii="??" w:hAnsi="??" w:eastAsia="Times New Roman"/>
                <w:sz w:val="30"/>
              </w:rPr>
            </w:pPr>
            <w:r>
              <w:rPr>
                <w:rFonts w:hint="eastAsia" w:ascii="宋体" w:hAnsi="宋体"/>
                <w:sz w:val="30"/>
              </w:rPr>
              <w:t>签证日期</w:t>
            </w:r>
          </w:p>
        </w:tc>
      </w:tr>
      <w:tr w14:paraId="465F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720" w:type="dxa"/>
            <w:vMerge w:val="continue"/>
            <w:tcBorders>
              <w:left w:val="single" w:color="auto" w:sz="8" w:space="0"/>
            </w:tcBorders>
            <w:vAlign w:val="center"/>
          </w:tcPr>
          <w:p w14:paraId="4BF49A18">
            <w:pPr>
              <w:jc w:val="center"/>
              <w:rPr>
                <w:rFonts w:ascii="??" w:hAnsi="??" w:eastAsia="Times New Roman"/>
                <w:sz w:val="28"/>
              </w:rPr>
            </w:pPr>
          </w:p>
        </w:tc>
        <w:tc>
          <w:tcPr>
            <w:tcW w:w="2520" w:type="dxa"/>
            <w:vMerge w:val="restart"/>
            <w:vAlign w:val="center"/>
          </w:tcPr>
          <w:p w14:paraId="0989B9E5">
            <w:pPr>
              <w:jc w:val="center"/>
              <w:rPr>
                <w:rFonts w:ascii="??" w:hAnsi="??" w:eastAsia="Times New Roman"/>
                <w:sz w:val="30"/>
              </w:rPr>
            </w:pPr>
            <w:r>
              <w:rPr>
                <w:rFonts w:hint="eastAsia" w:ascii="宋体" w:hAnsi="宋体"/>
                <w:sz w:val="30"/>
              </w:rPr>
              <w:t>监督人员</w:t>
            </w:r>
          </w:p>
        </w:tc>
        <w:tc>
          <w:tcPr>
            <w:tcW w:w="1260" w:type="dxa"/>
            <w:vAlign w:val="center"/>
          </w:tcPr>
          <w:p w14:paraId="44B92A8F">
            <w:pPr>
              <w:jc w:val="center"/>
              <w:rPr>
                <w:rFonts w:ascii="??" w:hAnsi="??" w:eastAsia="Times New Roman"/>
                <w:sz w:val="28"/>
              </w:rPr>
            </w:pPr>
          </w:p>
        </w:tc>
        <w:tc>
          <w:tcPr>
            <w:tcW w:w="1980" w:type="dxa"/>
            <w:vAlign w:val="center"/>
          </w:tcPr>
          <w:p w14:paraId="49D42D7F">
            <w:pPr>
              <w:jc w:val="center"/>
              <w:rPr>
                <w:rFonts w:ascii="??" w:hAnsi="??" w:eastAsia="Times New Roman"/>
                <w:sz w:val="28"/>
              </w:rPr>
            </w:pPr>
          </w:p>
        </w:tc>
        <w:tc>
          <w:tcPr>
            <w:tcW w:w="1620" w:type="dxa"/>
            <w:vAlign w:val="center"/>
          </w:tcPr>
          <w:p w14:paraId="06225BC0">
            <w:pPr>
              <w:jc w:val="center"/>
              <w:rPr>
                <w:rFonts w:ascii="??" w:hAnsi="??" w:eastAsia="Times New Roman"/>
                <w:sz w:val="28"/>
              </w:rPr>
            </w:pPr>
          </w:p>
        </w:tc>
        <w:tc>
          <w:tcPr>
            <w:tcW w:w="1620" w:type="dxa"/>
            <w:tcBorders>
              <w:right w:val="single" w:color="auto" w:sz="8" w:space="0"/>
            </w:tcBorders>
            <w:vAlign w:val="center"/>
          </w:tcPr>
          <w:p w14:paraId="0734F973">
            <w:pPr>
              <w:jc w:val="center"/>
              <w:rPr>
                <w:rFonts w:ascii="??" w:hAnsi="??" w:eastAsia="Times New Roman"/>
                <w:sz w:val="28"/>
              </w:rPr>
            </w:pPr>
          </w:p>
        </w:tc>
      </w:tr>
      <w:tr w14:paraId="3405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20" w:type="dxa"/>
            <w:vMerge w:val="continue"/>
            <w:tcBorders>
              <w:left w:val="single" w:color="auto" w:sz="8" w:space="0"/>
            </w:tcBorders>
            <w:vAlign w:val="center"/>
          </w:tcPr>
          <w:p w14:paraId="618052BC">
            <w:pPr>
              <w:jc w:val="center"/>
              <w:rPr>
                <w:rFonts w:ascii="??" w:hAnsi="??" w:eastAsia="Times New Roman"/>
                <w:sz w:val="28"/>
              </w:rPr>
            </w:pPr>
          </w:p>
        </w:tc>
        <w:tc>
          <w:tcPr>
            <w:tcW w:w="2520" w:type="dxa"/>
            <w:vMerge w:val="continue"/>
            <w:vAlign w:val="center"/>
          </w:tcPr>
          <w:p w14:paraId="18C9411C">
            <w:pPr>
              <w:jc w:val="center"/>
              <w:rPr>
                <w:rFonts w:ascii="??" w:hAnsi="??" w:eastAsia="Times New Roman"/>
                <w:sz w:val="30"/>
              </w:rPr>
            </w:pPr>
          </w:p>
        </w:tc>
        <w:tc>
          <w:tcPr>
            <w:tcW w:w="1260" w:type="dxa"/>
            <w:vAlign w:val="center"/>
          </w:tcPr>
          <w:p w14:paraId="183B59A3">
            <w:pPr>
              <w:jc w:val="center"/>
              <w:rPr>
                <w:rFonts w:ascii="??" w:hAnsi="??" w:eastAsia="Times New Roman"/>
                <w:sz w:val="28"/>
              </w:rPr>
            </w:pPr>
          </w:p>
        </w:tc>
        <w:tc>
          <w:tcPr>
            <w:tcW w:w="1980" w:type="dxa"/>
            <w:vAlign w:val="center"/>
          </w:tcPr>
          <w:p w14:paraId="4A320033">
            <w:pPr>
              <w:jc w:val="center"/>
              <w:rPr>
                <w:rFonts w:ascii="??" w:hAnsi="??" w:eastAsia="Times New Roman"/>
                <w:sz w:val="28"/>
              </w:rPr>
            </w:pPr>
          </w:p>
        </w:tc>
        <w:tc>
          <w:tcPr>
            <w:tcW w:w="1620" w:type="dxa"/>
            <w:vAlign w:val="center"/>
          </w:tcPr>
          <w:p w14:paraId="2CDAC917">
            <w:pPr>
              <w:jc w:val="center"/>
              <w:rPr>
                <w:rFonts w:ascii="??" w:hAnsi="??" w:eastAsia="Times New Roman"/>
                <w:sz w:val="28"/>
              </w:rPr>
            </w:pPr>
          </w:p>
        </w:tc>
        <w:tc>
          <w:tcPr>
            <w:tcW w:w="1620" w:type="dxa"/>
            <w:tcBorders>
              <w:right w:val="single" w:color="auto" w:sz="8" w:space="0"/>
            </w:tcBorders>
            <w:vAlign w:val="center"/>
          </w:tcPr>
          <w:p w14:paraId="1316B7B5">
            <w:pPr>
              <w:jc w:val="center"/>
              <w:rPr>
                <w:rFonts w:ascii="??" w:hAnsi="??" w:eastAsia="Times New Roman"/>
                <w:sz w:val="28"/>
              </w:rPr>
            </w:pPr>
          </w:p>
        </w:tc>
      </w:tr>
      <w:tr w14:paraId="2774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Merge w:val="continue"/>
            <w:tcBorders>
              <w:left w:val="single" w:color="auto" w:sz="8" w:space="0"/>
            </w:tcBorders>
            <w:vAlign w:val="center"/>
          </w:tcPr>
          <w:p w14:paraId="73B82F5C">
            <w:pPr>
              <w:jc w:val="center"/>
              <w:rPr>
                <w:rFonts w:ascii="??" w:hAnsi="??" w:eastAsia="Times New Roman"/>
                <w:sz w:val="28"/>
              </w:rPr>
            </w:pPr>
          </w:p>
        </w:tc>
        <w:tc>
          <w:tcPr>
            <w:tcW w:w="2520" w:type="dxa"/>
            <w:vAlign w:val="center"/>
          </w:tcPr>
          <w:p w14:paraId="3A365CAA">
            <w:pPr>
              <w:jc w:val="center"/>
              <w:rPr>
                <w:rFonts w:ascii="??" w:hAnsi="??" w:eastAsia="Times New Roman"/>
                <w:sz w:val="30"/>
              </w:rPr>
            </w:pPr>
            <w:r>
              <w:rPr>
                <w:rFonts w:hint="eastAsia" w:ascii="宋体" w:hAnsi="宋体"/>
                <w:sz w:val="30"/>
              </w:rPr>
              <w:t>科长（区站站长）</w:t>
            </w:r>
          </w:p>
        </w:tc>
        <w:tc>
          <w:tcPr>
            <w:tcW w:w="1260" w:type="dxa"/>
            <w:vAlign w:val="center"/>
          </w:tcPr>
          <w:p w14:paraId="4808EA9D">
            <w:pPr>
              <w:jc w:val="center"/>
              <w:rPr>
                <w:rFonts w:ascii="??" w:hAnsi="??" w:eastAsia="Times New Roman"/>
                <w:sz w:val="28"/>
              </w:rPr>
            </w:pPr>
          </w:p>
        </w:tc>
        <w:tc>
          <w:tcPr>
            <w:tcW w:w="1980" w:type="dxa"/>
            <w:vAlign w:val="center"/>
          </w:tcPr>
          <w:p w14:paraId="44E1DC63">
            <w:pPr>
              <w:jc w:val="center"/>
              <w:rPr>
                <w:rFonts w:ascii="??" w:hAnsi="??" w:eastAsia="Times New Roman"/>
                <w:sz w:val="28"/>
              </w:rPr>
            </w:pPr>
          </w:p>
        </w:tc>
        <w:tc>
          <w:tcPr>
            <w:tcW w:w="1620" w:type="dxa"/>
            <w:vAlign w:val="center"/>
          </w:tcPr>
          <w:p w14:paraId="143F3006">
            <w:pPr>
              <w:jc w:val="center"/>
              <w:rPr>
                <w:rFonts w:ascii="??" w:hAnsi="??" w:eastAsia="Times New Roman"/>
                <w:sz w:val="28"/>
              </w:rPr>
            </w:pPr>
          </w:p>
        </w:tc>
        <w:tc>
          <w:tcPr>
            <w:tcW w:w="1620" w:type="dxa"/>
            <w:tcBorders>
              <w:right w:val="single" w:color="auto" w:sz="8" w:space="0"/>
            </w:tcBorders>
            <w:vAlign w:val="center"/>
          </w:tcPr>
          <w:p w14:paraId="75118849">
            <w:pPr>
              <w:jc w:val="center"/>
              <w:rPr>
                <w:rFonts w:ascii="??" w:hAnsi="??" w:eastAsia="Times New Roman"/>
                <w:sz w:val="28"/>
              </w:rPr>
            </w:pPr>
          </w:p>
        </w:tc>
      </w:tr>
      <w:tr w14:paraId="19F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720" w:type="dxa"/>
            <w:vMerge w:val="continue"/>
            <w:tcBorders>
              <w:left w:val="single" w:color="auto" w:sz="8" w:space="0"/>
              <w:bottom w:val="single" w:color="auto" w:sz="8" w:space="0"/>
            </w:tcBorders>
            <w:vAlign w:val="center"/>
          </w:tcPr>
          <w:p w14:paraId="38D8D969">
            <w:pPr>
              <w:jc w:val="center"/>
              <w:rPr>
                <w:rFonts w:ascii="??" w:hAnsi="??" w:eastAsia="Times New Roman"/>
                <w:sz w:val="28"/>
              </w:rPr>
            </w:pPr>
          </w:p>
        </w:tc>
        <w:tc>
          <w:tcPr>
            <w:tcW w:w="2520" w:type="dxa"/>
            <w:tcBorders>
              <w:bottom w:val="single" w:color="auto" w:sz="8" w:space="0"/>
            </w:tcBorders>
            <w:vAlign w:val="center"/>
          </w:tcPr>
          <w:p w14:paraId="60BD3D1C">
            <w:pPr>
              <w:jc w:val="center"/>
              <w:rPr>
                <w:rFonts w:ascii="??" w:hAnsi="??" w:eastAsia="Times New Roman"/>
                <w:sz w:val="30"/>
              </w:rPr>
            </w:pPr>
            <w:r>
              <w:rPr>
                <w:rFonts w:hint="eastAsia" w:ascii="宋体" w:hAnsi="宋体"/>
                <w:sz w:val="30"/>
              </w:rPr>
              <w:t>总站分管站长</w:t>
            </w:r>
          </w:p>
        </w:tc>
        <w:tc>
          <w:tcPr>
            <w:tcW w:w="1260" w:type="dxa"/>
            <w:tcBorders>
              <w:bottom w:val="single" w:color="auto" w:sz="8" w:space="0"/>
            </w:tcBorders>
            <w:vAlign w:val="center"/>
          </w:tcPr>
          <w:p w14:paraId="344A670A">
            <w:pPr>
              <w:jc w:val="center"/>
              <w:rPr>
                <w:rFonts w:ascii="??" w:hAnsi="??" w:eastAsia="Times New Roman"/>
                <w:sz w:val="28"/>
              </w:rPr>
            </w:pPr>
          </w:p>
        </w:tc>
        <w:tc>
          <w:tcPr>
            <w:tcW w:w="1980" w:type="dxa"/>
            <w:tcBorders>
              <w:bottom w:val="single" w:color="auto" w:sz="8" w:space="0"/>
            </w:tcBorders>
            <w:vAlign w:val="center"/>
          </w:tcPr>
          <w:p w14:paraId="0BF6CC70">
            <w:pPr>
              <w:jc w:val="center"/>
              <w:rPr>
                <w:rFonts w:ascii="??" w:hAnsi="??" w:eastAsia="Times New Roman"/>
                <w:sz w:val="28"/>
              </w:rPr>
            </w:pPr>
          </w:p>
        </w:tc>
        <w:tc>
          <w:tcPr>
            <w:tcW w:w="1620" w:type="dxa"/>
            <w:tcBorders>
              <w:bottom w:val="single" w:color="auto" w:sz="8" w:space="0"/>
            </w:tcBorders>
            <w:vAlign w:val="center"/>
          </w:tcPr>
          <w:p w14:paraId="307CEB12">
            <w:pPr>
              <w:jc w:val="center"/>
              <w:rPr>
                <w:rFonts w:ascii="??" w:hAnsi="??" w:eastAsia="Times New Roman"/>
                <w:sz w:val="28"/>
              </w:rPr>
            </w:pPr>
          </w:p>
        </w:tc>
        <w:tc>
          <w:tcPr>
            <w:tcW w:w="1620" w:type="dxa"/>
            <w:tcBorders>
              <w:bottom w:val="single" w:color="auto" w:sz="8" w:space="0"/>
              <w:right w:val="single" w:color="auto" w:sz="8" w:space="0"/>
            </w:tcBorders>
            <w:vAlign w:val="center"/>
          </w:tcPr>
          <w:p w14:paraId="7635D034">
            <w:pPr>
              <w:jc w:val="center"/>
              <w:rPr>
                <w:rFonts w:ascii="??" w:hAnsi="??" w:eastAsia="Times New Roman"/>
                <w:sz w:val="28"/>
              </w:rPr>
            </w:pPr>
          </w:p>
        </w:tc>
      </w:tr>
    </w:tbl>
    <w:p w14:paraId="7B24234D">
      <w:pPr>
        <w:rPr>
          <w:rFonts w:ascii="黑体" w:hAnsi="黑体" w:eastAsia="黑体"/>
          <w:bCs/>
          <w:sz w:val="44"/>
          <w:szCs w:val="44"/>
        </w:rPr>
      </w:pPr>
      <w:r>
        <w:rPr>
          <w:rFonts w:hint="eastAsia" w:ascii="黑体" w:hAnsi="黑体" w:eastAsia="黑体"/>
          <w:bCs/>
          <w:sz w:val="44"/>
          <w:szCs w:val="44"/>
        </w:rPr>
        <w:br w:type="page"/>
      </w:r>
    </w:p>
    <w:p w14:paraId="2CFF1B2A">
      <w:pPr>
        <w:spacing w:afterLines="50"/>
        <w:jc w:val="center"/>
        <w:rPr>
          <w:rFonts w:ascii="黑体" w:hAnsi="黑体" w:eastAsia="黑体"/>
          <w:bCs/>
          <w:sz w:val="44"/>
          <w:szCs w:val="44"/>
        </w:rPr>
      </w:pPr>
      <w:r>
        <w:rPr>
          <w:rFonts w:hint="eastAsia" w:ascii="黑体" w:hAnsi="黑体" w:eastAsia="黑体"/>
          <w:bCs/>
          <w:sz w:val="44"/>
          <w:szCs w:val="44"/>
        </w:rPr>
        <w:t>杭州市新建市政道路工程移交接收检测记录表</w:t>
      </w:r>
    </w:p>
    <w:tbl>
      <w:tblPr>
        <w:tblStyle w:val="62"/>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63"/>
        <w:gridCol w:w="837"/>
        <w:gridCol w:w="2261"/>
        <w:gridCol w:w="468"/>
        <w:gridCol w:w="1053"/>
        <w:gridCol w:w="1152"/>
        <w:gridCol w:w="528"/>
        <w:gridCol w:w="222"/>
        <w:gridCol w:w="1763"/>
        <w:gridCol w:w="14"/>
      </w:tblGrid>
      <w:tr w14:paraId="52D6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restart"/>
            <w:tcBorders>
              <w:top w:val="single" w:color="auto" w:sz="6" w:space="0"/>
              <w:left w:val="single" w:color="auto" w:sz="6" w:space="0"/>
            </w:tcBorders>
            <w:vAlign w:val="center"/>
          </w:tcPr>
          <w:p w14:paraId="6C042BF2">
            <w:pPr>
              <w:spacing w:line="260" w:lineRule="exact"/>
              <w:jc w:val="center"/>
              <w:rPr>
                <w:rFonts w:ascii="??" w:hAnsi="??" w:eastAsia="Times New Roman"/>
                <w:b/>
                <w:sz w:val="24"/>
              </w:rPr>
            </w:pPr>
            <w:r>
              <w:rPr>
                <w:rFonts w:hint="eastAsia" w:ascii="宋体" w:hAnsi="宋体"/>
                <w:b/>
                <w:sz w:val="24"/>
              </w:rPr>
              <w:t>工</w:t>
            </w:r>
          </w:p>
          <w:p w14:paraId="796FDB5E">
            <w:pPr>
              <w:spacing w:line="260" w:lineRule="exact"/>
              <w:jc w:val="center"/>
              <w:rPr>
                <w:rFonts w:ascii="??" w:hAnsi="??" w:eastAsia="Times New Roman"/>
                <w:b/>
                <w:sz w:val="24"/>
              </w:rPr>
            </w:pPr>
          </w:p>
          <w:p w14:paraId="0B7F421E">
            <w:pPr>
              <w:spacing w:line="260" w:lineRule="exact"/>
              <w:jc w:val="center"/>
              <w:rPr>
                <w:rFonts w:ascii="??" w:hAnsi="??" w:eastAsia="Times New Roman"/>
                <w:b/>
                <w:sz w:val="24"/>
              </w:rPr>
            </w:pPr>
            <w:r>
              <w:rPr>
                <w:rFonts w:hint="eastAsia" w:ascii="宋体" w:hAnsi="宋体"/>
                <w:b/>
                <w:sz w:val="24"/>
              </w:rPr>
              <w:t>程</w:t>
            </w:r>
          </w:p>
          <w:p w14:paraId="2CA56C73">
            <w:pPr>
              <w:spacing w:line="260" w:lineRule="exact"/>
              <w:jc w:val="center"/>
              <w:rPr>
                <w:rFonts w:ascii="??" w:hAnsi="??" w:eastAsia="Times New Roman"/>
                <w:b/>
                <w:sz w:val="24"/>
              </w:rPr>
            </w:pPr>
          </w:p>
          <w:p w14:paraId="5D75D10C">
            <w:pPr>
              <w:spacing w:line="260" w:lineRule="exact"/>
              <w:jc w:val="center"/>
              <w:rPr>
                <w:rFonts w:ascii="??" w:hAnsi="??" w:eastAsia="Times New Roman"/>
                <w:b/>
                <w:sz w:val="24"/>
              </w:rPr>
            </w:pPr>
            <w:r>
              <w:rPr>
                <w:rFonts w:hint="eastAsia" w:ascii="宋体" w:hAnsi="宋体"/>
                <w:b/>
                <w:sz w:val="24"/>
              </w:rPr>
              <w:t>基</w:t>
            </w:r>
          </w:p>
          <w:p w14:paraId="2DC1B1B3">
            <w:pPr>
              <w:spacing w:line="260" w:lineRule="exact"/>
              <w:jc w:val="center"/>
              <w:rPr>
                <w:rFonts w:ascii="??" w:hAnsi="??" w:eastAsia="Times New Roman"/>
                <w:b/>
                <w:sz w:val="24"/>
              </w:rPr>
            </w:pPr>
          </w:p>
          <w:p w14:paraId="1612C4BE">
            <w:pPr>
              <w:spacing w:line="260" w:lineRule="exact"/>
              <w:jc w:val="center"/>
              <w:rPr>
                <w:rFonts w:ascii="??" w:hAnsi="??" w:eastAsia="Times New Roman"/>
                <w:b/>
                <w:sz w:val="24"/>
              </w:rPr>
            </w:pPr>
            <w:r>
              <w:rPr>
                <w:rFonts w:hint="eastAsia" w:ascii="宋体" w:hAnsi="宋体"/>
                <w:b/>
                <w:sz w:val="24"/>
              </w:rPr>
              <w:t>本</w:t>
            </w:r>
          </w:p>
          <w:p w14:paraId="3DEC4E77">
            <w:pPr>
              <w:spacing w:line="260" w:lineRule="exact"/>
              <w:jc w:val="center"/>
              <w:rPr>
                <w:rFonts w:ascii="??" w:hAnsi="??" w:eastAsia="Times New Roman"/>
                <w:b/>
                <w:sz w:val="24"/>
              </w:rPr>
            </w:pPr>
          </w:p>
          <w:p w14:paraId="5A8D47F0">
            <w:pPr>
              <w:spacing w:line="260" w:lineRule="exact"/>
              <w:jc w:val="center"/>
              <w:rPr>
                <w:rFonts w:ascii="??" w:hAnsi="??" w:eastAsia="Times New Roman"/>
                <w:b/>
                <w:sz w:val="24"/>
              </w:rPr>
            </w:pPr>
            <w:r>
              <w:rPr>
                <w:rFonts w:hint="eastAsia" w:ascii="宋体" w:hAnsi="宋体"/>
                <w:b/>
                <w:sz w:val="24"/>
              </w:rPr>
              <w:t>情</w:t>
            </w:r>
          </w:p>
          <w:p w14:paraId="2014B078">
            <w:pPr>
              <w:spacing w:line="260" w:lineRule="exact"/>
              <w:jc w:val="center"/>
              <w:rPr>
                <w:rFonts w:ascii="??" w:hAnsi="??" w:eastAsia="Times New Roman"/>
                <w:b/>
                <w:sz w:val="24"/>
              </w:rPr>
            </w:pPr>
          </w:p>
          <w:p w14:paraId="1D050B6B">
            <w:pPr>
              <w:spacing w:line="260" w:lineRule="exact"/>
              <w:jc w:val="center"/>
              <w:rPr>
                <w:rFonts w:ascii="??" w:hAnsi="??" w:eastAsia="Times New Roman"/>
                <w:spacing w:val="20"/>
                <w:sz w:val="24"/>
              </w:rPr>
            </w:pPr>
            <w:r>
              <w:rPr>
                <w:rFonts w:hint="eastAsia" w:ascii="宋体" w:hAnsi="宋体"/>
                <w:b/>
                <w:sz w:val="24"/>
              </w:rPr>
              <w:t>况</w:t>
            </w:r>
          </w:p>
        </w:tc>
        <w:tc>
          <w:tcPr>
            <w:tcW w:w="2100" w:type="dxa"/>
            <w:gridSpan w:val="2"/>
            <w:tcBorders>
              <w:top w:val="single" w:color="auto" w:sz="6" w:space="0"/>
            </w:tcBorders>
            <w:vAlign w:val="center"/>
          </w:tcPr>
          <w:p w14:paraId="167508DC">
            <w:pPr>
              <w:spacing w:before="120" w:after="120" w:line="260" w:lineRule="exact"/>
              <w:jc w:val="center"/>
              <w:rPr>
                <w:rFonts w:ascii="宋体" w:hAnsi="宋体"/>
                <w:szCs w:val="21"/>
              </w:rPr>
            </w:pPr>
            <w:r>
              <w:rPr>
                <w:rFonts w:hint="eastAsia" w:ascii="宋体" w:hAnsi="宋体"/>
                <w:szCs w:val="21"/>
              </w:rPr>
              <w:t>工程名称</w:t>
            </w:r>
          </w:p>
        </w:tc>
        <w:tc>
          <w:tcPr>
            <w:tcW w:w="3782" w:type="dxa"/>
            <w:gridSpan w:val="3"/>
            <w:tcBorders>
              <w:top w:val="single" w:color="auto" w:sz="6" w:space="0"/>
            </w:tcBorders>
            <w:vAlign w:val="center"/>
          </w:tcPr>
          <w:p w14:paraId="6A15ABB7">
            <w:pPr>
              <w:spacing w:before="120" w:after="120" w:line="260" w:lineRule="exact"/>
              <w:jc w:val="center"/>
              <w:rPr>
                <w:rFonts w:ascii="??" w:hAnsi="??" w:eastAsia="Times New Roman"/>
                <w:spacing w:val="20"/>
                <w:szCs w:val="21"/>
              </w:rPr>
            </w:pPr>
          </w:p>
        </w:tc>
        <w:tc>
          <w:tcPr>
            <w:tcW w:w="1902" w:type="dxa"/>
            <w:gridSpan w:val="3"/>
            <w:tcBorders>
              <w:top w:val="single" w:color="auto" w:sz="6" w:space="0"/>
            </w:tcBorders>
            <w:vAlign w:val="center"/>
          </w:tcPr>
          <w:p w14:paraId="6CDA1B4C">
            <w:pPr>
              <w:spacing w:before="120" w:after="120" w:line="260" w:lineRule="exact"/>
              <w:jc w:val="center"/>
              <w:rPr>
                <w:rFonts w:ascii="宋体" w:hAnsi="宋体"/>
                <w:szCs w:val="21"/>
              </w:rPr>
            </w:pPr>
            <w:r>
              <w:rPr>
                <w:rFonts w:hint="eastAsia" w:ascii="宋体" w:hAnsi="宋体"/>
                <w:szCs w:val="21"/>
              </w:rPr>
              <w:t>工程造价</w:t>
            </w:r>
            <w:r>
              <w:rPr>
                <w:rFonts w:ascii="宋体" w:hAnsi="宋体"/>
                <w:szCs w:val="21"/>
              </w:rPr>
              <w:t>(</w:t>
            </w:r>
            <w:r>
              <w:rPr>
                <w:rFonts w:hint="eastAsia" w:ascii="宋体" w:hAnsi="宋体"/>
                <w:szCs w:val="21"/>
              </w:rPr>
              <w:t>万元</w:t>
            </w:r>
            <w:r>
              <w:rPr>
                <w:rFonts w:ascii="宋体" w:hAnsi="宋体"/>
                <w:szCs w:val="21"/>
              </w:rPr>
              <w:t>)</w:t>
            </w:r>
          </w:p>
        </w:tc>
        <w:tc>
          <w:tcPr>
            <w:tcW w:w="1777" w:type="dxa"/>
            <w:gridSpan w:val="2"/>
            <w:tcBorders>
              <w:top w:val="single" w:color="auto" w:sz="6" w:space="0"/>
            </w:tcBorders>
            <w:vAlign w:val="center"/>
          </w:tcPr>
          <w:p w14:paraId="1913C9D5">
            <w:pPr>
              <w:spacing w:before="120" w:after="120" w:line="260" w:lineRule="exact"/>
              <w:jc w:val="center"/>
              <w:rPr>
                <w:rFonts w:ascii="??" w:hAnsi="??" w:eastAsia="Times New Roman"/>
                <w:spacing w:val="20"/>
                <w:szCs w:val="21"/>
              </w:rPr>
            </w:pPr>
          </w:p>
        </w:tc>
      </w:tr>
      <w:tr w14:paraId="69A7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6BABAD0E">
            <w:pPr>
              <w:spacing w:line="260" w:lineRule="exact"/>
              <w:jc w:val="center"/>
              <w:rPr>
                <w:rFonts w:ascii="??" w:hAnsi="??" w:eastAsia="Times New Roman"/>
                <w:spacing w:val="20"/>
                <w:sz w:val="24"/>
              </w:rPr>
            </w:pPr>
          </w:p>
        </w:tc>
        <w:tc>
          <w:tcPr>
            <w:tcW w:w="2100" w:type="dxa"/>
            <w:gridSpan w:val="2"/>
            <w:vAlign w:val="center"/>
          </w:tcPr>
          <w:p w14:paraId="7D1AE27C">
            <w:pPr>
              <w:spacing w:before="120" w:after="120" w:line="260" w:lineRule="exact"/>
              <w:jc w:val="center"/>
              <w:rPr>
                <w:rFonts w:ascii="宋体" w:hAnsi="宋体"/>
                <w:szCs w:val="21"/>
              </w:rPr>
            </w:pPr>
            <w:r>
              <w:rPr>
                <w:rFonts w:hint="eastAsia" w:ascii="宋体" w:hAnsi="宋体"/>
                <w:szCs w:val="21"/>
              </w:rPr>
              <w:t>工程地点</w:t>
            </w:r>
          </w:p>
        </w:tc>
        <w:tc>
          <w:tcPr>
            <w:tcW w:w="3782" w:type="dxa"/>
            <w:gridSpan w:val="3"/>
            <w:vAlign w:val="center"/>
          </w:tcPr>
          <w:p w14:paraId="2F8C9810">
            <w:pPr>
              <w:spacing w:before="120" w:after="120" w:line="260" w:lineRule="exact"/>
              <w:jc w:val="center"/>
              <w:rPr>
                <w:rFonts w:ascii="??" w:hAnsi="??" w:eastAsia="Times New Roman"/>
                <w:spacing w:val="20"/>
                <w:szCs w:val="21"/>
              </w:rPr>
            </w:pPr>
          </w:p>
        </w:tc>
        <w:tc>
          <w:tcPr>
            <w:tcW w:w="1902" w:type="dxa"/>
            <w:gridSpan w:val="3"/>
            <w:vAlign w:val="center"/>
          </w:tcPr>
          <w:p w14:paraId="706CA8F5">
            <w:pPr>
              <w:spacing w:before="120" w:after="120" w:line="260" w:lineRule="exact"/>
              <w:jc w:val="center"/>
              <w:rPr>
                <w:rFonts w:ascii="宋体" w:hAnsi="宋体"/>
                <w:szCs w:val="21"/>
              </w:rPr>
            </w:pPr>
            <w:r>
              <w:rPr>
                <w:rFonts w:hint="eastAsia" w:ascii="宋体" w:hAnsi="宋体"/>
                <w:szCs w:val="21"/>
              </w:rPr>
              <w:t>工程设计使用年限</w:t>
            </w:r>
          </w:p>
        </w:tc>
        <w:tc>
          <w:tcPr>
            <w:tcW w:w="1777" w:type="dxa"/>
            <w:gridSpan w:val="2"/>
            <w:vAlign w:val="center"/>
          </w:tcPr>
          <w:p w14:paraId="4C7BE329">
            <w:pPr>
              <w:spacing w:before="120" w:after="120" w:line="260" w:lineRule="exact"/>
              <w:jc w:val="center"/>
              <w:rPr>
                <w:rFonts w:ascii="??" w:hAnsi="??" w:eastAsia="Times New Roman"/>
                <w:spacing w:val="20"/>
                <w:szCs w:val="21"/>
              </w:rPr>
            </w:pPr>
          </w:p>
        </w:tc>
      </w:tr>
      <w:tr w14:paraId="7B44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3DB2E9A3">
            <w:pPr>
              <w:spacing w:line="260" w:lineRule="exact"/>
              <w:jc w:val="center"/>
              <w:rPr>
                <w:rFonts w:ascii="??" w:hAnsi="??" w:eastAsia="Times New Roman"/>
                <w:spacing w:val="-24"/>
                <w:sz w:val="24"/>
              </w:rPr>
            </w:pPr>
          </w:p>
        </w:tc>
        <w:tc>
          <w:tcPr>
            <w:tcW w:w="2100" w:type="dxa"/>
            <w:gridSpan w:val="2"/>
            <w:vAlign w:val="center"/>
          </w:tcPr>
          <w:p w14:paraId="35EE439E">
            <w:pPr>
              <w:spacing w:before="120" w:after="120" w:line="260" w:lineRule="exact"/>
              <w:jc w:val="center"/>
              <w:rPr>
                <w:rFonts w:ascii="宋体" w:hAnsi="宋体"/>
                <w:szCs w:val="21"/>
              </w:rPr>
            </w:pPr>
            <w:r>
              <w:rPr>
                <w:rFonts w:hint="eastAsia" w:ascii="宋体" w:hAnsi="宋体"/>
                <w:szCs w:val="21"/>
              </w:rPr>
              <w:t>设计文件审查机构</w:t>
            </w:r>
          </w:p>
        </w:tc>
        <w:tc>
          <w:tcPr>
            <w:tcW w:w="3782" w:type="dxa"/>
            <w:gridSpan w:val="3"/>
            <w:vAlign w:val="center"/>
          </w:tcPr>
          <w:p w14:paraId="5B9A44D2">
            <w:pPr>
              <w:spacing w:before="120" w:after="120" w:line="260" w:lineRule="exact"/>
              <w:jc w:val="center"/>
              <w:rPr>
                <w:rFonts w:ascii="??" w:hAnsi="??" w:eastAsia="Times New Roman"/>
                <w:spacing w:val="20"/>
                <w:szCs w:val="21"/>
              </w:rPr>
            </w:pPr>
          </w:p>
        </w:tc>
        <w:tc>
          <w:tcPr>
            <w:tcW w:w="1902" w:type="dxa"/>
            <w:gridSpan w:val="3"/>
            <w:vAlign w:val="center"/>
          </w:tcPr>
          <w:p w14:paraId="03921691">
            <w:pPr>
              <w:spacing w:before="120" w:after="120" w:line="260" w:lineRule="exact"/>
              <w:jc w:val="center"/>
              <w:rPr>
                <w:rFonts w:ascii="宋体" w:hAnsi="宋体"/>
                <w:szCs w:val="21"/>
              </w:rPr>
            </w:pPr>
            <w:r>
              <w:rPr>
                <w:rFonts w:hint="eastAsia" w:ascii="宋体" w:hAnsi="宋体"/>
                <w:szCs w:val="21"/>
              </w:rPr>
              <w:t>审查报告编号</w:t>
            </w:r>
          </w:p>
        </w:tc>
        <w:tc>
          <w:tcPr>
            <w:tcW w:w="1777" w:type="dxa"/>
            <w:gridSpan w:val="2"/>
            <w:vAlign w:val="center"/>
          </w:tcPr>
          <w:p w14:paraId="37F4C3C8">
            <w:pPr>
              <w:spacing w:before="120" w:after="120" w:line="260" w:lineRule="exact"/>
              <w:jc w:val="center"/>
              <w:rPr>
                <w:rFonts w:ascii="??" w:hAnsi="??" w:eastAsia="Times New Roman"/>
                <w:spacing w:val="20"/>
                <w:szCs w:val="21"/>
              </w:rPr>
            </w:pPr>
          </w:p>
        </w:tc>
      </w:tr>
      <w:tr w14:paraId="0658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654CC7F6">
            <w:pPr>
              <w:spacing w:line="260" w:lineRule="exact"/>
              <w:jc w:val="center"/>
              <w:rPr>
                <w:rFonts w:ascii="??" w:hAnsi="??" w:eastAsia="Times New Roman"/>
                <w:spacing w:val="-24"/>
                <w:sz w:val="24"/>
              </w:rPr>
            </w:pPr>
          </w:p>
        </w:tc>
        <w:tc>
          <w:tcPr>
            <w:tcW w:w="2100" w:type="dxa"/>
            <w:gridSpan w:val="2"/>
            <w:vAlign w:val="center"/>
          </w:tcPr>
          <w:p w14:paraId="784161B4">
            <w:pPr>
              <w:spacing w:before="120" w:after="120" w:line="260" w:lineRule="exact"/>
              <w:jc w:val="center"/>
              <w:rPr>
                <w:rFonts w:ascii="宋体" w:hAnsi="宋体"/>
                <w:szCs w:val="21"/>
              </w:rPr>
            </w:pPr>
            <w:r>
              <w:rPr>
                <w:rFonts w:hint="eastAsia" w:ascii="宋体" w:hAnsi="宋体"/>
                <w:szCs w:val="21"/>
              </w:rPr>
              <w:t>工程类别</w:t>
            </w:r>
          </w:p>
        </w:tc>
        <w:tc>
          <w:tcPr>
            <w:tcW w:w="7461" w:type="dxa"/>
            <w:gridSpan w:val="8"/>
            <w:vAlign w:val="center"/>
          </w:tcPr>
          <w:p w14:paraId="1633D9A0">
            <w:pPr>
              <w:spacing w:before="120" w:after="120" w:line="260" w:lineRule="exact"/>
              <w:jc w:val="center"/>
              <w:rPr>
                <w:rFonts w:ascii="??" w:hAnsi="??" w:eastAsia="Times New Roman"/>
                <w:spacing w:val="20"/>
                <w:szCs w:val="21"/>
              </w:rPr>
            </w:pPr>
            <w:r>
              <w:rPr>
                <w:rFonts w:hint="eastAsia" w:ascii="??" w:hAnsi="??" w:eastAsia="MS Gothic"/>
                <w:szCs w:val="21"/>
              </w:rPr>
              <w:t>☐</w:t>
            </w:r>
            <w:r>
              <w:rPr>
                <w:rFonts w:hint="eastAsia" w:ascii="宋体" w:hAnsi="宋体"/>
                <w:szCs w:val="21"/>
              </w:rPr>
              <w:t>道路工程</w:t>
            </w:r>
            <w:r>
              <w:rPr>
                <w:rFonts w:hint="eastAsia" w:ascii="??" w:hAnsi="??" w:eastAsia="MS Gothic"/>
                <w:szCs w:val="21"/>
              </w:rPr>
              <w:t>☐</w:t>
            </w:r>
            <w:r>
              <w:rPr>
                <w:rFonts w:hint="eastAsia" w:ascii="宋体" w:hAnsi="宋体"/>
                <w:szCs w:val="21"/>
              </w:rPr>
              <w:t>桥梁工程</w:t>
            </w:r>
            <w:r>
              <w:rPr>
                <w:rFonts w:hint="eastAsia" w:ascii="??" w:hAnsi="??" w:eastAsia="MS Gothic"/>
                <w:szCs w:val="21"/>
              </w:rPr>
              <w:t>☐</w:t>
            </w:r>
            <w:r>
              <w:rPr>
                <w:rFonts w:hint="eastAsia" w:ascii="宋体" w:hAnsi="宋体"/>
                <w:szCs w:val="21"/>
              </w:rPr>
              <w:t>排水工程</w:t>
            </w:r>
            <w:r>
              <w:rPr>
                <w:rFonts w:hint="eastAsia" w:ascii="??" w:hAnsi="??" w:eastAsia="MS Gothic"/>
                <w:szCs w:val="21"/>
              </w:rPr>
              <w:t>☐</w:t>
            </w:r>
            <w:r>
              <w:rPr>
                <w:rFonts w:hint="eastAsia" w:ascii="宋体" w:hAnsi="宋体"/>
                <w:szCs w:val="21"/>
              </w:rPr>
              <w:t>隧道工程</w:t>
            </w:r>
            <w:r>
              <w:rPr>
                <w:rFonts w:hint="eastAsia" w:ascii="??" w:hAnsi="??" w:eastAsia="MS Gothic"/>
                <w:szCs w:val="21"/>
              </w:rPr>
              <w:t>☐</w:t>
            </w:r>
            <w:r>
              <w:rPr>
                <w:rFonts w:hint="eastAsia" w:ascii="宋体" w:hAnsi="宋体"/>
                <w:szCs w:val="21"/>
              </w:rPr>
              <w:t>公用工程</w:t>
            </w:r>
          </w:p>
        </w:tc>
      </w:tr>
      <w:tr w14:paraId="7CAA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170FC1E0">
            <w:pPr>
              <w:spacing w:line="260" w:lineRule="exact"/>
              <w:jc w:val="center"/>
              <w:rPr>
                <w:rFonts w:ascii="??" w:hAnsi="??" w:eastAsia="Times New Roman"/>
                <w:spacing w:val="-24"/>
                <w:sz w:val="24"/>
              </w:rPr>
            </w:pPr>
          </w:p>
        </w:tc>
        <w:tc>
          <w:tcPr>
            <w:tcW w:w="2100" w:type="dxa"/>
            <w:gridSpan w:val="2"/>
            <w:vAlign w:val="center"/>
          </w:tcPr>
          <w:p w14:paraId="79898260">
            <w:pPr>
              <w:spacing w:before="120" w:after="120" w:line="260" w:lineRule="exact"/>
              <w:jc w:val="center"/>
              <w:rPr>
                <w:rFonts w:ascii="宋体" w:hAnsi="宋体"/>
                <w:szCs w:val="21"/>
              </w:rPr>
            </w:pPr>
            <w:r>
              <w:rPr>
                <w:rFonts w:hint="eastAsia" w:ascii="宋体" w:hAnsi="宋体"/>
                <w:szCs w:val="21"/>
              </w:rPr>
              <w:t>工程规划许可证号</w:t>
            </w:r>
          </w:p>
        </w:tc>
        <w:tc>
          <w:tcPr>
            <w:tcW w:w="2729" w:type="dxa"/>
            <w:gridSpan w:val="2"/>
            <w:vAlign w:val="center"/>
          </w:tcPr>
          <w:p w14:paraId="4F25EC67">
            <w:pPr>
              <w:spacing w:before="120" w:after="120" w:line="260" w:lineRule="exact"/>
              <w:jc w:val="center"/>
              <w:rPr>
                <w:rFonts w:ascii="??" w:hAnsi="??" w:eastAsia="Times New Roman"/>
                <w:spacing w:val="20"/>
                <w:szCs w:val="21"/>
              </w:rPr>
            </w:pPr>
          </w:p>
        </w:tc>
        <w:tc>
          <w:tcPr>
            <w:tcW w:w="2205" w:type="dxa"/>
            <w:gridSpan w:val="2"/>
            <w:vAlign w:val="center"/>
          </w:tcPr>
          <w:p w14:paraId="1A2D6F04">
            <w:pPr>
              <w:spacing w:before="120" w:after="120" w:line="260" w:lineRule="exact"/>
              <w:jc w:val="center"/>
              <w:rPr>
                <w:rFonts w:ascii="宋体" w:hAnsi="宋体"/>
                <w:szCs w:val="21"/>
              </w:rPr>
            </w:pPr>
            <w:r>
              <w:rPr>
                <w:rFonts w:hint="eastAsia" w:ascii="宋体" w:hAnsi="宋体"/>
                <w:szCs w:val="21"/>
              </w:rPr>
              <w:t>工程施工许可证号</w:t>
            </w:r>
          </w:p>
        </w:tc>
        <w:tc>
          <w:tcPr>
            <w:tcW w:w="2527" w:type="dxa"/>
            <w:gridSpan w:val="4"/>
            <w:vAlign w:val="center"/>
          </w:tcPr>
          <w:p w14:paraId="5441617C">
            <w:pPr>
              <w:spacing w:before="120" w:after="120" w:line="260" w:lineRule="exact"/>
              <w:jc w:val="center"/>
              <w:rPr>
                <w:rFonts w:ascii="??" w:hAnsi="??" w:eastAsia="Times New Roman"/>
                <w:spacing w:val="20"/>
                <w:szCs w:val="21"/>
              </w:rPr>
            </w:pPr>
          </w:p>
        </w:tc>
      </w:tr>
      <w:tr w14:paraId="105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231D32FF">
            <w:pPr>
              <w:spacing w:line="260" w:lineRule="exact"/>
              <w:jc w:val="center"/>
              <w:rPr>
                <w:rFonts w:ascii="??" w:hAnsi="??" w:eastAsia="Times New Roman"/>
                <w:spacing w:val="14"/>
                <w:sz w:val="24"/>
              </w:rPr>
            </w:pPr>
          </w:p>
        </w:tc>
        <w:tc>
          <w:tcPr>
            <w:tcW w:w="2100" w:type="dxa"/>
            <w:gridSpan w:val="2"/>
            <w:vAlign w:val="center"/>
          </w:tcPr>
          <w:p w14:paraId="4D635858">
            <w:pPr>
              <w:spacing w:before="120" w:after="120" w:line="260" w:lineRule="exact"/>
              <w:jc w:val="center"/>
              <w:rPr>
                <w:rFonts w:ascii="宋体" w:hAnsi="宋体"/>
                <w:szCs w:val="21"/>
              </w:rPr>
            </w:pPr>
            <w:r>
              <w:rPr>
                <w:rFonts w:hint="eastAsia" w:ascii="宋体" w:hAnsi="宋体"/>
                <w:szCs w:val="21"/>
              </w:rPr>
              <w:t>工程开工日期</w:t>
            </w:r>
          </w:p>
        </w:tc>
        <w:tc>
          <w:tcPr>
            <w:tcW w:w="2729" w:type="dxa"/>
            <w:gridSpan w:val="2"/>
            <w:vAlign w:val="center"/>
          </w:tcPr>
          <w:p w14:paraId="49F3E3CF">
            <w:pPr>
              <w:spacing w:before="120" w:after="120" w:line="260" w:lineRule="exact"/>
              <w:jc w:val="center"/>
              <w:rPr>
                <w:rFonts w:ascii="??" w:hAnsi="??" w:eastAsia="Times New Roman"/>
                <w:spacing w:val="20"/>
                <w:szCs w:val="21"/>
              </w:rPr>
            </w:pPr>
          </w:p>
        </w:tc>
        <w:tc>
          <w:tcPr>
            <w:tcW w:w="2205" w:type="dxa"/>
            <w:gridSpan w:val="2"/>
            <w:vAlign w:val="center"/>
          </w:tcPr>
          <w:p w14:paraId="033157D8">
            <w:pPr>
              <w:spacing w:before="120" w:after="120" w:line="260" w:lineRule="exact"/>
              <w:jc w:val="center"/>
              <w:rPr>
                <w:rFonts w:ascii="宋体" w:hAnsi="宋体"/>
                <w:szCs w:val="21"/>
              </w:rPr>
            </w:pPr>
            <w:r>
              <w:rPr>
                <w:rFonts w:hint="eastAsia" w:ascii="宋体" w:hAnsi="宋体"/>
                <w:szCs w:val="21"/>
              </w:rPr>
              <w:t>竣工验收通过日期</w:t>
            </w:r>
          </w:p>
        </w:tc>
        <w:tc>
          <w:tcPr>
            <w:tcW w:w="2527" w:type="dxa"/>
            <w:gridSpan w:val="4"/>
            <w:vAlign w:val="center"/>
          </w:tcPr>
          <w:p w14:paraId="71F6204C">
            <w:pPr>
              <w:spacing w:before="120" w:after="120" w:line="260" w:lineRule="exact"/>
              <w:jc w:val="center"/>
              <w:rPr>
                <w:rFonts w:ascii="??" w:hAnsi="??" w:eastAsia="Times New Roman"/>
                <w:spacing w:val="20"/>
                <w:szCs w:val="21"/>
              </w:rPr>
            </w:pPr>
          </w:p>
        </w:tc>
      </w:tr>
      <w:tr w14:paraId="17A3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6510F887">
            <w:pPr>
              <w:spacing w:line="260" w:lineRule="exact"/>
              <w:jc w:val="center"/>
              <w:rPr>
                <w:rFonts w:ascii="??" w:hAnsi="??" w:eastAsia="Times New Roman"/>
                <w:spacing w:val="14"/>
                <w:sz w:val="24"/>
              </w:rPr>
            </w:pPr>
          </w:p>
        </w:tc>
        <w:tc>
          <w:tcPr>
            <w:tcW w:w="5882" w:type="dxa"/>
            <w:gridSpan w:val="5"/>
            <w:vAlign w:val="center"/>
          </w:tcPr>
          <w:p w14:paraId="53C9738E">
            <w:pPr>
              <w:spacing w:before="100" w:after="100" w:line="260" w:lineRule="exact"/>
              <w:jc w:val="center"/>
              <w:rPr>
                <w:rFonts w:ascii="??" w:hAnsi="??" w:eastAsia="Times New Roman"/>
                <w:spacing w:val="20"/>
                <w:szCs w:val="21"/>
              </w:rPr>
            </w:pPr>
            <w:r>
              <w:rPr>
                <w:rFonts w:hint="eastAsia" w:ascii="宋体" w:hAnsi="宋体"/>
                <w:spacing w:val="20"/>
                <w:szCs w:val="21"/>
              </w:rPr>
              <w:t>单位名称</w:t>
            </w:r>
          </w:p>
        </w:tc>
        <w:tc>
          <w:tcPr>
            <w:tcW w:w="3679" w:type="dxa"/>
            <w:gridSpan w:val="5"/>
            <w:tcBorders>
              <w:top w:val="nil"/>
            </w:tcBorders>
            <w:vAlign w:val="center"/>
          </w:tcPr>
          <w:p w14:paraId="1B8482B7">
            <w:pPr>
              <w:spacing w:before="100" w:after="100" w:line="260" w:lineRule="exact"/>
              <w:jc w:val="center"/>
              <w:rPr>
                <w:rFonts w:ascii="??" w:hAnsi="??" w:eastAsia="Times New Roman"/>
                <w:spacing w:val="-20"/>
                <w:szCs w:val="21"/>
              </w:rPr>
            </w:pPr>
            <w:r>
              <w:rPr>
                <w:rFonts w:hint="eastAsia" w:ascii="宋体" w:hAnsi="宋体"/>
                <w:spacing w:val="-20"/>
                <w:szCs w:val="21"/>
              </w:rPr>
              <w:t>项目负责人（原项目负责人）</w:t>
            </w:r>
          </w:p>
        </w:tc>
      </w:tr>
      <w:tr w14:paraId="27C4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04AE5631">
            <w:pPr>
              <w:spacing w:line="260" w:lineRule="exact"/>
              <w:jc w:val="center"/>
              <w:rPr>
                <w:rFonts w:ascii="??" w:hAnsi="??" w:eastAsia="Times New Roman"/>
                <w:spacing w:val="-20"/>
                <w:sz w:val="24"/>
              </w:rPr>
            </w:pPr>
          </w:p>
        </w:tc>
        <w:tc>
          <w:tcPr>
            <w:tcW w:w="1263" w:type="dxa"/>
            <w:vAlign w:val="center"/>
          </w:tcPr>
          <w:p w14:paraId="6EE306BE">
            <w:pPr>
              <w:spacing w:before="120" w:after="120" w:line="260" w:lineRule="exact"/>
              <w:jc w:val="center"/>
              <w:rPr>
                <w:rFonts w:ascii="宋体" w:hAnsi="宋体"/>
                <w:szCs w:val="21"/>
              </w:rPr>
            </w:pPr>
            <w:r>
              <w:rPr>
                <w:rFonts w:hint="eastAsia" w:ascii="宋体" w:hAnsi="宋体"/>
                <w:szCs w:val="21"/>
              </w:rPr>
              <w:t>建设单位</w:t>
            </w:r>
          </w:p>
        </w:tc>
        <w:tc>
          <w:tcPr>
            <w:tcW w:w="4619" w:type="dxa"/>
            <w:gridSpan w:val="4"/>
            <w:vAlign w:val="center"/>
          </w:tcPr>
          <w:p w14:paraId="06A1B882">
            <w:pPr>
              <w:spacing w:before="100" w:after="100" w:line="260" w:lineRule="exact"/>
              <w:jc w:val="center"/>
              <w:rPr>
                <w:rFonts w:ascii="??" w:hAnsi="??" w:eastAsia="Times New Roman"/>
                <w:spacing w:val="20"/>
                <w:szCs w:val="21"/>
              </w:rPr>
            </w:pPr>
          </w:p>
        </w:tc>
        <w:tc>
          <w:tcPr>
            <w:tcW w:w="1680" w:type="dxa"/>
            <w:gridSpan w:val="2"/>
            <w:vAlign w:val="center"/>
          </w:tcPr>
          <w:p w14:paraId="038D63CF">
            <w:pPr>
              <w:spacing w:before="120" w:after="120" w:line="260" w:lineRule="exact"/>
              <w:jc w:val="center"/>
              <w:rPr>
                <w:rFonts w:ascii="宋体" w:hAnsi="宋体"/>
                <w:szCs w:val="21"/>
              </w:rPr>
            </w:pPr>
            <w:r>
              <w:rPr>
                <w:rFonts w:hint="eastAsia" w:ascii="宋体" w:hAnsi="宋体"/>
                <w:szCs w:val="21"/>
              </w:rPr>
              <w:t>项目负责人</w:t>
            </w:r>
          </w:p>
        </w:tc>
        <w:tc>
          <w:tcPr>
            <w:tcW w:w="1999" w:type="dxa"/>
            <w:gridSpan w:val="3"/>
            <w:tcBorders>
              <w:top w:val="nil"/>
            </w:tcBorders>
            <w:vAlign w:val="center"/>
          </w:tcPr>
          <w:p w14:paraId="2BA934CD">
            <w:pPr>
              <w:spacing w:before="100" w:after="100" w:line="260" w:lineRule="exact"/>
              <w:jc w:val="center"/>
              <w:rPr>
                <w:rFonts w:ascii="??" w:hAnsi="??" w:eastAsia="Times New Roman"/>
                <w:spacing w:val="20"/>
                <w:szCs w:val="21"/>
              </w:rPr>
            </w:pPr>
            <w:r>
              <w:rPr>
                <w:rFonts w:hint="eastAsia" w:ascii="宋体" w:hAnsi="宋体"/>
                <w:spacing w:val="20"/>
                <w:szCs w:val="21"/>
              </w:rPr>
              <w:t xml:space="preserve">      （）</w:t>
            </w:r>
          </w:p>
        </w:tc>
      </w:tr>
      <w:tr w14:paraId="327A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2E197EB0">
            <w:pPr>
              <w:spacing w:line="260" w:lineRule="exact"/>
              <w:jc w:val="center"/>
              <w:rPr>
                <w:rFonts w:ascii="??" w:hAnsi="??" w:eastAsia="Times New Roman"/>
                <w:spacing w:val="-20"/>
                <w:sz w:val="24"/>
              </w:rPr>
            </w:pPr>
          </w:p>
        </w:tc>
        <w:tc>
          <w:tcPr>
            <w:tcW w:w="1263" w:type="dxa"/>
            <w:vAlign w:val="center"/>
          </w:tcPr>
          <w:p w14:paraId="70BA71BC">
            <w:pPr>
              <w:spacing w:before="120" w:after="120" w:line="260" w:lineRule="exact"/>
              <w:jc w:val="center"/>
              <w:rPr>
                <w:rFonts w:ascii="宋体" w:hAnsi="宋体"/>
                <w:szCs w:val="21"/>
              </w:rPr>
            </w:pPr>
            <w:r>
              <w:rPr>
                <w:rFonts w:hint="eastAsia" w:ascii="宋体" w:hAnsi="宋体"/>
                <w:szCs w:val="21"/>
              </w:rPr>
              <w:t>勘察单位</w:t>
            </w:r>
          </w:p>
        </w:tc>
        <w:tc>
          <w:tcPr>
            <w:tcW w:w="4619" w:type="dxa"/>
            <w:gridSpan w:val="4"/>
            <w:vAlign w:val="center"/>
          </w:tcPr>
          <w:p w14:paraId="4339C15B">
            <w:pPr>
              <w:spacing w:before="100" w:after="100" w:line="260" w:lineRule="exact"/>
              <w:jc w:val="center"/>
              <w:rPr>
                <w:rFonts w:ascii="??" w:hAnsi="??" w:eastAsia="Times New Roman"/>
                <w:spacing w:val="20"/>
                <w:szCs w:val="21"/>
              </w:rPr>
            </w:pPr>
          </w:p>
        </w:tc>
        <w:tc>
          <w:tcPr>
            <w:tcW w:w="1680" w:type="dxa"/>
            <w:gridSpan w:val="2"/>
            <w:vAlign w:val="center"/>
          </w:tcPr>
          <w:p w14:paraId="6F357A12">
            <w:pPr>
              <w:spacing w:before="120" w:after="120" w:line="260" w:lineRule="exact"/>
              <w:jc w:val="center"/>
              <w:rPr>
                <w:rFonts w:ascii="宋体" w:hAnsi="宋体"/>
                <w:szCs w:val="21"/>
              </w:rPr>
            </w:pPr>
            <w:r>
              <w:rPr>
                <w:rFonts w:hint="eastAsia" w:ascii="宋体" w:hAnsi="宋体"/>
                <w:szCs w:val="21"/>
              </w:rPr>
              <w:t>项目负责人</w:t>
            </w:r>
          </w:p>
        </w:tc>
        <w:tc>
          <w:tcPr>
            <w:tcW w:w="1999" w:type="dxa"/>
            <w:gridSpan w:val="3"/>
            <w:vAlign w:val="center"/>
          </w:tcPr>
          <w:p w14:paraId="4DC46F46">
            <w:pPr>
              <w:spacing w:before="100" w:after="100" w:line="260" w:lineRule="exact"/>
              <w:jc w:val="center"/>
              <w:rPr>
                <w:rFonts w:ascii="??" w:hAnsi="??" w:eastAsia="Times New Roman"/>
                <w:spacing w:val="20"/>
                <w:szCs w:val="21"/>
              </w:rPr>
            </w:pPr>
            <w:r>
              <w:rPr>
                <w:rFonts w:hint="eastAsia" w:ascii="宋体" w:hAnsi="宋体"/>
                <w:spacing w:val="20"/>
                <w:szCs w:val="21"/>
              </w:rPr>
              <w:t xml:space="preserve">      （）</w:t>
            </w:r>
          </w:p>
        </w:tc>
      </w:tr>
      <w:tr w14:paraId="5302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2F81647A">
            <w:pPr>
              <w:spacing w:line="260" w:lineRule="exact"/>
              <w:jc w:val="center"/>
              <w:rPr>
                <w:rFonts w:ascii="??" w:hAnsi="??" w:eastAsia="Times New Roman"/>
                <w:spacing w:val="-20"/>
                <w:sz w:val="24"/>
              </w:rPr>
            </w:pPr>
          </w:p>
        </w:tc>
        <w:tc>
          <w:tcPr>
            <w:tcW w:w="1263" w:type="dxa"/>
            <w:vAlign w:val="center"/>
          </w:tcPr>
          <w:p w14:paraId="7F437749">
            <w:pPr>
              <w:spacing w:before="120" w:after="120" w:line="260" w:lineRule="exact"/>
              <w:jc w:val="center"/>
              <w:rPr>
                <w:rFonts w:ascii="宋体" w:hAnsi="宋体"/>
                <w:szCs w:val="21"/>
              </w:rPr>
            </w:pPr>
            <w:r>
              <w:rPr>
                <w:rFonts w:hint="eastAsia" w:ascii="宋体" w:hAnsi="宋体"/>
                <w:szCs w:val="21"/>
              </w:rPr>
              <w:t>设计单位</w:t>
            </w:r>
          </w:p>
        </w:tc>
        <w:tc>
          <w:tcPr>
            <w:tcW w:w="4619" w:type="dxa"/>
            <w:gridSpan w:val="4"/>
            <w:vAlign w:val="center"/>
          </w:tcPr>
          <w:p w14:paraId="556A888E">
            <w:pPr>
              <w:spacing w:before="100" w:after="100" w:line="260" w:lineRule="exact"/>
              <w:jc w:val="center"/>
              <w:rPr>
                <w:rFonts w:ascii="??" w:hAnsi="??" w:eastAsia="Times New Roman"/>
                <w:spacing w:val="20"/>
                <w:szCs w:val="21"/>
              </w:rPr>
            </w:pPr>
          </w:p>
        </w:tc>
        <w:tc>
          <w:tcPr>
            <w:tcW w:w="1680" w:type="dxa"/>
            <w:gridSpan w:val="2"/>
            <w:vAlign w:val="center"/>
          </w:tcPr>
          <w:p w14:paraId="19F52FB7">
            <w:pPr>
              <w:spacing w:before="120" w:after="120" w:line="260" w:lineRule="exact"/>
              <w:jc w:val="center"/>
              <w:rPr>
                <w:rFonts w:ascii="宋体" w:hAnsi="宋体"/>
                <w:szCs w:val="21"/>
              </w:rPr>
            </w:pPr>
            <w:r>
              <w:rPr>
                <w:rFonts w:hint="eastAsia" w:ascii="宋体" w:hAnsi="宋体"/>
                <w:szCs w:val="21"/>
              </w:rPr>
              <w:t>项目负责人</w:t>
            </w:r>
          </w:p>
        </w:tc>
        <w:tc>
          <w:tcPr>
            <w:tcW w:w="1999" w:type="dxa"/>
            <w:gridSpan w:val="3"/>
            <w:vAlign w:val="center"/>
          </w:tcPr>
          <w:p w14:paraId="3AF870D5">
            <w:pPr>
              <w:spacing w:before="100" w:after="100" w:line="260" w:lineRule="exact"/>
              <w:jc w:val="center"/>
              <w:rPr>
                <w:rFonts w:ascii="??" w:hAnsi="??" w:eastAsia="Times New Roman"/>
                <w:spacing w:val="20"/>
                <w:szCs w:val="21"/>
              </w:rPr>
            </w:pPr>
            <w:r>
              <w:rPr>
                <w:rFonts w:hint="eastAsia" w:ascii="宋体" w:hAnsi="宋体"/>
                <w:spacing w:val="20"/>
                <w:szCs w:val="21"/>
              </w:rPr>
              <w:t xml:space="preserve">      （）</w:t>
            </w:r>
          </w:p>
        </w:tc>
      </w:tr>
      <w:tr w14:paraId="6828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01522C9E">
            <w:pPr>
              <w:spacing w:line="260" w:lineRule="exact"/>
              <w:jc w:val="center"/>
              <w:rPr>
                <w:rFonts w:ascii="??" w:hAnsi="??" w:eastAsia="Times New Roman"/>
                <w:spacing w:val="-20"/>
                <w:sz w:val="24"/>
              </w:rPr>
            </w:pPr>
          </w:p>
        </w:tc>
        <w:tc>
          <w:tcPr>
            <w:tcW w:w="1263" w:type="dxa"/>
            <w:vAlign w:val="center"/>
          </w:tcPr>
          <w:p w14:paraId="162B4C46">
            <w:pPr>
              <w:spacing w:before="120" w:after="120" w:line="260" w:lineRule="exact"/>
              <w:jc w:val="center"/>
              <w:rPr>
                <w:rFonts w:ascii="宋体" w:hAnsi="宋体"/>
                <w:szCs w:val="21"/>
              </w:rPr>
            </w:pPr>
            <w:r>
              <w:rPr>
                <w:rFonts w:hint="eastAsia" w:ascii="宋体" w:hAnsi="宋体"/>
                <w:szCs w:val="21"/>
              </w:rPr>
              <w:t>监理单位</w:t>
            </w:r>
          </w:p>
        </w:tc>
        <w:tc>
          <w:tcPr>
            <w:tcW w:w="4619" w:type="dxa"/>
            <w:gridSpan w:val="4"/>
            <w:vAlign w:val="center"/>
          </w:tcPr>
          <w:p w14:paraId="6EA66443">
            <w:pPr>
              <w:spacing w:before="100" w:after="100" w:line="260" w:lineRule="exact"/>
              <w:jc w:val="center"/>
              <w:rPr>
                <w:rFonts w:ascii="??" w:hAnsi="??" w:eastAsia="Times New Roman"/>
                <w:spacing w:val="20"/>
                <w:szCs w:val="21"/>
              </w:rPr>
            </w:pPr>
          </w:p>
        </w:tc>
        <w:tc>
          <w:tcPr>
            <w:tcW w:w="1680" w:type="dxa"/>
            <w:gridSpan w:val="2"/>
            <w:vAlign w:val="center"/>
          </w:tcPr>
          <w:p w14:paraId="59BD2F6E">
            <w:pPr>
              <w:spacing w:before="120" w:after="120" w:line="260" w:lineRule="exact"/>
              <w:jc w:val="center"/>
              <w:rPr>
                <w:rFonts w:ascii="宋体" w:hAnsi="宋体"/>
                <w:szCs w:val="21"/>
              </w:rPr>
            </w:pPr>
            <w:r>
              <w:rPr>
                <w:rFonts w:hint="eastAsia" w:ascii="宋体" w:hAnsi="宋体"/>
                <w:szCs w:val="21"/>
              </w:rPr>
              <w:t>项目总监</w:t>
            </w:r>
          </w:p>
        </w:tc>
        <w:tc>
          <w:tcPr>
            <w:tcW w:w="1999" w:type="dxa"/>
            <w:gridSpan w:val="3"/>
            <w:vAlign w:val="center"/>
          </w:tcPr>
          <w:p w14:paraId="57EFCD3F">
            <w:pPr>
              <w:spacing w:before="100" w:after="100" w:line="260" w:lineRule="exact"/>
              <w:jc w:val="center"/>
              <w:rPr>
                <w:rFonts w:ascii="??" w:hAnsi="??" w:eastAsia="Times New Roman"/>
                <w:spacing w:val="20"/>
                <w:szCs w:val="21"/>
              </w:rPr>
            </w:pPr>
            <w:r>
              <w:rPr>
                <w:rFonts w:hint="eastAsia" w:ascii="宋体" w:hAnsi="宋体"/>
                <w:spacing w:val="20"/>
                <w:szCs w:val="21"/>
              </w:rPr>
              <w:t xml:space="preserve">      （）</w:t>
            </w:r>
          </w:p>
        </w:tc>
      </w:tr>
      <w:tr w14:paraId="4DE4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6F40130C">
            <w:pPr>
              <w:spacing w:line="260" w:lineRule="exact"/>
              <w:jc w:val="center"/>
              <w:rPr>
                <w:rFonts w:ascii="??" w:hAnsi="??" w:eastAsia="Times New Roman"/>
                <w:spacing w:val="-20"/>
                <w:sz w:val="24"/>
              </w:rPr>
            </w:pPr>
          </w:p>
        </w:tc>
        <w:tc>
          <w:tcPr>
            <w:tcW w:w="1263" w:type="dxa"/>
            <w:vAlign w:val="center"/>
          </w:tcPr>
          <w:p w14:paraId="1D2165EA">
            <w:pPr>
              <w:spacing w:before="120" w:after="120" w:line="260" w:lineRule="exact"/>
              <w:jc w:val="center"/>
              <w:rPr>
                <w:rFonts w:ascii="宋体" w:hAnsi="宋体"/>
                <w:szCs w:val="21"/>
              </w:rPr>
            </w:pPr>
            <w:r>
              <w:rPr>
                <w:rFonts w:hint="eastAsia" w:ascii="宋体" w:hAnsi="宋体"/>
                <w:szCs w:val="21"/>
              </w:rPr>
              <w:t>施工单位</w:t>
            </w:r>
          </w:p>
        </w:tc>
        <w:tc>
          <w:tcPr>
            <w:tcW w:w="4619" w:type="dxa"/>
            <w:gridSpan w:val="4"/>
            <w:vAlign w:val="center"/>
          </w:tcPr>
          <w:p w14:paraId="3FE9B2D9">
            <w:pPr>
              <w:spacing w:before="100" w:after="100" w:line="260" w:lineRule="exact"/>
              <w:jc w:val="center"/>
              <w:rPr>
                <w:rFonts w:ascii="??" w:hAnsi="??" w:eastAsia="Times New Roman"/>
                <w:spacing w:val="20"/>
                <w:szCs w:val="21"/>
              </w:rPr>
            </w:pPr>
          </w:p>
        </w:tc>
        <w:tc>
          <w:tcPr>
            <w:tcW w:w="1680" w:type="dxa"/>
            <w:gridSpan w:val="2"/>
            <w:vAlign w:val="center"/>
          </w:tcPr>
          <w:p w14:paraId="69A3B553">
            <w:pPr>
              <w:spacing w:before="120" w:after="120" w:line="260" w:lineRule="exact"/>
              <w:jc w:val="center"/>
              <w:rPr>
                <w:rFonts w:ascii="宋体" w:hAnsi="宋体"/>
                <w:szCs w:val="21"/>
              </w:rPr>
            </w:pPr>
            <w:r>
              <w:rPr>
                <w:rFonts w:hint="eastAsia" w:ascii="宋体" w:hAnsi="宋体"/>
                <w:szCs w:val="21"/>
              </w:rPr>
              <w:t>项目经理</w:t>
            </w:r>
          </w:p>
        </w:tc>
        <w:tc>
          <w:tcPr>
            <w:tcW w:w="1999" w:type="dxa"/>
            <w:gridSpan w:val="3"/>
            <w:vAlign w:val="center"/>
          </w:tcPr>
          <w:p w14:paraId="04DA2B3C">
            <w:pPr>
              <w:spacing w:before="100" w:after="100" w:line="260" w:lineRule="exact"/>
              <w:jc w:val="center"/>
              <w:rPr>
                <w:rFonts w:ascii="??" w:hAnsi="??" w:eastAsia="Times New Roman"/>
                <w:spacing w:val="20"/>
                <w:szCs w:val="21"/>
              </w:rPr>
            </w:pPr>
            <w:r>
              <w:rPr>
                <w:rFonts w:hint="eastAsia" w:ascii="宋体" w:hAnsi="宋体"/>
                <w:spacing w:val="20"/>
                <w:szCs w:val="21"/>
              </w:rPr>
              <w:t xml:space="preserve">      （）</w:t>
            </w:r>
          </w:p>
        </w:tc>
      </w:tr>
      <w:tr w14:paraId="37AA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35" w:hRule="atLeast"/>
          <w:jc w:val="center"/>
        </w:trPr>
        <w:tc>
          <w:tcPr>
            <w:tcW w:w="629" w:type="dxa"/>
            <w:vMerge w:val="restart"/>
            <w:vAlign w:val="center"/>
          </w:tcPr>
          <w:p w14:paraId="29B6A7D9">
            <w:pPr>
              <w:widowControl/>
              <w:spacing w:line="300" w:lineRule="exact"/>
              <w:rPr>
                <w:rFonts w:ascii="??" w:hAnsi="??" w:eastAsia="Times New Roman"/>
                <w:b/>
                <w:spacing w:val="20"/>
                <w:sz w:val="24"/>
              </w:rPr>
            </w:pPr>
          </w:p>
          <w:p w14:paraId="28EBFE4D">
            <w:pPr>
              <w:widowControl/>
              <w:spacing w:line="300" w:lineRule="exact"/>
              <w:jc w:val="center"/>
              <w:rPr>
                <w:rFonts w:ascii="??" w:hAnsi="??" w:eastAsia="Times New Roman"/>
                <w:b/>
                <w:spacing w:val="20"/>
                <w:sz w:val="24"/>
              </w:rPr>
            </w:pPr>
          </w:p>
          <w:p w14:paraId="05FB36C6">
            <w:pPr>
              <w:widowControl/>
              <w:spacing w:line="300" w:lineRule="exact"/>
              <w:jc w:val="center"/>
              <w:rPr>
                <w:rFonts w:ascii="宋体" w:hAnsi="宋体"/>
                <w:b/>
                <w:spacing w:val="20"/>
                <w:sz w:val="24"/>
              </w:rPr>
            </w:pPr>
            <w:r>
              <w:rPr>
                <w:rFonts w:hint="eastAsia" w:ascii="宋体" w:hAnsi="宋体"/>
                <w:b/>
                <w:spacing w:val="20"/>
                <w:sz w:val="24"/>
              </w:rPr>
              <w:t>检</w:t>
            </w:r>
          </w:p>
          <w:p w14:paraId="6E02A23F">
            <w:pPr>
              <w:widowControl/>
              <w:spacing w:line="300" w:lineRule="exact"/>
              <w:jc w:val="center"/>
              <w:rPr>
                <w:rFonts w:ascii="宋体" w:hAnsi="宋体"/>
                <w:b/>
                <w:spacing w:val="20"/>
                <w:sz w:val="24"/>
              </w:rPr>
            </w:pPr>
          </w:p>
          <w:p w14:paraId="36E0F6EB">
            <w:pPr>
              <w:widowControl/>
              <w:spacing w:line="300" w:lineRule="exact"/>
              <w:jc w:val="center"/>
              <w:rPr>
                <w:rFonts w:ascii="宋体" w:hAnsi="宋体"/>
                <w:b/>
                <w:spacing w:val="20"/>
                <w:sz w:val="24"/>
              </w:rPr>
            </w:pPr>
            <w:r>
              <w:rPr>
                <w:rFonts w:hint="eastAsia" w:ascii="宋体" w:hAnsi="宋体"/>
                <w:b/>
                <w:spacing w:val="20"/>
                <w:sz w:val="24"/>
              </w:rPr>
              <w:t>测</w:t>
            </w:r>
          </w:p>
          <w:p w14:paraId="687EDF04">
            <w:pPr>
              <w:widowControl/>
              <w:spacing w:line="300" w:lineRule="exact"/>
              <w:jc w:val="center"/>
              <w:rPr>
                <w:rFonts w:ascii="宋体" w:hAnsi="宋体"/>
                <w:b/>
                <w:spacing w:val="20"/>
                <w:sz w:val="24"/>
              </w:rPr>
            </w:pPr>
          </w:p>
          <w:p w14:paraId="2F1030D2">
            <w:pPr>
              <w:widowControl/>
              <w:spacing w:line="300" w:lineRule="exact"/>
              <w:jc w:val="center"/>
              <w:rPr>
                <w:rFonts w:ascii="宋体" w:hAnsi="宋体"/>
                <w:b/>
                <w:spacing w:val="20"/>
                <w:sz w:val="24"/>
              </w:rPr>
            </w:pPr>
            <w:r>
              <w:rPr>
                <w:rFonts w:hint="eastAsia" w:ascii="宋体" w:hAnsi="宋体"/>
                <w:b/>
                <w:spacing w:val="20"/>
                <w:sz w:val="24"/>
              </w:rPr>
              <w:t>记</w:t>
            </w:r>
          </w:p>
          <w:p w14:paraId="682E24E0">
            <w:pPr>
              <w:widowControl/>
              <w:spacing w:line="300" w:lineRule="exact"/>
              <w:jc w:val="center"/>
              <w:rPr>
                <w:rFonts w:ascii="宋体" w:hAnsi="宋体"/>
                <w:b/>
                <w:spacing w:val="20"/>
                <w:sz w:val="24"/>
              </w:rPr>
            </w:pPr>
          </w:p>
          <w:p w14:paraId="023F848D">
            <w:pPr>
              <w:widowControl/>
              <w:spacing w:line="300" w:lineRule="exact"/>
              <w:jc w:val="center"/>
              <w:rPr>
                <w:rFonts w:ascii="??" w:hAnsi="??" w:eastAsia="Times New Roman"/>
                <w:b/>
                <w:spacing w:val="20"/>
                <w:sz w:val="24"/>
              </w:rPr>
            </w:pPr>
            <w:r>
              <w:rPr>
                <w:rFonts w:hint="eastAsia" w:ascii="宋体" w:hAnsi="宋体"/>
                <w:b/>
                <w:spacing w:val="20"/>
                <w:sz w:val="24"/>
              </w:rPr>
              <w:t>录</w:t>
            </w:r>
          </w:p>
        </w:tc>
        <w:tc>
          <w:tcPr>
            <w:tcW w:w="1263" w:type="dxa"/>
            <w:tcBorders>
              <w:top w:val="single" w:color="auto" w:sz="6" w:space="0"/>
              <w:left w:val="nil"/>
            </w:tcBorders>
            <w:vAlign w:val="center"/>
          </w:tcPr>
          <w:p w14:paraId="518708FF">
            <w:pPr>
              <w:spacing w:before="120" w:after="120" w:line="260" w:lineRule="exact"/>
              <w:jc w:val="center"/>
              <w:rPr>
                <w:rFonts w:ascii="宋体" w:hAnsi="宋体"/>
                <w:szCs w:val="21"/>
              </w:rPr>
            </w:pPr>
            <w:r>
              <w:rPr>
                <w:rFonts w:hint="eastAsia" w:ascii="宋体" w:hAnsi="宋体"/>
                <w:szCs w:val="21"/>
              </w:rPr>
              <w:t>序号</w:t>
            </w:r>
          </w:p>
        </w:tc>
        <w:tc>
          <w:tcPr>
            <w:tcW w:w="3098" w:type="dxa"/>
            <w:gridSpan w:val="2"/>
            <w:tcBorders>
              <w:top w:val="single" w:color="auto" w:sz="6" w:space="0"/>
            </w:tcBorders>
            <w:vAlign w:val="center"/>
          </w:tcPr>
          <w:p w14:paraId="695FD5A0">
            <w:pPr>
              <w:spacing w:before="120" w:after="120" w:line="260" w:lineRule="exact"/>
              <w:jc w:val="center"/>
              <w:rPr>
                <w:rFonts w:ascii="宋体" w:hAnsi="宋体"/>
                <w:szCs w:val="21"/>
              </w:rPr>
            </w:pPr>
            <w:r>
              <w:rPr>
                <w:rFonts w:hint="eastAsia" w:ascii="宋体" w:hAnsi="宋体"/>
                <w:szCs w:val="21"/>
              </w:rPr>
              <w:t>项目名称</w:t>
            </w:r>
          </w:p>
        </w:tc>
        <w:tc>
          <w:tcPr>
            <w:tcW w:w="5186" w:type="dxa"/>
            <w:gridSpan w:val="6"/>
            <w:tcBorders>
              <w:top w:val="single" w:color="auto" w:sz="6" w:space="0"/>
              <w:left w:val="nil"/>
              <w:right w:val="single" w:color="auto" w:sz="6" w:space="0"/>
            </w:tcBorders>
            <w:vAlign w:val="center"/>
          </w:tcPr>
          <w:p w14:paraId="26AEE834">
            <w:pPr>
              <w:spacing w:before="120" w:after="120" w:line="260" w:lineRule="exact"/>
              <w:jc w:val="center"/>
              <w:rPr>
                <w:rFonts w:ascii="宋体" w:hAnsi="宋体"/>
                <w:szCs w:val="21"/>
              </w:rPr>
            </w:pPr>
            <w:r>
              <w:rPr>
                <w:rFonts w:hint="eastAsia" w:ascii="宋体" w:hAnsi="宋体"/>
                <w:szCs w:val="21"/>
              </w:rPr>
              <w:t>检测结果</w:t>
            </w:r>
          </w:p>
        </w:tc>
      </w:tr>
      <w:tr w14:paraId="2F9E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912" w:hRule="atLeast"/>
          <w:jc w:val="center"/>
        </w:trPr>
        <w:tc>
          <w:tcPr>
            <w:tcW w:w="629" w:type="dxa"/>
            <w:vMerge w:val="continue"/>
          </w:tcPr>
          <w:p w14:paraId="273E3E95">
            <w:pPr>
              <w:widowControl/>
              <w:spacing w:line="300" w:lineRule="exact"/>
              <w:rPr>
                <w:rFonts w:ascii="??" w:hAnsi="??" w:eastAsia="Times New Roman"/>
                <w:spacing w:val="20"/>
                <w:sz w:val="24"/>
              </w:rPr>
            </w:pPr>
          </w:p>
        </w:tc>
        <w:tc>
          <w:tcPr>
            <w:tcW w:w="1263" w:type="dxa"/>
            <w:tcBorders>
              <w:left w:val="nil"/>
            </w:tcBorders>
            <w:vAlign w:val="center"/>
          </w:tcPr>
          <w:p w14:paraId="0D2DCDB6">
            <w:pPr>
              <w:spacing w:line="300" w:lineRule="exact"/>
              <w:jc w:val="center"/>
              <w:rPr>
                <w:rFonts w:ascii="??" w:hAnsi="??" w:eastAsia="Times New Roman"/>
                <w:szCs w:val="21"/>
              </w:rPr>
            </w:pPr>
            <w:r>
              <w:rPr>
                <w:rFonts w:ascii="??" w:hAnsi="??" w:eastAsia="Times New Roman"/>
                <w:szCs w:val="21"/>
              </w:rPr>
              <w:t>1</w:t>
            </w:r>
          </w:p>
        </w:tc>
        <w:tc>
          <w:tcPr>
            <w:tcW w:w="3098" w:type="dxa"/>
            <w:gridSpan w:val="2"/>
            <w:vAlign w:val="center"/>
          </w:tcPr>
          <w:p w14:paraId="7ADD3C07">
            <w:pPr>
              <w:spacing w:line="300" w:lineRule="exact"/>
              <w:jc w:val="center"/>
              <w:rPr>
                <w:rFonts w:ascii="??" w:hAnsi="??" w:eastAsia="Times New Roman"/>
                <w:szCs w:val="21"/>
              </w:rPr>
            </w:pPr>
            <w:r>
              <w:rPr>
                <w:rFonts w:hint="eastAsia" w:ascii="宋体" w:hAnsi="宋体"/>
                <w:szCs w:val="21"/>
              </w:rPr>
              <w:t>车行道弯沉值</w:t>
            </w:r>
          </w:p>
        </w:tc>
        <w:tc>
          <w:tcPr>
            <w:tcW w:w="5186" w:type="dxa"/>
            <w:gridSpan w:val="6"/>
            <w:tcBorders>
              <w:left w:val="nil"/>
              <w:right w:val="single" w:color="auto" w:sz="6" w:space="0"/>
            </w:tcBorders>
            <w:vAlign w:val="center"/>
          </w:tcPr>
          <w:p w14:paraId="1754359C">
            <w:pPr>
              <w:widowControl/>
              <w:spacing w:line="300" w:lineRule="exact"/>
              <w:ind w:firstLine="1155" w:firstLineChars="550"/>
              <w:jc w:val="center"/>
              <w:rPr>
                <w:rFonts w:ascii="??" w:hAnsi="??" w:eastAsia="Times New Roman"/>
                <w:szCs w:val="21"/>
              </w:rPr>
            </w:pPr>
          </w:p>
        </w:tc>
      </w:tr>
      <w:tr w14:paraId="669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0" w:hRule="atLeast"/>
          <w:jc w:val="center"/>
        </w:trPr>
        <w:tc>
          <w:tcPr>
            <w:tcW w:w="629" w:type="dxa"/>
            <w:vMerge w:val="continue"/>
          </w:tcPr>
          <w:p w14:paraId="4B6B3C19">
            <w:pPr>
              <w:widowControl/>
              <w:spacing w:line="300" w:lineRule="exact"/>
              <w:jc w:val="left"/>
              <w:rPr>
                <w:rFonts w:ascii="??" w:hAnsi="??" w:eastAsia="Times New Roman"/>
                <w:spacing w:val="20"/>
                <w:sz w:val="24"/>
              </w:rPr>
            </w:pPr>
          </w:p>
        </w:tc>
        <w:tc>
          <w:tcPr>
            <w:tcW w:w="1263" w:type="dxa"/>
            <w:tcBorders>
              <w:left w:val="nil"/>
            </w:tcBorders>
            <w:vAlign w:val="center"/>
          </w:tcPr>
          <w:p w14:paraId="70AEA4CF">
            <w:pPr>
              <w:spacing w:line="300" w:lineRule="exact"/>
              <w:jc w:val="center"/>
              <w:rPr>
                <w:rFonts w:ascii="??" w:hAnsi="??" w:eastAsia="Times New Roman"/>
                <w:szCs w:val="21"/>
              </w:rPr>
            </w:pPr>
            <w:r>
              <w:rPr>
                <w:rFonts w:ascii="??" w:hAnsi="??" w:eastAsia="Times New Roman"/>
                <w:szCs w:val="21"/>
              </w:rPr>
              <w:t>2</w:t>
            </w:r>
          </w:p>
        </w:tc>
        <w:tc>
          <w:tcPr>
            <w:tcW w:w="3098" w:type="dxa"/>
            <w:gridSpan w:val="2"/>
            <w:vAlign w:val="center"/>
          </w:tcPr>
          <w:p w14:paraId="1038CBCE">
            <w:pPr>
              <w:spacing w:line="300" w:lineRule="exact"/>
              <w:jc w:val="center"/>
              <w:rPr>
                <w:rFonts w:ascii="??" w:hAnsi="??" w:eastAsia="Times New Roman"/>
                <w:szCs w:val="21"/>
              </w:rPr>
            </w:pPr>
            <w:r>
              <w:rPr>
                <w:rFonts w:hint="eastAsia" w:ascii="宋体" w:hAnsi="宋体"/>
                <w:szCs w:val="21"/>
              </w:rPr>
              <w:t>车行道面层厚度</w:t>
            </w:r>
          </w:p>
        </w:tc>
        <w:tc>
          <w:tcPr>
            <w:tcW w:w="5186" w:type="dxa"/>
            <w:gridSpan w:val="6"/>
            <w:tcBorders>
              <w:left w:val="nil"/>
              <w:right w:val="single" w:color="auto" w:sz="6" w:space="0"/>
            </w:tcBorders>
            <w:vAlign w:val="center"/>
          </w:tcPr>
          <w:p w14:paraId="0E0265AD">
            <w:pPr>
              <w:widowControl/>
              <w:spacing w:line="300" w:lineRule="exact"/>
              <w:ind w:firstLine="1155" w:firstLineChars="550"/>
              <w:jc w:val="center"/>
              <w:rPr>
                <w:rFonts w:ascii="??" w:hAnsi="??" w:eastAsia="Times New Roman"/>
                <w:szCs w:val="21"/>
              </w:rPr>
            </w:pPr>
          </w:p>
        </w:tc>
      </w:tr>
      <w:tr w14:paraId="4EF1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8" w:hRule="atLeast"/>
          <w:jc w:val="center"/>
        </w:trPr>
        <w:tc>
          <w:tcPr>
            <w:tcW w:w="629" w:type="dxa"/>
            <w:vMerge w:val="continue"/>
          </w:tcPr>
          <w:p w14:paraId="0290DCEA">
            <w:pPr>
              <w:widowControl/>
              <w:spacing w:line="300" w:lineRule="exact"/>
              <w:jc w:val="left"/>
              <w:rPr>
                <w:rFonts w:ascii="??" w:hAnsi="??" w:eastAsia="Times New Roman"/>
                <w:spacing w:val="20"/>
                <w:sz w:val="24"/>
              </w:rPr>
            </w:pPr>
          </w:p>
        </w:tc>
        <w:tc>
          <w:tcPr>
            <w:tcW w:w="1263" w:type="dxa"/>
            <w:tcBorders>
              <w:left w:val="nil"/>
            </w:tcBorders>
            <w:vAlign w:val="center"/>
          </w:tcPr>
          <w:p w14:paraId="2DD5ACDE">
            <w:pPr>
              <w:spacing w:line="300" w:lineRule="exact"/>
              <w:jc w:val="center"/>
              <w:rPr>
                <w:rFonts w:ascii="??" w:hAnsi="??" w:eastAsia="Times New Roman"/>
                <w:szCs w:val="21"/>
              </w:rPr>
            </w:pPr>
            <w:r>
              <w:rPr>
                <w:rFonts w:ascii="??" w:hAnsi="??" w:eastAsia="Times New Roman"/>
                <w:szCs w:val="21"/>
              </w:rPr>
              <w:t>3</w:t>
            </w:r>
          </w:p>
        </w:tc>
        <w:tc>
          <w:tcPr>
            <w:tcW w:w="3098" w:type="dxa"/>
            <w:gridSpan w:val="2"/>
            <w:vAlign w:val="center"/>
          </w:tcPr>
          <w:p w14:paraId="0D86014F">
            <w:pPr>
              <w:spacing w:line="300" w:lineRule="exact"/>
              <w:jc w:val="center"/>
              <w:rPr>
                <w:rFonts w:ascii="??" w:hAnsi="??" w:eastAsia="Times New Roman"/>
                <w:szCs w:val="21"/>
              </w:rPr>
            </w:pPr>
            <w:r>
              <w:rPr>
                <w:rFonts w:hint="eastAsia" w:ascii="宋体" w:hAnsi="宋体"/>
                <w:szCs w:val="21"/>
              </w:rPr>
              <w:t>车行道平整度</w:t>
            </w:r>
          </w:p>
        </w:tc>
        <w:tc>
          <w:tcPr>
            <w:tcW w:w="5186" w:type="dxa"/>
            <w:gridSpan w:val="6"/>
            <w:tcBorders>
              <w:left w:val="nil"/>
              <w:right w:val="single" w:color="auto" w:sz="6" w:space="0"/>
            </w:tcBorders>
            <w:vAlign w:val="center"/>
          </w:tcPr>
          <w:p w14:paraId="67C871C9">
            <w:pPr>
              <w:widowControl/>
              <w:spacing w:line="300" w:lineRule="exact"/>
              <w:ind w:firstLine="1375" w:firstLineChars="550"/>
              <w:jc w:val="center"/>
              <w:rPr>
                <w:rFonts w:ascii="??" w:hAnsi="??" w:eastAsia="Times New Roman"/>
                <w:spacing w:val="20"/>
                <w:szCs w:val="21"/>
              </w:rPr>
            </w:pPr>
          </w:p>
        </w:tc>
      </w:tr>
      <w:tr w14:paraId="2B5C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29D166DE">
            <w:pPr>
              <w:widowControl/>
              <w:spacing w:line="300" w:lineRule="exact"/>
              <w:jc w:val="left"/>
              <w:rPr>
                <w:rFonts w:ascii="??" w:hAnsi="??" w:eastAsia="Times New Roman"/>
                <w:spacing w:val="20"/>
                <w:sz w:val="24"/>
              </w:rPr>
            </w:pPr>
          </w:p>
        </w:tc>
        <w:tc>
          <w:tcPr>
            <w:tcW w:w="1263" w:type="dxa"/>
            <w:tcBorders>
              <w:left w:val="nil"/>
            </w:tcBorders>
            <w:vAlign w:val="center"/>
          </w:tcPr>
          <w:p w14:paraId="17B43580">
            <w:pPr>
              <w:spacing w:line="300" w:lineRule="exact"/>
              <w:jc w:val="center"/>
              <w:rPr>
                <w:rFonts w:ascii="??" w:hAnsi="??" w:eastAsia="Times New Roman"/>
                <w:szCs w:val="21"/>
              </w:rPr>
            </w:pPr>
            <w:r>
              <w:rPr>
                <w:rFonts w:ascii="??" w:hAnsi="??" w:eastAsia="Times New Roman"/>
                <w:szCs w:val="21"/>
              </w:rPr>
              <w:t>4</w:t>
            </w:r>
          </w:p>
        </w:tc>
        <w:tc>
          <w:tcPr>
            <w:tcW w:w="3098" w:type="dxa"/>
            <w:gridSpan w:val="2"/>
            <w:vAlign w:val="center"/>
          </w:tcPr>
          <w:p w14:paraId="4F81E9F9">
            <w:pPr>
              <w:spacing w:line="300" w:lineRule="exact"/>
              <w:jc w:val="center"/>
              <w:rPr>
                <w:rFonts w:ascii="??" w:hAnsi="??" w:eastAsia="宋体"/>
                <w:szCs w:val="21"/>
              </w:rPr>
            </w:pPr>
            <w:r>
              <w:rPr>
                <w:rFonts w:hint="eastAsia" w:ascii="宋体" w:hAnsi="宋体" w:eastAsia="宋体"/>
                <w:szCs w:val="21"/>
              </w:rPr>
              <w:t>沥青混合料面层压实度</w:t>
            </w:r>
          </w:p>
        </w:tc>
        <w:tc>
          <w:tcPr>
            <w:tcW w:w="5186" w:type="dxa"/>
            <w:gridSpan w:val="6"/>
            <w:tcBorders>
              <w:left w:val="nil"/>
              <w:right w:val="single" w:color="auto" w:sz="6" w:space="0"/>
            </w:tcBorders>
            <w:vAlign w:val="center"/>
          </w:tcPr>
          <w:p w14:paraId="76E0023C">
            <w:pPr>
              <w:widowControl/>
              <w:spacing w:line="300" w:lineRule="exact"/>
              <w:ind w:firstLine="1375" w:firstLineChars="550"/>
              <w:jc w:val="center"/>
              <w:rPr>
                <w:rFonts w:ascii="??" w:hAnsi="??" w:eastAsia="Times New Roman"/>
                <w:spacing w:val="20"/>
                <w:szCs w:val="21"/>
              </w:rPr>
            </w:pPr>
          </w:p>
        </w:tc>
      </w:tr>
      <w:tr w14:paraId="2343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4" w:hRule="atLeast"/>
          <w:jc w:val="center"/>
        </w:trPr>
        <w:tc>
          <w:tcPr>
            <w:tcW w:w="629" w:type="dxa"/>
            <w:vMerge w:val="continue"/>
          </w:tcPr>
          <w:p w14:paraId="170834B2">
            <w:pPr>
              <w:widowControl/>
              <w:spacing w:line="300" w:lineRule="exact"/>
              <w:jc w:val="left"/>
              <w:rPr>
                <w:rFonts w:ascii="??" w:hAnsi="??" w:eastAsia="Times New Roman"/>
                <w:spacing w:val="20"/>
                <w:sz w:val="24"/>
              </w:rPr>
            </w:pPr>
          </w:p>
        </w:tc>
        <w:tc>
          <w:tcPr>
            <w:tcW w:w="1263" w:type="dxa"/>
            <w:tcBorders>
              <w:left w:val="nil"/>
            </w:tcBorders>
            <w:vAlign w:val="center"/>
          </w:tcPr>
          <w:p w14:paraId="1BFDEF2B">
            <w:pPr>
              <w:widowControl/>
              <w:spacing w:line="300" w:lineRule="exact"/>
              <w:jc w:val="center"/>
              <w:rPr>
                <w:rFonts w:ascii="??" w:hAnsi="??" w:eastAsia="Times New Roman"/>
                <w:spacing w:val="20"/>
                <w:szCs w:val="21"/>
              </w:rPr>
            </w:pPr>
            <w:r>
              <w:rPr>
                <w:rFonts w:hint="eastAsia" w:ascii="??" w:hAnsi="??" w:eastAsia="Times New Roman"/>
                <w:spacing w:val="20"/>
                <w:szCs w:val="21"/>
              </w:rPr>
              <w:t>5</w:t>
            </w:r>
          </w:p>
        </w:tc>
        <w:tc>
          <w:tcPr>
            <w:tcW w:w="3098" w:type="dxa"/>
            <w:gridSpan w:val="2"/>
            <w:vAlign w:val="center"/>
          </w:tcPr>
          <w:p w14:paraId="1369251B">
            <w:pPr>
              <w:widowControl/>
              <w:spacing w:line="300" w:lineRule="exact"/>
              <w:jc w:val="center"/>
              <w:rPr>
                <w:rFonts w:ascii="??" w:hAnsi="??"/>
                <w:szCs w:val="21"/>
              </w:rPr>
            </w:pPr>
            <w:r>
              <w:rPr>
                <w:rFonts w:hint="eastAsia" w:ascii="宋体" w:hAnsi="宋体"/>
                <w:szCs w:val="21"/>
              </w:rPr>
              <w:t>人行道材料强度</w:t>
            </w:r>
          </w:p>
        </w:tc>
        <w:tc>
          <w:tcPr>
            <w:tcW w:w="5186" w:type="dxa"/>
            <w:gridSpan w:val="6"/>
            <w:tcBorders>
              <w:left w:val="nil"/>
              <w:right w:val="single" w:color="auto" w:sz="6" w:space="0"/>
            </w:tcBorders>
            <w:vAlign w:val="center"/>
          </w:tcPr>
          <w:p w14:paraId="4E7BF94C">
            <w:pPr>
              <w:widowControl/>
              <w:spacing w:line="300" w:lineRule="exact"/>
              <w:ind w:firstLine="1000" w:firstLineChars="400"/>
              <w:jc w:val="center"/>
              <w:rPr>
                <w:rFonts w:ascii="??" w:hAnsi="??" w:eastAsia="Times New Roman"/>
                <w:spacing w:val="20"/>
                <w:szCs w:val="21"/>
              </w:rPr>
            </w:pPr>
          </w:p>
        </w:tc>
      </w:tr>
      <w:tr w14:paraId="385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6" w:hRule="atLeast"/>
          <w:jc w:val="center"/>
        </w:trPr>
        <w:tc>
          <w:tcPr>
            <w:tcW w:w="629" w:type="dxa"/>
            <w:vMerge w:val="continue"/>
          </w:tcPr>
          <w:p w14:paraId="46D4539F">
            <w:pPr>
              <w:widowControl/>
              <w:spacing w:line="300" w:lineRule="exact"/>
              <w:jc w:val="left"/>
              <w:rPr>
                <w:rFonts w:ascii="??" w:hAnsi="??" w:eastAsia="Times New Roman"/>
                <w:spacing w:val="20"/>
                <w:sz w:val="24"/>
              </w:rPr>
            </w:pPr>
          </w:p>
        </w:tc>
        <w:tc>
          <w:tcPr>
            <w:tcW w:w="1263" w:type="dxa"/>
            <w:tcBorders>
              <w:left w:val="nil"/>
            </w:tcBorders>
            <w:vAlign w:val="center"/>
          </w:tcPr>
          <w:p w14:paraId="5C76F17F">
            <w:pPr>
              <w:widowControl/>
              <w:spacing w:line="300" w:lineRule="exact"/>
              <w:jc w:val="center"/>
              <w:rPr>
                <w:rFonts w:ascii="??" w:hAnsi="??" w:eastAsia="Times New Roman"/>
                <w:spacing w:val="-22"/>
                <w:szCs w:val="21"/>
              </w:rPr>
            </w:pPr>
            <w:r>
              <w:rPr>
                <w:rFonts w:hint="eastAsia" w:ascii="??" w:hAnsi="??" w:eastAsia="Times New Roman"/>
                <w:spacing w:val="-22"/>
                <w:szCs w:val="21"/>
              </w:rPr>
              <w:t>6</w:t>
            </w:r>
          </w:p>
        </w:tc>
        <w:tc>
          <w:tcPr>
            <w:tcW w:w="3098" w:type="dxa"/>
            <w:gridSpan w:val="2"/>
            <w:vAlign w:val="center"/>
          </w:tcPr>
          <w:p w14:paraId="19A448E3">
            <w:pPr>
              <w:widowControl/>
              <w:spacing w:line="300" w:lineRule="exact"/>
              <w:jc w:val="center"/>
              <w:rPr>
                <w:rFonts w:ascii="??" w:hAnsi="??" w:eastAsia="Times New Roman"/>
                <w:szCs w:val="21"/>
              </w:rPr>
            </w:pPr>
            <w:r>
              <w:rPr>
                <w:rFonts w:hint="eastAsia" w:ascii="宋体" w:hAnsi="宋体"/>
                <w:szCs w:val="21"/>
              </w:rPr>
              <w:t>人行道材料外观尺寸</w:t>
            </w:r>
          </w:p>
        </w:tc>
        <w:tc>
          <w:tcPr>
            <w:tcW w:w="5186" w:type="dxa"/>
            <w:gridSpan w:val="6"/>
            <w:tcBorders>
              <w:left w:val="nil"/>
              <w:right w:val="single" w:color="auto" w:sz="6" w:space="0"/>
            </w:tcBorders>
            <w:vAlign w:val="center"/>
          </w:tcPr>
          <w:p w14:paraId="3967DA81">
            <w:pPr>
              <w:widowControl/>
              <w:spacing w:line="300" w:lineRule="exact"/>
              <w:ind w:firstLine="1125" w:firstLineChars="450"/>
              <w:jc w:val="center"/>
              <w:rPr>
                <w:rFonts w:ascii="??" w:hAnsi="??" w:eastAsia="Times New Roman"/>
                <w:spacing w:val="20"/>
                <w:szCs w:val="21"/>
              </w:rPr>
            </w:pPr>
          </w:p>
        </w:tc>
      </w:tr>
      <w:tr w14:paraId="68C1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4" w:hRule="atLeast"/>
          <w:jc w:val="center"/>
        </w:trPr>
        <w:tc>
          <w:tcPr>
            <w:tcW w:w="629" w:type="dxa"/>
            <w:vMerge w:val="continue"/>
          </w:tcPr>
          <w:p w14:paraId="36EA3916">
            <w:pPr>
              <w:widowControl/>
              <w:spacing w:line="300" w:lineRule="exact"/>
              <w:jc w:val="center"/>
              <w:rPr>
                <w:rFonts w:ascii="??" w:hAnsi="??" w:eastAsia="Times New Roman"/>
                <w:spacing w:val="20"/>
                <w:sz w:val="24"/>
              </w:rPr>
            </w:pPr>
          </w:p>
        </w:tc>
        <w:tc>
          <w:tcPr>
            <w:tcW w:w="1263" w:type="dxa"/>
            <w:tcBorders>
              <w:left w:val="nil"/>
            </w:tcBorders>
            <w:vAlign w:val="center"/>
          </w:tcPr>
          <w:p w14:paraId="4694177E">
            <w:pPr>
              <w:widowControl/>
              <w:spacing w:line="300" w:lineRule="exact"/>
              <w:jc w:val="center"/>
              <w:rPr>
                <w:rFonts w:ascii="??" w:hAnsi="??"/>
                <w:spacing w:val="20"/>
                <w:szCs w:val="21"/>
              </w:rPr>
            </w:pPr>
            <w:r>
              <w:rPr>
                <w:rFonts w:hint="eastAsia" w:ascii="??" w:hAnsi="??"/>
                <w:spacing w:val="20"/>
                <w:szCs w:val="21"/>
              </w:rPr>
              <w:t>7</w:t>
            </w:r>
          </w:p>
        </w:tc>
        <w:tc>
          <w:tcPr>
            <w:tcW w:w="3098" w:type="dxa"/>
            <w:gridSpan w:val="2"/>
            <w:vAlign w:val="center"/>
          </w:tcPr>
          <w:p w14:paraId="687C3F1A">
            <w:pPr>
              <w:widowControl/>
              <w:spacing w:line="300" w:lineRule="exact"/>
              <w:jc w:val="center"/>
              <w:rPr>
                <w:rFonts w:ascii="宋体" w:hAnsi="宋体"/>
                <w:szCs w:val="21"/>
              </w:rPr>
            </w:pPr>
            <w:r>
              <w:rPr>
                <w:rFonts w:hint="eastAsia" w:ascii="宋体" w:hAnsi="宋体"/>
                <w:szCs w:val="21"/>
              </w:rPr>
              <w:t>人行道平整度</w:t>
            </w:r>
          </w:p>
        </w:tc>
        <w:tc>
          <w:tcPr>
            <w:tcW w:w="5186" w:type="dxa"/>
            <w:gridSpan w:val="6"/>
            <w:tcBorders>
              <w:left w:val="nil"/>
              <w:right w:val="single" w:color="auto" w:sz="6" w:space="0"/>
            </w:tcBorders>
            <w:vAlign w:val="center"/>
          </w:tcPr>
          <w:p w14:paraId="2C733865">
            <w:pPr>
              <w:widowControl/>
              <w:spacing w:line="300" w:lineRule="exact"/>
              <w:ind w:firstLine="750" w:firstLineChars="300"/>
              <w:jc w:val="center"/>
              <w:rPr>
                <w:rFonts w:ascii="??" w:hAnsi="??" w:eastAsia="Times New Roman"/>
                <w:spacing w:val="20"/>
                <w:szCs w:val="21"/>
              </w:rPr>
            </w:pPr>
          </w:p>
        </w:tc>
      </w:tr>
      <w:tr w14:paraId="450C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8" w:hRule="atLeast"/>
          <w:jc w:val="center"/>
        </w:trPr>
        <w:tc>
          <w:tcPr>
            <w:tcW w:w="629" w:type="dxa"/>
            <w:vMerge w:val="continue"/>
          </w:tcPr>
          <w:p w14:paraId="447F0506">
            <w:pPr>
              <w:widowControl/>
              <w:spacing w:line="300" w:lineRule="exact"/>
              <w:jc w:val="center"/>
              <w:rPr>
                <w:rFonts w:ascii="??" w:hAnsi="??" w:eastAsia="Times New Roman"/>
                <w:spacing w:val="20"/>
                <w:sz w:val="24"/>
              </w:rPr>
            </w:pPr>
          </w:p>
        </w:tc>
        <w:tc>
          <w:tcPr>
            <w:tcW w:w="1263" w:type="dxa"/>
            <w:tcBorders>
              <w:left w:val="nil"/>
            </w:tcBorders>
            <w:vAlign w:val="center"/>
          </w:tcPr>
          <w:p w14:paraId="1260DFC5">
            <w:pPr>
              <w:widowControl/>
              <w:spacing w:line="300" w:lineRule="exact"/>
              <w:jc w:val="center"/>
              <w:rPr>
                <w:rFonts w:ascii="??" w:hAnsi="??"/>
                <w:spacing w:val="20"/>
                <w:szCs w:val="21"/>
              </w:rPr>
            </w:pPr>
            <w:r>
              <w:rPr>
                <w:rFonts w:hint="eastAsia" w:ascii="??" w:hAnsi="??"/>
                <w:spacing w:val="20"/>
                <w:szCs w:val="21"/>
              </w:rPr>
              <w:t>8</w:t>
            </w:r>
          </w:p>
        </w:tc>
        <w:tc>
          <w:tcPr>
            <w:tcW w:w="3098" w:type="dxa"/>
            <w:gridSpan w:val="2"/>
            <w:vAlign w:val="center"/>
          </w:tcPr>
          <w:p w14:paraId="3E097C4C">
            <w:pPr>
              <w:widowControl/>
              <w:spacing w:line="300" w:lineRule="exact"/>
              <w:jc w:val="center"/>
              <w:rPr>
                <w:rFonts w:ascii="??" w:hAnsi="??" w:eastAsia="Times New Roman"/>
                <w:szCs w:val="21"/>
              </w:rPr>
            </w:pPr>
            <w:r>
              <w:rPr>
                <w:rFonts w:hint="eastAsia" w:ascii="宋体" w:hAnsi="宋体"/>
                <w:szCs w:val="21"/>
              </w:rPr>
              <w:t>沥青混合料铺筑人行道厚度</w:t>
            </w:r>
          </w:p>
        </w:tc>
        <w:tc>
          <w:tcPr>
            <w:tcW w:w="5186" w:type="dxa"/>
            <w:gridSpan w:val="6"/>
            <w:tcBorders>
              <w:left w:val="nil"/>
              <w:right w:val="single" w:color="auto" w:sz="6" w:space="0"/>
            </w:tcBorders>
            <w:vAlign w:val="center"/>
          </w:tcPr>
          <w:p w14:paraId="0760369D">
            <w:pPr>
              <w:widowControl/>
              <w:spacing w:line="300" w:lineRule="exact"/>
              <w:ind w:firstLine="840" w:firstLineChars="300"/>
              <w:jc w:val="center"/>
              <w:rPr>
                <w:rFonts w:ascii="??" w:hAnsi="??" w:eastAsia="Times New Roman"/>
                <w:spacing w:val="20"/>
                <w:sz w:val="24"/>
                <w:szCs w:val="24"/>
              </w:rPr>
            </w:pPr>
          </w:p>
        </w:tc>
      </w:tr>
      <w:tr w14:paraId="780F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36847314">
            <w:pPr>
              <w:widowControl/>
              <w:spacing w:line="300" w:lineRule="exact"/>
              <w:jc w:val="center"/>
              <w:rPr>
                <w:rFonts w:ascii="??" w:hAnsi="??" w:eastAsia="Times New Roman"/>
                <w:spacing w:val="20"/>
                <w:sz w:val="24"/>
              </w:rPr>
            </w:pPr>
          </w:p>
        </w:tc>
        <w:tc>
          <w:tcPr>
            <w:tcW w:w="1263" w:type="dxa"/>
            <w:tcBorders>
              <w:left w:val="nil"/>
            </w:tcBorders>
            <w:vAlign w:val="center"/>
          </w:tcPr>
          <w:p w14:paraId="4B7973E7">
            <w:pPr>
              <w:widowControl/>
              <w:spacing w:line="300" w:lineRule="exact"/>
              <w:jc w:val="center"/>
              <w:rPr>
                <w:rFonts w:ascii="??" w:hAnsi="??"/>
                <w:spacing w:val="20"/>
                <w:szCs w:val="21"/>
              </w:rPr>
            </w:pPr>
            <w:r>
              <w:rPr>
                <w:rFonts w:hint="eastAsia" w:ascii="??" w:hAnsi="??"/>
                <w:spacing w:val="20"/>
                <w:szCs w:val="21"/>
              </w:rPr>
              <w:t>9</w:t>
            </w:r>
          </w:p>
        </w:tc>
        <w:tc>
          <w:tcPr>
            <w:tcW w:w="3098" w:type="dxa"/>
            <w:gridSpan w:val="2"/>
            <w:vAlign w:val="center"/>
          </w:tcPr>
          <w:p w14:paraId="18E9FCCD">
            <w:pPr>
              <w:widowControl/>
              <w:spacing w:line="300" w:lineRule="exact"/>
              <w:jc w:val="center"/>
              <w:rPr>
                <w:rFonts w:ascii="??" w:hAnsi="??" w:eastAsia="Times New Roman"/>
                <w:szCs w:val="21"/>
              </w:rPr>
            </w:pPr>
            <w:r>
              <w:rPr>
                <w:rFonts w:hint="eastAsia" w:ascii="宋体" w:hAnsi="宋体"/>
                <w:szCs w:val="21"/>
              </w:rPr>
              <w:t>人行道沥青混合料压实度</w:t>
            </w:r>
          </w:p>
        </w:tc>
        <w:tc>
          <w:tcPr>
            <w:tcW w:w="5186" w:type="dxa"/>
            <w:gridSpan w:val="6"/>
            <w:tcBorders>
              <w:left w:val="nil"/>
              <w:right w:val="single" w:color="auto" w:sz="6" w:space="0"/>
            </w:tcBorders>
            <w:vAlign w:val="center"/>
          </w:tcPr>
          <w:p w14:paraId="10EC7144">
            <w:pPr>
              <w:widowControl/>
              <w:spacing w:line="300" w:lineRule="exact"/>
              <w:ind w:firstLine="840" w:firstLineChars="300"/>
              <w:jc w:val="center"/>
              <w:rPr>
                <w:rFonts w:ascii="??" w:hAnsi="??" w:eastAsia="Times New Roman"/>
                <w:spacing w:val="20"/>
                <w:sz w:val="24"/>
                <w:szCs w:val="24"/>
              </w:rPr>
            </w:pPr>
          </w:p>
        </w:tc>
      </w:tr>
      <w:tr w14:paraId="13B5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777DA1C6">
            <w:pPr>
              <w:widowControl/>
              <w:spacing w:line="300" w:lineRule="exact"/>
              <w:jc w:val="center"/>
              <w:rPr>
                <w:rFonts w:ascii="??" w:hAnsi="??" w:eastAsia="Times New Roman"/>
                <w:spacing w:val="20"/>
                <w:sz w:val="24"/>
              </w:rPr>
            </w:pPr>
          </w:p>
        </w:tc>
        <w:tc>
          <w:tcPr>
            <w:tcW w:w="1263" w:type="dxa"/>
            <w:tcBorders>
              <w:left w:val="nil"/>
            </w:tcBorders>
            <w:vAlign w:val="center"/>
          </w:tcPr>
          <w:p w14:paraId="613A7F6A">
            <w:pPr>
              <w:widowControl/>
              <w:spacing w:line="300" w:lineRule="exact"/>
              <w:jc w:val="center"/>
              <w:rPr>
                <w:rFonts w:ascii="??" w:hAnsi="??"/>
                <w:spacing w:val="20"/>
                <w:szCs w:val="21"/>
              </w:rPr>
            </w:pPr>
            <w:r>
              <w:rPr>
                <w:rFonts w:hint="eastAsia" w:ascii="??" w:hAnsi="??"/>
                <w:spacing w:val="20"/>
                <w:szCs w:val="21"/>
              </w:rPr>
              <w:t>10</w:t>
            </w:r>
          </w:p>
        </w:tc>
        <w:tc>
          <w:tcPr>
            <w:tcW w:w="3098" w:type="dxa"/>
            <w:gridSpan w:val="2"/>
            <w:vAlign w:val="center"/>
          </w:tcPr>
          <w:p w14:paraId="647F86E2">
            <w:pPr>
              <w:widowControl/>
              <w:spacing w:line="300" w:lineRule="exact"/>
              <w:jc w:val="center"/>
              <w:rPr>
                <w:rFonts w:ascii="宋体" w:hAnsi="宋体"/>
                <w:szCs w:val="21"/>
              </w:rPr>
            </w:pPr>
            <w:r>
              <w:rPr>
                <w:rFonts w:hint="eastAsia" w:ascii="宋体" w:hAnsi="宋体"/>
                <w:szCs w:val="21"/>
              </w:rPr>
              <w:t>管道CCTV</w:t>
            </w:r>
          </w:p>
        </w:tc>
        <w:tc>
          <w:tcPr>
            <w:tcW w:w="5186" w:type="dxa"/>
            <w:gridSpan w:val="6"/>
            <w:tcBorders>
              <w:left w:val="nil"/>
              <w:right w:val="single" w:color="auto" w:sz="6" w:space="0"/>
            </w:tcBorders>
            <w:vAlign w:val="center"/>
          </w:tcPr>
          <w:p w14:paraId="7920A18D">
            <w:pPr>
              <w:widowControl/>
              <w:spacing w:line="300" w:lineRule="exact"/>
              <w:ind w:firstLine="840" w:firstLineChars="300"/>
              <w:jc w:val="center"/>
              <w:rPr>
                <w:rFonts w:ascii="??" w:hAnsi="??" w:eastAsia="Times New Roman"/>
                <w:spacing w:val="20"/>
                <w:sz w:val="24"/>
                <w:szCs w:val="24"/>
              </w:rPr>
            </w:pPr>
          </w:p>
        </w:tc>
      </w:tr>
      <w:tr w14:paraId="3635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385" w:hRule="atLeast"/>
          <w:jc w:val="center"/>
        </w:trPr>
        <w:tc>
          <w:tcPr>
            <w:tcW w:w="629" w:type="dxa"/>
            <w:vAlign w:val="center"/>
          </w:tcPr>
          <w:p w14:paraId="7B4CDC1F">
            <w:pPr>
              <w:spacing w:line="300" w:lineRule="exact"/>
              <w:jc w:val="center"/>
              <w:rPr>
                <w:rFonts w:ascii="??" w:hAnsi="??" w:eastAsia="Times New Roman"/>
                <w:spacing w:val="20"/>
                <w:sz w:val="24"/>
              </w:rPr>
            </w:pPr>
            <w:r>
              <w:rPr>
                <w:rFonts w:hint="eastAsia" w:ascii="宋体" w:hAnsi="宋体"/>
                <w:b/>
                <w:spacing w:val="20"/>
                <w:sz w:val="24"/>
              </w:rPr>
              <w:t>检测情况总体评定</w:t>
            </w:r>
          </w:p>
        </w:tc>
        <w:tc>
          <w:tcPr>
            <w:tcW w:w="9547" w:type="dxa"/>
            <w:gridSpan w:val="9"/>
            <w:vAlign w:val="center"/>
          </w:tcPr>
          <w:p w14:paraId="0566C769">
            <w:pPr>
              <w:widowControl/>
              <w:spacing w:line="300" w:lineRule="exact"/>
              <w:jc w:val="center"/>
              <w:rPr>
                <w:rFonts w:ascii="??" w:hAnsi="??" w:eastAsia="Times New Roman"/>
                <w:sz w:val="24"/>
                <w:szCs w:val="24"/>
              </w:rPr>
            </w:pPr>
          </w:p>
        </w:tc>
      </w:tr>
    </w:tbl>
    <w:p w14:paraId="35E1507B">
      <w:pPr>
        <w:spacing w:line="300" w:lineRule="exact"/>
      </w:pPr>
    </w:p>
    <w:p w14:paraId="5FD02F2F">
      <w:pPr>
        <w:ind w:firstLine="560" w:firstLineChars="200"/>
        <w:jc w:val="left"/>
        <w:rPr>
          <w:rFonts w:ascii="??" w:hAnsi="??"/>
          <w:sz w:val="28"/>
          <w:szCs w:val="28"/>
        </w:rPr>
      </w:pPr>
    </w:p>
    <w:p w14:paraId="7F2AE192">
      <w:pPr>
        <w:ind w:firstLine="560" w:firstLineChars="200"/>
        <w:jc w:val="left"/>
        <w:rPr>
          <w:rFonts w:ascii="??" w:hAnsi="??"/>
          <w:sz w:val="28"/>
          <w:szCs w:val="28"/>
        </w:rPr>
      </w:pPr>
      <w:r>
        <w:rPr>
          <w:rFonts w:hint="eastAsia" w:ascii="??" w:hAnsi="??"/>
          <w:sz w:val="28"/>
          <w:szCs w:val="28"/>
        </w:rPr>
        <w:t>建设单位参与抽检人员（签字）：</w:t>
      </w:r>
    </w:p>
    <w:p w14:paraId="20F77138">
      <w:pPr>
        <w:ind w:firstLine="560" w:firstLineChars="200"/>
        <w:jc w:val="left"/>
        <w:rPr>
          <w:rFonts w:ascii="??" w:hAnsi="??"/>
          <w:sz w:val="28"/>
          <w:szCs w:val="28"/>
        </w:rPr>
      </w:pPr>
    </w:p>
    <w:p w14:paraId="7AF892E1">
      <w:pPr>
        <w:ind w:firstLine="560" w:firstLineChars="200"/>
        <w:jc w:val="left"/>
        <w:rPr>
          <w:rFonts w:ascii="??" w:hAnsi="??"/>
          <w:sz w:val="28"/>
          <w:szCs w:val="28"/>
        </w:rPr>
      </w:pPr>
    </w:p>
    <w:p w14:paraId="09A60E5D">
      <w:pPr>
        <w:ind w:firstLine="560" w:firstLineChars="200"/>
        <w:jc w:val="left"/>
        <w:rPr>
          <w:rFonts w:ascii="??" w:hAnsi="??"/>
          <w:sz w:val="28"/>
          <w:szCs w:val="28"/>
        </w:rPr>
      </w:pPr>
    </w:p>
    <w:p w14:paraId="66589D71">
      <w:pPr>
        <w:ind w:firstLine="560" w:firstLineChars="200"/>
        <w:jc w:val="left"/>
        <w:rPr>
          <w:rFonts w:ascii="??" w:hAnsi="??"/>
          <w:sz w:val="28"/>
          <w:szCs w:val="28"/>
        </w:rPr>
      </w:pPr>
      <w:r>
        <w:rPr>
          <w:rFonts w:hint="eastAsia" w:ascii="??" w:hAnsi="??"/>
          <w:sz w:val="28"/>
          <w:szCs w:val="28"/>
        </w:rPr>
        <w:t>检测单位参与抽检人员（签字）：</w:t>
      </w:r>
    </w:p>
    <w:p w14:paraId="34A4AB95">
      <w:pPr>
        <w:ind w:firstLine="560" w:firstLineChars="200"/>
        <w:jc w:val="left"/>
        <w:rPr>
          <w:rFonts w:ascii="??" w:hAnsi="??"/>
          <w:sz w:val="28"/>
          <w:szCs w:val="28"/>
        </w:rPr>
      </w:pPr>
    </w:p>
    <w:p w14:paraId="10E7E362">
      <w:pPr>
        <w:ind w:firstLine="560" w:firstLineChars="200"/>
        <w:jc w:val="left"/>
        <w:rPr>
          <w:rFonts w:ascii="??" w:hAnsi="??"/>
          <w:sz w:val="28"/>
          <w:szCs w:val="28"/>
        </w:rPr>
      </w:pPr>
    </w:p>
    <w:p w14:paraId="1B9B3380">
      <w:pPr>
        <w:ind w:firstLine="560" w:firstLineChars="200"/>
        <w:jc w:val="left"/>
        <w:rPr>
          <w:rFonts w:ascii="??" w:hAnsi="??"/>
          <w:sz w:val="28"/>
          <w:szCs w:val="28"/>
        </w:rPr>
      </w:pPr>
    </w:p>
    <w:p w14:paraId="4165350B">
      <w:pPr>
        <w:ind w:firstLine="560" w:firstLineChars="200"/>
        <w:jc w:val="left"/>
        <w:rPr>
          <w:rFonts w:ascii="仿宋_GB2312"/>
          <w:sz w:val="32"/>
          <w:szCs w:val="32"/>
        </w:rPr>
        <w:sectPr>
          <w:footerReference r:id="rId14" w:type="default"/>
          <w:pgSz w:w="12240" w:h="15840"/>
          <w:pgMar w:top="1247" w:right="1474" w:bottom="1247" w:left="1474" w:header="720" w:footer="720" w:gutter="0"/>
          <w:pgNumType w:fmt="decimal"/>
          <w:cols w:space="720" w:num="1"/>
        </w:sectPr>
      </w:pPr>
      <w:r>
        <w:rPr>
          <w:rFonts w:hint="eastAsia" w:ascii="??" w:hAnsi="??"/>
          <w:sz w:val="28"/>
          <w:szCs w:val="28"/>
        </w:rPr>
        <w:t>接收单位参与抽检人员（签字）：</w:t>
      </w:r>
    </w:p>
    <w:p w14:paraId="23DC8C8E">
      <w:pPr>
        <w:jc w:val="center"/>
        <w:rPr>
          <w:rFonts w:ascii="黑体" w:hAnsi="黑体" w:eastAsia="黑体"/>
          <w:sz w:val="44"/>
          <w:szCs w:val="44"/>
        </w:rPr>
      </w:pPr>
      <w:r>
        <w:rPr>
          <w:rFonts w:hint="eastAsia" w:ascii="黑体" w:hAnsi="黑体" w:eastAsia="黑体" w:cs="仿宋"/>
          <w:kern w:val="0"/>
          <w:sz w:val="44"/>
          <w:szCs w:val="44"/>
          <w:lang w:val="zh-CN"/>
        </w:rPr>
        <w:t>杭州市新建市政道路工程移交接收检测</w:t>
      </w:r>
      <w:r>
        <w:rPr>
          <w:rFonts w:hint="eastAsia" w:ascii="黑体" w:hAnsi="黑体" w:eastAsia="黑体" w:cs="仿宋"/>
          <w:kern w:val="0"/>
          <w:sz w:val="44"/>
          <w:szCs w:val="44"/>
        </w:rPr>
        <w:t>委托单</w:t>
      </w:r>
    </w:p>
    <w:p w14:paraId="6BE15FA3">
      <w:pPr>
        <w:spacing w:afterLines="50"/>
        <w:rPr>
          <w:rFonts w:ascii="黑体" w:hAnsi="黑体" w:eastAsia="黑体"/>
          <w:sz w:val="24"/>
          <w:szCs w:val="24"/>
        </w:rPr>
      </w:pPr>
      <w:r>
        <w:rPr>
          <w:rFonts w:hint="eastAsia" w:ascii="宋体" w:hAnsi="宋体" w:eastAsia="宋体" w:cs="宋体"/>
          <w:color w:val="000000"/>
          <w:kern w:val="0"/>
          <w:sz w:val="24"/>
          <w:szCs w:val="24"/>
        </w:rPr>
        <w:t xml:space="preserve">检测单位：                                                                            </w:t>
      </w:r>
      <w:r>
        <w:rPr>
          <w:rStyle w:val="373"/>
          <w:rFonts w:hint="default"/>
        </w:rPr>
        <w:t>委托编号：</w:t>
      </w:r>
    </w:p>
    <w:tbl>
      <w:tblPr>
        <w:tblStyle w:val="62"/>
        <w:tblW w:w="13221" w:type="dxa"/>
        <w:jc w:val="center"/>
        <w:tblLayout w:type="fixed"/>
        <w:tblCellMar>
          <w:top w:w="0" w:type="dxa"/>
          <w:left w:w="0" w:type="dxa"/>
          <w:bottom w:w="0" w:type="dxa"/>
          <w:right w:w="0" w:type="dxa"/>
        </w:tblCellMar>
      </w:tblPr>
      <w:tblGrid>
        <w:gridCol w:w="2509"/>
        <w:gridCol w:w="977"/>
        <w:gridCol w:w="902"/>
        <w:gridCol w:w="1686"/>
        <w:gridCol w:w="650"/>
        <w:gridCol w:w="1102"/>
        <w:gridCol w:w="1740"/>
        <w:gridCol w:w="1881"/>
        <w:gridCol w:w="1184"/>
        <w:gridCol w:w="590"/>
      </w:tblGrid>
      <w:tr w14:paraId="71E69B87">
        <w:tblPrEx>
          <w:tblCellMar>
            <w:top w:w="0" w:type="dxa"/>
            <w:left w:w="0" w:type="dxa"/>
            <w:bottom w:w="0" w:type="dxa"/>
            <w:right w:w="0" w:type="dxa"/>
          </w:tblCellMar>
        </w:tblPrEx>
        <w:trPr>
          <w:trHeight w:val="459"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D17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委托单位：</w:t>
            </w:r>
          </w:p>
        </w:tc>
        <w:tc>
          <w:tcPr>
            <w:tcW w:w="53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4507">
            <w:pPr>
              <w:jc w:val="center"/>
              <w:rPr>
                <w:rFonts w:ascii="宋体" w:hAnsi="宋体" w:eastAsia="宋体" w:cs="宋体"/>
                <w:color w:val="000000"/>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E3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建设单位：</w:t>
            </w:r>
          </w:p>
        </w:tc>
        <w:tc>
          <w:tcPr>
            <w:tcW w:w="365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D4E143">
            <w:pPr>
              <w:jc w:val="center"/>
              <w:rPr>
                <w:rFonts w:ascii="宋体" w:hAnsi="宋体" w:eastAsia="宋体" w:cs="宋体"/>
                <w:color w:val="000000"/>
                <w:szCs w:val="21"/>
              </w:rPr>
            </w:pPr>
          </w:p>
        </w:tc>
      </w:tr>
      <w:tr w14:paraId="10509F19">
        <w:tblPrEx>
          <w:tblCellMar>
            <w:top w:w="0" w:type="dxa"/>
            <w:left w:w="0" w:type="dxa"/>
            <w:bottom w:w="0" w:type="dxa"/>
            <w:right w:w="0" w:type="dxa"/>
          </w:tblCellMar>
        </w:tblPrEx>
        <w:trPr>
          <w:trHeight w:val="488"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A3D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工程名称：</w:t>
            </w:r>
          </w:p>
        </w:tc>
        <w:tc>
          <w:tcPr>
            <w:tcW w:w="53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CE7D">
            <w:pPr>
              <w:jc w:val="center"/>
              <w:rPr>
                <w:rFonts w:ascii="宋体" w:hAnsi="宋体" w:eastAsia="宋体" w:cs="宋体"/>
                <w:color w:val="000000"/>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F2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建设单位负责人：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0A39">
            <w:pPr>
              <w:rPr>
                <w:rFonts w:ascii="宋体" w:hAnsi="宋体" w:eastAsia="宋体" w:cs="宋体"/>
                <w:color w:val="000000"/>
                <w:szCs w:val="21"/>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55C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工程编号：</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7367">
            <w:pPr>
              <w:rPr>
                <w:rFonts w:ascii="宋体" w:hAnsi="宋体" w:eastAsia="宋体" w:cs="宋体"/>
                <w:color w:val="000000"/>
                <w:szCs w:val="21"/>
              </w:rPr>
            </w:pPr>
          </w:p>
        </w:tc>
      </w:tr>
      <w:tr w14:paraId="640FDF55">
        <w:tblPrEx>
          <w:tblCellMar>
            <w:top w:w="0" w:type="dxa"/>
            <w:left w:w="0" w:type="dxa"/>
            <w:bottom w:w="0" w:type="dxa"/>
            <w:right w:w="0" w:type="dxa"/>
          </w:tblCellMar>
        </w:tblPrEx>
        <w:trPr>
          <w:trHeight w:val="480"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A62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联系方式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0415">
            <w:pPr>
              <w:rPr>
                <w:rFonts w:ascii="宋体" w:hAnsi="宋体" w:eastAsia="宋体" w:cs="宋体"/>
                <w:color w:val="000000"/>
                <w:szCs w:val="21"/>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B68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检测性质</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52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□委托     □见证      □其它</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73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取样方式：</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0ED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□送检     □抽检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E7C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取样日期:</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5D94">
            <w:pPr>
              <w:rPr>
                <w:rFonts w:ascii="宋体" w:hAnsi="宋体" w:eastAsia="宋体" w:cs="宋体"/>
                <w:color w:val="000000"/>
                <w:szCs w:val="21"/>
              </w:rPr>
            </w:pPr>
          </w:p>
        </w:tc>
      </w:tr>
      <w:tr w14:paraId="6D282EC6">
        <w:tblPrEx>
          <w:tblCellMar>
            <w:top w:w="0" w:type="dxa"/>
            <w:left w:w="0" w:type="dxa"/>
            <w:bottom w:w="0" w:type="dxa"/>
            <w:right w:w="0" w:type="dxa"/>
          </w:tblCellMar>
        </w:tblPrEx>
        <w:trPr>
          <w:trHeight w:val="420"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A93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监理见证单</w:t>
            </w:r>
          </w:p>
        </w:tc>
        <w:tc>
          <w:tcPr>
            <w:tcW w:w="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7434C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 ）张</w:t>
            </w:r>
          </w:p>
        </w:tc>
        <w:tc>
          <w:tcPr>
            <w:tcW w:w="9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5A78C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无（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81F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产品质保单</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245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  ）张  无（   ）</w:t>
            </w:r>
          </w:p>
        </w:tc>
        <w:tc>
          <w:tcPr>
            <w:tcW w:w="5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D15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其它附件</w:t>
            </w:r>
          </w:p>
        </w:tc>
      </w:tr>
      <w:tr w14:paraId="701B0F70">
        <w:tblPrEx>
          <w:tblCellMar>
            <w:top w:w="0" w:type="dxa"/>
            <w:left w:w="0" w:type="dxa"/>
            <w:bottom w:w="0" w:type="dxa"/>
            <w:right w:w="0" w:type="dxa"/>
          </w:tblCellMar>
        </w:tblPrEx>
        <w:trPr>
          <w:trHeight w:val="499"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66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检测对象名称</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DC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样品描述</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D0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型号规格</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F3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产地/厂家/出厂日期/制模日期/部位及桩号/设计要求</w:t>
            </w:r>
          </w:p>
        </w:tc>
        <w:tc>
          <w:tcPr>
            <w:tcW w:w="362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CCC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检测项目</w:t>
            </w:r>
          </w:p>
        </w:tc>
        <w:tc>
          <w:tcPr>
            <w:tcW w:w="1184" w:type="dxa"/>
            <w:tcBorders>
              <w:top w:val="nil"/>
              <w:left w:val="nil"/>
              <w:bottom w:val="nil"/>
              <w:right w:val="nil"/>
            </w:tcBorders>
            <w:shd w:val="clear" w:color="auto" w:fill="auto"/>
            <w:tcMar>
              <w:top w:w="15" w:type="dxa"/>
              <w:left w:w="15" w:type="dxa"/>
              <w:right w:w="15" w:type="dxa"/>
            </w:tcMar>
            <w:vAlign w:val="center"/>
          </w:tcPr>
          <w:p w14:paraId="72891D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c>
          <w:tcPr>
            <w:tcW w:w="5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BF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金额（元）</w:t>
            </w:r>
          </w:p>
        </w:tc>
      </w:tr>
      <w:tr w14:paraId="61D6A9DF">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37C6">
            <w:pPr>
              <w:rPr>
                <w:rFonts w:ascii="宋体" w:hAnsi="宋体" w:eastAsia="宋体" w:cs="宋体"/>
                <w:color w:val="000000"/>
                <w:szCs w:val="21"/>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816D">
            <w:pPr>
              <w:rPr>
                <w:rFonts w:ascii="宋体" w:hAnsi="宋体" w:eastAsia="宋体" w:cs="宋体"/>
                <w:color w:val="000000"/>
                <w:szCs w:val="21"/>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E0E6">
            <w:pPr>
              <w:jc w:val="center"/>
              <w:rPr>
                <w:rFonts w:ascii="宋体" w:hAnsi="宋体" w:eastAsia="宋体" w:cs="宋体"/>
                <w:color w:val="00000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85C4">
            <w:pPr>
              <w:jc w:val="center"/>
              <w:rPr>
                <w:rFonts w:ascii="宋体" w:hAnsi="宋体" w:eastAsia="宋体" w:cs="宋体"/>
                <w:color w:val="000000"/>
                <w:szCs w:val="21"/>
              </w:rPr>
            </w:pP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F2A4">
            <w:pPr>
              <w:jc w:val="left"/>
              <w:rPr>
                <w:rFonts w:ascii="宋体" w:hAnsi="宋体" w:eastAsia="宋体" w:cs="宋体"/>
                <w:color w:val="000000"/>
                <w:szCs w:val="21"/>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F2AC">
            <w:pPr>
              <w:jc w:val="center"/>
              <w:rPr>
                <w:rFonts w:ascii="宋体" w:hAnsi="宋体" w:eastAsia="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7CFD">
            <w:pPr>
              <w:rPr>
                <w:rFonts w:ascii="宋体" w:hAnsi="宋体" w:eastAsia="宋体" w:cs="宋体"/>
                <w:color w:val="000000"/>
                <w:szCs w:val="21"/>
              </w:rPr>
            </w:pPr>
          </w:p>
        </w:tc>
      </w:tr>
      <w:tr w14:paraId="1347B70D">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0608">
            <w:pPr>
              <w:rPr>
                <w:rFonts w:ascii="宋体" w:hAnsi="宋体" w:eastAsia="宋体" w:cs="宋体"/>
                <w:color w:val="000000"/>
                <w:szCs w:val="21"/>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F496">
            <w:pPr>
              <w:rPr>
                <w:rFonts w:ascii="宋体" w:hAnsi="宋体" w:eastAsia="宋体" w:cs="宋体"/>
                <w:color w:val="000000"/>
                <w:szCs w:val="21"/>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17FC">
            <w:pPr>
              <w:jc w:val="center"/>
              <w:rPr>
                <w:rFonts w:ascii="宋体" w:hAnsi="宋体" w:eastAsia="宋体" w:cs="宋体"/>
                <w:color w:val="00000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3A1B">
            <w:pPr>
              <w:jc w:val="center"/>
              <w:rPr>
                <w:rFonts w:ascii="宋体" w:hAnsi="宋体" w:eastAsia="宋体" w:cs="宋体"/>
                <w:color w:val="000000"/>
                <w:szCs w:val="21"/>
              </w:rPr>
            </w:pP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49DC">
            <w:pPr>
              <w:jc w:val="left"/>
              <w:rPr>
                <w:rFonts w:ascii="宋体" w:hAnsi="宋体" w:eastAsia="宋体" w:cs="宋体"/>
                <w:color w:val="000000"/>
                <w:szCs w:val="21"/>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DADC">
            <w:pPr>
              <w:jc w:val="center"/>
              <w:rPr>
                <w:rFonts w:ascii="宋体" w:hAnsi="宋体" w:eastAsia="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2929">
            <w:pPr>
              <w:rPr>
                <w:rFonts w:ascii="宋体" w:hAnsi="宋体" w:eastAsia="宋体" w:cs="宋体"/>
                <w:color w:val="000000"/>
                <w:szCs w:val="21"/>
              </w:rPr>
            </w:pPr>
          </w:p>
        </w:tc>
      </w:tr>
      <w:tr w14:paraId="27781890">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D82A">
            <w:pPr>
              <w:rPr>
                <w:rFonts w:ascii="宋体" w:hAnsi="宋体" w:eastAsia="宋体" w:cs="宋体"/>
                <w:color w:val="000000"/>
                <w:szCs w:val="21"/>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4AB4">
            <w:pPr>
              <w:rPr>
                <w:rFonts w:ascii="宋体" w:hAnsi="宋体" w:eastAsia="宋体" w:cs="宋体"/>
                <w:color w:val="000000"/>
                <w:szCs w:val="21"/>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A5C2">
            <w:pPr>
              <w:rPr>
                <w:rFonts w:ascii="宋体" w:hAnsi="宋体" w:eastAsia="宋体" w:cs="宋体"/>
                <w:color w:val="00000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E33C">
            <w:pPr>
              <w:jc w:val="center"/>
              <w:rPr>
                <w:rFonts w:ascii="宋体" w:hAnsi="宋体" w:eastAsia="宋体" w:cs="宋体"/>
                <w:color w:val="000000"/>
                <w:szCs w:val="21"/>
              </w:rPr>
            </w:pPr>
          </w:p>
        </w:tc>
        <w:tc>
          <w:tcPr>
            <w:tcW w:w="362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630D">
            <w:pPr>
              <w:jc w:val="center"/>
              <w:rPr>
                <w:rFonts w:ascii="宋体" w:hAnsi="宋体" w:eastAsia="宋体" w:cs="宋体"/>
                <w:color w:val="000000"/>
                <w:szCs w:val="21"/>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C822">
            <w:pPr>
              <w:rPr>
                <w:rFonts w:ascii="宋体" w:hAnsi="宋体" w:eastAsia="宋体"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86EA">
            <w:pPr>
              <w:rPr>
                <w:rFonts w:ascii="宋体" w:hAnsi="宋体" w:eastAsia="宋体" w:cs="宋体"/>
                <w:color w:val="000000"/>
                <w:szCs w:val="21"/>
              </w:rPr>
            </w:pPr>
          </w:p>
        </w:tc>
      </w:tr>
      <w:tr w14:paraId="597E2898">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08B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检测标准</w:t>
            </w:r>
          </w:p>
        </w:tc>
        <w:tc>
          <w:tcPr>
            <w:tcW w:w="893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80A5">
            <w:pPr>
              <w:jc w:val="center"/>
              <w:rPr>
                <w:rFonts w:ascii="宋体" w:hAnsi="宋体" w:eastAsia="宋体" w:cs="宋体"/>
                <w:color w:val="000000"/>
                <w:szCs w:val="21"/>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372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合计（元）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0039">
            <w:pPr>
              <w:rPr>
                <w:rFonts w:ascii="宋体" w:hAnsi="宋体" w:eastAsia="宋体" w:cs="宋体"/>
                <w:color w:val="000000"/>
                <w:szCs w:val="21"/>
              </w:rPr>
            </w:pPr>
          </w:p>
        </w:tc>
      </w:tr>
      <w:tr w14:paraId="7B588D68">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16D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检测结论</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ABF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□仅提供检测数据，不下结论   □提供合格与否的结论</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7D9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分包或代委托</w:t>
            </w:r>
          </w:p>
        </w:tc>
        <w:tc>
          <w:tcPr>
            <w:tcW w:w="3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6A1A">
            <w:pPr>
              <w:jc w:val="left"/>
              <w:rPr>
                <w:rFonts w:ascii="宋体" w:hAnsi="宋体" w:eastAsia="宋体" w:cs="宋体"/>
                <w:color w:val="000000"/>
                <w:szCs w:val="21"/>
              </w:rPr>
            </w:pPr>
          </w:p>
        </w:tc>
      </w:tr>
      <w:tr w14:paraId="2D38B7E6">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6C8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送样日期</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0294">
            <w:pPr>
              <w:jc w:val="center"/>
              <w:rPr>
                <w:rFonts w:ascii="宋体" w:hAnsi="宋体" w:eastAsia="宋体" w:cs="宋体"/>
                <w:color w:val="000000"/>
                <w:szCs w:val="21"/>
              </w:rPr>
            </w:pP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679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约定取报告日期</w:t>
            </w:r>
          </w:p>
        </w:tc>
        <w:tc>
          <w:tcPr>
            <w:tcW w:w="3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B5FD">
            <w:pPr>
              <w:jc w:val="center"/>
              <w:rPr>
                <w:rFonts w:ascii="宋体" w:hAnsi="宋体" w:eastAsia="宋体" w:cs="宋体"/>
                <w:color w:val="000000"/>
                <w:szCs w:val="21"/>
              </w:rPr>
            </w:pPr>
          </w:p>
        </w:tc>
      </w:tr>
      <w:tr w14:paraId="183CDBD6">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869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检验后样品处理</w:t>
            </w:r>
          </w:p>
        </w:tc>
        <w:tc>
          <w:tcPr>
            <w:tcW w:w="107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14F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□由受理方代为处理           □    年     月     日之前全部取回，逾期未取回样品由受理方代为处理。</w:t>
            </w:r>
          </w:p>
        </w:tc>
      </w:tr>
      <w:tr w14:paraId="38DBF05E">
        <w:tblPrEx>
          <w:tblCellMar>
            <w:top w:w="0" w:type="dxa"/>
            <w:left w:w="0" w:type="dxa"/>
            <w:bottom w:w="0" w:type="dxa"/>
            <w:right w:w="0" w:type="dxa"/>
          </w:tblCellMar>
        </w:tblPrEx>
        <w:trPr>
          <w:trHeight w:val="1182" w:hRule="atLeast"/>
          <w:jc w:val="center"/>
        </w:trPr>
        <w:tc>
          <w:tcPr>
            <w:tcW w:w="67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71264E2">
            <w:pPr>
              <w:widowControl/>
              <w:jc w:val="left"/>
              <w:textAlignment w:val="top"/>
              <w:rPr>
                <w:rStyle w:val="122"/>
                <w:rFonts w:hint="default"/>
                <w:sz w:val="21"/>
                <w:szCs w:val="21"/>
              </w:rPr>
            </w:pPr>
            <w:r>
              <w:rPr>
                <w:rStyle w:val="146"/>
                <w:rFonts w:hint="default"/>
                <w:sz w:val="21"/>
                <w:szCs w:val="21"/>
              </w:rPr>
              <w:t>我方保证向承检方提供的所有相关信息、资料和样品真实有效。我方同意按此协议的条款进行检测，并支付检测所需费用和提供必要的合作</w:t>
            </w:r>
            <w:r>
              <w:rPr>
                <w:rStyle w:val="122"/>
                <w:rFonts w:hint="default"/>
                <w:sz w:val="21"/>
                <w:szCs w:val="21"/>
              </w:rPr>
              <w:t xml:space="preserve">。   </w:t>
            </w:r>
          </w:p>
          <w:p w14:paraId="1AB27F1E">
            <w:pPr>
              <w:widowControl/>
              <w:jc w:val="left"/>
              <w:textAlignment w:val="top"/>
              <w:rPr>
                <w:rStyle w:val="146"/>
                <w:rFonts w:hint="default"/>
                <w:sz w:val="21"/>
                <w:szCs w:val="21"/>
              </w:rPr>
            </w:pPr>
            <w:r>
              <w:rPr>
                <w:rStyle w:val="146"/>
                <w:rFonts w:hint="default"/>
                <w:sz w:val="21"/>
                <w:szCs w:val="21"/>
              </w:rPr>
              <w:t xml:space="preserve">委托方代表签名：  </w:t>
            </w:r>
          </w:p>
          <w:p w14:paraId="3E16E3E7">
            <w:pPr>
              <w:widowControl/>
              <w:jc w:val="left"/>
              <w:textAlignment w:val="top"/>
              <w:rPr>
                <w:rFonts w:ascii="宋体" w:hAnsi="宋体" w:eastAsia="宋体" w:cs="宋体"/>
                <w:color w:val="000000"/>
                <w:szCs w:val="21"/>
              </w:rPr>
            </w:pPr>
            <w:r>
              <w:rPr>
                <w:rStyle w:val="146"/>
                <w:rFonts w:hint="default"/>
                <w:sz w:val="21"/>
                <w:szCs w:val="21"/>
              </w:rPr>
              <w:t xml:space="preserve">                                               年    月      日</w:t>
            </w: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08B3BB">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我方保证按此协议的条款对委托方提供的样品进行及时、准确的检测。</w:t>
            </w:r>
          </w:p>
          <w:p w14:paraId="42C9E8D9">
            <w:pPr>
              <w:widowControl/>
              <w:jc w:val="left"/>
              <w:textAlignment w:val="top"/>
              <w:rPr>
                <w:rFonts w:ascii="宋体" w:hAnsi="宋体" w:eastAsia="宋体" w:cs="宋体"/>
                <w:color w:val="000000"/>
                <w:kern w:val="0"/>
                <w:szCs w:val="21"/>
              </w:rPr>
            </w:pPr>
            <w:r>
              <w:rPr>
                <w:rFonts w:hint="eastAsia" w:ascii="宋体" w:hAnsi="宋体" w:eastAsia="宋体" w:cs="宋体"/>
                <w:color w:val="000000"/>
                <w:kern w:val="0"/>
                <w:szCs w:val="21"/>
              </w:rPr>
              <w:t xml:space="preserve">           受理方代表签名：  </w:t>
            </w:r>
          </w:p>
          <w:p w14:paraId="3873BB5B">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                           年    月      日</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8CBA15D">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rPr>
              <w:t>备注：</w:t>
            </w:r>
          </w:p>
        </w:tc>
      </w:tr>
      <w:tr w14:paraId="792CE26C">
        <w:tblPrEx>
          <w:tblCellMar>
            <w:top w:w="0" w:type="dxa"/>
            <w:left w:w="0" w:type="dxa"/>
            <w:bottom w:w="0" w:type="dxa"/>
            <w:right w:w="0" w:type="dxa"/>
          </w:tblCellMar>
        </w:tblPrEx>
        <w:trPr>
          <w:trHeight w:val="402" w:hRule="atLeast"/>
          <w:jc w:val="center"/>
        </w:trPr>
        <w:tc>
          <w:tcPr>
            <w:tcW w:w="13221" w:type="dxa"/>
            <w:gridSpan w:val="10"/>
            <w:tcBorders>
              <w:top w:val="nil"/>
              <w:left w:val="nil"/>
              <w:bottom w:val="nil"/>
              <w:right w:val="nil"/>
            </w:tcBorders>
            <w:shd w:val="clear" w:color="auto" w:fill="auto"/>
            <w:noWrap/>
            <w:tcMar>
              <w:top w:w="15" w:type="dxa"/>
              <w:left w:w="15" w:type="dxa"/>
              <w:right w:w="15" w:type="dxa"/>
            </w:tcMar>
            <w:vAlign w:val="center"/>
          </w:tcPr>
          <w:p w14:paraId="42DC1694">
            <w:pPr>
              <w:rPr>
                <w:rFonts w:ascii="宋体" w:hAnsi="宋体" w:eastAsia="宋体" w:cs="宋体"/>
                <w:color w:val="000000"/>
                <w:szCs w:val="21"/>
              </w:rPr>
            </w:pPr>
            <w:r>
              <w:rPr>
                <w:rFonts w:hint="eastAsia" w:ascii="宋体" w:hAnsi="宋体" w:eastAsia="宋体" w:cs="宋体"/>
                <w:color w:val="000000"/>
                <w:kern w:val="0"/>
                <w:szCs w:val="21"/>
              </w:rPr>
              <w:t>注：该凭证无委托受理双方代表签字无效。</w:t>
            </w:r>
          </w:p>
        </w:tc>
      </w:tr>
    </w:tbl>
    <w:p w14:paraId="357CC4D6">
      <w:pPr>
        <w:rPr>
          <w:rFonts w:ascii="黑体" w:hAnsi="黑体" w:eastAsia="黑体"/>
          <w:sz w:val="32"/>
          <w:szCs w:val="32"/>
        </w:rPr>
        <w:sectPr>
          <w:pgSz w:w="15840" w:h="12240" w:orient="landscape"/>
          <w:pgMar w:top="1797" w:right="1440" w:bottom="1797" w:left="1440" w:header="720" w:footer="720" w:gutter="0"/>
          <w:pgNumType w:fmt="decimal"/>
          <w:cols w:space="720" w:num="1"/>
        </w:sectPr>
      </w:pPr>
    </w:p>
    <w:p w14:paraId="3C84218D">
      <w:pPr>
        <w:jc w:val="center"/>
        <w:rPr>
          <w:rFonts w:ascii="黑体" w:hAnsi="黑体" w:eastAsia="黑体"/>
          <w:spacing w:val="20"/>
          <w:sz w:val="52"/>
          <w:szCs w:val="52"/>
        </w:rPr>
      </w:pPr>
      <w:r>
        <w:rPr>
          <w:rFonts w:hint="eastAsia" w:ascii="黑体" w:hAnsi="黑体" w:eastAsia="黑体"/>
          <w:spacing w:val="20"/>
          <w:sz w:val="52"/>
          <w:szCs w:val="52"/>
        </w:rPr>
        <w:t>杭州市新建市政道路工程移交接收检测报告</w:t>
      </w:r>
    </w:p>
    <w:p w14:paraId="6136D989">
      <w:pPr>
        <w:jc w:val="center"/>
        <w:rPr>
          <w:rFonts w:ascii="宋体" w:hAnsi="宋体"/>
          <w:sz w:val="36"/>
        </w:rPr>
      </w:pPr>
    </w:p>
    <w:p w14:paraId="1133453F">
      <w:pPr>
        <w:jc w:val="center"/>
        <w:rPr>
          <w:rFonts w:ascii="??" w:hAnsi="??" w:eastAsia="Times New Roman"/>
          <w:sz w:val="36"/>
        </w:rPr>
      </w:pPr>
    </w:p>
    <w:p w14:paraId="08AB76DA">
      <w:pPr>
        <w:jc w:val="center"/>
        <w:rPr>
          <w:rFonts w:ascii="??" w:hAnsi="??" w:eastAsia="Times New Roman"/>
          <w:sz w:val="36"/>
        </w:rPr>
      </w:pPr>
    </w:p>
    <w:p w14:paraId="514DD6DB">
      <w:pPr>
        <w:jc w:val="center"/>
        <w:rPr>
          <w:rFonts w:ascii="??" w:hAnsi="??" w:eastAsia="Times New Roman"/>
          <w:sz w:val="36"/>
        </w:rPr>
      </w:pPr>
    </w:p>
    <w:p w14:paraId="68E8D9DD">
      <w:pPr>
        <w:jc w:val="center"/>
        <w:rPr>
          <w:rFonts w:ascii="??" w:hAnsi="??" w:eastAsia="Times New Roman"/>
          <w:sz w:val="36"/>
        </w:rPr>
      </w:pPr>
    </w:p>
    <w:tbl>
      <w:tblPr>
        <w:tblStyle w:val="6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6939"/>
      </w:tblGrid>
      <w:tr w14:paraId="5FCC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1917" w:type="dxa"/>
            <w:vAlign w:val="center"/>
          </w:tcPr>
          <w:p w14:paraId="74200A79">
            <w:pPr>
              <w:rPr>
                <w:rFonts w:ascii="宋体" w:hAnsi="宋体"/>
                <w:b/>
                <w:sz w:val="32"/>
                <w:szCs w:val="32"/>
              </w:rPr>
            </w:pPr>
            <w:r>
              <w:rPr>
                <w:rFonts w:hint="eastAsia" w:ascii="宋体" w:hAnsi="宋体"/>
                <w:b/>
                <w:sz w:val="32"/>
                <w:szCs w:val="32"/>
              </w:rPr>
              <w:t>委托单位：</w:t>
            </w:r>
          </w:p>
        </w:tc>
        <w:tc>
          <w:tcPr>
            <w:tcW w:w="6939" w:type="dxa"/>
            <w:vAlign w:val="center"/>
          </w:tcPr>
          <w:p w14:paraId="08AB2E03">
            <w:pPr>
              <w:rPr>
                <w:rFonts w:ascii="??" w:hAnsi="??"/>
                <w:sz w:val="36"/>
              </w:rPr>
            </w:pPr>
            <w:r>
              <w:rPr>
                <w:rFonts w:hint="eastAsia" w:ascii="??" w:hAnsi="??"/>
                <w:sz w:val="36"/>
              </w:rPr>
              <w:t>——</w:t>
            </w:r>
          </w:p>
        </w:tc>
      </w:tr>
      <w:tr w14:paraId="26A9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5D988310">
            <w:pPr>
              <w:rPr>
                <w:rFonts w:ascii="宋体" w:hAnsi="宋体"/>
                <w:b/>
                <w:sz w:val="32"/>
                <w:szCs w:val="32"/>
              </w:rPr>
            </w:pPr>
            <w:r>
              <w:rPr>
                <w:rFonts w:hint="eastAsia" w:ascii="宋体" w:hAnsi="宋体"/>
                <w:b/>
                <w:sz w:val="32"/>
                <w:szCs w:val="32"/>
              </w:rPr>
              <w:t>建设单位：</w:t>
            </w:r>
          </w:p>
        </w:tc>
        <w:tc>
          <w:tcPr>
            <w:tcW w:w="6939" w:type="dxa"/>
            <w:vAlign w:val="center"/>
          </w:tcPr>
          <w:p w14:paraId="1FCA2422">
            <w:pPr>
              <w:rPr>
                <w:rFonts w:ascii="??" w:hAnsi="??"/>
                <w:sz w:val="36"/>
              </w:rPr>
            </w:pPr>
            <w:r>
              <w:rPr>
                <w:rFonts w:hint="eastAsia" w:ascii="??" w:hAnsi="??"/>
                <w:sz w:val="36"/>
              </w:rPr>
              <w:t>——</w:t>
            </w:r>
          </w:p>
        </w:tc>
      </w:tr>
      <w:tr w14:paraId="3E9C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534BE7FB">
            <w:pPr>
              <w:rPr>
                <w:rFonts w:ascii="宋体" w:hAnsi="宋体"/>
                <w:b/>
                <w:sz w:val="32"/>
                <w:szCs w:val="32"/>
              </w:rPr>
            </w:pPr>
            <w:r>
              <w:rPr>
                <w:rFonts w:hint="eastAsia" w:ascii="宋体" w:hAnsi="宋体"/>
                <w:b/>
                <w:sz w:val="32"/>
                <w:szCs w:val="32"/>
              </w:rPr>
              <w:t>工程名称：</w:t>
            </w:r>
          </w:p>
        </w:tc>
        <w:tc>
          <w:tcPr>
            <w:tcW w:w="6939" w:type="dxa"/>
            <w:vAlign w:val="center"/>
          </w:tcPr>
          <w:p w14:paraId="683AFEC4">
            <w:pPr>
              <w:rPr>
                <w:rFonts w:ascii="??" w:hAnsi="??"/>
                <w:sz w:val="36"/>
              </w:rPr>
            </w:pPr>
            <w:r>
              <w:rPr>
                <w:rFonts w:hint="eastAsia" w:ascii="??" w:hAnsi="??"/>
                <w:sz w:val="36"/>
              </w:rPr>
              <w:t>——</w:t>
            </w:r>
          </w:p>
        </w:tc>
      </w:tr>
      <w:tr w14:paraId="5597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5CA40953">
            <w:pPr>
              <w:rPr>
                <w:rFonts w:ascii="宋体" w:hAnsi="宋体"/>
                <w:b/>
                <w:sz w:val="32"/>
                <w:szCs w:val="32"/>
              </w:rPr>
            </w:pPr>
            <w:r>
              <w:rPr>
                <w:rFonts w:hint="eastAsia" w:ascii="宋体" w:hAnsi="宋体"/>
                <w:b/>
                <w:sz w:val="32"/>
                <w:szCs w:val="32"/>
              </w:rPr>
              <w:t>检测单位</w:t>
            </w:r>
          </w:p>
        </w:tc>
        <w:tc>
          <w:tcPr>
            <w:tcW w:w="6939" w:type="dxa"/>
            <w:vAlign w:val="center"/>
          </w:tcPr>
          <w:p w14:paraId="24605940">
            <w:pPr>
              <w:rPr>
                <w:rFonts w:ascii="??" w:hAnsi="??"/>
                <w:sz w:val="36"/>
              </w:rPr>
            </w:pPr>
            <w:r>
              <w:rPr>
                <w:rFonts w:hint="eastAsia" w:ascii="??" w:hAnsi="??"/>
                <w:sz w:val="36"/>
              </w:rPr>
              <w:t>——</w:t>
            </w:r>
          </w:p>
        </w:tc>
      </w:tr>
    </w:tbl>
    <w:p w14:paraId="43FF2E7B">
      <w:pPr>
        <w:jc w:val="center"/>
        <w:rPr>
          <w:rFonts w:ascii="??" w:hAnsi="??"/>
          <w:sz w:val="36"/>
        </w:rPr>
      </w:pPr>
    </w:p>
    <w:p w14:paraId="63154286">
      <w:pPr>
        <w:jc w:val="center"/>
        <w:rPr>
          <w:rFonts w:ascii="??" w:hAnsi="??"/>
          <w:sz w:val="36"/>
        </w:rPr>
      </w:pPr>
      <w:r>
        <w:rPr>
          <w:rFonts w:hint="eastAsia" w:ascii="??" w:hAnsi="??"/>
          <w:sz w:val="36"/>
        </w:rPr>
        <w:t>2020年   月</w:t>
      </w:r>
    </w:p>
    <w:p w14:paraId="2548E657">
      <w:pPr>
        <w:jc w:val="center"/>
        <w:rPr>
          <w:rFonts w:ascii="??" w:hAnsi="??"/>
          <w:sz w:val="36"/>
        </w:rPr>
        <w:sectPr>
          <w:pgSz w:w="12240" w:h="15840"/>
          <w:pgMar w:top="1440" w:right="1797" w:bottom="1440" w:left="1797" w:header="720" w:footer="720" w:gutter="0"/>
          <w:pgNumType w:fmt="decimal"/>
          <w:cols w:space="720" w:num="1"/>
        </w:sectPr>
      </w:pPr>
    </w:p>
    <w:p w14:paraId="147DB5FF">
      <w:pPr>
        <w:jc w:val="center"/>
        <w:rPr>
          <w:rFonts w:ascii="??" w:hAnsi="??"/>
          <w:sz w:val="32"/>
          <w:szCs w:val="32"/>
        </w:rPr>
      </w:pPr>
    </w:p>
    <w:sdt>
      <w:sdtPr>
        <w:rPr>
          <w:rFonts w:ascii="宋体" w:hAnsi="宋体" w:eastAsia="宋体"/>
          <w:sz w:val="32"/>
          <w:szCs w:val="32"/>
        </w:rPr>
        <w:id w:val="147461902"/>
        <w:docPartObj>
          <w:docPartGallery w:val="Table of Contents"/>
          <w:docPartUnique/>
        </w:docPartObj>
      </w:sdtPr>
      <w:sdtEndPr>
        <w:rPr>
          <w:rFonts w:hint="eastAsia" w:ascii="??" w:hAnsi="??" w:eastAsiaTheme="minorEastAsia"/>
          <w:b/>
          <w:sz w:val="21"/>
          <w:szCs w:val="22"/>
        </w:rPr>
      </w:sdtEndPr>
      <w:sdtContent>
        <w:p w14:paraId="106046C0">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目    录</w:t>
          </w:r>
        </w:p>
        <w:p w14:paraId="6B7B9BBB">
          <w:pPr>
            <w:jc w:val="center"/>
            <w:rPr>
              <w:rFonts w:ascii="华文仿宋" w:hAnsi="华文仿宋" w:eastAsia="华文仿宋" w:cs="华文仿宋"/>
              <w:sz w:val="24"/>
              <w:szCs w:val="24"/>
            </w:rPr>
          </w:pPr>
        </w:p>
        <w:p w14:paraId="03B2B176">
          <w:pPr>
            <w:jc w:val="center"/>
            <w:rPr>
              <w:rFonts w:ascii="华文仿宋" w:hAnsi="华文仿宋" w:eastAsia="华文仿宋" w:cs="华文仿宋"/>
              <w:sz w:val="24"/>
              <w:szCs w:val="24"/>
            </w:rPr>
          </w:pPr>
        </w:p>
        <w:p w14:paraId="7A1B2C62">
          <w:pPr>
            <w:pStyle w:val="42"/>
            <w:tabs>
              <w:tab w:val="right" w:leader="dot" w:pos="8640"/>
            </w:tabs>
            <w:rPr>
              <w:sz w:val="24"/>
              <w:szCs w:val="24"/>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TOC \o "1-2" \h \u </w:instrText>
          </w:r>
          <w:r>
            <w:rPr>
              <w:rFonts w:hint="eastAsia" w:ascii="华文仿宋" w:hAnsi="华文仿宋" w:eastAsia="华文仿宋" w:cs="华文仿宋"/>
              <w:sz w:val="24"/>
              <w:szCs w:val="24"/>
            </w:rPr>
            <w:fldChar w:fldCharType="separate"/>
          </w:r>
          <w:r>
            <w:fldChar w:fldCharType="begin"/>
          </w:r>
          <w:r>
            <w:instrText xml:space="preserve"> HYPERLINK \l "_Toc4742" </w:instrText>
          </w:r>
          <w:r>
            <w:fldChar w:fldCharType="separate"/>
          </w:r>
          <w:r>
            <w:rPr>
              <w:rFonts w:hint="eastAsia" w:ascii="宋体" w:hAnsi="宋体"/>
              <w:sz w:val="24"/>
              <w:szCs w:val="24"/>
            </w:rPr>
            <w:t>一、工程概况</w:t>
          </w:r>
          <w:r>
            <w:rPr>
              <w:sz w:val="24"/>
              <w:szCs w:val="24"/>
            </w:rPr>
            <w:tab/>
          </w:r>
          <w:r>
            <w:rPr>
              <w:sz w:val="24"/>
              <w:szCs w:val="24"/>
            </w:rPr>
            <w:fldChar w:fldCharType="begin"/>
          </w:r>
          <w:r>
            <w:rPr>
              <w:sz w:val="24"/>
              <w:szCs w:val="24"/>
            </w:rPr>
            <w:instrText xml:space="preserve"> PAGEREF _Toc4742 </w:instrText>
          </w:r>
          <w:r>
            <w:rPr>
              <w:sz w:val="24"/>
              <w:szCs w:val="24"/>
            </w:rPr>
            <w:fldChar w:fldCharType="separate"/>
          </w:r>
          <w:r>
            <w:rPr>
              <w:sz w:val="24"/>
              <w:szCs w:val="24"/>
            </w:rPr>
            <w:t>15</w:t>
          </w:r>
          <w:r>
            <w:rPr>
              <w:sz w:val="24"/>
              <w:szCs w:val="24"/>
            </w:rPr>
            <w:fldChar w:fldCharType="end"/>
          </w:r>
          <w:r>
            <w:rPr>
              <w:sz w:val="24"/>
              <w:szCs w:val="24"/>
            </w:rPr>
            <w:fldChar w:fldCharType="end"/>
          </w:r>
        </w:p>
        <w:p w14:paraId="725899CE">
          <w:pPr>
            <w:pStyle w:val="42"/>
            <w:tabs>
              <w:tab w:val="right" w:leader="dot" w:pos="8640"/>
            </w:tabs>
            <w:rPr>
              <w:sz w:val="24"/>
              <w:szCs w:val="24"/>
            </w:rPr>
          </w:pPr>
          <w:r>
            <w:fldChar w:fldCharType="begin"/>
          </w:r>
          <w:r>
            <w:instrText xml:space="preserve"> HYPERLINK \l "_Toc29543" </w:instrText>
          </w:r>
          <w:r>
            <w:fldChar w:fldCharType="separate"/>
          </w:r>
          <w:r>
            <w:rPr>
              <w:rFonts w:hint="eastAsia" w:ascii="宋体" w:hAnsi="宋体"/>
              <w:sz w:val="24"/>
              <w:szCs w:val="24"/>
            </w:rPr>
            <w:t>二、工程范围</w:t>
          </w:r>
          <w:r>
            <w:rPr>
              <w:sz w:val="24"/>
              <w:szCs w:val="24"/>
            </w:rPr>
            <w:tab/>
          </w:r>
          <w:r>
            <w:rPr>
              <w:sz w:val="24"/>
              <w:szCs w:val="24"/>
            </w:rPr>
            <w:fldChar w:fldCharType="begin"/>
          </w:r>
          <w:r>
            <w:rPr>
              <w:sz w:val="24"/>
              <w:szCs w:val="24"/>
            </w:rPr>
            <w:instrText xml:space="preserve"> PAGEREF _Toc29543 </w:instrText>
          </w:r>
          <w:r>
            <w:rPr>
              <w:sz w:val="24"/>
              <w:szCs w:val="24"/>
            </w:rPr>
            <w:fldChar w:fldCharType="separate"/>
          </w:r>
          <w:r>
            <w:rPr>
              <w:sz w:val="24"/>
              <w:szCs w:val="24"/>
            </w:rPr>
            <w:t>15</w:t>
          </w:r>
          <w:r>
            <w:rPr>
              <w:sz w:val="24"/>
              <w:szCs w:val="24"/>
            </w:rPr>
            <w:fldChar w:fldCharType="end"/>
          </w:r>
          <w:r>
            <w:rPr>
              <w:sz w:val="24"/>
              <w:szCs w:val="24"/>
            </w:rPr>
            <w:fldChar w:fldCharType="end"/>
          </w:r>
        </w:p>
        <w:p w14:paraId="4A16ED39">
          <w:pPr>
            <w:pStyle w:val="53"/>
            <w:tabs>
              <w:tab w:val="right" w:leader="dot" w:pos="8640"/>
            </w:tabs>
            <w:rPr>
              <w:sz w:val="24"/>
              <w:szCs w:val="24"/>
            </w:rPr>
          </w:pPr>
          <w:r>
            <w:fldChar w:fldCharType="begin"/>
          </w:r>
          <w:r>
            <w:instrText xml:space="preserve"> HYPERLINK \l "_Toc28491" </w:instrText>
          </w:r>
          <w:r>
            <w:fldChar w:fldCharType="separate"/>
          </w:r>
          <w:r>
            <w:rPr>
              <w:rFonts w:hint="eastAsia" w:ascii="宋体" w:hAnsi="宋体"/>
              <w:bCs/>
              <w:sz w:val="24"/>
              <w:szCs w:val="24"/>
            </w:rPr>
            <w:t>（一）检测路段（含相关地形图和管线位置图）</w:t>
          </w:r>
          <w:r>
            <w:rPr>
              <w:sz w:val="24"/>
              <w:szCs w:val="24"/>
            </w:rPr>
            <w:tab/>
          </w:r>
          <w:r>
            <w:rPr>
              <w:sz w:val="24"/>
              <w:szCs w:val="24"/>
            </w:rPr>
            <w:fldChar w:fldCharType="begin"/>
          </w:r>
          <w:r>
            <w:rPr>
              <w:sz w:val="24"/>
              <w:szCs w:val="24"/>
            </w:rPr>
            <w:instrText xml:space="preserve"> PAGEREF _Toc28491 </w:instrText>
          </w:r>
          <w:r>
            <w:rPr>
              <w:sz w:val="24"/>
              <w:szCs w:val="24"/>
            </w:rPr>
            <w:fldChar w:fldCharType="separate"/>
          </w:r>
          <w:r>
            <w:rPr>
              <w:sz w:val="24"/>
              <w:szCs w:val="24"/>
            </w:rPr>
            <w:t>15</w:t>
          </w:r>
          <w:r>
            <w:rPr>
              <w:sz w:val="24"/>
              <w:szCs w:val="24"/>
            </w:rPr>
            <w:fldChar w:fldCharType="end"/>
          </w:r>
          <w:r>
            <w:rPr>
              <w:sz w:val="24"/>
              <w:szCs w:val="24"/>
            </w:rPr>
            <w:fldChar w:fldCharType="end"/>
          </w:r>
        </w:p>
        <w:p w14:paraId="46ACB971">
          <w:pPr>
            <w:pStyle w:val="53"/>
            <w:tabs>
              <w:tab w:val="right" w:leader="dot" w:pos="8640"/>
            </w:tabs>
            <w:rPr>
              <w:sz w:val="24"/>
              <w:szCs w:val="24"/>
            </w:rPr>
          </w:pPr>
          <w:r>
            <w:fldChar w:fldCharType="begin"/>
          </w:r>
          <w:r>
            <w:instrText xml:space="preserve"> HYPERLINK \l "_Toc23737" </w:instrText>
          </w:r>
          <w:r>
            <w:fldChar w:fldCharType="separate"/>
          </w:r>
          <w:r>
            <w:rPr>
              <w:rFonts w:hint="eastAsia" w:ascii="宋体" w:hAnsi="宋体"/>
              <w:bCs/>
              <w:sz w:val="24"/>
              <w:szCs w:val="24"/>
            </w:rPr>
            <w:t>（二）检测要求（包含所有检测项目要求）</w:t>
          </w:r>
          <w:r>
            <w:rPr>
              <w:sz w:val="24"/>
              <w:szCs w:val="24"/>
            </w:rPr>
            <w:tab/>
          </w:r>
          <w:r>
            <w:rPr>
              <w:sz w:val="24"/>
              <w:szCs w:val="24"/>
            </w:rPr>
            <w:fldChar w:fldCharType="begin"/>
          </w:r>
          <w:r>
            <w:rPr>
              <w:sz w:val="24"/>
              <w:szCs w:val="24"/>
            </w:rPr>
            <w:instrText xml:space="preserve"> PAGEREF _Toc23737 </w:instrText>
          </w:r>
          <w:r>
            <w:rPr>
              <w:sz w:val="24"/>
              <w:szCs w:val="24"/>
            </w:rPr>
            <w:fldChar w:fldCharType="separate"/>
          </w:r>
          <w:r>
            <w:rPr>
              <w:sz w:val="24"/>
              <w:szCs w:val="24"/>
            </w:rPr>
            <w:t>15</w:t>
          </w:r>
          <w:r>
            <w:rPr>
              <w:sz w:val="24"/>
              <w:szCs w:val="24"/>
            </w:rPr>
            <w:fldChar w:fldCharType="end"/>
          </w:r>
          <w:r>
            <w:rPr>
              <w:sz w:val="24"/>
              <w:szCs w:val="24"/>
            </w:rPr>
            <w:fldChar w:fldCharType="end"/>
          </w:r>
        </w:p>
        <w:p w14:paraId="4F320015">
          <w:pPr>
            <w:pStyle w:val="42"/>
            <w:tabs>
              <w:tab w:val="right" w:leader="dot" w:pos="8640"/>
            </w:tabs>
            <w:rPr>
              <w:sz w:val="24"/>
              <w:szCs w:val="24"/>
            </w:rPr>
          </w:pPr>
          <w:r>
            <w:fldChar w:fldCharType="begin"/>
          </w:r>
          <w:r>
            <w:instrText xml:space="preserve"> HYPERLINK \l "_Toc31504" </w:instrText>
          </w:r>
          <w:r>
            <w:fldChar w:fldCharType="separate"/>
          </w:r>
          <w:r>
            <w:rPr>
              <w:rFonts w:hint="eastAsia" w:ascii="宋体" w:hAnsi="宋体"/>
              <w:sz w:val="24"/>
              <w:szCs w:val="24"/>
            </w:rPr>
            <w:t>三、检测方案</w:t>
          </w:r>
          <w:r>
            <w:rPr>
              <w:sz w:val="24"/>
              <w:szCs w:val="24"/>
            </w:rPr>
            <w:tab/>
          </w:r>
          <w:r>
            <w:rPr>
              <w:sz w:val="24"/>
              <w:szCs w:val="24"/>
            </w:rPr>
            <w:fldChar w:fldCharType="begin"/>
          </w:r>
          <w:r>
            <w:rPr>
              <w:sz w:val="24"/>
              <w:szCs w:val="24"/>
            </w:rPr>
            <w:instrText xml:space="preserve"> PAGEREF _Toc31504 </w:instrText>
          </w:r>
          <w:r>
            <w:rPr>
              <w:sz w:val="24"/>
              <w:szCs w:val="24"/>
            </w:rPr>
            <w:fldChar w:fldCharType="separate"/>
          </w:r>
          <w:r>
            <w:rPr>
              <w:sz w:val="24"/>
              <w:szCs w:val="24"/>
            </w:rPr>
            <w:t>15</w:t>
          </w:r>
          <w:r>
            <w:rPr>
              <w:sz w:val="24"/>
              <w:szCs w:val="24"/>
            </w:rPr>
            <w:fldChar w:fldCharType="end"/>
          </w:r>
          <w:r>
            <w:rPr>
              <w:sz w:val="24"/>
              <w:szCs w:val="24"/>
            </w:rPr>
            <w:fldChar w:fldCharType="end"/>
          </w:r>
        </w:p>
        <w:p w14:paraId="52E68A37">
          <w:pPr>
            <w:pStyle w:val="53"/>
            <w:tabs>
              <w:tab w:val="right" w:leader="dot" w:pos="8640"/>
            </w:tabs>
            <w:rPr>
              <w:sz w:val="24"/>
              <w:szCs w:val="24"/>
            </w:rPr>
          </w:pPr>
          <w:r>
            <w:fldChar w:fldCharType="begin"/>
          </w:r>
          <w:r>
            <w:instrText xml:space="preserve"> HYPERLINK \l "_Toc3668" </w:instrText>
          </w:r>
          <w:r>
            <w:fldChar w:fldCharType="separate"/>
          </w:r>
          <w:r>
            <w:rPr>
              <w:rFonts w:hint="eastAsia" w:ascii="宋体" w:hAnsi="宋体"/>
              <w:sz w:val="24"/>
              <w:szCs w:val="24"/>
            </w:rPr>
            <w:t>（一）检测方案（包含所有检测项目的详细检测方案及作业指导书）</w:t>
          </w:r>
          <w:r>
            <w:rPr>
              <w:sz w:val="24"/>
              <w:szCs w:val="24"/>
            </w:rPr>
            <w:tab/>
          </w:r>
          <w:r>
            <w:rPr>
              <w:sz w:val="24"/>
              <w:szCs w:val="24"/>
            </w:rPr>
            <w:fldChar w:fldCharType="begin"/>
          </w:r>
          <w:r>
            <w:rPr>
              <w:sz w:val="24"/>
              <w:szCs w:val="24"/>
            </w:rPr>
            <w:instrText xml:space="preserve"> PAGEREF _Toc3668 </w:instrText>
          </w:r>
          <w:r>
            <w:rPr>
              <w:sz w:val="24"/>
              <w:szCs w:val="24"/>
            </w:rPr>
            <w:fldChar w:fldCharType="separate"/>
          </w:r>
          <w:r>
            <w:rPr>
              <w:sz w:val="24"/>
              <w:szCs w:val="24"/>
            </w:rPr>
            <w:t>16</w:t>
          </w:r>
          <w:r>
            <w:rPr>
              <w:sz w:val="24"/>
              <w:szCs w:val="24"/>
            </w:rPr>
            <w:fldChar w:fldCharType="end"/>
          </w:r>
          <w:r>
            <w:rPr>
              <w:sz w:val="24"/>
              <w:szCs w:val="24"/>
            </w:rPr>
            <w:fldChar w:fldCharType="end"/>
          </w:r>
        </w:p>
        <w:p w14:paraId="1074B23D">
          <w:pPr>
            <w:pStyle w:val="53"/>
            <w:tabs>
              <w:tab w:val="right" w:leader="dot" w:pos="8640"/>
            </w:tabs>
            <w:rPr>
              <w:sz w:val="24"/>
              <w:szCs w:val="24"/>
            </w:rPr>
          </w:pPr>
          <w:r>
            <w:fldChar w:fldCharType="begin"/>
          </w:r>
          <w:r>
            <w:instrText xml:space="preserve"> HYPERLINK \l "_Toc25376" </w:instrText>
          </w:r>
          <w:r>
            <w:fldChar w:fldCharType="separate"/>
          </w:r>
          <w:r>
            <w:rPr>
              <w:rFonts w:hint="eastAsia" w:ascii="宋体" w:hAnsi="宋体"/>
              <w:sz w:val="24"/>
              <w:szCs w:val="24"/>
            </w:rPr>
            <w:t>（二）检测依据</w:t>
          </w:r>
          <w:r>
            <w:rPr>
              <w:sz w:val="24"/>
              <w:szCs w:val="24"/>
            </w:rPr>
            <w:tab/>
          </w:r>
          <w:r>
            <w:rPr>
              <w:sz w:val="24"/>
              <w:szCs w:val="24"/>
            </w:rPr>
            <w:fldChar w:fldCharType="begin"/>
          </w:r>
          <w:r>
            <w:rPr>
              <w:sz w:val="24"/>
              <w:szCs w:val="24"/>
            </w:rPr>
            <w:instrText xml:space="preserve"> PAGEREF _Toc25376 </w:instrText>
          </w:r>
          <w:r>
            <w:rPr>
              <w:sz w:val="24"/>
              <w:szCs w:val="24"/>
            </w:rPr>
            <w:fldChar w:fldCharType="separate"/>
          </w:r>
          <w:r>
            <w:rPr>
              <w:sz w:val="24"/>
              <w:szCs w:val="24"/>
            </w:rPr>
            <w:t>16</w:t>
          </w:r>
          <w:r>
            <w:rPr>
              <w:sz w:val="24"/>
              <w:szCs w:val="24"/>
            </w:rPr>
            <w:fldChar w:fldCharType="end"/>
          </w:r>
          <w:r>
            <w:rPr>
              <w:sz w:val="24"/>
              <w:szCs w:val="24"/>
            </w:rPr>
            <w:fldChar w:fldCharType="end"/>
          </w:r>
        </w:p>
        <w:p w14:paraId="2227F427">
          <w:pPr>
            <w:pStyle w:val="53"/>
            <w:tabs>
              <w:tab w:val="right" w:leader="dot" w:pos="8640"/>
            </w:tabs>
            <w:rPr>
              <w:sz w:val="24"/>
              <w:szCs w:val="24"/>
            </w:rPr>
          </w:pPr>
          <w:r>
            <w:fldChar w:fldCharType="begin"/>
          </w:r>
          <w:r>
            <w:instrText xml:space="preserve"> HYPERLINK \l "_Toc27810" </w:instrText>
          </w:r>
          <w:r>
            <w:fldChar w:fldCharType="separate"/>
          </w:r>
          <w:r>
            <w:rPr>
              <w:rFonts w:hint="eastAsia" w:ascii="宋体" w:hAnsi="宋体"/>
              <w:sz w:val="24"/>
              <w:szCs w:val="24"/>
            </w:rPr>
            <w:t>（三）判定标准</w:t>
          </w:r>
          <w:r>
            <w:rPr>
              <w:sz w:val="24"/>
              <w:szCs w:val="24"/>
            </w:rPr>
            <w:tab/>
          </w:r>
          <w:r>
            <w:rPr>
              <w:sz w:val="24"/>
              <w:szCs w:val="24"/>
            </w:rPr>
            <w:fldChar w:fldCharType="begin"/>
          </w:r>
          <w:r>
            <w:rPr>
              <w:sz w:val="24"/>
              <w:szCs w:val="24"/>
            </w:rPr>
            <w:instrText xml:space="preserve"> PAGEREF _Toc27810 </w:instrText>
          </w:r>
          <w:r>
            <w:rPr>
              <w:sz w:val="24"/>
              <w:szCs w:val="24"/>
            </w:rPr>
            <w:fldChar w:fldCharType="separate"/>
          </w:r>
          <w:r>
            <w:rPr>
              <w:sz w:val="24"/>
              <w:szCs w:val="24"/>
            </w:rPr>
            <w:t>16</w:t>
          </w:r>
          <w:r>
            <w:rPr>
              <w:sz w:val="24"/>
              <w:szCs w:val="24"/>
            </w:rPr>
            <w:fldChar w:fldCharType="end"/>
          </w:r>
          <w:r>
            <w:rPr>
              <w:sz w:val="24"/>
              <w:szCs w:val="24"/>
            </w:rPr>
            <w:fldChar w:fldCharType="end"/>
          </w:r>
        </w:p>
        <w:p w14:paraId="51DC8266">
          <w:pPr>
            <w:pStyle w:val="53"/>
            <w:tabs>
              <w:tab w:val="right" w:leader="dot" w:pos="8640"/>
            </w:tabs>
            <w:rPr>
              <w:sz w:val="24"/>
              <w:szCs w:val="24"/>
            </w:rPr>
          </w:pPr>
          <w:r>
            <w:fldChar w:fldCharType="begin"/>
          </w:r>
          <w:r>
            <w:instrText xml:space="preserve"> HYPERLINK \l "_Toc23901" </w:instrText>
          </w:r>
          <w:r>
            <w:fldChar w:fldCharType="separate"/>
          </w:r>
          <w:r>
            <w:rPr>
              <w:rFonts w:hint="eastAsia" w:ascii="宋体" w:hAnsi="宋体"/>
              <w:sz w:val="24"/>
              <w:szCs w:val="24"/>
            </w:rPr>
            <w:t>（四）检测设备</w:t>
          </w:r>
          <w:r>
            <w:rPr>
              <w:sz w:val="24"/>
              <w:szCs w:val="24"/>
            </w:rPr>
            <w:tab/>
          </w:r>
          <w:r>
            <w:rPr>
              <w:sz w:val="24"/>
              <w:szCs w:val="24"/>
            </w:rPr>
            <w:fldChar w:fldCharType="begin"/>
          </w:r>
          <w:r>
            <w:rPr>
              <w:sz w:val="24"/>
              <w:szCs w:val="24"/>
            </w:rPr>
            <w:instrText xml:space="preserve"> PAGEREF _Toc23901 </w:instrText>
          </w:r>
          <w:r>
            <w:rPr>
              <w:sz w:val="24"/>
              <w:szCs w:val="24"/>
            </w:rPr>
            <w:fldChar w:fldCharType="separate"/>
          </w:r>
          <w:r>
            <w:rPr>
              <w:sz w:val="24"/>
              <w:szCs w:val="24"/>
            </w:rPr>
            <w:t>16</w:t>
          </w:r>
          <w:r>
            <w:rPr>
              <w:sz w:val="24"/>
              <w:szCs w:val="24"/>
            </w:rPr>
            <w:fldChar w:fldCharType="end"/>
          </w:r>
          <w:r>
            <w:rPr>
              <w:sz w:val="24"/>
              <w:szCs w:val="24"/>
            </w:rPr>
            <w:fldChar w:fldCharType="end"/>
          </w:r>
        </w:p>
        <w:p w14:paraId="19A139D2">
          <w:pPr>
            <w:pStyle w:val="42"/>
            <w:tabs>
              <w:tab w:val="right" w:leader="dot" w:pos="8640"/>
            </w:tabs>
            <w:rPr>
              <w:sz w:val="24"/>
              <w:szCs w:val="24"/>
            </w:rPr>
          </w:pPr>
          <w:r>
            <w:fldChar w:fldCharType="begin"/>
          </w:r>
          <w:r>
            <w:instrText xml:space="preserve"> HYPERLINK \l "_Toc13460" </w:instrText>
          </w:r>
          <w:r>
            <w:fldChar w:fldCharType="separate"/>
          </w:r>
          <w:r>
            <w:rPr>
              <w:rFonts w:hint="eastAsia" w:ascii="宋体" w:hAnsi="宋体"/>
              <w:sz w:val="24"/>
              <w:szCs w:val="24"/>
            </w:rPr>
            <w:t>四、检测结果</w:t>
          </w:r>
          <w:r>
            <w:rPr>
              <w:sz w:val="24"/>
              <w:szCs w:val="24"/>
            </w:rPr>
            <w:tab/>
          </w:r>
          <w:r>
            <w:rPr>
              <w:sz w:val="24"/>
              <w:szCs w:val="24"/>
            </w:rPr>
            <w:fldChar w:fldCharType="begin"/>
          </w:r>
          <w:r>
            <w:rPr>
              <w:sz w:val="24"/>
              <w:szCs w:val="24"/>
            </w:rPr>
            <w:instrText xml:space="preserve"> PAGEREF _Toc13460 </w:instrText>
          </w:r>
          <w:r>
            <w:rPr>
              <w:sz w:val="24"/>
              <w:szCs w:val="24"/>
            </w:rPr>
            <w:fldChar w:fldCharType="separate"/>
          </w:r>
          <w:r>
            <w:rPr>
              <w:sz w:val="24"/>
              <w:szCs w:val="24"/>
            </w:rPr>
            <w:t>17</w:t>
          </w:r>
          <w:r>
            <w:rPr>
              <w:sz w:val="24"/>
              <w:szCs w:val="24"/>
            </w:rPr>
            <w:fldChar w:fldCharType="end"/>
          </w:r>
          <w:r>
            <w:rPr>
              <w:sz w:val="24"/>
              <w:szCs w:val="24"/>
            </w:rPr>
            <w:fldChar w:fldCharType="end"/>
          </w:r>
        </w:p>
        <w:p w14:paraId="4873D88C">
          <w:pPr>
            <w:pStyle w:val="53"/>
            <w:tabs>
              <w:tab w:val="right" w:leader="dot" w:pos="8640"/>
            </w:tabs>
            <w:rPr>
              <w:sz w:val="24"/>
              <w:szCs w:val="24"/>
            </w:rPr>
          </w:pPr>
          <w:r>
            <w:fldChar w:fldCharType="begin"/>
          </w:r>
          <w:r>
            <w:instrText xml:space="preserve"> HYPERLINK \l "_Toc32550" </w:instrText>
          </w:r>
          <w:r>
            <w:fldChar w:fldCharType="separate"/>
          </w:r>
          <w:r>
            <w:rPr>
              <w:rFonts w:hint="eastAsia" w:ascii="宋体" w:hAnsi="宋体"/>
              <w:bCs/>
              <w:sz w:val="24"/>
              <w:szCs w:val="24"/>
            </w:rPr>
            <w:t>（一）检测结果</w:t>
          </w:r>
          <w:r>
            <w:rPr>
              <w:sz w:val="24"/>
              <w:szCs w:val="24"/>
            </w:rPr>
            <w:tab/>
          </w:r>
          <w:r>
            <w:rPr>
              <w:sz w:val="24"/>
              <w:szCs w:val="24"/>
            </w:rPr>
            <w:fldChar w:fldCharType="begin"/>
          </w:r>
          <w:r>
            <w:rPr>
              <w:sz w:val="24"/>
              <w:szCs w:val="24"/>
            </w:rPr>
            <w:instrText xml:space="preserve"> PAGEREF _Toc32550 </w:instrText>
          </w:r>
          <w:r>
            <w:rPr>
              <w:sz w:val="24"/>
              <w:szCs w:val="24"/>
            </w:rPr>
            <w:fldChar w:fldCharType="separate"/>
          </w:r>
          <w:r>
            <w:rPr>
              <w:sz w:val="24"/>
              <w:szCs w:val="24"/>
            </w:rPr>
            <w:t>17</w:t>
          </w:r>
          <w:r>
            <w:rPr>
              <w:sz w:val="24"/>
              <w:szCs w:val="24"/>
            </w:rPr>
            <w:fldChar w:fldCharType="end"/>
          </w:r>
          <w:r>
            <w:rPr>
              <w:sz w:val="24"/>
              <w:szCs w:val="24"/>
            </w:rPr>
            <w:fldChar w:fldCharType="end"/>
          </w:r>
        </w:p>
        <w:p w14:paraId="6E869CC2">
          <w:pPr>
            <w:pStyle w:val="53"/>
            <w:tabs>
              <w:tab w:val="right" w:leader="dot" w:pos="8640"/>
            </w:tabs>
            <w:rPr>
              <w:sz w:val="24"/>
              <w:szCs w:val="24"/>
            </w:rPr>
          </w:pPr>
          <w:r>
            <w:fldChar w:fldCharType="begin"/>
          </w:r>
          <w:r>
            <w:instrText xml:space="preserve"> HYPERLINK \l "_Toc2427" </w:instrText>
          </w:r>
          <w:r>
            <w:fldChar w:fldCharType="separate"/>
          </w:r>
          <w:r>
            <w:rPr>
              <w:rFonts w:hint="eastAsia" w:ascii="宋体" w:hAnsi="宋体"/>
              <w:bCs/>
              <w:sz w:val="24"/>
              <w:szCs w:val="24"/>
            </w:rPr>
            <w:t>（二）检测结论</w:t>
          </w:r>
          <w:r>
            <w:rPr>
              <w:sz w:val="24"/>
              <w:szCs w:val="24"/>
            </w:rPr>
            <w:tab/>
          </w:r>
          <w:r>
            <w:rPr>
              <w:sz w:val="24"/>
              <w:szCs w:val="24"/>
            </w:rPr>
            <w:fldChar w:fldCharType="begin"/>
          </w:r>
          <w:r>
            <w:rPr>
              <w:sz w:val="24"/>
              <w:szCs w:val="24"/>
            </w:rPr>
            <w:instrText xml:space="preserve"> PAGEREF _Toc2427 </w:instrText>
          </w:r>
          <w:r>
            <w:rPr>
              <w:sz w:val="24"/>
              <w:szCs w:val="24"/>
            </w:rPr>
            <w:fldChar w:fldCharType="separate"/>
          </w:r>
          <w:r>
            <w:rPr>
              <w:sz w:val="24"/>
              <w:szCs w:val="24"/>
            </w:rPr>
            <w:t>18</w:t>
          </w:r>
          <w:r>
            <w:rPr>
              <w:sz w:val="24"/>
              <w:szCs w:val="24"/>
            </w:rPr>
            <w:fldChar w:fldCharType="end"/>
          </w:r>
          <w:r>
            <w:rPr>
              <w:sz w:val="24"/>
              <w:szCs w:val="24"/>
            </w:rPr>
            <w:fldChar w:fldCharType="end"/>
          </w:r>
        </w:p>
        <w:p w14:paraId="2D0B7195">
          <w:pPr>
            <w:pStyle w:val="42"/>
            <w:tabs>
              <w:tab w:val="right" w:leader="dot" w:pos="8640"/>
            </w:tabs>
            <w:rPr>
              <w:sz w:val="24"/>
              <w:szCs w:val="24"/>
            </w:rPr>
          </w:pPr>
          <w:r>
            <w:fldChar w:fldCharType="begin"/>
          </w:r>
          <w:r>
            <w:instrText xml:space="preserve"> HYPERLINK \l "_Toc23627" </w:instrText>
          </w:r>
          <w:r>
            <w:fldChar w:fldCharType="separate"/>
          </w:r>
          <w:r>
            <w:rPr>
              <w:rFonts w:hint="eastAsia" w:ascii="宋体" w:hAnsi="宋体"/>
              <w:sz w:val="24"/>
              <w:szCs w:val="24"/>
            </w:rPr>
            <w:t>五、分项报告</w:t>
          </w:r>
          <w:r>
            <w:rPr>
              <w:sz w:val="24"/>
              <w:szCs w:val="24"/>
            </w:rPr>
            <w:tab/>
          </w:r>
          <w:r>
            <w:rPr>
              <w:sz w:val="24"/>
              <w:szCs w:val="24"/>
            </w:rPr>
            <w:fldChar w:fldCharType="begin"/>
          </w:r>
          <w:r>
            <w:rPr>
              <w:sz w:val="24"/>
              <w:szCs w:val="24"/>
            </w:rPr>
            <w:instrText xml:space="preserve"> PAGEREF _Toc23627 </w:instrText>
          </w:r>
          <w:r>
            <w:rPr>
              <w:sz w:val="24"/>
              <w:szCs w:val="24"/>
            </w:rPr>
            <w:fldChar w:fldCharType="separate"/>
          </w:r>
          <w:r>
            <w:rPr>
              <w:sz w:val="24"/>
              <w:szCs w:val="24"/>
            </w:rPr>
            <w:t>18</w:t>
          </w:r>
          <w:r>
            <w:rPr>
              <w:sz w:val="24"/>
              <w:szCs w:val="24"/>
            </w:rPr>
            <w:fldChar w:fldCharType="end"/>
          </w:r>
          <w:r>
            <w:rPr>
              <w:sz w:val="24"/>
              <w:szCs w:val="24"/>
            </w:rPr>
            <w:fldChar w:fldCharType="end"/>
          </w:r>
        </w:p>
        <w:p w14:paraId="71C880D9">
          <w:pPr>
            <w:jc w:val="center"/>
            <w:rPr>
              <w:rFonts w:ascii="??" w:hAnsi="??"/>
              <w:sz w:val="36"/>
            </w:rPr>
          </w:pPr>
          <w:r>
            <w:rPr>
              <w:rFonts w:hint="eastAsia" w:ascii="华文仿宋" w:hAnsi="华文仿宋" w:eastAsia="华文仿宋" w:cs="华文仿宋"/>
              <w:sz w:val="24"/>
              <w:szCs w:val="24"/>
            </w:rPr>
            <w:fldChar w:fldCharType="end"/>
          </w:r>
        </w:p>
      </w:sdtContent>
    </w:sdt>
    <w:p w14:paraId="51A4804F">
      <w:pPr>
        <w:jc w:val="center"/>
        <w:rPr>
          <w:rFonts w:ascii="??" w:hAnsi="??"/>
          <w:sz w:val="36"/>
        </w:rPr>
      </w:pPr>
    </w:p>
    <w:p w14:paraId="43F98E1A">
      <w:pPr>
        <w:rPr>
          <w:rFonts w:ascii="??" w:hAnsi="??"/>
          <w:sz w:val="36"/>
        </w:rPr>
      </w:pPr>
    </w:p>
    <w:p w14:paraId="7309C5E1">
      <w:pPr>
        <w:pStyle w:val="42"/>
        <w:rPr>
          <w:rFonts w:ascii="??" w:hAnsi="??"/>
          <w:sz w:val="36"/>
        </w:rPr>
      </w:pPr>
    </w:p>
    <w:p w14:paraId="18E4EA85">
      <w:pPr>
        <w:rPr>
          <w:rFonts w:ascii="??" w:hAnsi="??"/>
          <w:sz w:val="36"/>
        </w:rPr>
      </w:pPr>
    </w:p>
    <w:p w14:paraId="15595728">
      <w:pPr>
        <w:pStyle w:val="42"/>
        <w:rPr>
          <w:rFonts w:ascii="??" w:hAnsi="??"/>
          <w:sz w:val="36"/>
        </w:rPr>
      </w:pPr>
    </w:p>
    <w:p w14:paraId="471BDA98">
      <w:pPr>
        <w:rPr>
          <w:rFonts w:ascii="??" w:hAnsi="??"/>
          <w:sz w:val="36"/>
        </w:rPr>
      </w:pPr>
    </w:p>
    <w:p w14:paraId="5FC4C863">
      <w:pPr>
        <w:pStyle w:val="42"/>
        <w:rPr>
          <w:rFonts w:ascii="??" w:hAnsi="??"/>
          <w:sz w:val="36"/>
        </w:rPr>
      </w:pPr>
    </w:p>
    <w:p w14:paraId="22CACAC0">
      <w:pPr>
        <w:rPr>
          <w:rFonts w:ascii="??" w:hAnsi="??"/>
          <w:sz w:val="36"/>
        </w:rPr>
      </w:pPr>
    </w:p>
    <w:p w14:paraId="09DC16C9">
      <w:pPr>
        <w:pStyle w:val="42"/>
      </w:pPr>
    </w:p>
    <w:p w14:paraId="70799946">
      <w:pPr>
        <w:pStyle w:val="42"/>
        <w:rPr>
          <w:rFonts w:ascii="??" w:hAnsi="??"/>
          <w:sz w:val="36"/>
        </w:rPr>
      </w:pPr>
    </w:p>
    <w:p w14:paraId="15A9BFB0"/>
    <w:p w14:paraId="3DC21DDF">
      <w:pPr>
        <w:spacing w:line="520" w:lineRule="exact"/>
        <w:ind w:firstLine="560" w:firstLineChars="200"/>
        <w:outlineLvl w:val="0"/>
        <w:rPr>
          <w:rFonts w:ascii="黑体" w:hAnsi="黑体" w:eastAsia="黑体"/>
          <w:sz w:val="28"/>
          <w:szCs w:val="28"/>
        </w:rPr>
      </w:pPr>
      <w:bookmarkStart w:id="1464" w:name="_Toc31117"/>
      <w:bookmarkStart w:id="1465" w:name="_Toc23242"/>
      <w:bookmarkStart w:id="1466" w:name="_Toc4742"/>
      <w:r>
        <w:rPr>
          <w:rFonts w:hint="eastAsia" w:ascii="黑体" w:hAnsi="黑体" w:eastAsia="黑体"/>
          <w:sz w:val="28"/>
          <w:szCs w:val="28"/>
        </w:rPr>
        <w:t>一、工程</w:t>
      </w:r>
      <w:bookmarkEnd w:id="1464"/>
      <w:bookmarkEnd w:id="1465"/>
      <w:r>
        <w:rPr>
          <w:rFonts w:hint="eastAsia" w:ascii="黑体" w:hAnsi="黑体" w:eastAsia="黑体"/>
          <w:sz w:val="28"/>
          <w:szCs w:val="28"/>
        </w:rPr>
        <w:t>概况</w:t>
      </w:r>
      <w:bookmarkEnd w:id="1466"/>
    </w:p>
    <w:p w14:paraId="20C34D7F">
      <w:pPr>
        <w:spacing w:line="520" w:lineRule="exact"/>
        <w:ind w:firstLine="560" w:firstLineChars="200"/>
        <w:outlineLvl w:val="0"/>
        <w:rPr>
          <w:rFonts w:ascii="黑体" w:hAnsi="黑体" w:eastAsia="黑体"/>
          <w:sz w:val="28"/>
          <w:szCs w:val="28"/>
        </w:rPr>
      </w:pPr>
      <w:bookmarkStart w:id="1467" w:name="_Toc29019"/>
      <w:bookmarkStart w:id="1468" w:name="_Toc29543"/>
      <w:r>
        <w:rPr>
          <w:rFonts w:hint="eastAsia" w:ascii="黑体" w:hAnsi="黑体" w:eastAsia="黑体"/>
          <w:sz w:val="28"/>
          <w:szCs w:val="28"/>
        </w:rPr>
        <w:t>二、工程</w:t>
      </w:r>
      <w:bookmarkEnd w:id="1467"/>
      <w:r>
        <w:rPr>
          <w:rFonts w:hint="eastAsia" w:ascii="黑体" w:hAnsi="黑体" w:eastAsia="黑体"/>
          <w:sz w:val="28"/>
          <w:szCs w:val="28"/>
        </w:rPr>
        <w:t>范围</w:t>
      </w:r>
      <w:bookmarkEnd w:id="1468"/>
    </w:p>
    <w:p w14:paraId="065A8D36">
      <w:pPr>
        <w:spacing w:line="520" w:lineRule="exact"/>
        <w:ind w:firstLine="560" w:firstLineChars="200"/>
        <w:outlineLvl w:val="1"/>
        <w:rPr>
          <w:rFonts w:ascii="仿宋_GB2312" w:hAnsi="宋体" w:eastAsia="仿宋_GB2312"/>
          <w:bCs/>
          <w:sz w:val="28"/>
          <w:szCs w:val="28"/>
        </w:rPr>
      </w:pPr>
      <w:bookmarkStart w:id="1469" w:name="_Toc28491"/>
      <w:r>
        <w:rPr>
          <w:rFonts w:hint="eastAsia" w:ascii="仿宋_GB2312" w:hAnsi="宋体" w:eastAsia="仿宋_GB2312"/>
          <w:bCs/>
          <w:sz w:val="28"/>
          <w:szCs w:val="28"/>
        </w:rPr>
        <w:t>（一）检测路段（含相关地形图和管线位置图）</w:t>
      </w:r>
      <w:bookmarkEnd w:id="1469"/>
    </w:p>
    <w:p w14:paraId="59E18C96">
      <w:pPr>
        <w:spacing w:line="520" w:lineRule="exact"/>
        <w:ind w:firstLine="560" w:firstLineChars="200"/>
        <w:outlineLvl w:val="1"/>
        <w:rPr>
          <w:rFonts w:ascii="仿宋_GB2312" w:hAnsi="宋体" w:eastAsia="仿宋_GB2312"/>
          <w:bCs/>
          <w:sz w:val="28"/>
          <w:szCs w:val="28"/>
        </w:rPr>
      </w:pPr>
      <w:bookmarkStart w:id="1470" w:name="_Toc23737"/>
      <w:r>
        <w:rPr>
          <w:rFonts w:hint="eastAsia" w:ascii="仿宋_GB2312" w:hAnsi="宋体" w:eastAsia="仿宋_GB2312"/>
          <w:bCs/>
          <w:sz w:val="28"/>
          <w:szCs w:val="28"/>
        </w:rPr>
        <w:t>（二）检测要求（包含所有检测项目要求）</w:t>
      </w:r>
      <w:bookmarkEnd w:id="1470"/>
    </w:p>
    <w:p w14:paraId="42A10351">
      <w:pPr>
        <w:spacing w:line="520" w:lineRule="exact"/>
        <w:ind w:firstLine="560" w:firstLineChars="200"/>
        <w:outlineLvl w:val="0"/>
        <w:rPr>
          <w:rFonts w:ascii="黑体" w:hAnsi="黑体" w:eastAsia="黑体"/>
          <w:sz w:val="28"/>
          <w:szCs w:val="28"/>
        </w:rPr>
      </w:pPr>
      <w:bookmarkStart w:id="1471" w:name="_Toc10268"/>
      <w:bookmarkStart w:id="1472" w:name="_Toc31504"/>
      <w:r>
        <w:rPr>
          <w:rFonts w:hint="eastAsia" w:ascii="黑体" w:hAnsi="黑体" w:eastAsia="黑体"/>
          <w:sz w:val="28"/>
          <w:szCs w:val="28"/>
        </w:rPr>
        <w:t>三、检测方案</w:t>
      </w:r>
      <w:bookmarkEnd w:id="1471"/>
      <w:bookmarkEnd w:id="1472"/>
      <w:bookmarkStart w:id="1473" w:name="_Toc3668"/>
    </w:p>
    <w:p w14:paraId="6B326DD7">
      <w:pPr>
        <w:spacing w:line="520" w:lineRule="exact"/>
        <w:ind w:firstLine="560" w:firstLineChars="200"/>
        <w:outlineLvl w:val="0"/>
        <w:rPr>
          <w:rFonts w:ascii="仿宋_GB2312" w:hAnsi="黑体" w:eastAsia="仿宋_GB2312"/>
          <w:sz w:val="28"/>
          <w:szCs w:val="28"/>
        </w:rPr>
      </w:pPr>
      <w:r>
        <w:rPr>
          <w:rFonts w:hint="eastAsia" w:ascii="仿宋_GB2312" w:hAnsi="黑体" w:eastAsia="仿宋_GB2312"/>
          <w:sz w:val="28"/>
          <w:szCs w:val="28"/>
        </w:rPr>
        <w:t>（一）</w:t>
      </w:r>
      <w:r>
        <w:rPr>
          <w:rFonts w:hint="eastAsia" w:ascii="仿宋_GB2312" w:hAnsi="宋体" w:eastAsia="仿宋_GB2312"/>
          <w:sz w:val="28"/>
          <w:szCs w:val="28"/>
        </w:rPr>
        <w:t>检测方案（含所有检测项目的详细检测方案及作业指导书）</w:t>
      </w:r>
      <w:bookmarkEnd w:id="1473"/>
    </w:p>
    <w:p w14:paraId="609D0F8F">
      <w:pPr>
        <w:spacing w:line="520" w:lineRule="exact"/>
        <w:ind w:firstLine="560" w:firstLineChars="200"/>
        <w:outlineLvl w:val="0"/>
        <w:rPr>
          <w:rFonts w:ascii="仿宋_GB2312" w:hAnsi="黑体" w:eastAsia="仿宋_GB2312"/>
          <w:sz w:val="28"/>
          <w:szCs w:val="28"/>
        </w:rPr>
      </w:pPr>
      <w:bookmarkStart w:id="1474" w:name="_Toc25376"/>
      <w:r>
        <w:rPr>
          <w:rFonts w:hint="eastAsia" w:ascii="仿宋_GB2312" w:hAnsi="黑体" w:eastAsia="仿宋_GB2312"/>
          <w:sz w:val="28"/>
          <w:szCs w:val="28"/>
        </w:rPr>
        <w:t>（二）检测依据</w:t>
      </w:r>
      <w:bookmarkEnd w:id="1474"/>
    </w:p>
    <w:p w14:paraId="02D88766">
      <w:pPr>
        <w:autoSpaceDE w:val="0"/>
        <w:autoSpaceDN w:val="0"/>
        <w:adjustRightInd w:val="0"/>
        <w:spacing w:line="520" w:lineRule="exact"/>
        <w:ind w:firstLine="560" w:firstLineChars="200"/>
        <w:rPr>
          <w:rFonts w:ascii="仿宋_GB2312" w:eastAsia="仿宋_GB2312" w:cs="仿宋"/>
          <w:kern w:val="0"/>
          <w:sz w:val="28"/>
          <w:szCs w:val="28"/>
        </w:rPr>
      </w:pPr>
      <w:bookmarkStart w:id="1475" w:name="_Toc815"/>
      <w:r>
        <w:rPr>
          <w:rFonts w:hint="eastAsia" w:ascii="仿宋_GB2312" w:eastAsia="仿宋_GB2312" w:cs="仿宋"/>
          <w:kern w:val="0"/>
          <w:sz w:val="28"/>
          <w:szCs w:val="28"/>
        </w:rPr>
        <w:t>1.《城镇道路工程施工与质量验收规范》CJJ1-2008</w:t>
      </w:r>
    </w:p>
    <w:p w14:paraId="3F829ABB">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2.《公路路基路面现场测试规程》 JTG 3450-2019</w:t>
      </w:r>
    </w:p>
    <w:p w14:paraId="3DA9D134">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 xml:space="preserve">  T0912-2019 挖坑和钻芯测试路面厚度方法</w:t>
      </w:r>
    </w:p>
    <w:p w14:paraId="23B76DF9">
      <w:pPr>
        <w:autoSpaceDE w:val="0"/>
        <w:autoSpaceDN w:val="0"/>
        <w:adjustRightInd w:val="0"/>
        <w:spacing w:line="520" w:lineRule="exact"/>
        <w:ind w:firstLine="200"/>
        <w:rPr>
          <w:rFonts w:ascii="仿宋_GB2312" w:eastAsia="仿宋_GB2312" w:cs="仿宋"/>
          <w:kern w:val="0"/>
          <w:sz w:val="28"/>
          <w:szCs w:val="28"/>
        </w:rPr>
      </w:pPr>
      <w:r>
        <w:rPr>
          <w:rFonts w:hint="eastAsia" w:ascii="仿宋_GB2312" w:eastAsia="仿宋_GB2312" w:cs="仿宋"/>
          <w:kern w:val="0"/>
          <w:sz w:val="28"/>
          <w:szCs w:val="28"/>
        </w:rPr>
        <w:t xml:space="preserve">     T0924-2008 钻芯测试路面压实度方法</w:t>
      </w:r>
    </w:p>
    <w:p w14:paraId="2204A0A2">
      <w:pPr>
        <w:autoSpaceDE w:val="0"/>
        <w:autoSpaceDN w:val="0"/>
        <w:adjustRightInd w:val="0"/>
        <w:spacing w:line="520" w:lineRule="exact"/>
        <w:ind w:firstLine="200"/>
        <w:rPr>
          <w:rFonts w:ascii="仿宋_GB2312" w:eastAsia="仿宋_GB2312" w:cs="仿宋"/>
          <w:kern w:val="0"/>
          <w:sz w:val="28"/>
          <w:szCs w:val="28"/>
        </w:rPr>
      </w:pPr>
      <w:r>
        <w:rPr>
          <w:rFonts w:hint="eastAsia" w:ascii="仿宋_GB2312" w:eastAsia="仿宋_GB2312" w:cs="仿宋"/>
          <w:kern w:val="0"/>
          <w:sz w:val="28"/>
          <w:szCs w:val="28"/>
        </w:rPr>
        <w:t xml:space="preserve">     T0931-2008 三米直尺测试平整度方法</w:t>
      </w:r>
    </w:p>
    <w:p w14:paraId="6F16B8AD">
      <w:pPr>
        <w:autoSpaceDE w:val="0"/>
        <w:autoSpaceDN w:val="0"/>
        <w:adjustRightInd w:val="0"/>
        <w:spacing w:line="520" w:lineRule="exact"/>
        <w:ind w:firstLine="200"/>
        <w:rPr>
          <w:rFonts w:ascii="仿宋_GB2312" w:eastAsia="仿宋_GB2312" w:cs="仿宋"/>
          <w:kern w:val="0"/>
          <w:sz w:val="28"/>
          <w:szCs w:val="28"/>
        </w:rPr>
      </w:pPr>
      <w:r>
        <w:rPr>
          <w:rFonts w:hint="eastAsia" w:ascii="仿宋_GB2312" w:eastAsia="仿宋_GB2312" w:cs="仿宋"/>
          <w:kern w:val="0"/>
          <w:sz w:val="28"/>
          <w:szCs w:val="28"/>
        </w:rPr>
        <w:t xml:space="preserve">     T0932-2008 连续式平整度仪测试平整度方法</w:t>
      </w:r>
    </w:p>
    <w:p w14:paraId="6F17D172">
      <w:pPr>
        <w:autoSpaceDE w:val="0"/>
        <w:autoSpaceDN w:val="0"/>
        <w:adjustRightInd w:val="0"/>
        <w:spacing w:line="520" w:lineRule="exact"/>
        <w:ind w:firstLine="200"/>
        <w:rPr>
          <w:rFonts w:ascii="仿宋_GB2312" w:eastAsia="仿宋_GB2312" w:cs="仿宋"/>
          <w:kern w:val="0"/>
          <w:sz w:val="28"/>
          <w:szCs w:val="28"/>
        </w:rPr>
      </w:pPr>
      <w:r>
        <w:rPr>
          <w:rFonts w:hint="eastAsia" w:ascii="仿宋_GB2312" w:eastAsia="仿宋_GB2312" w:cs="仿宋"/>
          <w:kern w:val="0"/>
          <w:sz w:val="28"/>
          <w:szCs w:val="28"/>
        </w:rPr>
        <w:t xml:space="preserve">     T0951-2008 贝克曼梁测试路基路面回弹弯沉方法</w:t>
      </w:r>
    </w:p>
    <w:p w14:paraId="34B57220">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3.《公路工程质量检验评定标准 第一册 土建工程》JTG F80/1-2017</w:t>
      </w:r>
    </w:p>
    <w:p w14:paraId="4F047EED">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4.《公路沥青路面施工技术规范》JTG F40-2004</w:t>
      </w:r>
    </w:p>
    <w:p w14:paraId="49B3844A">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5.《混凝土路面砖》GB/T 28635-2012</w:t>
      </w:r>
    </w:p>
    <w:p w14:paraId="6CF4D39E">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6.《天然饰面石材试验方法》GB/T 9966-2001</w:t>
      </w:r>
    </w:p>
    <w:p w14:paraId="5CDFF199">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7.</w:t>
      </w:r>
      <w:r>
        <w:rPr>
          <w:rFonts w:hint="eastAsia" w:ascii="仿宋_GB2312" w:eastAsia="仿宋_GB2312" w:cs="仿宋"/>
          <w:kern w:val="0"/>
          <w:sz w:val="28"/>
          <w:szCs w:val="28"/>
          <w:lang w:val="zh-CN"/>
        </w:rPr>
        <w:t>《给水排水管道工程施工及验收规范》GB50268-2008</w:t>
      </w:r>
    </w:p>
    <w:p w14:paraId="67EF8C14">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8.</w:t>
      </w:r>
      <w:r>
        <w:rPr>
          <w:rFonts w:hint="eastAsia" w:ascii="仿宋_GB2312" w:eastAsia="仿宋_GB2312" w:cs="仿宋"/>
          <w:kern w:val="0"/>
          <w:sz w:val="28"/>
          <w:szCs w:val="28"/>
          <w:lang w:val="zh-CN"/>
        </w:rPr>
        <w:t>《城镇排水管道维护安全技术规程》CJJ6-2009</w:t>
      </w:r>
    </w:p>
    <w:p w14:paraId="78C22FAC">
      <w:pPr>
        <w:autoSpaceDE w:val="0"/>
        <w:autoSpaceDN w:val="0"/>
        <w:adjustRightInd w:val="0"/>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9.</w:t>
      </w:r>
      <w:r>
        <w:rPr>
          <w:rFonts w:hint="eastAsia" w:ascii="仿宋_GB2312" w:eastAsia="仿宋_GB2312" w:cs="仿宋"/>
          <w:kern w:val="0"/>
          <w:sz w:val="28"/>
          <w:szCs w:val="28"/>
          <w:lang w:val="zh-CN"/>
        </w:rPr>
        <w:t>《城镇排水管道检测与评估技术规程》CJJ181—2012</w:t>
      </w:r>
    </w:p>
    <w:p w14:paraId="39EB5A98">
      <w:pPr>
        <w:spacing w:line="520" w:lineRule="exact"/>
        <w:ind w:firstLine="560" w:firstLineChars="200"/>
        <w:outlineLvl w:val="0"/>
        <w:rPr>
          <w:rFonts w:ascii="仿宋_GB2312" w:hAnsi="黑体" w:eastAsia="仿宋_GB2312"/>
          <w:sz w:val="28"/>
          <w:szCs w:val="28"/>
        </w:rPr>
      </w:pPr>
      <w:bookmarkStart w:id="1476" w:name="_Toc27810"/>
      <w:r>
        <w:rPr>
          <w:rFonts w:hint="eastAsia" w:ascii="仿宋_GB2312" w:hAnsi="黑体" w:eastAsia="仿宋_GB2312"/>
          <w:sz w:val="28"/>
          <w:szCs w:val="28"/>
        </w:rPr>
        <w:t>（三）判定标准</w:t>
      </w:r>
      <w:bookmarkEnd w:id="1475"/>
      <w:bookmarkEnd w:id="1476"/>
    </w:p>
    <w:p w14:paraId="6D56D293">
      <w:pPr>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1.《城镇道路工程施工与质量验收规范》CJJ1-2008</w:t>
      </w:r>
    </w:p>
    <w:p w14:paraId="5AB1C967">
      <w:pPr>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2.《公路工程质量检验评定标准 第一册 土建工程》JTG F80/1-2017</w:t>
      </w:r>
    </w:p>
    <w:p w14:paraId="6990116B">
      <w:pPr>
        <w:spacing w:line="520" w:lineRule="exact"/>
        <w:ind w:firstLine="560" w:firstLineChars="200"/>
        <w:rPr>
          <w:rFonts w:ascii="仿宋_GB2312" w:eastAsia="仿宋_GB2312" w:cs="仿宋"/>
          <w:kern w:val="0"/>
          <w:sz w:val="28"/>
          <w:szCs w:val="28"/>
          <w:lang w:val="zh-CN"/>
        </w:rPr>
      </w:pPr>
      <w:r>
        <w:rPr>
          <w:rFonts w:hint="eastAsia" w:ascii="仿宋_GB2312" w:eastAsia="仿宋_GB2312" w:cs="仿宋"/>
          <w:kern w:val="0"/>
          <w:sz w:val="28"/>
          <w:szCs w:val="28"/>
        </w:rPr>
        <w:t>3.</w:t>
      </w:r>
      <w:r>
        <w:rPr>
          <w:rFonts w:hint="eastAsia" w:ascii="仿宋_GB2312" w:eastAsia="仿宋_GB2312" w:cs="仿宋"/>
          <w:kern w:val="0"/>
          <w:sz w:val="28"/>
          <w:szCs w:val="28"/>
          <w:lang w:val="zh-CN"/>
        </w:rPr>
        <w:t>《给水排水管道工程施工及验收规范》GB50268-2008</w:t>
      </w:r>
    </w:p>
    <w:p w14:paraId="30635C86">
      <w:pPr>
        <w:spacing w:line="520" w:lineRule="exact"/>
        <w:ind w:firstLine="560" w:firstLineChars="200"/>
        <w:rPr>
          <w:rFonts w:ascii="仿宋_GB2312" w:eastAsia="仿宋_GB2312" w:cs="仿宋"/>
          <w:kern w:val="0"/>
          <w:sz w:val="28"/>
          <w:szCs w:val="28"/>
        </w:rPr>
      </w:pPr>
      <w:r>
        <w:rPr>
          <w:rFonts w:hint="eastAsia" w:ascii="仿宋_GB2312" w:eastAsia="仿宋_GB2312" w:cs="仿宋"/>
          <w:kern w:val="0"/>
          <w:sz w:val="28"/>
          <w:szCs w:val="28"/>
        </w:rPr>
        <w:t>4.设计规定。</w:t>
      </w:r>
    </w:p>
    <w:p w14:paraId="5FBF2052">
      <w:pPr>
        <w:spacing w:line="520" w:lineRule="exact"/>
        <w:ind w:firstLine="560" w:firstLineChars="200"/>
        <w:outlineLvl w:val="0"/>
        <w:rPr>
          <w:rFonts w:ascii="仿宋_GB2312" w:hAnsi="黑体" w:eastAsia="仿宋_GB2312"/>
          <w:sz w:val="28"/>
          <w:szCs w:val="28"/>
        </w:rPr>
      </w:pPr>
      <w:bookmarkStart w:id="1477" w:name="_Toc23901"/>
      <w:r>
        <w:rPr>
          <w:rFonts w:hint="eastAsia" w:ascii="仿宋_GB2312" w:hAnsi="黑体" w:eastAsia="仿宋_GB2312"/>
          <w:sz w:val="28"/>
          <w:szCs w:val="28"/>
        </w:rPr>
        <w:t>（四）检测设备</w:t>
      </w:r>
      <w:bookmarkEnd w:id="1477"/>
    </w:p>
    <w:p w14:paraId="02FB1E0E">
      <w:pPr>
        <w:spacing w:line="52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本次检测所采用的检测设备包含：贝克曼梁弯沉仪、连续式平整度仪、CCTV机器人、潜望镜、标准车、钻孔取芯机、测温枪、钢直尺、卷尺等。</w:t>
      </w:r>
    </w:p>
    <w:p w14:paraId="2BB4F0C9">
      <w:pPr>
        <w:spacing w:line="520" w:lineRule="exact"/>
        <w:ind w:firstLine="560" w:firstLineChars="200"/>
        <w:outlineLvl w:val="0"/>
        <w:rPr>
          <w:rFonts w:ascii="黑体" w:hAnsi="黑体" w:eastAsia="黑体"/>
          <w:sz w:val="28"/>
          <w:szCs w:val="28"/>
        </w:rPr>
      </w:pPr>
      <w:bookmarkStart w:id="1478" w:name="_Toc902"/>
      <w:bookmarkStart w:id="1479" w:name="_Toc13460"/>
      <w:r>
        <w:rPr>
          <w:rFonts w:hint="eastAsia" w:ascii="黑体" w:hAnsi="黑体" w:eastAsia="黑体"/>
          <w:sz w:val="28"/>
          <w:szCs w:val="28"/>
        </w:rPr>
        <w:t>四、检测结果</w:t>
      </w:r>
      <w:bookmarkEnd w:id="1478"/>
      <w:bookmarkEnd w:id="1479"/>
    </w:p>
    <w:p w14:paraId="026E4246">
      <w:pPr>
        <w:spacing w:line="520" w:lineRule="exact"/>
        <w:outlineLvl w:val="1"/>
        <w:rPr>
          <w:rFonts w:ascii="仿宋_GB2312" w:hAnsi="宋体" w:eastAsia="仿宋_GB2312"/>
          <w:sz w:val="28"/>
          <w:szCs w:val="28"/>
        </w:rPr>
      </w:pPr>
      <w:bookmarkStart w:id="1480" w:name="_Toc1934"/>
      <w:bookmarkStart w:id="1481" w:name="_Toc32550"/>
      <w:r>
        <w:rPr>
          <w:rFonts w:hint="eastAsia" w:ascii="仿宋_GB2312" w:hAnsi="宋体" w:eastAsia="仿宋_GB2312"/>
          <w:bCs/>
          <w:sz w:val="28"/>
          <w:szCs w:val="28"/>
        </w:rPr>
        <w:t>（一）检测结果</w:t>
      </w:r>
      <w:bookmarkEnd w:id="1480"/>
      <w:bookmarkEnd w:id="1481"/>
    </w:p>
    <w:p w14:paraId="4D7DD661">
      <w:pPr>
        <w:autoSpaceDE w:val="0"/>
        <w:autoSpaceDN w:val="0"/>
        <w:adjustRightInd w:val="0"/>
        <w:spacing w:line="52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1.车行道沥青混合料压实度检测结果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427"/>
        <w:gridCol w:w="956"/>
      </w:tblGrid>
      <w:tr w14:paraId="7B84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4D4538EC">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35E22989">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2E2BD223">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6A9E511C">
            <w:pPr>
              <w:pStyle w:val="57"/>
              <w:jc w:val="center"/>
              <w:rPr>
                <w:sz w:val="21"/>
                <w:szCs w:val="21"/>
              </w:rPr>
            </w:pPr>
            <w:r>
              <w:rPr>
                <w:rFonts w:hint="eastAsia"/>
                <w:color w:val="000000"/>
                <w:sz w:val="21"/>
                <w:szCs w:val="21"/>
              </w:rPr>
              <w:t>检测结果</w:t>
            </w:r>
          </w:p>
        </w:tc>
        <w:tc>
          <w:tcPr>
            <w:tcW w:w="1427" w:type="dxa"/>
            <w:shd w:val="clear" w:color="auto" w:fill="auto"/>
            <w:tcMar>
              <w:top w:w="11" w:type="dxa"/>
              <w:left w:w="11" w:type="dxa"/>
              <w:right w:w="11" w:type="dxa"/>
            </w:tcMar>
            <w:vAlign w:val="center"/>
          </w:tcPr>
          <w:p w14:paraId="2D04367B">
            <w:pPr>
              <w:pStyle w:val="57"/>
              <w:jc w:val="center"/>
              <w:rPr>
                <w:sz w:val="21"/>
                <w:szCs w:val="21"/>
              </w:rPr>
            </w:pPr>
            <w:r>
              <w:rPr>
                <w:rFonts w:hint="eastAsia"/>
                <w:color w:val="000000"/>
                <w:sz w:val="21"/>
                <w:szCs w:val="21"/>
              </w:rPr>
              <w:t>结论</w:t>
            </w:r>
          </w:p>
        </w:tc>
        <w:tc>
          <w:tcPr>
            <w:tcW w:w="956" w:type="dxa"/>
            <w:shd w:val="clear" w:color="auto" w:fill="auto"/>
            <w:tcMar>
              <w:top w:w="11" w:type="dxa"/>
              <w:left w:w="11" w:type="dxa"/>
              <w:right w:w="11" w:type="dxa"/>
            </w:tcMar>
            <w:vAlign w:val="center"/>
          </w:tcPr>
          <w:p w14:paraId="014D344C">
            <w:pPr>
              <w:pStyle w:val="57"/>
              <w:jc w:val="center"/>
              <w:rPr>
                <w:color w:val="000000"/>
                <w:sz w:val="21"/>
                <w:szCs w:val="21"/>
              </w:rPr>
            </w:pPr>
            <w:r>
              <w:rPr>
                <w:rFonts w:hint="eastAsia"/>
                <w:color w:val="000000"/>
                <w:sz w:val="21"/>
                <w:szCs w:val="21"/>
              </w:rPr>
              <w:t>备注</w:t>
            </w:r>
          </w:p>
        </w:tc>
      </w:tr>
      <w:tr w14:paraId="4F05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5A7BF7B7">
            <w:pPr>
              <w:pStyle w:val="57"/>
              <w:jc w:val="center"/>
              <w:rPr>
                <w:sz w:val="21"/>
                <w:szCs w:val="21"/>
              </w:rPr>
            </w:pPr>
          </w:p>
        </w:tc>
        <w:tc>
          <w:tcPr>
            <w:tcW w:w="1127" w:type="dxa"/>
            <w:shd w:val="clear" w:color="auto" w:fill="auto"/>
            <w:tcMar>
              <w:top w:w="11" w:type="dxa"/>
              <w:left w:w="11" w:type="dxa"/>
              <w:right w:w="11" w:type="dxa"/>
            </w:tcMar>
            <w:vAlign w:val="center"/>
          </w:tcPr>
          <w:p w14:paraId="61E51E6E">
            <w:pPr>
              <w:pStyle w:val="57"/>
              <w:jc w:val="center"/>
              <w:rPr>
                <w:sz w:val="21"/>
                <w:szCs w:val="21"/>
              </w:rPr>
            </w:pPr>
          </w:p>
        </w:tc>
        <w:tc>
          <w:tcPr>
            <w:tcW w:w="1779" w:type="dxa"/>
            <w:shd w:val="clear" w:color="auto" w:fill="auto"/>
            <w:tcMar>
              <w:top w:w="11" w:type="dxa"/>
              <w:left w:w="11" w:type="dxa"/>
              <w:right w:w="11" w:type="dxa"/>
            </w:tcMar>
            <w:vAlign w:val="center"/>
          </w:tcPr>
          <w:p w14:paraId="557B4DAE">
            <w:pPr>
              <w:pStyle w:val="57"/>
              <w:jc w:val="center"/>
              <w:rPr>
                <w:sz w:val="21"/>
                <w:szCs w:val="21"/>
              </w:rPr>
            </w:pPr>
          </w:p>
        </w:tc>
        <w:tc>
          <w:tcPr>
            <w:tcW w:w="1779" w:type="dxa"/>
            <w:shd w:val="clear" w:color="auto" w:fill="auto"/>
            <w:tcMar>
              <w:top w:w="11" w:type="dxa"/>
              <w:left w:w="11" w:type="dxa"/>
              <w:right w:w="11" w:type="dxa"/>
            </w:tcMar>
            <w:vAlign w:val="center"/>
          </w:tcPr>
          <w:p w14:paraId="5C900230">
            <w:pPr>
              <w:pStyle w:val="57"/>
              <w:jc w:val="center"/>
              <w:rPr>
                <w:sz w:val="21"/>
                <w:szCs w:val="21"/>
              </w:rPr>
            </w:pPr>
          </w:p>
        </w:tc>
        <w:tc>
          <w:tcPr>
            <w:tcW w:w="1427" w:type="dxa"/>
            <w:shd w:val="clear" w:color="auto" w:fill="auto"/>
            <w:tcMar>
              <w:top w:w="11" w:type="dxa"/>
              <w:left w:w="11" w:type="dxa"/>
              <w:right w:w="11" w:type="dxa"/>
            </w:tcMar>
            <w:vAlign w:val="center"/>
          </w:tcPr>
          <w:p w14:paraId="67D258D3">
            <w:pPr>
              <w:pStyle w:val="57"/>
              <w:jc w:val="center"/>
              <w:rPr>
                <w:sz w:val="21"/>
                <w:szCs w:val="21"/>
              </w:rPr>
            </w:pPr>
          </w:p>
        </w:tc>
        <w:tc>
          <w:tcPr>
            <w:tcW w:w="956" w:type="dxa"/>
            <w:shd w:val="clear" w:color="auto" w:fill="auto"/>
            <w:tcMar>
              <w:top w:w="11" w:type="dxa"/>
              <w:left w:w="11" w:type="dxa"/>
              <w:right w:w="11" w:type="dxa"/>
            </w:tcMar>
            <w:vAlign w:val="center"/>
          </w:tcPr>
          <w:p w14:paraId="7CF13085">
            <w:pPr>
              <w:pStyle w:val="57"/>
              <w:jc w:val="center"/>
              <w:rPr>
                <w:sz w:val="21"/>
                <w:szCs w:val="21"/>
              </w:rPr>
            </w:pPr>
          </w:p>
        </w:tc>
      </w:tr>
    </w:tbl>
    <w:p w14:paraId="46DE9089">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2.车行道结构层厚度检测结果</w:t>
      </w:r>
    </w:p>
    <w:tbl>
      <w:tblPr>
        <w:tblStyle w:val="62"/>
        <w:tblW w:w="8771"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3"/>
        <w:gridCol w:w="893"/>
        <w:gridCol w:w="949"/>
        <w:gridCol w:w="749"/>
        <w:gridCol w:w="869"/>
        <w:gridCol w:w="1147"/>
        <w:gridCol w:w="838"/>
        <w:gridCol w:w="1359"/>
        <w:gridCol w:w="944"/>
      </w:tblGrid>
      <w:tr w14:paraId="02D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blHeader/>
          <w:tblCellSpacing w:w="0" w:type="dxa"/>
        </w:trPr>
        <w:tc>
          <w:tcPr>
            <w:tcW w:w="1023" w:type="dxa"/>
            <w:shd w:val="clear" w:color="auto" w:fill="auto"/>
            <w:tcMar>
              <w:top w:w="12" w:type="dxa"/>
              <w:left w:w="12" w:type="dxa"/>
              <w:right w:w="12" w:type="dxa"/>
            </w:tcMar>
            <w:vAlign w:val="center"/>
          </w:tcPr>
          <w:p w14:paraId="2AB1A0A7">
            <w:pPr>
              <w:spacing w:line="360" w:lineRule="auto"/>
              <w:ind w:left="420" w:hanging="420" w:hangingChars="200"/>
              <w:jc w:val="center"/>
              <w:rPr>
                <w:rFonts w:eastAsia="宋体"/>
                <w:szCs w:val="20"/>
              </w:rPr>
            </w:pPr>
            <w:r>
              <w:rPr>
                <w:rFonts w:hint="eastAsia" w:ascii="宋体" w:hAnsi="宋体" w:eastAsia="宋体" w:cs="宋体"/>
                <w:color w:val="000000"/>
                <w:szCs w:val="21"/>
              </w:rPr>
              <w:t>道路名称</w:t>
            </w:r>
          </w:p>
        </w:tc>
        <w:tc>
          <w:tcPr>
            <w:tcW w:w="893" w:type="dxa"/>
            <w:shd w:val="clear" w:color="auto" w:fill="auto"/>
            <w:tcMar>
              <w:top w:w="12" w:type="dxa"/>
              <w:left w:w="12" w:type="dxa"/>
              <w:right w:w="12" w:type="dxa"/>
            </w:tcMar>
            <w:vAlign w:val="center"/>
          </w:tcPr>
          <w:p w14:paraId="5BC145DC">
            <w:pPr>
              <w:pStyle w:val="57"/>
              <w:jc w:val="center"/>
              <w:rPr>
                <w:sz w:val="21"/>
                <w:szCs w:val="20"/>
              </w:rPr>
            </w:pPr>
            <w:r>
              <w:rPr>
                <w:rFonts w:hint="eastAsia"/>
                <w:color w:val="000000"/>
                <w:sz w:val="21"/>
                <w:szCs w:val="21"/>
              </w:rPr>
              <w:t>道路等级</w:t>
            </w:r>
          </w:p>
        </w:tc>
        <w:tc>
          <w:tcPr>
            <w:tcW w:w="949" w:type="dxa"/>
            <w:shd w:val="clear" w:color="auto" w:fill="auto"/>
            <w:tcMar>
              <w:top w:w="12" w:type="dxa"/>
              <w:left w:w="12" w:type="dxa"/>
              <w:right w:w="12" w:type="dxa"/>
            </w:tcMar>
            <w:vAlign w:val="center"/>
          </w:tcPr>
          <w:p w14:paraId="1ED77ECA">
            <w:pPr>
              <w:pStyle w:val="57"/>
              <w:jc w:val="center"/>
              <w:rPr>
                <w:sz w:val="21"/>
                <w:szCs w:val="20"/>
              </w:rPr>
            </w:pPr>
            <w:r>
              <w:rPr>
                <w:rFonts w:hint="eastAsia"/>
                <w:color w:val="000000"/>
                <w:sz w:val="21"/>
                <w:szCs w:val="21"/>
              </w:rPr>
              <w:t>桩号</w:t>
            </w:r>
          </w:p>
        </w:tc>
        <w:tc>
          <w:tcPr>
            <w:tcW w:w="749" w:type="dxa"/>
            <w:shd w:val="clear" w:color="auto" w:fill="auto"/>
            <w:tcMar>
              <w:top w:w="12" w:type="dxa"/>
              <w:left w:w="12" w:type="dxa"/>
              <w:right w:w="12" w:type="dxa"/>
            </w:tcMar>
            <w:vAlign w:val="center"/>
          </w:tcPr>
          <w:p w14:paraId="411885DE">
            <w:pPr>
              <w:pStyle w:val="57"/>
              <w:jc w:val="center"/>
              <w:rPr>
                <w:sz w:val="21"/>
                <w:szCs w:val="20"/>
              </w:rPr>
            </w:pPr>
            <w:r>
              <w:rPr>
                <w:rFonts w:hint="eastAsia"/>
                <w:color w:val="000000"/>
                <w:sz w:val="21"/>
                <w:szCs w:val="21"/>
              </w:rPr>
              <w:t>设计厚度（mm）</w:t>
            </w:r>
          </w:p>
        </w:tc>
        <w:tc>
          <w:tcPr>
            <w:tcW w:w="869" w:type="dxa"/>
            <w:shd w:val="clear" w:color="auto" w:fill="auto"/>
            <w:tcMar>
              <w:top w:w="12" w:type="dxa"/>
              <w:left w:w="12" w:type="dxa"/>
              <w:right w:w="12" w:type="dxa"/>
            </w:tcMar>
            <w:vAlign w:val="center"/>
          </w:tcPr>
          <w:p w14:paraId="540DE1B5">
            <w:pPr>
              <w:pStyle w:val="57"/>
              <w:jc w:val="center"/>
              <w:rPr>
                <w:sz w:val="21"/>
                <w:szCs w:val="20"/>
              </w:rPr>
            </w:pPr>
            <w:r>
              <w:rPr>
                <w:rFonts w:hint="eastAsia"/>
                <w:color w:val="000000"/>
                <w:sz w:val="21"/>
                <w:szCs w:val="21"/>
              </w:rPr>
              <w:t>允许偏差（mm）</w:t>
            </w:r>
          </w:p>
        </w:tc>
        <w:tc>
          <w:tcPr>
            <w:tcW w:w="1147" w:type="dxa"/>
            <w:shd w:val="clear" w:color="auto" w:fill="auto"/>
            <w:tcMar>
              <w:top w:w="12" w:type="dxa"/>
              <w:left w:w="12" w:type="dxa"/>
              <w:right w:w="12" w:type="dxa"/>
            </w:tcMar>
            <w:vAlign w:val="center"/>
          </w:tcPr>
          <w:p w14:paraId="7D030707">
            <w:pPr>
              <w:pStyle w:val="57"/>
              <w:jc w:val="center"/>
              <w:rPr>
                <w:sz w:val="21"/>
                <w:szCs w:val="20"/>
              </w:rPr>
            </w:pPr>
            <w:r>
              <w:rPr>
                <w:rFonts w:hint="eastAsia"/>
                <w:color w:val="000000"/>
                <w:sz w:val="21"/>
                <w:szCs w:val="21"/>
              </w:rPr>
              <w:t>实测结果（mm）</w:t>
            </w:r>
          </w:p>
        </w:tc>
        <w:tc>
          <w:tcPr>
            <w:tcW w:w="838" w:type="dxa"/>
            <w:shd w:val="clear" w:color="auto" w:fill="auto"/>
            <w:tcMar>
              <w:top w:w="12" w:type="dxa"/>
              <w:left w:w="12" w:type="dxa"/>
              <w:right w:w="12" w:type="dxa"/>
            </w:tcMar>
            <w:vAlign w:val="center"/>
          </w:tcPr>
          <w:p w14:paraId="1B9A2042">
            <w:pPr>
              <w:pStyle w:val="57"/>
              <w:jc w:val="center"/>
              <w:rPr>
                <w:sz w:val="21"/>
                <w:szCs w:val="20"/>
              </w:rPr>
            </w:pPr>
            <w:r>
              <w:rPr>
                <w:rFonts w:hint="eastAsia"/>
                <w:color w:val="000000"/>
                <w:sz w:val="21"/>
                <w:szCs w:val="21"/>
              </w:rPr>
              <w:t>偏差（mm）</w:t>
            </w:r>
          </w:p>
        </w:tc>
        <w:tc>
          <w:tcPr>
            <w:tcW w:w="1359" w:type="dxa"/>
            <w:shd w:val="clear" w:color="auto" w:fill="auto"/>
            <w:tcMar>
              <w:top w:w="12" w:type="dxa"/>
              <w:left w:w="12" w:type="dxa"/>
              <w:right w:w="12" w:type="dxa"/>
            </w:tcMar>
            <w:vAlign w:val="center"/>
          </w:tcPr>
          <w:p w14:paraId="060933E8">
            <w:pPr>
              <w:pStyle w:val="57"/>
              <w:jc w:val="center"/>
              <w:rPr>
                <w:sz w:val="21"/>
                <w:szCs w:val="20"/>
              </w:rPr>
            </w:pPr>
            <w:r>
              <w:rPr>
                <w:rFonts w:hint="eastAsia"/>
                <w:color w:val="000000"/>
                <w:sz w:val="21"/>
                <w:szCs w:val="21"/>
              </w:rPr>
              <w:t>结论</w:t>
            </w:r>
          </w:p>
        </w:tc>
        <w:tc>
          <w:tcPr>
            <w:tcW w:w="944" w:type="dxa"/>
            <w:shd w:val="clear" w:color="auto" w:fill="auto"/>
            <w:tcMar>
              <w:top w:w="12" w:type="dxa"/>
              <w:left w:w="12" w:type="dxa"/>
              <w:right w:w="12" w:type="dxa"/>
            </w:tcMar>
            <w:vAlign w:val="center"/>
          </w:tcPr>
          <w:p w14:paraId="33E1000F">
            <w:pPr>
              <w:pStyle w:val="57"/>
              <w:jc w:val="center"/>
              <w:rPr>
                <w:color w:val="000000"/>
                <w:sz w:val="21"/>
                <w:szCs w:val="21"/>
              </w:rPr>
            </w:pPr>
            <w:r>
              <w:rPr>
                <w:rFonts w:hint="eastAsia"/>
                <w:color w:val="000000"/>
                <w:sz w:val="21"/>
                <w:szCs w:val="21"/>
              </w:rPr>
              <w:t>备注</w:t>
            </w:r>
          </w:p>
        </w:tc>
      </w:tr>
      <w:tr w14:paraId="1A43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23" w:type="dxa"/>
            <w:shd w:val="clear" w:color="auto" w:fill="auto"/>
            <w:tcMar>
              <w:top w:w="12" w:type="dxa"/>
              <w:left w:w="12" w:type="dxa"/>
              <w:right w:w="12" w:type="dxa"/>
            </w:tcMar>
            <w:vAlign w:val="center"/>
          </w:tcPr>
          <w:p w14:paraId="0A36195C">
            <w:pPr>
              <w:pStyle w:val="57"/>
              <w:jc w:val="center"/>
              <w:rPr>
                <w:sz w:val="21"/>
                <w:szCs w:val="20"/>
              </w:rPr>
            </w:pPr>
          </w:p>
        </w:tc>
        <w:tc>
          <w:tcPr>
            <w:tcW w:w="893" w:type="dxa"/>
            <w:shd w:val="clear" w:color="auto" w:fill="auto"/>
            <w:tcMar>
              <w:top w:w="12" w:type="dxa"/>
              <w:left w:w="12" w:type="dxa"/>
              <w:right w:w="12" w:type="dxa"/>
            </w:tcMar>
            <w:vAlign w:val="center"/>
          </w:tcPr>
          <w:p w14:paraId="00A6DAF4">
            <w:pPr>
              <w:pStyle w:val="57"/>
              <w:jc w:val="center"/>
              <w:rPr>
                <w:sz w:val="21"/>
                <w:szCs w:val="20"/>
              </w:rPr>
            </w:pPr>
          </w:p>
        </w:tc>
        <w:tc>
          <w:tcPr>
            <w:tcW w:w="949" w:type="dxa"/>
            <w:shd w:val="clear" w:color="auto" w:fill="auto"/>
            <w:tcMar>
              <w:top w:w="12" w:type="dxa"/>
              <w:left w:w="12" w:type="dxa"/>
              <w:right w:w="12" w:type="dxa"/>
            </w:tcMar>
            <w:vAlign w:val="center"/>
          </w:tcPr>
          <w:p w14:paraId="0242DD20">
            <w:pPr>
              <w:pStyle w:val="57"/>
              <w:jc w:val="center"/>
              <w:rPr>
                <w:sz w:val="21"/>
                <w:szCs w:val="20"/>
              </w:rPr>
            </w:pPr>
          </w:p>
        </w:tc>
        <w:tc>
          <w:tcPr>
            <w:tcW w:w="749" w:type="dxa"/>
            <w:shd w:val="clear" w:color="auto" w:fill="auto"/>
            <w:tcMar>
              <w:top w:w="12" w:type="dxa"/>
              <w:left w:w="12" w:type="dxa"/>
              <w:right w:w="12" w:type="dxa"/>
            </w:tcMar>
            <w:vAlign w:val="center"/>
          </w:tcPr>
          <w:p w14:paraId="71A1544B">
            <w:pPr>
              <w:pStyle w:val="57"/>
              <w:jc w:val="center"/>
              <w:rPr>
                <w:sz w:val="21"/>
                <w:szCs w:val="20"/>
              </w:rPr>
            </w:pPr>
          </w:p>
        </w:tc>
        <w:tc>
          <w:tcPr>
            <w:tcW w:w="869" w:type="dxa"/>
            <w:shd w:val="clear" w:color="auto" w:fill="auto"/>
            <w:tcMar>
              <w:top w:w="12" w:type="dxa"/>
              <w:left w:w="12" w:type="dxa"/>
              <w:right w:w="12" w:type="dxa"/>
            </w:tcMar>
            <w:vAlign w:val="center"/>
          </w:tcPr>
          <w:p w14:paraId="6F4406C3">
            <w:pPr>
              <w:pStyle w:val="57"/>
              <w:jc w:val="center"/>
              <w:rPr>
                <w:sz w:val="21"/>
                <w:szCs w:val="20"/>
              </w:rPr>
            </w:pPr>
          </w:p>
        </w:tc>
        <w:tc>
          <w:tcPr>
            <w:tcW w:w="1147" w:type="dxa"/>
            <w:shd w:val="clear" w:color="auto" w:fill="auto"/>
            <w:tcMar>
              <w:top w:w="12" w:type="dxa"/>
              <w:left w:w="12" w:type="dxa"/>
              <w:right w:w="12" w:type="dxa"/>
            </w:tcMar>
            <w:vAlign w:val="center"/>
          </w:tcPr>
          <w:p w14:paraId="41B79FC0">
            <w:pPr>
              <w:pStyle w:val="57"/>
              <w:jc w:val="center"/>
              <w:rPr>
                <w:sz w:val="21"/>
                <w:szCs w:val="20"/>
              </w:rPr>
            </w:pPr>
          </w:p>
        </w:tc>
        <w:tc>
          <w:tcPr>
            <w:tcW w:w="838" w:type="dxa"/>
            <w:shd w:val="clear" w:color="auto" w:fill="auto"/>
            <w:tcMar>
              <w:top w:w="12" w:type="dxa"/>
              <w:left w:w="12" w:type="dxa"/>
              <w:right w:w="12" w:type="dxa"/>
            </w:tcMar>
            <w:vAlign w:val="center"/>
          </w:tcPr>
          <w:p w14:paraId="2ACE7281">
            <w:pPr>
              <w:pStyle w:val="57"/>
              <w:jc w:val="center"/>
              <w:rPr>
                <w:sz w:val="21"/>
                <w:szCs w:val="20"/>
              </w:rPr>
            </w:pPr>
          </w:p>
        </w:tc>
        <w:tc>
          <w:tcPr>
            <w:tcW w:w="1359" w:type="dxa"/>
            <w:shd w:val="clear" w:color="auto" w:fill="auto"/>
            <w:tcMar>
              <w:top w:w="12" w:type="dxa"/>
              <w:left w:w="12" w:type="dxa"/>
              <w:right w:w="12" w:type="dxa"/>
            </w:tcMar>
            <w:vAlign w:val="center"/>
          </w:tcPr>
          <w:p w14:paraId="0B794AAF">
            <w:pPr>
              <w:pStyle w:val="57"/>
              <w:jc w:val="center"/>
              <w:rPr>
                <w:sz w:val="21"/>
                <w:szCs w:val="20"/>
              </w:rPr>
            </w:pPr>
          </w:p>
        </w:tc>
        <w:tc>
          <w:tcPr>
            <w:tcW w:w="944" w:type="dxa"/>
            <w:shd w:val="clear" w:color="auto" w:fill="auto"/>
            <w:tcMar>
              <w:top w:w="12" w:type="dxa"/>
              <w:left w:w="12" w:type="dxa"/>
              <w:right w:w="12" w:type="dxa"/>
            </w:tcMar>
            <w:vAlign w:val="center"/>
          </w:tcPr>
          <w:p w14:paraId="347F17ED">
            <w:pPr>
              <w:pStyle w:val="57"/>
              <w:jc w:val="center"/>
              <w:rPr>
                <w:sz w:val="21"/>
                <w:szCs w:val="20"/>
              </w:rPr>
            </w:pPr>
          </w:p>
        </w:tc>
      </w:tr>
    </w:tbl>
    <w:p w14:paraId="4AFE17B3">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3.车行道弯沉检测结果</w:t>
      </w:r>
    </w:p>
    <w:tbl>
      <w:tblPr>
        <w:tblStyle w:val="62"/>
        <w:tblW w:w="86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8"/>
        <w:gridCol w:w="1010"/>
        <w:gridCol w:w="1418"/>
        <w:gridCol w:w="1621"/>
        <w:gridCol w:w="1281"/>
        <w:gridCol w:w="1235"/>
        <w:gridCol w:w="787"/>
      </w:tblGrid>
      <w:tr w14:paraId="5D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CellSpacing w:w="0" w:type="dxa"/>
        </w:trPr>
        <w:tc>
          <w:tcPr>
            <w:tcW w:w="1278" w:type="dxa"/>
            <w:shd w:val="clear" w:color="auto" w:fill="auto"/>
            <w:tcMar>
              <w:top w:w="10" w:type="dxa"/>
              <w:left w:w="10" w:type="dxa"/>
              <w:right w:w="10" w:type="dxa"/>
            </w:tcMar>
            <w:vAlign w:val="center"/>
          </w:tcPr>
          <w:p w14:paraId="18FC1CFA">
            <w:pPr>
              <w:pStyle w:val="57"/>
              <w:jc w:val="center"/>
              <w:rPr>
                <w:sz w:val="21"/>
                <w:szCs w:val="21"/>
              </w:rPr>
            </w:pPr>
            <w:r>
              <w:rPr>
                <w:rFonts w:hint="eastAsia"/>
                <w:color w:val="000000"/>
                <w:sz w:val="21"/>
                <w:szCs w:val="21"/>
              </w:rPr>
              <w:t>道路名称</w:t>
            </w:r>
          </w:p>
        </w:tc>
        <w:tc>
          <w:tcPr>
            <w:tcW w:w="1010" w:type="dxa"/>
            <w:shd w:val="clear" w:color="auto" w:fill="auto"/>
            <w:tcMar>
              <w:top w:w="10" w:type="dxa"/>
              <w:left w:w="10" w:type="dxa"/>
              <w:right w:w="10" w:type="dxa"/>
            </w:tcMar>
            <w:vAlign w:val="center"/>
          </w:tcPr>
          <w:p w14:paraId="0FABC752">
            <w:pPr>
              <w:pStyle w:val="57"/>
              <w:jc w:val="center"/>
              <w:rPr>
                <w:sz w:val="21"/>
                <w:szCs w:val="21"/>
              </w:rPr>
            </w:pPr>
            <w:r>
              <w:rPr>
                <w:rFonts w:hint="eastAsia"/>
                <w:color w:val="000000"/>
                <w:sz w:val="21"/>
                <w:szCs w:val="21"/>
              </w:rPr>
              <w:t>道路等级</w:t>
            </w:r>
          </w:p>
        </w:tc>
        <w:tc>
          <w:tcPr>
            <w:tcW w:w="1418" w:type="dxa"/>
            <w:shd w:val="clear" w:color="auto" w:fill="auto"/>
            <w:tcMar>
              <w:top w:w="10" w:type="dxa"/>
              <w:left w:w="10" w:type="dxa"/>
              <w:right w:w="10" w:type="dxa"/>
            </w:tcMar>
            <w:vAlign w:val="center"/>
          </w:tcPr>
          <w:p w14:paraId="4777D306">
            <w:pPr>
              <w:pStyle w:val="57"/>
              <w:jc w:val="center"/>
              <w:rPr>
                <w:sz w:val="21"/>
                <w:szCs w:val="21"/>
              </w:rPr>
            </w:pPr>
            <w:r>
              <w:rPr>
                <w:rFonts w:hint="eastAsia"/>
                <w:color w:val="000000"/>
                <w:sz w:val="21"/>
                <w:szCs w:val="21"/>
              </w:rPr>
              <w:t>设计弯沉值（0.01mm）</w:t>
            </w:r>
          </w:p>
        </w:tc>
        <w:tc>
          <w:tcPr>
            <w:tcW w:w="1621" w:type="dxa"/>
            <w:shd w:val="clear" w:color="auto" w:fill="auto"/>
            <w:tcMar>
              <w:top w:w="10" w:type="dxa"/>
              <w:left w:w="10" w:type="dxa"/>
              <w:right w:w="10" w:type="dxa"/>
            </w:tcMar>
            <w:vAlign w:val="center"/>
          </w:tcPr>
          <w:p w14:paraId="532AF8CC">
            <w:pPr>
              <w:pStyle w:val="57"/>
              <w:jc w:val="center"/>
              <w:rPr>
                <w:sz w:val="21"/>
                <w:szCs w:val="21"/>
              </w:rPr>
            </w:pPr>
            <w:r>
              <w:rPr>
                <w:rFonts w:hint="eastAsia"/>
                <w:color w:val="000000"/>
                <w:sz w:val="21"/>
                <w:szCs w:val="21"/>
              </w:rPr>
              <w:t>平均弯沉值（0.01mm）</w:t>
            </w:r>
          </w:p>
        </w:tc>
        <w:tc>
          <w:tcPr>
            <w:tcW w:w="1281" w:type="dxa"/>
            <w:shd w:val="clear" w:color="auto" w:fill="auto"/>
            <w:tcMar>
              <w:top w:w="10" w:type="dxa"/>
              <w:left w:w="10" w:type="dxa"/>
              <w:right w:w="10" w:type="dxa"/>
            </w:tcMar>
            <w:vAlign w:val="center"/>
          </w:tcPr>
          <w:p w14:paraId="49B3E95A">
            <w:pPr>
              <w:pStyle w:val="57"/>
              <w:jc w:val="center"/>
              <w:rPr>
                <w:sz w:val="21"/>
                <w:szCs w:val="21"/>
              </w:rPr>
            </w:pPr>
            <w:r>
              <w:rPr>
                <w:rFonts w:hint="eastAsia"/>
                <w:color w:val="000000"/>
                <w:sz w:val="21"/>
                <w:szCs w:val="21"/>
              </w:rPr>
              <w:t>代表弯沉值（0.01mm）</w:t>
            </w:r>
          </w:p>
        </w:tc>
        <w:tc>
          <w:tcPr>
            <w:tcW w:w="1235" w:type="dxa"/>
            <w:shd w:val="clear" w:color="auto" w:fill="auto"/>
            <w:tcMar>
              <w:top w:w="10" w:type="dxa"/>
              <w:left w:w="10" w:type="dxa"/>
              <w:right w:w="10" w:type="dxa"/>
            </w:tcMar>
            <w:vAlign w:val="center"/>
          </w:tcPr>
          <w:p w14:paraId="32D0A6AF">
            <w:pPr>
              <w:pStyle w:val="57"/>
              <w:jc w:val="center"/>
              <w:rPr>
                <w:sz w:val="21"/>
                <w:szCs w:val="21"/>
              </w:rPr>
            </w:pPr>
            <w:r>
              <w:rPr>
                <w:rFonts w:hint="eastAsia"/>
                <w:color w:val="000000"/>
                <w:sz w:val="21"/>
                <w:szCs w:val="21"/>
              </w:rPr>
              <w:t>结论</w:t>
            </w:r>
          </w:p>
        </w:tc>
        <w:tc>
          <w:tcPr>
            <w:tcW w:w="787" w:type="dxa"/>
            <w:shd w:val="clear" w:color="auto" w:fill="auto"/>
            <w:tcMar>
              <w:top w:w="10" w:type="dxa"/>
              <w:left w:w="10" w:type="dxa"/>
              <w:right w:w="10" w:type="dxa"/>
            </w:tcMar>
            <w:vAlign w:val="center"/>
          </w:tcPr>
          <w:p w14:paraId="476A0516">
            <w:pPr>
              <w:pStyle w:val="57"/>
              <w:jc w:val="center"/>
              <w:rPr>
                <w:sz w:val="21"/>
                <w:szCs w:val="21"/>
              </w:rPr>
            </w:pPr>
            <w:r>
              <w:rPr>
                <w:rFonts w:hint="eastAsia"/>
                <w:color w:val="000000"/>
                <w:sz w:val="21"/>
                <w:szCs w:val="21"/>
              </w:rPr>
              <w:t>备注</w:t>
            </w:r>
          </w:p>
        </w:tc>
      </w:tr>
      <w:tr w14:paraId="6FEE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blCellSpacing w:w="0" w:type="dxa"/>
        </w:trPr>
        <w:tc>
          <w:tcPr>
            <w:tcW w:w="1278" w:type="dxa"/>
            <w:shd w:val="clear" w:color="auto" w:fill="auto"/>
            <w:tcMar>
              <w:top w:w="10" w:type="dxa"/>
              <w:left w:w="10" w:type="dxa"/>
              <w:right w:w="10" w:type="dxa"/>
            </w:tcMar>
            <w:vAlign w:val="center"/>
          </w:tcPr>
          <w:p w14:paraId="7200D4DA">
            <w:pPr>
              <w:pStyle w:val="57"/>
              <w:jc w:val="center"/>
              <w:rPr>
                <w:sz w:val="21"/>
                <w:szCs w:val="21"/>
              </w:rPr>
            </w:pPr>
          </w:p>
        </w:tc>
        <w:tc>
          <w:tcPr>
            <w:tcW w:w="1010" w:type="dxa"/>
            <w:shd w:val="clear" w:color="auto" w:fill="auto"/>
            <w:tcMar>
              <w:top w:w="10" w:type="dxa"/>
              <w:left w:w="10" w:type="dxa"/>
              <w:right w:w="10" w:type="dxa"/>
            </w:tcMar>
            <w:vAlign w:val="center"/>
          </w:tcPr>
          <w:p w14:paraId="6E03210D">
            <w:pPr>
              <w:pStyle w:val="57"/>
              <w:jc w:val="center"/>
              <w:rPr>
                <w:sz w:val="21"/>
                <w:szCs w:val="21"/>
              </w:rPr>
            </w:pPr>
          </w:p>
        </w:tc>
        <w:tc>
          <w:tcPr>
            <w:tcW w:w="1418" w:type="dxa"/>
            <w:shd w:val="clear" w:color="auto" w:fill="auto"/>
            <w:tcMar>
              <w:top w:w="10" w:type="dxa"/>
              <w:left w:w="10" w:type="dxa"/>
              <w:right w:w="10" w:type="dxa"/>
            </w:tcMar>
            <w:vAlign w:val="center"/>
          </w:tcPr>
          <w:p w14:paraId="51ADB324">
            <w:pPr>
              <w:pStyle w:val="57"/>
              <w:jc w:val="center"/>
              <w:rPr>
                <w:sz w:val="21"/>
                <w:szCs w:val="21"/>
              </w:rPr>
            </w:pPr>
          </w:p>
        </w:tc>
        <w:tc>
          <w:tcPr>
            <w:tcW w:w="1621" w:type="dxa"/>
            <w:shd w:val="clear" w:color="auto" w:fill="auto"/>
            <w:tcMar>
              <w:top w:w="10" w:type="dxa"/>
              <w:left w:w="10" w:type="dxa"/>
              <w:right w:w="10" w:type="dxa"/>
            </w:tcMar>
            <w:vAlign w:val="center"/>
          </w:tcPr>
          <w:p w14:paraId="4A7B393C">
            <w:pPr>
              <w:pStyle w:val="57"/>
              <w:jc w:val="center"/>
              <w:rPr>
                <w:sz w:val="21"/>
                <w:szCs w:val="21"/>
              </w:rPr>
            </w:pPr>
          </w:p>
        </w:tc>
        <w:tc>
          <w:tcPr>
            <w:tcW w:w="1281" w:type="dxa"/>
            <w:shd w:val="clear" w:color="auto" w:fill="auto"/>
            <w:tcMar>
              <w:top w:w="10" w:type="dxa"/>
              <w:left w:w="10" w:type="dxa"/>
              <w:right w:w="10" w:type="dxa"/>
            </w:tcMar>
            <w:vAlign w:val="center"/>
          </w:tcPr>
          <w:p w14:paraId="1535278E">
            <w:pPr>
              <w:pStyle w:val="57"/>
              <w:jc w:val="center"/>
              <w:rPr>
                <w:sz w:val="21"/>
                <w:szCs w:val="21"/>
              </w:rPr>
            </w:pPr>
          </w:p>
        </w:tc>
        <w:tc>
          <w:tcPr>
            <w:tcW w:w="1235" w:type="dxa"/>
            <w:shd w:val="clear" w:color="auto" w:fill="auto"/>
            <w:tcMar>
              <w:top w:w="10" w:type="dxa"/>
              <w:left w:w="10" w:type="dxa"/>
              <w:right w:w="10" w:type="dxa"/>
            </w:tcMar>
            <w:vAlign w:val="center"/>
          </w:tcPr>
          <w:p w14:paraId="7A844999">
            <w:pPr>
              <w:pStyle w:val="57"/>
              <w:jc w:val="center"/>
              <w:rPr>
                <w:sz w:val="21"/>
                <w:szCs w:val="21"/>
              </w:rPr>
            </w:pPr>
          </w:p>
        </w:tc>
        <w:tc>
          <w:tcPr>
            <w:tcW w:w="787" w:type="dxa"/>
            <w:shd w:val="clear" w:color="auto" w:fill="auto"/>
            <w:tcMar>
              <w:top w:w="10" w:type="dxa"/>
              <w:left w:w="10" w:type="dxa"/>
              <w:right w:w="10" w:type="dxa"/>
            </w:tcMar>
            <w:vAlign w:val="center"/>
          </w:tcPr>
          <w:p w14:paraId="3E237A28">
            <w:pPr>
              <w:pStyle w:val="57"/>
              <w:jc w:val="center"/>
              <w:rPr>
                <w:sz w:val="21"/>
                <w:szCs w:val="21"/>
              </w:rPr>
            </w:pPr>
          </w:p>
        </w:tc>
      </w:tr>
    </w:tbl>
    <w:p w14:paraId="5FE690BB">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4.车行道平整度检测结果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0566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shd w:val="clear" w:color="auto" w:fill="auto"/>
            <w:tcMar>
              <w:top w:w="11" w:type="dxa"/>
              <w:left w:w="11" w:type="dxa"/>
              <w:right w:w="11" w:type="dxa"/>
            </w:tcMar>
            <w:vAlign w:val="center"/>
          </w:tcPr>
          <w:p w14:paraId="0F10EBAC">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2F4E7D5B">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5F9F9C9D">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4F21C06A">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7BAA46FC">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378E2C8B">
            <w:pPr>
              <w:pStyle w:val="57"/>
              <w:jc w:val="center"/>
              <w:rPr>
                <w:color w:val="000000"/>
                <w:sz w:val="21"/>
                <w:szCs w:val="21"/>
              </w:rPr>
            </w:pPr>
            <w:r>
              <w:rPr>
                <w:rFonts w:hint="eastAsia"/>
                <w:color w:val="000000"/>
                <w:sz w:val="21"/>
                <w:szCs w:val="21"/>
              </w:rPr>
              <w:t>备注</w:t>
            </w:r>
          </w:p>
        </w:tc>
      </w:tr>
      <w:tr w14:paraId="0280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4E803124">
            <w:pPr>
              <w:pStyle w:val="57"/>
              <w:jc w:val="center"/>
              <w:rPr>
                <w:sz w:val="21"/>
                <w:szCs w:val="21"/>
              </w:rPr>
            </w:pPr>
          </w:p>
        </w:tc>
        <w:tc>
          <w:tcPr>
            <w:tcW w:w="1127" w:type="dxa"/>
            <w:shd w:val="clear" w:color="auto" w:fill="auto"/>
            <w:tcMar>
              <w:top w:w="11" w:type="dxa"/>
              <w:left w:w="11" w:type="dxa"/>
              <w:right w:w="11" w:type="dxa"/>
            </w:tcMar>
            <w:vAlign w:val="center"/>
          </w:tcPr>
          <w:p w14:paraId="29A066B6">
            <w:pPr>
              <w:pStyle w:val="57"/>
              <w:jc w:val="center"/>
              <w:rPr>
                <w:sz w:val="21"/>
                <w:szCs w:val="21"/>
              </w:rPr>
            </w:pPr>
          </w:p>
        </w:tc>
        <w:tc>
          <w:tcPr>
            <w:tcW w:w="1779" w:type="dxa"/>
            <w:shd w:val="clear" w:color="auto" w:fill="auto"/>
            <w:tcMar>
              <w:top w:w="11" w:type="dxa"/>
              <w:left w:w="11" w:type="dxa"/>
              <w:right w:w="11" w:type="dxa"/>
            </w:tcMar>
            <w:vAlign w:val="center"/>
          </w:tcPr>
          <w:p w14:paraId="4E99EDF6">
            <w:pPr>
              <w:pStyle w:val="57"/>
              <w:jc w:val="center"/>
              <w:rPr>
                <w:sz w:val="21"/>
                <w:szCs w:val="21"/>
              </w:rPr>
            </w:pPr>
          </w:p>
        </w:tc>
        <w:tc>
          <w:tcPr>
            <w:tcW w:w="1779" w:type="dxa"/>
            <w:shd w:val="clear" w:color="auto" w:fill="auto"/>
            <w:tcMar>
              <w:top w:w="11" w:type="dxa"/>
              <w:left w:w="11" w:type="dxa"/>
              <w:right w:w="11" w:type="dxa"/>
            </w:tcMar>
            <w:vAlign w:val="center"/>
          </w:tcPr>
          <w:p w14:paraId="5D710AAB">
            <w:pPr>
              <w:pStyle w:val="57"/>
              <w:jc w:val="center"/>
              <w:rPr>
                <w:sz w:val="21"/>
                <w:szCs w:val="21"/>
              </w:rPr>
            </w:pPr>
          </w:p>
        </w:tc>
        <w:tc>
          <w:tcPr>
            <w:tcW w:w="1632" w:type="dxa"/>
            <w:shd w:val="clear" w:color="auto" w:fill="auto"/>
            <w:tcMar>
              <w:top w:w="11" w:type="dxa"/>
              <w:left w:w="11" w:type="dxa"/>
              <w:right w:w="11" w:type="dxa"/>
            </w:tcMar>
            <w:vAlign w:val="center"/>
          </w:tcPr>
          <w:p w14:paraId="400DE363">
            <w:pPr>
              <w:pStyle w:val="57"/>
              <w:jc w:val="center"/>
              <w:rPr>
                <w:sz w:val="21"/>
                <w:szCs w:val="21"/>
              </w:rPr>
            </w:pPr>
          </w:p>
        </w:tc>
        <w:tc>
          <w:tcPr>
            <w:tcW w:w="751" w:type="dxa"/>
            <w:shd w:val="clear" w:color="auto" w:fill="auto"/>
            <w:tcMar>
              <w:top w:w="11" w:type="dxa"/>
              <w:left w:w="11" w:type="dxa"/>
              <w:right w:w="11" w:type="dxa"/>
            </w:tcMar>
            <w:vAlign w:val="center"/>
          </w:tcPr>
          <w:p w14:paraId="7FEE1BE9">
            <w:pPr>
              <w:pStyle w:val="57"/>
              <w:jc w:val="center"/>
              <w:rPr>
                <w:sz w:val="21"/>
                <w:szCs w:val="21"/>
              </w:rPr>
            </w:pPr>
          </w:p>
        </w:tc>
      </w:tr>
    </w:tbl>
    <w:p w14:paraId="5F34031C">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5.人行道材料强度检测结果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4645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21541F24">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58F29D42">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7832A995">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42A54B84">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5ACDC888">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603D4366">
            <w:pPr>
              <w:pStyle w:val="57"/>
              <w:jc w:val="center"/>
              <w:rPr>
                <w:color w:val="000000"/>
                <w:sz w:val="21"/>
                <w:szCs w:val="21"/>
              </w:rPr>
            </w:pPr>
            <w:r>
              <w:rPr>
                <w:rFonts w:hint="eastAsia"/>
                <w:color w:val="000000"/>
                <w:sz w:val="21"/>
                <w:szCs w:val="21"/>
              </w:rPr>
              <w:t>备注</w:t>
            </w:r>
          </w:p>
        </w:tc>
      </w:tr>
      <w:tr w14:paraId="5030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3AC9C195">
            <w:pPr>
              <w:pStyle w:val="57"/>
              <w:jc w:val="center"/>
              <w:rPr>
                <w:sz w:val="21"/>
                <w:szCs w:val="21"/>
              </w:rPr>
            </w:pPr>
          </w:p>
        </w:tc>
        <w:tc>
          <w:tcPr>
            <w:tcW w:w="1127" w:type="dxa"/>
            <w:shd w:val="clear" w:color="auto" w:fill="auto"/>
            <w:tcMar>
              <w:top w:w="11" w:type="dxa"/>
              <w:left w:w="11" w:type="dxa"/>
              <w:right w:w="11" w:type="dxa"/>
            </w:tcMar>
            <w:vAlign w:val="center"/>
          </w:tcPr>
          <w:p w14:paraId="31205AEA">
            <w:pPr>
              <w:pStyle w:val="57"/>
              <w:jc w:val="center"/>
              <w:rPr>
                <w:sz w:val="21"/>
                <w:szCs w:val="21"/>
              </w:rPr>
            </w:pPr>
          </w:p>
        </w:tc>
        <w:tc>
          <w:tcPr>
            <w:tcW w:w="1779" w:type="dxa"/>
            <w:shd w:val="clear" w:color="auto" w:fill="auto"/>
            <w:tcMar>
              <w:top w:w="11" w:type="dxa"/>
              <w:left w:w="11" w:type="dxa"/>
              <w:right w:w="11" w:type="dxa"/>
            </w:tcMar>
            <w:vAlign w:val="center"/>
          </w:tcPr>
          <w:p w14:paraId="0486AB4E">
            <w:pPr>
              <w:pStyle w:val="57"/>
              <w:jc w:val="center"/>
              <w:rPr>
                <w:sz w:val="21"/>
                <w:szCs w:val="21"/>
              </w:rPr>
            </w:pPr>
          </w:p>
        </w:tc>
        <w:tc>
          <w:tcPr>
            <w:tcW w:w="1779" w:type="dxa"/>
            <w:shd w:val="clear" w:color="auto" w:fill="auto"/>
            <w:tcMar>
              <w:top w:w="11" w:type="dxa"/>
              <w:left w:w="11" w:type="dxa"/>
              <w:right w:w="11" w:type="dxa"/>
            </w:tcMar>
            <w:vAlign w:val="center"/>
          </w:tcPr>
          <w:p w14:paraId="3D34C3D7">
            <w:pPr>
              <w:pStyle w:val="57"/>
              <w:jc w:val="center"/>
              <w:rPr>
                <w:sz w:val="21"/>
                <w:szCs w:val="21"/>
              </w:rPr>
            </w:pPr>
          </w:p>
        </w:tc>
        <w:tc>
          <w:tcPr>
            <w:tcW w:w="1632" w:type="dxa"/>
            <w:shd w:val="clear" w:color="auto" w:fill="auto"/>
            <w:tcMar>
              <w:top w:w="11" w:type="dxa"/>
              <w:left w:w="11" w:type="dxa"/>
              <w:right w:w="11" w:type="dxa"/>
            </w:tcMar>
            <w:vAlign w:val="center"/>
          </w:tcPr>
          <w:p w14:paraId="72B4F286">
            <w:pPr>
              <w:pStyle w:val="57"/>
              <w:jc w:val="center"/>
              <w:rPr>
                <w:sz w:val="21"/>
                <w:szCs w:val="21"/>
              </w:rPr>
            </w:pPr>
          </w:p>
        </w:tc>
        <w:tc>
          <w:tcPr>
            <w:tcW w:w="751" w:type="dxa"/>
            <w:shd w:val="clear" w:color="auto" w:fill="auto"/>
            <w:tcMar>
              <w:top w:w="11" w:type="dxa"/>
              <w:left w:w="11" w:type="dxa"/>
              <w:right w:w="11" w:type="dxa"/>
            </w:tcMar>
            <w:vAlign w:val="center"/>
          </w:tcPr>
          <w:p w14:paraId="5057229A">
            <w:pPr>
              <w:pStyle w:val="57"/>
              <w:jc w:val="center"/>
              <w:rPr>
                <w:sz w:val="21"/>
                <w:szCs w:val="21"/>
              </w:rPr>
            </w:pPr>
          </w:p>
        </w:tc>
      </w:tr>
    </w:tbl>
    <w:p w14:paraId="6BDAE3DD">
      <w:pPr>
        <w:autoSpaceDE w:val="0"/>
        <w:autoSpaceDN w:val="0"/>
        <w:adjustRightInd w:val="0"/>
        <w:spacing w:afterLines="50" w:line="440" w:lineRule="exact"/>
        <w:ind w:firstLine="560" w:firstLineChars="200"/>
        <w:rPr>
          <w:rFonts w:ascii="仿宋_GB2312" w:hAnsi="宋体" w:eastAsia="仿宋_GB2312"/>
          <w:bCs/>
          <w:sz w:val="28"/>
          <w:szCs w:val="28"/>
        </w:rPr>
      </w:pPr>
    </w:p>
    <w:p w14:paraId="637D8451">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6.人行道材料外观尺寸检测结果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4F37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0B02BD68">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5B1196A0">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3CCD557B">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5CF6E4D4">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74858DFC">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03F78982">
            <w:pPr>
              <w:pStyle w:val="57"/>
              <w:jc w:val="center"/>
              <w:rPr>
                <w:color w:val="000000"/>
                <w:sz w:val="21"/>
                <w:szCs w:val="21"/>
              </w:rPr>
            </w:pPr>
            <w:r>
              <w:rPr>
                <w:rFonts w:hint="eastAsia"/>
                <w:color w:val="000000"/>
                <w:sz w:val="21"/>
                <w:szCs w:val="21"/>
              </w:rPr>
              <w:t>备注</w:t>
            </w:r>
          </w:p>
        </w:tc>
      </w:tr>
      <w:tr w14:paraId="6F0C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07BE5B95">
            <w:pPr>
              <w:pStyle w:val="57"/>
              <w:jc w:val="center"/>
              <w:rPr>
                <w:sz w:val="21"/>
                <w:szCs w:val="21"/>
              </w:rPr>
            </w:pPr>
          </w:p>
        </w:tc>
        <w:tc>
          <w:tcPr>
            <w:tcW w:w="1127" w:type="dxa"/>
            <w:shd w:val="clear" w:color="auto" w:fill="auto"/>
            <w:tcMar>
              <w:top w:w="11" w:type="dxa"/>
              <w:left w:w="11" w:type="dxa"/>
              <w:right w:w="11" w:type="dxa"/>
            </w:tcMar>
            <w:vAlign w:val="center"/>
          </w:tcPr>
          <w:p w14:paraId="02A5F70F">
            <w:pPr>
              <w:pStyle w:val="57"/>
              <w:jc w:val="center"/>
              <w:rPr>
                <w:sz w:val="21"/>
                <w:szCs w:val="21"/>
              </w:rPr>
            </w:pPr>
          </w:p>
        </w:tc>
        <w:tc>
          <w:tcPr>
            <w:tcW w:w="1779" w:type="dxa"/>
            <w:shd w:val="clear" w:color="auto" w:fill="auto"/>
            <w:tcMar>
              <w:top w:w="11" w:type="dxa"/>
              <w:left w:w="11" w:type="dxa"/>
              <w:right w:w="11" w:type="dxa"/>
            </w:tcMar>
            <w:vAlign w:val="center"/>
          </w:tcPr>
          <w:p w14:paraId="0FBD062C">
            <w:pPr>
              <w:pStyle w:val="57"/>
              <w:jc w:val="center"/>
              <w:rPr>
                <w:sz w:val="21"/>
                <w:szCs w:val="21"/>
              </w:rPr>
            </w:pPr>
          </w:p>
        </w:tc>
        <w:tc>
          <w:tcPr>
            <w:tcW w:w="1779" w:type="dxa"/>
            <w:shd w:val="clear" w:color="auto" w:fill="auto"/>
            <w:tcMar>
              <w:top w:w="11" w:type="dxa"/>
              <w:left w:w="11" w:type="dxa"/>
              <w:right w:w="11" w:type="dxa"/>
            </w:tcMar>
            <w:vAlign w:val="center"/>
          </w:tcPr>
          <w:p w14:paraId="299DC586">
            <w:pPr>
              <w:pStyle w:val="57"/>
              <w:jc w:val="center"/>
              <w:rPr>
                <w:sz w:val="21"/>
                <w:szCs w:val="21"/>
              </w:rPr>
            </w:pPr>
          </w:p>
        </w:tc>
        <w:tc>
          <w:tcPr>
            <w:tcW w:w="1632" w:type="dxa"/>
            <w:shd w:val="clear" w:color="auto" w:fill="auto"/>
            <w:tcMar>
              <w:top w:w="11" w:type="dxa"/>
              <w:left w:w="11" w:type="dxa"/>
              <w:right w:w="11" w:type="dxa"/>
            </w:tcMar>
            <w:vAlign w:val="center"/>
          </w:tcPr>
          <w:p w14:paraId="50BD95F1">
            <w:pPr>
              <w:pStyle w:val="57"/>
              <w:jc w:val="center"/>
              <w:rPr>
                <w:sz w:val="21"/>
                <w:szCs w:val="21"/>
              </w:rPr>
            </w:pPr>
          </w:p>
        </w:tc>
        <w:tc>
          <w:tcPr>
            <w:tcW w:w="751" w:type="dxa"/>
            <w:shd w:val="clear" w:color="auto" w:fill="auto"/>
            <w:tcMar>
              <w:top w:w="11" w:type="dxa"/>
              <w:left w:w="11" w:type="dxa"/>
              <w:right w:w="11" w:type="dxa"/>
            </w:tcMar>
            <w:vAlign w:val="center"/>
          </w:tcPr>
          <w:p w14:paraId="3493DC38">
            <w:pPr>
              <w:pStyle w:val="57"/>
              <w:jc w:val="center"/>
              <w:rPr>
                <w:sz w:val="21"/>
                <w:szCs w:val="21"/>
              </w:rPr>
            </w:pPr>
          </w:p>
        </w:tc>
      </w:tr>
    </w:tbl>
    <w:p w14:paraId="57F94094">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7.人行道平整度检测结果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278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03E7C8FE">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5B6F22FF">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7B4116B9">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09BAD2A9">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4A8CDC8C">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168F813D">
            <w:pPr>
              <w:pStyle w:val="57"/>
              <w:jc w:val="center"/>
              <w:rPr>
                <w:color w:val="000000"/>
                <w:sz w:val="21"/>
                <w:szCs w:val="21"/>
              </w:rPr>
            </w:pPr>
            <w:r>
              <w:rPr>
                <w:rFonts w:hint="eastAsia"/>
                <w:color w:val="000000"/>
                <w:sz w:val="21"/>
                <w:szCs w:val="21"/>
              </w:rPr>
              <w:t>备注</w:t>
            </w:r>
          </w:p>
        </w:tc>
      </w:tr>
      <w:tr w14:paraId="762B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1CBB2ECC">
            <w:pPr>
              <w:pStyle w:val="57"/>
              <w:jc w:val="center"/>
              <w:rPr>
                <w:sz w:val="21"/>
                <w:szCs w:val="21"/>
              </w:rPr>
            </w:pPr>
          </w:p>
        </w:tc>
        <w:tc>
          <w:tcPr>
            <w:tcW w:w="1127" w:type="dxa"/>
            <w:shd w:val="clear" w:color="auto" w:fill="auto"/>
            <w:tcMar>
              <w:top w:w="11" w:type="dxa"/>
              <w:left w:w="11" w:type="dxa"/>
              <w:right w:w="11" w:type="dxa"/>
            </w:tcMar>
            <w:vAlign w:val="center"/>
          </w:tcPr>
          <w:p w14:paraId="539EA4B5">
            <w:pPr>
              <w:pStyle w:val="57"/>
              <w:jc w:val="center"/>
              <w:rPr>
                <w:sz w:val="21"/>
                <w:szCs w:val="21"/>
              </w:rPr>
            </w:pPr>
          </w:p>
        </w:tc>
        <w:tc>
          <w:tcPr>
            <w:tcW w:w="1779" w:type="dxa"/>
            <w:shd w:val="clear" w:color="auto" w:fill="auto"/>
            <w:tcMar>
              <w:top w:w="11" w:type="dxa"/>
              <w:left w:w="11" w:type="dxa"/>
              <w:right w:w="11" w:type="dxa"/>
            </w:tcMar>
            <w:vAlign w:val="center"/>
          </w:tcPr>
          <w:p w14:paraId="07CF18A6">
            <w:pPr>
              <w:pStyle w:val="57"/>
              <w:jc w:val="center"/>
              <w:rPr>
                <w:sz w:val="21"/>
                <w:szCs w:val="21"/>
              </w:rPr>
            </w:pPr>
          </w:p>
        </w:tc>
        <w:tc>
          <w:tcPr>
            <w:tcW w:w="1779" w:type="dxa"/>
            <w:shd w:val="clear" w:color="auto" w:fill="auto"/>
            <w:tcMar>
              <w:top w:w="11" w:type="dxa"/>
              <w:left w:w="11" w:type="dxa"/>
              <w:right w:w="11" w:type="dxa"/>
            </w:tcMar>
            <w:vAlign w:val="center"/>
          </w:tcPr>
          <w:p w14:paraId="017CD9ED">
            <w:pPr>
              <w:pStyle w:val="57"/>
              <w:jc w:val="center"/>
              <w:rPr>
                <w:sz w:val="21"/>
                <w:szCs w:val="21"/>
              </w:rPr>
            </w:pPr>
          </w:p>
        </w:tc>
        <w:tc>
          <w:tcPr>
            <w:tcW w:w="1632" w:type="dxa"/>
            <w:shd w:val="clear" w:color="auto" w:fill="auto"/>
            <w:tcMar>
              <w:top w:w="11" w:type="dxa"/>
              <w:left w:w="11" w:type="dxa"/>
              <w:right w:w="11" w:type="dxa"/>
            </w:tcMar>
            <w:vAlign w:val="center"/>
          </w:tcPr>
          <w:p w14:paraId="0F3D4710">
            <w:pPr>
              <w:pStyle w:val="57"/>
              <w:jc w:val="center"/>
              <w:rPr>
                <w:sz w:val="21"/>
                <w:szCs w:val="21"/>
              </w:rPr>
            </w:pPr>
          </w:p>
        </w:tc>
        <w:tc>
          <w:tcPr>
            <w:tcW w:w="751" w:type="dxa"/>
            <w:shd w:val="clear" w:color="auto" w:fill="auto"/>
            <w:tcMar>
              <w:top w:w="11" w:type="dxa"/>
              <w:left w:w="11" w:type="dxa"/>
              <w:right w:w="11" w:type="dxa"/>
            </w:tcMar>
            <w:vAlign w:val="center"/>
          </w:tcPr>
          <w:p w14:paraId="4047CF7F">
            <w:pPr>
              <w:pStyle w:val="57"/>
              <w:jc w:val="center"/>
              <w:rPr>
                <w:sz w:val="21"/>
                <w:szCs w:val="21"/>
              </w:rPr>
            </w:pPr>
          </w:p>
        </w:tc>
      </w:tr>
    </w:tbl>
    <w:p w14:paraId="322F7E60">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8.人行道厚度检测结果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319F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0F53B722">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2DF44668">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46AE53F7">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5F13A095">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4701EBD6">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58CC360C">
            <w:pPr>
              <w:pStyle w:val="57"/>
              <w:jc w:val="center"/>
              <w:rPr>
                <w:color w:val="000000"/>
                <w:sz w:val="21"/>
                <w:szCs w:val="21"/>
              </w:rPr>
            </w:pPr>
            <w:r>
              <w:rPr>
                <w:rFonts w:hint="eastAsia"/>
                <w:color w:val="000000"/>
                <w:sz w:val="21"/>
                <w:szCs w:val="21"/>
              </w:rPr>
              <w:t>备注</w:t>
            </w:r>
          </w:p>
        </w:tc>
      </w:tr>
      <w:tr w14:paraId="7DA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17D7C9E3">
            <w:pPr>
              <w:pStyle w:val="57"/>
              <w:jc w:val="center"/>
              <w:rPr>
                <w:sz w:val="21"/>
                <w:szCs w:val="21"/>
              </w:rPr>
            </w:pPr>
          </w:p>
        </w:tc>
        <w:tc>
          <w:tcPr>
            <w:tcW w:w="1127" w:type="dxa"/>
            <w:shd w:val="clear" w:color="auto" w:fill="auto"/>
            <w:tcMar>
              <w:top w:w="11" w:type="dxa"/>
              <w:left w:w="11" w:type="dxa"/>
              <w:right w:w="11" w:type="dxa"/>
            </w:tcMar>
            <w:vAlign w:val="center"/>
          </w:tcPr>
          <w:p w14:paraId="7902C773">
            <w:pPr>
              <w:pStyle w:val="57"/>
              <w:jc w:val="center"/>
              <w:rPr>
                <w:sz w:val="21"/>
                <w:szCs w:val="21"/>
              </w:rPr>
            </w:pPr>
          </w:p>
        </w:tc>
        <w:tc>
          <w:tcPr>
            <w:tcW w:w="1779" w:type="dxa"/>
            <w:shd w:val="clear" w:color="auto" w:fill="auto"/>
            <w:tcMar>
              <w:top w:w="11" w:type="dxa"/>
              <w:left w:w="11" w:type="dxa"/>
              <w:right w:w="11" w:type="dxa"/>
            </w:tcMar>
            <w:vAlign w:val="center"/>
          </w:tcPr>
          <w:p w14:paraId="7F99C4D6">
            <w:pPr>
              <w:pStyle w:val="57"/>
              <w:jc w:val="center"/>
              <w:rPr>
                <w:sz w:val="21"/>
                <w:szCs w:val="21"/>
              </w:rPr>
            </w:pPr>
          </w:p>
        </w:tc>
        <w:tc>
          <w:tcPr>
            <w:tcW w:w="1779" w:type="dxa"/>
            <w:shd w:val="clear" w:color="auto" w:fill="auto"/>
            <w:tcMar>
              <w:top w:w="11" w:type="dxa"/>
              <w:left w:w="11" w:type="dxa"/>
              <w:right w:w="11" w:type="dxa"/>
            </w:tcMar>
            <w:vAlign w:val="center"/>
          </w:tcPr>
          <w:p w14:paraId="5CA6B4FC">
            <w:pPr>
              <w:pStyle w:val="57"/>
              <w:jc w:val="center"/>
              <w:rPr>
                <w:sz w:val="21"/>
                <w:szCs w:val="21"/>
              </w:rPr>
            </w:pPr>
          </w:p>
        </w:tc>
        <w:tc>
          <w:tcPr>
            <w:tcW w:w="1632" w:type="dxa"/>
            <w:shd w:val="clear" w:color="auto" w:fill="auto"/>
            <w:tcMar>
              <w:top w:w="11" w:type="dxa"/>
              <w:left w:w="11" w:type="dxa"/>
              <w:right w:w="11" w:type="dxa"/>
            </w:tcMar>
            <w:vAlign w:val="center"/>
          </w:tcPr>
          <w:p w14:paraId="1186342D">
            <w:pPr>
              <w:pStyle w:val="57"/>
              <w:jc w:val="center"/>
              <w:rPr>
                <w:sz w:val="21"/>
                <w:szCs w:val="21"/>
              </w:rPr>
            </w:pPr>
          </w:p>
        </w:tc>
        <w:tc>
          <w:tcPr>
            <w:tcW w:w="751" w:type="dxa"/>
            <w:shd w:val="clear" w:color="auto" w:fill="auto"/>
            <w:tcMar>
              <w:top w:w="11" w:type="dxa"/>
              <w:left w:w="11" w:type="dxa"/>
              <w:right w:w="11" w:type="dxa"/>
            </w:tcMar>
            <w:vAlign w:val="center"/>
          </w:tcPr>
          <w:p w14:paraId="1F4BF9A4">
            <w:pPr>
              <w:pStyle w:val="57"/>
              <w:jc w:val="center"/>
              <w:rPr>
                <w:sz w:val="21"/>
                <w:szCs w:val="21"/>
              </w:rPr>
            </w:pPr>
          </w:p>
        </w:tc>
      </w:tr>
    </w:tbl>
    <w:p w14:paraId="2A698D5F">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9.人行道沥青混合料压实度检测结果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5D0E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0BA66113">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45973742">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2848C035">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12F169B1">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146CDA9A">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0DE3803D">
            <w:pPr>
              <w:pStyle w:val="57"/>
              <w:jc w:val="center"/>
              <w:rPr>
                <w:color w:val="000000"/>
                <w:sz w:val="21"/>
                <w:szCs w:val="21"/>
              </w:rPr>
            </w:pPr>
            <w:r>
              <w:rPr>
                <w:rFonts w:hint="eastAsia"/>
                <w:color w:val="000000"/>
                <w:sz w:val="21"/>
                <w:szCs w:val="21"/>
              </w:rPr>
              <w:t>备注</w:t>
            </w:r>
          </w:p>
        </w:tc>
      </w:tr>
      <w:tr w14:paraId="69BE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0492F753">
            <w:pPr>
              <w:pStyle w:val="57"/>
              <w:jc w:val="center"/>
              <w:rPr>
                <w:sz w:val="21"/>
                <w:szCs w:val="21"/>
              </w:rPr>
            </w:pPr>
          </w:p>
        </w:tc>
        <w:tc>
          <w:tcPr>
            <w:tcW w:w="1127" w:type="dxa"/>
            <w:shd w:val="clear" w:color="auto" w:fill="auto"/>
            <w:tcMar>
              <w:top w:w="11" w:type="dxa"/>
              <w:left w:w="11" w:type="dxa"/>
              <w:right w:w="11" w:type="dxa"/>
            </w:tcMar>
            <w:vAlign w:val="center"/>
          </w:tcPr>
          <w:p w14:paraId="1F80D9DE">
            <w:pPr>
              <w:pStyle w:val="57"/>
              <w:jc w:val="center"/>
              <w:rPr>
                <w:sz w:val="21"/>
                <w:szCs w:val="21"/>
              </w:rPr>
            </w:pPr>
          </w:p>
        </w:tc>
        <w:tc>
          <w:tcPr>
            <w:tcW w:w="1779" w:type="dxa"/>
            <w:shd w:val="clear" w:color="auto" w:fill="auto"/>
            <w:tcMar>
              <w:top w:w="11" w:type="dxa"/>
              <w:left w:w="11" w:type="dxa"/>
              <w:right w:w="11" w:type="dxa"/>
            </w:tcMar>
            <w:vAlign w:val="center"/>
          </w:tcPr>
          <w:p w14:paraId="67709524">
            <w:pPr>
              <w:pStyle w:val="57"/>
              <w:jc w:val="center"/>
              <w:rPr>
                <w:sz w:val="21"/>
                <w:szCs w:val="21"/>
              </w:rPr>
            </w:pPr>
          </w:p>
        </w:tc>
        <w:tc>
          <w:tcPr>
            <w:tcW w:w="1779" w:type="dxa"/>
            <w:shd w:val="clear" w:color="auto" w:fill="auto"/>
            <w:tcMar>
              <w:top w:w="11" w:type="dxa"/>
              <w:left w:w="11" w:type="dxa"/>
              <w:right w:w="11" w:type="dxa"/>
            </w:tcMar>
            <w:vAlign w:val="center"/>
          </w:tcPr>
          <w:p w14:paraId="0CD85254">
            <w:pPr>
              <w:pStyle w:val="57"/>
              <w:jc w:val="center"/>
              <w:rPr>
                <w:sz w:val="21"/>
                <w:szCs w:val="21"/>
              </w:rPr>
            </w:pPr>
          </w:p>
        </w:tc>
        <w:tc>
          <w:tcPr>
            <w:tcW w:w="1632" w:type="dxa"/>
            <w:shd w:val="clear" w:color="auto" w:fill="auto"/>
            <w:tcMar>
              <w:top w:w="11" w:type="dxa"/>
              <w:left w:w="11" w:type="dxa"/>
              <w:right w:w="11" w:type="dxa"/>
            </w:tcMar>
            <w:vAlign w:val="center"/>
          </w:tcPr>
          <w:p w14:paraId="329426C7">
            <w:pPr>
              <w:pStyle w:val="57"/>
              <w:jc w:val="center"/>
              <w:rPr>
                <w:sz w:val="21"/>
                <w:szCs w:val="21"/>
              </w:rPr>
            </w:pPr>
          </w:p>
        </w:tc>
        <w:tc>
          <w:tcPr>
            <w:tcW w:w="751" w:type="dxa"/>
            <w:shd w:val="clear" w:color="auto" w:fill="auto"/>
            <w:tcMar>
              <w:top w:w="11" w:type="dxa"/>
              <w:left w:w="11" w:type="dxa"/>
              <w:right w:w="11" w:type="dxa"/>
            </w:tcMar>
            <w:vAlign w:val="center"/>
          </w:tcPr>
          <w:p w14:paraId="01AD1EED">
            <w:pPr>
              <w:pStyle w:val="57"/>
              <w:jc w:val="center"/>
              <w:rPr>
                <w:sz w:val="21"/>
                <w:szCs w:val="21"/>
              </w:rPr>
            </w:pPr>
          </w:p>
        </w:tc>
      </w:tr>
    </w:tbl>
    <w:p w14:paraId="2FEEE483">
      <w:pPr>
        <w:autoSpaceDE w:val="0"/>
        <w:autoSpaceDN w:val="0"/>
        <w:adjustRightInd w:val="0"/>
        <w:spacing w:afterLines="50" w:line="44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10.排水管道CCTV检测结果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3877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19F2BC96">
            <w:pPr>
              <w:pStyle w:val="57"/>
              <w:jc w:val="center"/>
              <w:rPr>
                <w:sz w:val="21"/>
                <w:szCs w:val="21"/>
              </w:rPr>
            </w:pPr>
            <w:r>
              <w:rPr>
                <w:rFonts w:hint="eastAsia"/>
                <w:color w:val="000000"/>
                <w:sz w:val="21"/>
                <w:szCs w:val="21"/>
              </w:rPr>
              <w:t>道路名称</w:t>
            </w:r>
          </w:p>
        </w:tc>
        <w:tc>
          <w:tcPr>
            <w:tcW w:w="1127" w:type="dxa"/>
            <w:shd w:val="clear" w:color="auto" w:fill="auto"/>
            <w:tcMar>
              <w:top w:w="11" w:type="dxa"/>
              <w:left w:w="11" w:type="dxa"/>
              <w:right w:w="11" w:type="dxa"/>
            </w:tcMar>
            <w:vAlign w:val="center"/>
          </w:tcPr>
          <w:p w14:paraId="6C511DB6">
            <w:pPr>
              <w:pStyle w:val="57"/>
              <w:jc w:val="center"/>
              <w:rPr>
                <w:sz w:val="21"/>
                <w:szCs w:val="21"/>
              </w:rPr>
            </w:pPr>
            <w:r>
              <w:rPr>
                <w:rFonts w:hint="eastAsia"/>
                <w:color w:val="000000"/>
                <w:sz w:val="21"/>
                <w:szCs w:val="21"/>
              </w:rPr>
              <w:t>道路等级</w:t>
            </w:r>
          </w:p>
        </w:tc>
        <w:tc>
          <w:tcPr>
            <w:tcW w:w="1779" w:type="dxa"/>
            <w:shd w:val="clear" w:color="auto" w:fill="auto"/>
            <w:tcMar>
              <w:top w:w="11" w:type="dxa"/>
              <w:left w:w="11" w:type="dxa"/>
              <w:right w:w="11" w:type="dxa"/>
            </w:tcMar>
            <w:vAlign w:val="center"/>
          </w:tcPr>
          <w:p w14:paraId="28845E27">
            <w:pPr>
              <w:pStyle w:val="57"/>
              <w:jc w:val="center"/>
              <w:rPr>
                <w:sz w:val="21"/>
                <w:szCs w:val="21"/>
              </w:rPr>
            </w:pPr>
            <w:r>
              <w:rPr>
                <w:rFonts w:hint="eastAsia"/>
                <w:color w:val="000000"/>
                <w:sz w:val="21"/>
                <w:szCs w:val="21"/>
              </w:rPr>
              <w:t>规范要求</w:t>
            </w:r>
          </w:p>
        </w:tc>
        <w:tc>
          <w:tcPr>
            <w:tcW w:w="1779" w:type="dxa"/>
            <w:shd w:val="clear" w:color="auto" w:fill="auto"/>
            <w:tcMar>
              <w:top w:w="11" w:type="dxa"/>
              <w:left w:w="11" w:type="dxa"/>
              <w:right w:w="11" w:type="dxa"/>
            </w:tcMar>
            <w:vAlign w:val="center"/>
          </w:tcPr>
          <w:p w14:paraId="25A8DA2E">
            <w:pPr>
              <w:pStyle w:val="57"/>
              <w:jc w:val="center"/>
              <w:rPr>
                <w:sz w:val="21"/>
                <w:szCs w:val="21"/>
              </w:rPr>
            </w:pPr>
            <w:r>
              <w:rPr>
                <w:rFonts w:hint="eastAsia"/>
                <w:color w:val="000000"/>
                <w:sz w:val="21"/>
                <w:szCs w:val="21"/>
              </w:rPr>
              <w:t>检测结果</w:t>
            </w:r>
          </w:p>
        </w:tc>
        <w:tc>
          <w:tcPr>
            <w:tcW w:w="1632" w:type="dxa"/>
            <w:shd w:val="clear" w:color="auto" w:fill="auto"/>
            <w:tcMar>
              <w:top w:w="11" w:type="dxa"/>
              <w:left w:w="11" w:type="dxa"/>
              <w:right w:w="11" w:type="dxa"/>
            </w:tcMar>
            <w:vAlign w:val="center"/>
          </w:tcPr>
          <w:p w14:paraId="33CEFAF8">
            <w:pPr>
              <w:pStyle w:val="57"/>
              <w:jc w:val="center"/>
              <w:rPr>
                <w:sz w:val="21"/>
                <w:szCs w:val="21"/>
              </w:rPr>
            </w:pPr>
            <w:r>
              <w:rPr>
                <w:rFonts w:hint="eastAsia"/>
                <w:color w:val="000000"/>
                <w:sz w:val="21"/>
                <w:szCs w:val="21"/>
              </w:rPr>
              <w:t>结论</w:t>
            </w:r>
          </w:p>
        </w:tc>
        <w:tc>
          <w:tcPr>
            <w:tcW w:w="751" w:type="dxa"/>
            <w:shd w:val="clear" w:color="auto" w:fill="auto"/>
            <w:tcMar>
              <w:top w:w="11" w:type="dxa"/>
              <w:left w:w="11" w:type="dxa"/>
              <w:right w:w="11" w:type="dxa"/>
            </w:tcMar>
            <w:vAlign w:val="center"/>
          </w:tcPr>
          <w:p w14:paraId="6646465F">
            <w:pPr>
              <w:pStyle w:val="57"/>
              <w:jc w:val="center"/>
              <w:rPr>
                <w:color w:val="000000"/>
                <w:sz w:val="21"/>
                <w:szCs w:val="21"/>
              </w:rPr>
            </w:pPr>
            <w:r>
              <w:rPr>
                <w:rFonts w:hint="eastAsia"/>
                <w:color w:val="000000"/>
                <w:sz w:val="21"/>
                <w:szCs w:val="21"/>
              </w:rPr>
              <w:t>备注</w:t>
            </w:r>
          </w:p>
        </w:tc>
      </w:tr>
      <w:tr w14:paraId="10D6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71D91522">
            <w:pPr>
              <w:pStyle w:val="57"/>
              <w:jc w:val="center"/>
              <w:rPr>
                <w:sz w:val="21"/>
                <w:szCs w:val="21"/>
              </w:rPr>
            </w:pPr>
          </w:p>
        </w:tc>
        <w:tc>
          <w:tcPr>
            <w:tcW w:w="1127" w:type="dxa"/>
            <w:shd w:val="clear" w:color="auto" w:fill="auto"/>
            <w:tcMar>
              <w:top w:w="11" w:type="dxa"/>
              <w:left w:w="11" w:type="dxa"/>
              <w:right w:w="11" w:type="dxa"/>
            </w:tcMar>
            <w:vAlign w:val="center"/>
          </w:tcPr>
          <w:p w14:paraId="3501F7C2">
            <w:pPr>
              <w:pStyle w:val="57"/>
              <w:jc w:val="center"/>
              <w:rPr>
                <w:sz w:val="21"/>
                <w:szCs w:val="21"/>
              </w:rPr>
            </w:pPr>
          </w:p>
        </w:tc>
        <w:tc>
          <w:tcPr>
            <w:tcW w:w="1779" w:type="dxa"/>
            <w:shd w:val="clear" w:color="auto" w:fill="auto"/>
            <w:tcMar>
              <w:top w:w="11" w:type="dxa"/>
              <w:left w:w="11" w:type="dxa"/>
              <w:right w:w="11" w:type="dxa"/>
            </w:tcMar>
            <w:vAlign w:val="center"/>
          </w:tcPr>
          <w:p w14:paraId="08428CF4">
            <w:pPr>
              <w:pStyle w:val="57"/>
              <w:jc w:val="center"/>
              <w:rPr>
                <w:sz w:val="21"/>
                <w:szCs w:val="21"/>
              </w:rPr>
            </w:pPr>
          </w:p>
        </w:tc>
        <w:tc>
          <w:tcPr>
            <w:tcW w:w="1779" w:type="dxa"/>
            <w:shd w:val="clear" w:color="auto" w:fill="auto"/>
            <w:tcMar>
              <w:top w:w="11" w:type="dxa"/>
              <w:left w:w="11" w:type="dxa"/>
              <w:right w:w="11" w:type="dxa"/>
            </w:tcMar>
            <w:vAlign w:val="center"/>
          </w:tcPr>
          <w:p w14:paraId="1D58D2D9">
            <w:pPr>
              <w:pStyle w:val="57"/>
              <w:jc w:val="center"/>
              <w:rPr>
                <w:sz w:val="21"/>
                <w:szCs w:val="21"/>
              </w:rPr>
            </w:pPr>
          </w:p>
        </w:tc>
        <w:tc>
          <w:tcPr>
            <w:tcW w:w="1632" w:type="dxa"/>
            <w:shd w:val="clear" w:color="auto" w:fill="auto"/>
            <w:tcMar>
              <w:top w:w="11" w:type="dxa"/>
              <w:left w:w="11" w:type="dxa"/>
              <w:right w:w="11" w:type="dxa"/>
            </w:tcMar>
            <w:vAlign w:val="center"/>
          </w:tcPr>
          <w:p w14:paraId="6865CAE2">
            <w:pPr>
              <w:pStyle w:val="57"/>
              <w:jc w:val="center"/>
              <w:rPr>
                <w:sz w:val="21"/>
                <w:szCs w:val="21"/>
              </w:rPr>
            </w:pPr>
          </w:p>
        </w:tc>
        <w:tc>
          <w:tcPr>
            <w:tcW w:w="751" w:type="dxa"/>
            <w:shd w:val="clear" w:color="auto" w:fill="auto"/>
            <w:tcMar>
              <w:top w:w="11" w:type="dxa"/>
              <w:left w:w="11" w:type="dxa"/>
              <w:right w:w="11" w:type="dxa"/>
            </w:tcMar>
            <w:vAlign w:val="center"/>
          </w:tcPr>
          <w:p w14:paraId="2C6D8755">
            <w:pPr>
              <w:pStyle w:val="57"/>
              <w:jc w:val="center"/>
              <w:rPr>
                <w:sz w:val="21"/>
                <w:szCs w:val="21"/>
              </w:rPr>
            </w:pPr>
          </w:p>
        </w:tc>
      </w:tr>
    </w:tbl>
    <w:p w14:paraId="4409EA57">
      <w:pPr>
        <w:spacing w:line="520" w:lineRule="exact"/>
        <w:outlineLvl w:val="1"/>
        <w:rPr>
          <w:rFonts w:ascii="仿宋_GB2312" w:hAnsi="宋体" w:eastAsia="仿宋_GB2312"/>
          <w:sz w:val="28"/>
          <w:szCs w:val="28"/>
        </w:rPr>
      </w:pPr>
      <w:bookmarkStart w:id="1482" w:name="_Toc856"/>
      <w:bookmarkStart w:id="1483" w:name="_Toc2427"/>
      <w:r>
        <w:rPr>
          <w:rFonts w:hint="eastAsia" w:ascii="仿宋_GB2312" w:hAnsi="宋体" w:eastAsia="仿宋_GB2312"/>
          <w:sz w:val="28"/>
          <w:szCs w:val="28"/>
        </w:rPr>
        <w:t>（二）检测结论</w:t>
      </w:r>
      <w:bookmarkEnd w:id="1482"/>
      <w:bookmarkEnd w:id="1483"/>
    </w:p>
    <w:tbl>
      <w:tblPr>
        <w:tblStyle w:val="62"/>
        <w:tblW w:w="895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828"/>
        <w:gridCol w:w="1173"/>
        <w:gridCol w:w="1173"/>
        <w:gridCol w:w="1174"/>
        <w:gridCol w:w="1173"/>
        <w:gridCol w:w="1174"/>
        <w:gridCol w:w="1225"/>
      </w:tblGrid>
      <w:tr w14:paraId="4D3E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Header/>
          <w:tblCellSpacing w:w="0" w:type="dxa"/>
        </w:trPr>
        <w:tc>
          <w:tcPr>
            <w:tcW w:w="1038" w:type="dxa"/>
            <w:shd w:val="clear" w:color="auto" w:fill="auto"/>
            <w:tcMar>
              <w:top w:w="11" w:type="dxa"/>
              <w:left w:w="11" w:type="dxa"/>
              <w:right w:w="11" w:type="dxa"/>
            </w:tcMar>
            <w:vAlign w:val="center"/>
          </w:tcPr>
          <w:p w14:paraId="15A3FF4B">
            <w:pPr>
              <w:pStyle w:val="57"/>
              <w:jc w:val="center"/>
              <w:rPr>
                <w:sz w:val="18"/>
                <w:szCs w:val="18"/>
              </w:rPr>
            </w:pPr>
            <w:r>
              <w:rPr>
                <w:rFonts w:hint="eastAsia"/>
                <w:color w:val="000000"/>
                <w:sz w:val="18"/>
                <w:szCs w:val="18"/>
              </w:rPr>
              <w:t>道路名称</w:t>
            </w:r>
          </w:p>
        </w:tc>
        <w:tc>
          <w:tcPr>
            <w:tcW w:w="828" w:type="dxa"/>
            <w:shd w:val="clear" w:color="auto" w:fill="auto"/>
            <w:tcMar>
              <w:top w:w="11" w:type="dxa"/>
              <w:left w:w="11" w:type="dxa"/>
              <w:right w:w="11" w:type="dxa"/>
            </w:tcMar>
            <w:vAlign w:val="center"/>
          </w:tcPr>
          <w:p w14:paraId="7ED77D79">
            <w:pPr>
              <w:pStyle w:val="57"/>
              <w:jc w:val="center"/>
              <w:rPr>
                <w:sz w:val="18"/>
                <w:szCs w:val="18"/>
              </w:rPr>
            </w:pPr>
            <w:r>
              <w:rPr>
                <w:rFonts w:hint="eastAsia"/>
                <w:color w:val="000000"/>
                <w:sz w:val="18"/>
                <w:szCs w:val="18"/>
              </w:rPr>
              <w:t>道路等级</w:t>
            </w:r>
          </w:p>
        </w:tc>
        <w:tc>
          <w:tcPr>
            <w:tcW w:w="1173" w:type="dxa"/>
            <w:shd w:val="clear" w:color="auto" w:fill="auto"/>
            <w:tcMar>
              <w:top w:w="11" w:type="dxa"/>
              <w:left w:w="11" w:type="dxa"/>
              <w:right w:w="11" w:type="dxa"/>
            </w:tcMar>
            <w:vAlign w:val="center"/>
          </w:tcPr>
          <w:p w14:paraId="4B955849">
            <w:pPr>
              <w:pStyle w:val="57"/>
              <w:jc w:val="center"/>
              <w:rPr>
                <w:sz w:val="18"/>
                <w:szCs w:val="18"/>
              </w:rPr>
            </w:pPr>
            <w:r>
              <w:rPr>
                <w:rFonts w:hint="eastAsia"/>
                <w:sz w:val="18"/>
                <w:szCs w:val="18"/>
              </w:rPr>
              <w:t>检测项目1结论</w:t>
            </w:r>
          </w:p>
        </w:tc>
        <w:tc>
          <w:tcPr>
            <w:tcW w:w="1173" w:type="dxa"/>
            <w:shd w:val="clear" w:color="auto" w:fill="auto"/>
            <w:tcMar>
              <w:top w:w="11" w:type="dxa"/>
              <w:left w:w="11" w:type="dxa"/>
              <w:right w:w="11" w:type="dxa"/>
            </w:tcMar>
            <w:vAlign w:val="center"/>
          </w:tcPr>
          <w:p w14:paraId="0C2ED27E">
            <w:pPr>
              <w:pStyle w:val="57"/>
              <w:jc w:val="center"/>
              <w:rPr>
                <w:sz w:val="18"/>
                <w:szCs w:val="18"/>
              </w:rPr>
            </w:pPr>
            <w:r>
              <w:rPr>
                <w:rFonts w:hint="eastAsia"/>
                <w:sz w:val="18"/>
                <w:szCs w:val="18"/>
              </w:rPr>
              <w:t>检测项目2结论</w:t>
            </w:r>
          </w:p>
        </w:tc>
        <w:tc>
          <w:tcPr>
            <w:tcW w:w="1174" w:type="dxa"/>
            <w:shd w:val="clear" w:color="auto" w:fill="auto"/>
            <w:tcMar>
              <w:top w:w="11" w:type="dxa"/>
              <w:left w:w="11" w:type="dxa"/>
              <w:right w:w="11" w:type="dxa"/>
            </w:tcMar>
            <w:vAlign w:val="center"/>
          </w:tcPr>
          <w:p w14:paraId="747F1A5A">
            <w:pPr>
              <w:pStyle w:val="57"/>
              <w:jc w:val="center"/>
              <w:rPr>
                <w:sz w:val="18"/>
                <w:szCs w:val="18"/>
              </w:rPr>
            </w:pPr>
            <w:r>
              <w:rPr>
                <w:rFonts w:hint="eastAsia"/>
                <w:sz w:val="18"/>
                <w:szCs w:val="18"/>
              </w:rPr>
              <w:t>检测项目3结论</w:t>
            </w:r>
          </w:p>
        </w:tc>
        <w:tc>
          <w:tcPr>
            <w:tcW w:w="1173" w:type="dxa"/>
            <w:shd w:val="clear" w:color="auto" w:fill="auto"/>
            <w:tcMar>
              <w:top w:w="11" w:type="dxa"/>
              <w:left w:w="11" w:type="dxa"/>
              <w:right w:w="11" w:type="dxa"/>
            </w:tcMar>
            <w:vAlign w:val="center"/>
          </w:tcPr>
          <w:p w14:paraId="7EBED050">
            <w:pPr>
              <w:pStyle w:val="57"/>
              <w:spacing w:before="100" w:after="100"/>
              <w:jc w:val="center"/>
              <w:rPr>
                <w:sz w:val="18"/>
                <w:szCs w:val="18"/>
              </w:rPr>
            </w:pPr>
            <w:r>
              <w:rPr>
                <w:rFonts w:hint="eastAsia"/>
                <w:sz w:val="18"/>
                <w:szCs w:val="18"/>
              </w:rPr>
              <w:t>.........</w:t>
            </w:r>
          </w:p>
        </w:tc>
        <w:tc>
          <w:tcPr>
            <w:tcW w:w="1174" w:type="dxa"/>
            <w:shd w:val="clear" w:color="auto" w:fill="auto"/>
            <w:tcMar>
              <w:top w:w="11" w:type="dxa"/>
              <w:left w:w="11" w:type="dxa"/>
              <w:right w:w="11" w:type="dxa"/>
            </w:tcMar>
            <w:vAlign w:val="center"/>
          </w:tcPr>
          <w:p w14:paraId="5E3A3315">
            <w:pPr>
              <w:pStyle w:val="57"/>
              <w:jc w:val="center"/>
              <w:rPr>
                <w:sz w:val="18"/>
                <w:szCs w:val="18"/>
              </w:rPr>
            </w:pPr>
            <w:r>
              <w:rPr>
                <w:rFonts w:hint="eastAsia"/>
                <w:sz w:val="18"/>
                <w:szCs w:val="18"/>
              </w:rPr>
              <w:t>检测项目10结论</w:t>
            </w:r>
          </w:p>
        </w:tc>
        <w:tc>
          <w:tcPr>
            <w:tcW w:w="1225" w:type="dxa"/>
            <w:shd w:val="clear" w:color="auto" w:fill="auto"/>
            <w:tcMar>
              <w:top w:w="11" w:type="dxa"/>
              <w:left w:w="11" w:type="dxa"/>
              <w:right w:w="11" w:type="dxa"/>
            </w:tcMar>
            <w:vAlign w:val="center"/>
          </w:tcPr>
          <w:p w14:paraId="12BEEB34">
            <w:pPr>
              <w:pStyle w:val="57"/>
              <w:jc w:val="center"/>
              <w:rPr>
                <w:sz w:val="18"/>
                <w:szCs w:val="18"/>
              </w:rPr>
            </w:pPr>
            <w:r>
              <w:rPr>
                <w:rFonts w:hint="eastAsia"/>
                <w:sz w:val="18"/>
                <w:szCs w:val="18"/>
              </w:rPr>
              <w:t>建议</w:t>
            </w:r>
          </w:p>
        </w:tc>
      </w:tr>
      <w:tr w14:paraId="1A4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tblCellSpacing w:w="0" w:type="dxa"/>
        </w:trPr>
        <w:tc>
          <w:tcPr>
            <w:tcW w:w="1038" w:type="dxa"/>
            <w:shd w:val="clear" w:color="auto" w:fill="auto"/>
            <w:tcMar>
              <w:top w:w="11" w:type="dxa"/>
              <w:left w:w="11" w:type="dxa"/>
              <w:right w:w="11" w:type="dxa"/>
            </w:tcMar>
            <w:vAlign w:val="center"/>
          </w:tcPr>
          <w:p w14:paraId="35C64519">
            <w:pPr>
              <w:pStyle w:val="57"/>
              <w:jc w:val="center"/>
              <w:rPr>
                <w:color w:val="000000"/>
                <w:sz w:val="18"/>
                <w:szCs w:val="18"/>
              </w:rPr>
            </w:pPr>
          </w:p>
        </w:tc>
        <w:tc>
          <w:tcPr>
            <w:tcW w:w="828" w:type="dxa"/>
            <w:shd w:val="clear" w:color="auto" w:fill="auto"/>
            <w:tcMar>
              <w:top w:w="11" w:type="dxa"/>
              <w:left w:w="11" w:type="dxa"/>
              <w:right w:w="11" w:type="dxa"/>
            </w:tcMar>
            <w:vAlign w:val="center"/>
          </w:tcPr>
          <w:p w14:paraId="3D1B6F4B">
            <w:pPr>
              <w:pStyle w:val="57"/>
              <w:jc w:val="center"/>
              <w:rPr>
                <w:color w:val="000000"/>
                <w:sz w:val="18"/>
                <w:szCs w:val="18"/>
              </w:rPr>
            </w:pPr>
          </w:p>
        </w:tc>
        <w:tc>
          <w:tcPr>
            <w:tcW w:w="1173" w:type="dxa"/>
            <w:shd w:val="clear" w:color="auto" w:fill="auto"/>
            <w:tcMar>
              <w:top w:w="11" w:type="dxa"/>
              <w:left w:w="11" w:type="dxa"/>
              <w:right w:w="11" w:type="dxa"/>
            </w:tcMar>
            <w:vAlign w:val="center"/>
          </w:tcPr>
          <w:p w14:paraId="5ACE4ECC">
            <w:pPr>
              <w:pStyle w:val="57"/>
              <w:jc w:val="center"/>
              <w:rPr>
                <w:sz w:val="18"/>
                <w:szCs w:val="18"/>
              </w:rPr>
            </w:pPr>
          </w:p>
        </w:tc>
        <w:tc>
          <w:tcPr>
            <w:tcW w:w="1173" w:type="dxa"/>
            <w:shd w:val="clear" w:color="auto" w:fill="auto"/>
            <w:tcMar>
              <w:top w:w="11" w:type="dxa"/>
              <w:left w:w="11" w:type="dxa"/>
              <w:right w:w="11" w:type="dxa"/>
            </w:tcMar>
            <w:vAlign w:val="center"/>
          </w:tcPr>
          <w:p w14:paraId="3346478D">
            <w:pPr>
              <w:pStyle w:val="57"/>
              <w:jc w:val="center"/>
              <w:rPr>
                <w:sz w:val="18"/>
                <w:szCs w:val="18"/>
              </w:rPr>
            </w:pPr>
          </w:p>
        </w:tc>
        <w:tc>
          <w:tcPr>
            <w:tcW w:w="1174" w:type="dxa"/>
            <w:shd w:val="clear" w:color="auto" w:fill="auto"/>
            <w:tcMar>
              <w:top w:w="11" w:type="dxa"/>
              <w:left w:w="11" w:type="dxa"/>
              <w:right w:w="11" w:type="dxa"/>
            </w:tcMar>
            <w:vAlign w:val="center"/>
          </w:tcPr>
          <w:p w14:paraId="682103D4">
            <w:pPr>
              <w:pStyle w:val="57"/>
              <w:jc w:val="center"/>
              <w:rPr>
                <w:sz w:val="18"/>
                <w:szCs w:val="18"/>
              </w:rPr>
            </w:pPr>
          </w:p>
        </w:tc>
        <w:tc>
          <w:tcPr>
            <w:tcW w:w="1173" w:type="dxa"/>
            <w:shd w:val="clear" w:color="auto" w:fill="auto"/>
            <w:tcMar>
              <w:top w:w="11" w:type="dxa"/>
              <w:left w:w="11" w:type="dxa"/>
              <w:right w:w="11" w:type="dxa"/>
            </w:tcMar>
            <w:vAlign w:val="center"/>
          </w:tcPr>
          <w:p w14:paraId="7F87486E">
            <w:pPr>
              <w:pStyle w:val="57"/>
              <w:jc w:val="center"/>
              <w:rPr>
                <w:sz w:val="18"/>
                <w:szCs w:val="18"/>
              </w:rPr>
            </w:pPr>
          </w:p>
        </w:tc>
        <w:tc>
          <w:tcPr>
            <w:tcW w:w="1174" w:type="dxa"/>
            <w:shd w:val="clear" w:color="auto" w:fill="auto"/>
            <w:tcMar>
              <w:top w:w="11" w:type="dxa"/>
              <w:left w:w="11" w:type="dxa"/>
              <w:right w:w="11" w:type="dxa"/>
            </w:tcMar>
            <w:vAlign w:val="center"/>
          </w:tcPr>
          <w:p w14:paraId="1210AAAB">
            <w:pPr>
              <w:pStyle w:val="57"/>
              <w:jc w:val="center"/>
              <w:rPr>
                <w:sz w:val="18"/>
                <w:szCs w:val="18"/>
              </w:rPr>
            </w:pPr>
          </w:p>
        </w:tc>
        <w:tc>
          <w:tcPr>
            <w:tcW w:w="1225" w:type="dxa"/>
            <w:shd w:val="clear" w:color="auto" w:fill="auto"/>
            <w:tcMar>
              <w:top w:w="11" w:type="dxa"/>
              <w:left w:w="11" w:type="dxa"/>
              <w:right w:w="11" w:type="dxa"/>
            </w:tcMar>
            <w:vAlign w:val="center"/>
          </w:tcPr>
          <w:p w14:paraId="4A16F822">
            <w:pPr>
              <w:pStyle w:val="57"/>
              <w:jc w:val="center"/>
              <w:rPr>
                <w:sz w:val="18"/>
                <w:szCs w:val="18"/>
              </w:rPr>
            </w:pPr>
          </w:p>
        </w:tc>
      </w:tr>
    </w:tbl>
    <w:p w14:paraId="2969FD3F">
      <w:pPr>
        <w:spacing w:line="520" w:lineRule="exact"/>
        <w:ind w:firstLine="560" w:firstLineChars="200"/>
        <w:outlineLvl w:val="0"/>
        <w:rPr>
          <w:rFonts w:ascii="黑体" w:hAnsi="黑体" w:eastAsia="黑体"/>
          <w:sz w:val="28"/>
          <w:szCs w:val="28"/>
        </w:rPr>
      </w:pPr>
      <w:bookmarkStart w:id="1484" w:name="_Toc7430"/>
      <w:bookmarkStart w:id="1485" w:name="_Toc23627"/>
      <w:r>
        <w:rPr>
          <w:rFonts w:hint="eastAsia" w:ascii="黑体" w:hAnsi="黑体" w:eastAsia="黑体"/>
          <w:sz w:val="28"/>
          <w:szCs w:val="28"/>
        </w:rPr>
        <w:t>五、分项报告</w:t>
      </w:r>
      <w:bookmarkEnd w:id="1484"/>
      <w:bookmarkEnd w:id="1485"/>
    </w:p>
    <w:p w14:paraId="6576743D">
      <w:pPr>
        <w:spacing w:line="520" w:lineRule="exact"/>
        <w:ind w:firstLine="560" w:firstLineChars="200"/>
        <w:jc w:val="left"/>
        <w:rPr>
          <w:rFonts w:ascii="仿宋_GB2312" w:hAnsi="宋体" w:eastAsia="仿宋_GB2312"/>
          <w:b/>
          <w:sz w:val="28"/>
          <w:szCs w:val="28"/>
        </w:rPr>
      </w:pPr>
      <w:r>
        <w:rPr>
          <w:rFonts w:hint="eastAsia" w:ascii="仿宋_GB2312" w:hAnsi="宋体" w:eastAsia="仿宋_GB2312"/>
          <w:bCs/>
          <w:sz w:val="28"/>
          <w:szCs w:val="28"/>
        </w:rPr>
        <w:t>详见各分项检验检测报告（附后）。</w:t>
      </w:r>
    </w:p>
    <w:p w14:paraId="081CFA47"/>
    <w:p w14:paraId="47E0B9F3"/>
    <w:p w14:paraId="37DDE7FF">
      <w:pPr>
        <w:autoSpaceDE w:val="0"/>
        <w:autoSpaceDN w:val="0"/>
        <w:adjustRightInd w:val="0"/>
        <w:jc w:val="center"/>
        <w:rPr>
          <w:rFonts w:ascii="黑体" w:hAnsi="黑体" w:eastAsia="黑体" w:cs="宋体"/>
          <w:kern w:val="0"/>
          <w:sz w:val="44"/>
          <w:szCs w:val="44"/>
          <w:lang w:val="zh-CN"/>
        </w:rPr>
      </w:pPr>
    </w:p>
    <w:p w14:paraId="3D71B42D">
      <w:pPr>
        <w:autoSpaceDE w:val="0"/>
        <w:autoSpaceDN w:val="0"/>
        <w:adjustRightInd w:val="0"/>
        <w:jc w:val="center"/>
        <w:rPr>
          <w:rFonts w:ascii="黑体" w:hAnsi="黑体" w:eastAsia="黑体" w:cs="宋体"/>
          <w:kern w:val="0"/>
          <w:sz w:val="44"/>
          <w:szCs w:val="44"/>
          <w:lang w:val="zh-CN"/>
        </w:rPr>
      </w:pPr>
    </w:p>
    <w:p w14:paraId="74413F5F">
      <w:pPr>
        <w:spacing w:line="340" w:lineRule="atLeast"/>
        <w:rPr>
          <w:rFonts w:ascii="仿宋" w:hAnsi="仿宋" w:eastAsia="仿宋" w:cs="仿宋"/>
          <w:sz w:val="24"/>
          <w:szCs w:val="24"/>
        </w:rPr>
      </w:pPr>
    </w:p>
    <w:p w14:paraId="5E3F8210">
      <w:pPr>
        <w:spacing w:line="340" w:lineRule="atLeast"/>
        <w:rPr>
          <w:rFonts w:ascii="仿宋" w:hAnsi="仿宋" w:eastAsia="仿宋" w:cs="仿宋"/>
          <w:sz w:val="24"/>
          <w:szCs w:val="24"/>
        </w:rPr>
      </w:pPr>
    </w:p>
    <w:p w14:paraId="43A1F44F">
      <w:pPr>
        <w:spacing w:line="340" w:lineRule="atLeast"/>
        <w:rPr>
          <w:rFonts w:ascii="仿宋" w:hAnsi="仿宋" w:eastAsia="仿宋" w:cs="仿宋"/>
          <w:sz w:val="24"/>
          <w:szCs w:val="24"/>
        </w:rPr>
      </w:pPr>
      <w:r>
        <w:rPr>
          <w:rFonts w:hint="eastAsia" w:ascii="仿宋" w:hAnsi="仿宋" w:eastAsia="仿宋" w:cs="仿宋"/>
          <w:sz w:val="24"/>
          <w:szCs w:val="24"/>
        </w:rPr>
        <w:t>附件9：</w:t>
      </w:r>
    </w:p>
    <w:p w14:paraId="50D1E59F">
      <w:pPr>
        <w:autoSpaceDE w:val="0"/>
        <w:autoSpaceDN w:val="0"/>
        <w:adjustRightInd w:val="0"/>
        <w:jc w:val="center"/>
        <w:rPr>
          <w:rFonts w:ascii="黑体" w:hAnsi="黑体" w:eastAsia="黑体" w:cs="宋体"/>
          <w:kern w:val="0"/>
          <w:sz w:val="44"/>
          <w:szCs w:val="44"/>
          <w:lang w:val="zh-CN"/>
        </w:rPr>
      </w:pPr>
      <w:r>
        <w:rPr>
          <w:rFonts w:hint="eastAsia" w:ascii="黑体" w:hAnsi="黑体" w:eastAsia="黑体" w:cs="宋体"/>
          <w:kern w:val="0"/>
          <w:sz w:val="44"/>
          <w:szCs w:val="44"/>
          <w:lang w:val="zh-CN"/>
        </w:rPr>
        <w:t>杭州市市政</w:t>
      </w:r>
      <w:r>
        <w:rPr>
          <w:rFonts w:hint="eastAsia" w:ascii="黑体" w:hAnsi="黑体" w:eastAsia="黑体" w:cs="宋体"/>
          <w:kern w:val="0"/>
          <w:sz w:val="44"/>
          <w:szCs w:val="44"/>
        </w:rPr>
        <w:t>道路加固(修缮)</w:t>
      </w:r>
      <w:r>
        <w:rPr>
          <w:rFonts w:hint="eastAsia" w:ascii="黑体" w:hAnsi="黑体" w:eastAsia="黑体" w:cs="宋体"/>
          <w:kern w:val="0"/>
          <w:sz w:val="44"/>
          <w:szCs w:val="44"/>
          <w:lang w:val="zh-CN"/>
        </w:rPr>
        <w:t>工程质量检测</w:t>
      </w:r>
    </w:p>
    <w:p w14:paraId="31039D53">
      <w:pPr>
        <w:autoSpaceDE w:val="0"/>
        <w:autoSpaceDN w:val="0"/>
        <w:adjustRightInd w:val="0"/>
        <w:jc w:val="center"/>
        <w:rPr>
          <w:rFonts w:ascii="黑体" w:hAnsi="黑体" w:eastAsia="黑体" w:cs="宋体"/>
          <w:kern w:val="0"/>
          <w:sz w:val="44"/>
          <w:szCs w:val="44"/>
        </w:rPr>
      </w:pPr>
      <w:r>
        <w:rPr>
          <w:rFonts w:hint="eastAsia" w:ascii="黑体" w:hAnsi="黑体" w:eastAsia="黑体" w:cs="宋体"/>
          <w:kern w:val="0"/>
          <w:sz w:val="44"/>
          <w:szCs w:val="44"/>
          <w:lang w:val="zh-CN"/>
        </w:rPr>
        <w:t>实施</w:t>
      </w:r>
      <w:r>
        <w:rPr>
          <w:rFonts w:hint="eastAsia" w:ascii="黑体" w:hAnsi="黑体" w:eastAsia="黑体" w:cs="宋体"/>
          <w:kern w:val="0"/>
          <w:sz w:val="44"/>
          <w:szCs w:val="44"/>
        </w:rPr>
        <w:t>方案</w:t>
      </w:r>
    </w:p>
    <w:p w14:paraId="1C8ECD1B">
      <w:pPr>
        <w:autoSpaceDE w:val="0"/>
        <w:autoSpaceDN w:val="0"/>
        <w:adjustRightInd w:val="0"/>
        <w:spacing w:line="560" w:lineRule="exact"/>
        <w:ind w:firstLine="640" w:firstLineChars="200"/>
        <w:jc w:val="left"/>
        <w:rPr>
          <w:rFonts w:ascii="仿宋_GB2312" w:hAnsi="仿宋" w:eastAsia="仿宋_GB2312"/>
          <w:sz w:val="32"/>
          <w:szCs w:val="32"/>
        </w:rPr>
      </w:pPr>
    </w:p>
    <w:p w14:paraId="35B76100">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根据道路加固（修缮）工程管理相关规定，特制定本方案。</w:t>
      </w:r>
    </w:p>
    <w:p w14:paraId="34B311D0">
      <w:pPr>
        <w:autoSpaceDE w:val="0"/>
        <w:autoSpaceDN w:val="0"/>
        <w:adjustRightInd w:val="0"/>
        <w:ind w:firstLine="360" w:firstLineChars="200"/>
        <w:rPr>
          <w:rFonts w:ascii="黑体" w:hAnsi="黑体" w:eastAsia="黑体" w:cs="楷体"/>
          <w:kern w:val="0"/>
          <w:sz w:val="18"/>
          <w:szCs w:val="18"/>
          <w:lang w:val="zh-CN"/>
        </w:rPr>
      </w:pPr>
      <w:r>
        <w:rPr>
          <w:rFonts w:hint="eastAsia" w:ascii="黑体" w:hAnsi="黑体" w:eastAsia="黑体" w:cs="楷体"/>
          <w:kern w:val="0"/>
          <w:sz w:val="18"/>
          <w:szCs w:val="18"/>
          <w:lang w:val="zh-CN"/>
        </w:rPr>
        <w:t>一、工作目标</w:t>
      </w:r>
    </w:p>
    <w:p w14:paraId="2CBDC062">
      <w:pPr>
        <w:autoSpaceDE w:val="0"/>
        <w:autoSpaceDN w:val="0"/>
        <w:adjustRightInd w:val="0"/>
        <w:ind w:firstLine="360" w:firstLineChars="200"/>
        <w:jc w:val="left"/>
        <w:rPr>
          <w:rFonts w:ascii="仿宋_GB2312" w:eastAsia="仿宋_GB2312"/>
          <w:sz w:val="18"/>
          <w:szCs w:val="18"/>
        </w:rPr>
      </w:pPr>
      <w:r>
        <w:rPr>
          <w:rFonts w:hint="eastAsia" w:ascii="仿宋_GB2312" w:hAnsi="仿宋" w:eastAsia="仿宋_GB2312"/>
          <w:sz w:val="18"/>
          <w:szCs w:val="18"/>
        </w:rPr>
        <w:t>以“迎亚运”为契机，以全面提升道路品质为内容，强化主体责任落实，建立健全工作机制，切实严控市政道路加固(修缮)工程质量，不断提升我市道路加固工程管理水平。</w:t>
      </w:r>
    </w:p>
    <w:p w14:paraId="5684C067">
      <w:pPr>
        <w:autoSpaceDE w:val="0"/>
        <w:autoSpaceDN w:val="0"/>
        <w:adjustRightInd w:val="0"/>
        <w:ind w:firstLine="360" w:firstLineChars="200"/>
        <w:rPr>
          <w:rFonts w:ascii="黑体" w:hAnsi="黑体" w:eastAsia="黑体" w:cs="楷体"/>
          <w:kern w:val="0"/>
          <w:sz w:val="18"/>
          <w:szCs w:val="18"/>
          <w:lang w:val="zh-CN"/>
        </w:rPr>
      </w:pPr>
      <w:r>
        <w:rPr>
          <w:rFonts w:hint="eastAsia" w:ascii="黑体" w:hAnsi="黑体" w:eastAsia="黑体" w:cs="楷体"/>
          <w:kern w:val="0"/>
          <w:sz w:val="18"/>
          <w:szCs w:val="18"/>
          <w:lang w:val="zh-CN"/>
        </w:rPr>
        <w:t>二、适用范围</w:t>
      </w:r>
    </w:p>
    <w:p w14:paraId="0065F635">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杭州市市政设施改善项目中的道路加固及“迎亚运”道路修缮行动等工程，其他市政道路加固(修缮)工程可参照执行。</w:t>
      </w:r>
    </w:p>
    <w:p w14:paraId="0E9C780A">
      <w:pPr>
        <w:autoSpaceDE w:val="0"/>
        <w:autoSpaceDN w:val="0"/>
        <w:adjustRightInd w:val="0"/>
        <w:ind w:firstLine="360" w:firstLineChars="200"/>
        <w:rPr>
          <w:rFonts w:ascii="黑体" w:hAnsi="黑体" w:eastAsia="黑体" w:cs="楷体"/>
          <w:kern w:val="0"/>
          <w:sz w:val="18"/>
          <w:szCs w:val="18"/>
          <w:lang w:val="zh-CN"/>
        </w:rPr>
      </w:pPr>
      <w:r>
        <w:rPr>
          <w:rFonts w:hint="eastAsia" w:ascii="黑体" w:hAnsi="黑体" w:eastAsia="黑体" w:cs="楷体"/>
          <w:kern w:val="0"/>
          <w:sz w:val="18"/>
          <w:szCs w:val="18"/>
          <w:lang w:val="zh-CN"/>
        </w:rPr>
        <w:t>三、检测依据及判定标准</w:t>
      </w:r>
    </w:p>
    <w:p w14:paraId="52AD4D1D">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1.《城镇道路路面设计规范》CJJ 169；</w:t>
      </w:r>
    </w:p>
    <w:p w14:paraId="75FCB956">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2.《无障碍设计规范》GB 50763；</w:t>
      </w:r>
    </w:p>
    <w:p w14:paraId="60B36F0A">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3.《城镇道路工程施工与质量验收规范》CJJ 1；</w:t>
      </w:r>
    </w:p>
    <w:p w14:paraId="4F83C1DC">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4.《城镇道路养护技术规范》CJJ 36;</w:t>
      </w:r>
    </w:p>
    <w:p w14:paraId="3A9F8A81">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5.《沥青路面施工及验收规范》 GB 50092；</w:t>
      </w:r>
    </w:p>
    <w:p w14:paraId="7D1AFB7A">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6.《公路沥青路面施工技术规范》JTG F40；</w:t>
      </w:r>
    </w:p>
    <w:p w14:paraId="1061E721">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7.《给水排水管道工程施工及验收规范》 GB50268；</w:t>
      </w:r>
    </w:p>
    <w:p w14:paraId="494E7FDA">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8.《城镇道路特种沥青路面施工与质量验收规范》                 DB33/T 1080；</w:t>
      </w:r>
    </w:p>
    <w:p w14:paraId="456B1C27">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9.《</w:t>
      </w:r>
      <w:r>
        <w:rPr>
          <w:rFonts w:ascii="仿宋_GB2312" w:hAnsi="仿宋" w:eastAsia="仿宋_GB2312"/>
          <w:sz w:val="18"/>
          <w:szCs w:val="18"/>
        </w:rPr>
        <w:t>城市道路防沉降检查井盖和雨水口技术管理规范</w:t>
      </w:r>
      <w:r>
        <w:rPr>
          <w:rFonts w:hint="eastAsia" w:ascii="仿宋_GB2312" w:hAnsi="仿宋" w:eastAsia="仿宋_GB2312"/>
          <w:sz w:val="18"/>
          <w:szCs w:val="18"/>
        </w:rPr>
        <w:t>》DB3301/T 0213；</w:t>
      </w:r>
    </w:p>
    <w:p w14:paraId="1C92CAC2">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10.其他相关标准规范及设计文件。</w:t>
      </w:r>
    </w:p>
    <w:p w14:paraId="569B8DD1">
      <w:pPr>
        <w:autoSpaceDE w:val="0"/>
        <w:autoSpaceDN w:val="0"/>
        <w:adjustRightInd w:val="0"/>
        <w:ind w:firstLine="360" w:firstLineChars="200"/>
        <w:jc w:val="left"/>
        <w:rPr>
          <w:rFonts w:ascii="仿宋_GB2312" w:hAnsi="仿宋" w:eastAsia="仿宋_GB2312"/>
          <w:sz w:val="18"/>
          <w:szCs w:val="18"/>
          <w:lang w:val="zh-CN"/>
        </w:rPr>
      </w:pPr>
      <w:r>
        <w:rPr>
          <w:rFonts w:hint="eastAsia" w:ascii="仿宋_GB2312" w:hAnsi="仿宋" w:eastAsia="仿宋_GB2312"/>
          <w:sz w:val="18"/>
          <w:szCs w:val="18"/>
          <w:lang w:val="zh-CN"/>
        </w:rPr>
        <w:t>（注：以上标准规范版本以最新版本为准）</w:t>
      </w:r>
    </w:p>
    <w:p w14:paraId="6805721C">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推荐采用方法：</w:t>
      </w:r>
    </w:p>
    <w:p w14:paraId="141FEBEF">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T0912  挖坑和钻芯测试路面厚度方法</w:t>
      </w:r>
    </w:p>
    <w:p w14:paraId="7E4A9825">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T0924  钻芯测试路面压实度方法</w:t>
      </w:r>
    </w:p>
    <w:p w14:paraId="3D2067B0">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T0931  三米直尺测试平整度方法</w:t>
      </w:r>
    </w:p>
    <w:p w14:paraId="26051904">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T0932  连续式平整度仪测试平整度方法</w:t>
      </w:r>
    </w:p>
    <w:p w14:paraId="397DA97B">
      <w:pPr>
        <w:autoSpaceDE w:val="0"/>
        <w:autoSpaceDN w:val="0"/>
        <w:adjustRightInd w:val="0"/>
        <w:ind w:firstLine="360" w:firstLineChars="200"/>
        <w:jc w:val="left"/>
        <w:rPr>
          <w:rFonts w:ascii="仿宋_GB2312" w:hAnsi="仿宋" w:eastAsia="仿宋_GB2312"/>
          <w:sz w:val="18"/>
          <w:szCs w:val="18"/>
        </w:rPr>
      </w:pPr>
      <w:r>
        <w:rPr>
          <w:rFonts w:hint="eastAsia" w:ascii="仿宋_GB2312" w:eastAsia="仿宋_GB2312" w:cs="仿宋"/>
          <w:kern w:val="0"/>
          <w:sz w:val="18"/>
          <w:szCs w:val="18"/>
          <w:lang w:val="zh-CN"/>
        </w:rPr>
        <w:t>T0951  贝克曼梁测试路基路面回弹弯沉方法</w:t>
      </w:r>
    </w:p>
    <w:p w14:paraId="6BB102AB">
      <w:pPr>
        <w:autoSpaceDE w:val="0"/>
        <w:autoSpaceDN w:val="0"/>
        <w:adjustRightInd w:val="0"/>
        <w:ind w:firstLine="270" w:firstLineChars="150"/>
        <w:rPr>
          <w:rFonts w:ascii="黑体" w:hAnsi="黑体" w:eastAsia="黑体" w:cs="楷体"/>
          <w:kern w:val="0"/>
          <w:sz w:val="18"/>
          <w:szCs w:val="18"/>
          <w:lang w:val="zh-CN"/>
        </w:rPr>
      </w:pPr>
      <w:r>
        <w:rPr>
          <w:rFonts w:hint="eastAsia" w:ascii="黑体" w:hAnsi="黑体" w:eastAsia="黑体" w:cs="楷体"/>
          <w:kern w:val="0"/>
          <w:sz w:val="18"/>
          <w:szCs w:val="18"/>
          <w:lang w:val="zh-CN"/>
        </w:rPr>
        <w:t>四、实施方法</w:t>
      </w:r>
    </w:p>
    <w:p w14:paraId="21A535DB">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（一）检测要求</w:t>
      </w:r>
    </w:p>
    <w:p w14:paraId="23E4029D">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 xml:space="preserve">1.明确专项经费。区级城管部门（建设主体）应在招标文件及合同中明确该项检测费用纳入工程经费；并明确检测费用拨付程序及检测不合格的相关处罚措施等内容。 </w:t>
      </w:r>
    </w:p>
    <w:p w14:paraId="6E36D673">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2.明确主体责任。区级城管部门（建设主体）应进一步优化工作流程，建立健全相关检测工作机制，落实专人负责，确保主体责任履责到位。</w:t>
      </w:r>
    </w:p>
    <w:p w14:paraId="0529467D">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3.明确整改时限。针对检测中发现的质量问题，建设主体督促施工单位应在5个自然日内完成整改，涉及较重大事项，须在5个自然日内提出整改方案。</w:t>
      </w:r>
    </w:p>
    <w:p w14:paraId="52AF086B">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（二）检测项目</w:t>
      </w:r>
    </w:p>
    <w:p w14:paraId="2F74A4F8">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1.原材料质量：主要包括沥青混合料、水泥混凝土、水泥稳定碎石、人行道道板、检查井盖、雨水箅子等。</w:t>
      </w:r>
    </w:p>
    <w:p w14:paraId="2A911D64">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2.施工质量</w:t>
      </w:r>
    </w:p>
    <w:p w14:paraId="6F86B9C5">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（1）车行道（含非机动车道）：主控项目为结构层压实度、结构层厚度、料石铺砌面层用砂浆抗压强度；一般项目为弯沉（面层和基层）、面层平整度、料石铺砌面层平整度、路面抗滑。</w:t>
      </w:r>
    </w:p>
    <w:p w14:paraId="518FD557">
      <w:pPr>
        <w:autoSpaceDE w:val="0"/>
        <w:autoSpaceDN w:val="0"/>
        <w:adjustRightInd w:val="0"/>
        <w:ind w:firstLine="360" w:firstLineChars="200"/>
        <w:jc w:val="left"/>
        <w:rPr>
          <w:rFonts w:ascii="仿宋_GB2312" w:hAnsi="仿宋" w:eastAsia="仿宋_GB2312"/>
          <w:sz w:val="18"/>
          <w:szCs w:val="18"/>
        </w:rPr>
      </w:pPr>
      <w:r>
        <w:rPr>
          <w:rFonts w:hint="eastAsia" w:ascii="仿宋_GB2312" w:hAnsi="仿宋" w:eastAsia="仿宋_GB2312"/>
          <w:sz w:val="18"/>
          <w:szCs w:val="18"/>
        </w:rPr>
        <w:t>（2）人行道：主控项目为料石、混凝土预制砌块、沥青混合料铺砌人行道路床与基层压实度，料石、混凝土预制砌块铺砌人行道用砂浆强度，料石、混凝土预制砌块强度，料石铺砌人行道外观尺寸，沥青混合料铺筑人行道厚度，沥青混合料压实度；一般项目为平整度。</w:t>
      </w:r>
    </w:p>
    <w:p w14:paraId="54AED10A">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（三）检测频率（详见附件2）</w:t>
      </w:r>
    </w:p>
    <w:p w14:paraId="730BA045">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（四）判定标准（详见附件3）</w:t>
      </w:r>
    </w:p>
    <w:p w14:paraId="47569B0B">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（五）成果资料</w:t>
      </w:r>
      <w:r>
        <w:rPr>
          <w:rFonts w:ascii="楷体_GB2312" w:hAnsi="仿宋" w:eastAsia="楷体_GB2312" w:cs="仿宋"/>
          <w:b/>
          <w:kern w:val="0"/>
          <w:sz w:val="18"/>
          <w:szCs w:val="18"/>
        </w:rPr>
        <w:tab/>
      </w:r>
    </w:p>
    <w:p w14:paraId="0989F703">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1.检测报告：各项检测内容均须出具书面检测报告。检测报告应包含工程概况、检测范围、检测依据、检测设备、检测结论、分项检测报告等内容。</w:t>
      </w:r>
    </w:p>
    <w:p w14:paraId="1CBA3FA5">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2.档案资料：</w:t>
      </w:r>
      <w:r>
        <w:rPr>
          <w:rFonts w:hint="eastAsia" w:ascii="仿宋_GB2312" w:hAnsi="仿宋" w:eastAsia="仿宋_GB2312"/>
          <w:sz w:val="18"/>
          <w:szCs w:val="18"/>
        </w:rPr>
        <w:t>建设主体</w:t>
      </w:r>
      <w:r>
        <w:rPr>
          <w:rFonts w:hint="eastAsia" w:ascii="仿宋_GB2312" w:hAnsi="仿宋" w:eastAsia="仿宋_GB2312" w:cs="仿宋"/>
          <w:kern w:val="0"/>
          <w:sz w:val="18"/>
          <w:szCs w:val="18"/>
        </w:rPr>
        <w:t>在项目竣工验收后,将所有检测报告纳入竣工资料中存档。</w:t>
      </w:r>
    </w:p>
    <w:p w14:paraId="59B7ED9D">
      <w:pPr>
        <w:autoSpaceDE w:val="0"/>
        <w:autoSpaceDN w:val="0"/>
        <w:adjustRightInd w:val="0"/>
        <w:ind w:firstLine="360" w:firstLineChars="200"/>
        <w:rPr>
          <w:rFonts w:ascii="黑体" w:hAnsi="黑体" w:eastAsia="黑体" w:cs="楷体"/>
          <w:kern w:val="0"/>
          <w:sz w:val="18"/>
          <w:szCs w:val="18"/>
          <w:lang w:val="zh-CN"/>
        </w:rPr>
      </w:pPr>
      <w:r>
        <w:rPr>
          <w:rFonts w:hint="eastAsia" w:ascii="黑体" w:hAnsi="黑体" w:eastAsia="黑体" w:cs="楷体"/>
          <w:kern w:val="0"/>
          <w:sz w:val="18"/>
          <w:szCs w:val="18"/>
          <w:lang w:val="zh-CN"/>
        </w:rPr>
        <w:t>五、验收抽检</w:t>
      </w:r>
    </w:p>
    <w:p w14:paraId="1FAC16B3">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工程竣工验收前，由杭州市市政设施发展中心（以下简称：市政中心）委托第三方检测机构进行抽检,应与区级城管部门（建设主体）委托的检测机构非同一家。</w:t>
      </w:r>
    </w:p>
    <w:p w14:paraId="3939CA94">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（一）抽检方法</w:t>
      </w:r>
    </w:p>
    <w:p w14:paraId="4DADFE0C">
      <w:pPr>
        <w:autoSpaceDE w:val="0"/>
        <w:autoSpaceDN w:val="0"/>
        <w:adjustRightInd w:val="0"/>
        <w:ind w:firstLine="360" w:firstLineChars="200"/>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color w:val="000000" w:themeColor="text1"/>
          <w:kern w:val="0"/>
          <w:sz w:val="18"/>
          <w:szCs w:val="18"/>
          <w14:textFill>
            <w14:solidFill>
              <w14:schemeClr w14:val="tx1"/>
            </w14:solidFill>
          </w14:textFill>
        </w:rPr>
        <w:t>1.按照项目每标段、每200米、每半幅为一个抽检单元（不满200米按一个单元计，每标段至少一个单元），抽检单元按序编号，现场随机抽取10%-20%的单元进行检测。</w:t>
      </w:r>
    </w:p>
    <w:p w14:paraId="73747457">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2.抽检人员应包括市政中心、区级城管部门（建设主体）、监理单位、施工单位、检测机构及该道路养护单位。</w:t>
      </w:r>
    </w:p>
    <w:p w14:paraId="741094B1">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3.抽检过程由市政中心会同检测单位采用现场录像拍照等方式记录留档，抽检样品按规定做好留存。</w:t>
      </w:r>
    </w:p>
    <w:p w14:paraId="62109A8F">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（二）抽检项目及抽检频率（详见附件3）</w:t>
      </w:r>
    </w:p>
    <w:p w14:paraId="3CE2F95B">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（三）抽检项目判定</w:t>
      </w:r>
    </w:p>
    <w:p w14:paraId="0142C089">
      <w:pPr>
        <w:autoSpaceDE w:val="0"/>
        <w:autoSpaceDN w:val="0"/>
        <w:adjustRightInd w:val="0"/>
        <w:ind w:firstLine="360" w:firstLineChars="200"/>
        <w:jc w:val="left"/>
        <w:rPr>
          <w:rFonts w:ascii="仿宋" w:hAnsi="仿宋" w:eastAsia="仿宋" w:cs="仿宋"/>
          <w:kern w:val="0"/>
          <w:sz w:val="18"/>
          <w:szCs w:val="18"/>
        </w:rPr>
      </w:pPr>
      <w:r>
        <w:rPr>
          <w:rFonts w:hint="eastAsia" w:ascii="仿宋_GB2312" w:hAnsi="仿宋" w:eastAsia="仿宋_GB2312" w:cs="仿宋"/>
          <w:kern w:val="0"/>
          <w:sz w:val="18"/>
          <w:szCs w:val="18"/>
        </w:rPr>
        <w:t>同施工质量检测判定标准</w:t>
      </w:r>
      <w:r>
        <w:rPr>
          <w:rFonts w:hint="eastAsia" w:ascii="仿宋" w:hAnsi="仿宋" w:eastAsia="仿宋" w:cs="仿宋"/>
          <w:kern w:val="0"/>
          <w:sz w:val="18"/>
          <w:szCs w:val="18"/>
        </w:rPr>
        <w:t>。</w:t>
      </w:r>
    </w:p>
    <w:p w14:paraId="653C139F">
      <w:pPr>
        <w:autoSpaceDE w:val="0"/>
        <w:autoSpaceDN w:val="0"/>
        <w:adjustRightInd w:val="0"/>
        <w:ind w:firstLine="361" w:firstLineChars="200"/>
        <w:rPr>
          <w:rFonts w:ascii="楷体_GB2312" w:hAnsi="仿宋" w:eastAsia="楷体_GB2312" w:cs="仿宋"/>
          <w:b/>
          <w:kern w:val="0"/>
          <w:sz w:val="18"/>
          <w:szCs w:val="18"/>
        </w:rPr>
      </w:pPr>
      <w:r>
        <w:rPr>
          <w:rFonts w:hint="eastAsia" w:ascii="楷体_GB2312" w:hAnsi="仿宋" w:eastAsia="楷体_GB2312" w:cs="仿宋"/>
          <w:b/>
          <w:kern w:val="0"/>
          <w:sz w:val="18"/>
          <w:szCs w:val="18"/>
        </w:rPr>
        <w:t>（四）成果资料</w:t>
      </w:r>
    </w:p>
    <w:p w14:paraId="39D876E0">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各项抽检内容均须出具书面报告，按规定存档。</w:t>
      </w:r>
    </w:p>
    <w:p w14:paraId="5E6BE06E">
      <w:pPr>
        <w:autoSpaceDE w:val="0"/>
        <w:autoSpaceDN w:val="0"/>
        <w:adjustRightInd w:val="0"/>
        <w:ind w:firstLine="360" w:firstLineChars="200"/>
        <w:rPr>
          <w:rFonts w:ascii="黑体" w:hAnsi="黑体" w:eastAsia="黑体" w:cs="楷体"/>
          <w:kern w:val="0"/>
          <w:sz w:val="18"/>
          <w:szCs w:val="18"/>
          <w:lang w:val="zh-CN"/>
        </w:rPr>
      </w:pPr>
      <w:r>
        <w:rPr>
          <w:rFonts w:hint="eastAsia" w:ascii="黑体" w:hAnsi="黑体" w:eastAsia="黑体" w:cs="楷体"/>
          <w:kern w:val="0"/>
          <w:sz w:val="18"/>
          <w:szCs w:val="18"/>
          <w:lang w:val="zh-CN"/>
        </w:rPr>
        <w:t>六、结果运用</w:t>
      </w:r>
    </w:p>
    <w:p w14:paraId="4B3C361D">
      <w:pPr>
        <w:autoSpaceDE w:val="0"/>
        <w:autoSpaceDN w:val="0"/>
        <w:adjustRightInd w:val="0"/>
        <w:ind w:firstLine="361" w:firstLineChars="200"/>
        <w:rPr>
          <w:rFonts w:ascii="仿宋_GB2312" w:hAnsi="仿宋" w:eastAsia="仿宋_GB2312" w:cs="仿宋"/>
          <w:kern w:val="0"/>
          <w:sz w:val="18"/>
          <w:szCs w:val="18"/>
        </w:rPr>
      </w:pPr>
      <w:r>
        <w:rPr>
          <w:rFonts w:hint="eastAsia" w:ascii="仿宋_GB2312" w:hAnsi="仿宋" w:eastAsia="仿宋_GB2312" w:cs="仿宋"/>
          <w:b/>
          <w:kern w:val="0"/>
          <w:sz w:val="18"/>
          <w:szCs w:val="18"/>
        </w:rPr>
        <w:t>1.作为竣工验收依据</w:t>
      </w:r>
      <w:r>
        <w:rPr>
          <w:rFonts w:hint="eastAsia" w:ascii="仿宋_GB2312" w:hAnsi="仿宋" w:eastAsia="仿宋_GB2312" w:cs="仿宋"/>
          <w:kern w:val="0"/>
          <w:sz w:val="18"/>
          <w:szCs w:val="18"/>
        </w:rPr>
        <w:t>。一是市政道路加固（修缮）工程检测合格、抽检认可后方可进行竣工验收；二是检测、抽检中发现的问题须逐个整改销项。</w:t>
      </w:r>
    </w:p>
    <w:p w14:paraId="4D78C251">
      <w:pPr>
        <w:autoSpaceDE w:val="0"/>
        <w:autoSpaceDN w:val="0"/>
        <w:adjustRightInd w:val="0"/>
        <w:ind w:firstLine="361" w:firstLineChars="200"/>
        <w:rPr>
          <w:rFonts w:ascii="仿宋_GB2312" w:hAnsi="仿宋" w:eastAsia="仿宋_GB2312" w:cs="仿宋"/>
          <w:kern w:val="0"/>
          <w:sz w:val="18"/>
          <w:szCs w:val="18"/>
        </w:rPr>
      </w:pPr>
      <w:r>
        <w:rPr>
          <w:rFonts w:hint="eastAsia" w:ascii="仿宋_GB2312" w:hAnsi="仿宋" w:eastAsia="仿宋_GB2312" w:cs="仿宋"/>
          <w:b/>
          <w:kern w:val="0"/>
          <w:sz w:val="18"/>
          <w:szCs w:val="18"/>
        </w:rPr>
        <w:t>2.纳入城管目标考核。</w:t>
      </w:r>
      <w:r>
        <w:rPr>
          <w:rFonts w:hint="eastAsia" w:ascii="仿宋_GB2312" w:hAnsi="仿宋" w:eastAsia="仿宋_GB2312" w:cs="仿宋"/>
          <w:kern w:val="0"/>
          <w:sz w:val="18"/>
          <w:szCs w:val="18"/>
        </w:rPr>
        <w:t>区级城管部门的检测工作开展情况和市政中心随机抽检情况纳入市城市管理工作目标（道桥管理）考核，并进行通报。</w:t>
      </w:r>
    </w:p>
    <w:p w14:paraId="7F7524E4">
      <w:pPr>
        <w:autoSpaceDE w:val="0"/>
        <w:autoSpaceDN w:val="0"/>
        <w:adjustRightInd w:val="0"/>
        <w:ind w:firstLine="361" w:firstLineChars="200"/>
        <w:rPr>
          <w:rFonts w:ascii="仿宋_GB2312" w:hAnsi="仿宋" w:eastAsia="仿宋_GB2312" w:cs="仿宋"/>
          <w:kern w:val="0"/>
          <w:sz w:val="18"/>
          <w:szCs w:val="18"/>
        </w:rPr>
      </w:pPr>
      <w:r>
        <w:rPr>
          <w:rFonts w:hint="eastAsia" w:ascii="仿宋_GB2312" w:hAnsi="仿宋" w:eastAsia="仿宋_GB2312" w:cs="仿宋"/>
          <w:b/>
          <w:kern w:val="0"/>
          <w:sz w:val="18"/>
          <w:szCs w:val="18"/>
        </w:rPr>
        <w:t>3.纳入诚信评价管理</w:t>
      </w:r>
      <w:r>
        <w:rPr>
          <w:rFonts w:hint="eastAsia" w:ascii="仿宋_GB2312" w:hAnsi="仿宋" w:eastAsia="仿宋_GB2312" w:cs="仿宋"/>
          <w:kern w:val="0"/>
          <w:sz w:val="18"/>
          <w:szCs w:val="18"/>
        </w:rPr>
        <w:t>。一是对检测、抽检结果较差的施工单位，应提高其参与的其他工程的检测、抽检频率；造成质量问题的施工、监理及检测责任单位应纳入城管诚信评价管理；对存在质量问题且拒不整改、未按规定时间整改或整改不到位的施工单位，城管部门将抄送建设主管部门予以严肃处理。二是对检测、抽检结果较好的施工单位，可相应降低检测、抽检频率，并抄送建设主管部门予以表扬。</w:t>
      </w:r>
    </w:p>
    <w:p w14:paraId="4B43570C">
      <w:pPr>
        <w:autoSpaceDE w:val="0"/>
        <w:autoSpaceDN w:val="0"/>
        <w:adjustRightInd w:val="0"/>
        <w:rPr>
          <w:rFonts w:ascii="仿宋_GB2312" w:hAnsi="仿宋" w:eastAsia="仿宋_GB2312" w:cs="仿宋"/>
          <w:kern w:val="0"/>
          <w:sz w:val="18"/>
          <w:szCs w:val="18"/>
        </w:rPr>
      </w:pPr>
    </w:p>
    <w:p w14:paraId="5FD6CCE7">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附件：检测项目检测频率</w:t>
      </w:r>
    </w:p>
    <w:p w14:paraId="18B51AD3">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 xml:space="preserve">      检测项目判定标准</w:t>
      </w:r>
    </w:p>
    <w:p w14:paraId="50938F70">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 xml:space="preserve">      抽检项目及抽检频率</w:t>
      </w:r>
    </w:p>
    <w:p w14:paraId="3D1A1C81">
      <w:pPr>
        <w:autoSpaceDE w:val="0"/>
        <w:autoSpaceDN w:val="0"/>
        <w:adjustRightInd w:val="0"/>
        <w:ind w:firstLine="360" w:firstLineChars="200"/>
        <w:rPr>
          <w:rFonts w:ascii="仿宋_GB2312" w:hAnsi="仿宋" w:eastAsia="仿宋_GB2312" w:cs="仿宋"/>
          <w:kern w:val="0"/>
          <w:sz w:val="18"/>
          <w:szCs w:val="18"/>
        </w:rPr>
      </w:pPr>
      <w:r>
        <w:rPr>
          <w:rFonts w:hint="eastAsia" w:ascii="仿宋_GB2312" w:hAnsi="仿宋" w:eastAsia="仿宋_GB2312" w:cs="仿宋"/>
          <w:kern w:val="0"/>
          <w:sz w:val="18"/>
          <w:szCs w:val="18"/>
        </w:rPr>
        <w:t xml:space="preserve">      杭州市市政道路加固(修缮)工程质量抽检报告</w:t>
      </w:r>
    </w:p>
    <w:p w14:paraId="556D4CA9">
      <w:pPr>
        <w:autoSpaceDE w:val="0"/>
        <w:autoSpaceDN w:val="0"/>
        <w:adjustRightInd w:val="0"/>
        <w:spacing w:line="620" w:lineRule="exact"/>
        <w:rPr>
          <w:rFonts w:ascii="黑体" w:hAnsi="黑体" w:eastAsia="黑体" w:cs="仿宋"/>
          <w:kern w:val="0"/>
          <w:sz w:val="32"/>
          <w:szCs w:val="32"/>
        </w:rPr>
      </w:pPr>
    </w:p>
    <w:p w14:paraId="0A486548">
      <w:pPr>
        <w:autoSpaceDE w:val="0"/>
        <w:autoSpaceDN w:val="0"/>
        <w:adjustRightInd w:val="0"/>
        <w:spacing w:afterLines="50" w:line="620" w:lineRule="exact"/>
        <w:rPr>
          <w:rFonts w:ascii="黑体" w:hAnsi="黑体" w:eastAsia="黑体" w:cs="仿宋"/>
          <w:kern w:val="0"/>
          <w:sz w:val="44"/>
          <w:szCs w:val="44"/>
        </w:rPr>
      </w:pPr>
    </w:p>
    <w:p w14:paraId="20D5D830">
      <w:pPr>
        <w:pStyle w:val="42"/>
        <w:rPr>
          <w:rFonts w:ascii="黑体" w:hAnsi="黑体" w:eastAsia="黑体" w:cs="仿宋"/>
          <w:sz w:val="44"/>
          <w:szCs w:val="44"/>
        </w:rPr>
      </w:pPr>
    </w:p>
    <w:p w14:paraId="2454D113">
      <w:pPr>
        <w:rPr>
          <w:rFonts w:ascii="黑体" w:hAnsi="黑体" w:eastAsia="黑体" w:cs="仿宋"/>
          <w:kern w:val="0"/>
          <w:sz w:val="44"/>
          <w:szCs w:val="44"/>
        </w:rPr>
      </w:pPr>
    </w:p>
    <w:p w14:paraId="5C196C88">
      <w:pPr>
        <w:pStyle w:val="42"/>
        <w:rPr>
          <w:rFonts w:ascii="黑体" w:hAnsi="黑体" w:eastAsia="黑体" w:cs="仿宋"/>
          <w:sz w:val="44"/>
          <w:szCs w:val="44"/>
        </w:rPr>
      </w:pPr>
    </w:p>
    <w:p w14:paraId="2EDB55F6">
      <w:pPr>
        <w:rPr>
          <w:rFonts w:ascii="黑体" w:hAnsi="黑体" w:eastAsia="黑体" w:cs="仿宋"/>
          <w:kern w:val="0"/>
          <w:sz w:val="44"/>
          <w:szCs w:val="44"/>
        </w:rPr>
      </w:pPr>
    </w:p>
    <w:p w14:paraId="0E64C502">
      <w:pPr>
        <w:pStyle w:val="42"/>
        <w:rPr>
          <w:rFonts w:ascii="黑体" w:hAnsi="黑体" w:eastAsia="黑体" w:cs="仿宋"/>
          <w:sz w:val="44"/>
          <w:szCs w:val="44"/>
        </w:rPr>
      </w:pPr>
    </w:p>
    <w:p w14:paraId="6BBF0A40">
      <w:pPr>
        <w:rPr>
          <w:rFonts w:ascii="黑体" w:hAnsi="黑体" w:eastAsia="黑体" w:cs="仿宋"/>
          <w:kern w:val="0"/>
          <w:sz w:val="44"/>
          <w:szCs w:val="44"/>
        </w:rPr>
      </w:pPr>
    </w:p>
    <w:p w14:paraId="7D8771FE">
      <w:pPr>
        <w:pStyle w:val="42"/>
      </w:pPr>
    </w:p>
    <w:p w14:paraId="15EE3054">
      <w:pPr>
        <w:autoSpaceDE w:val="0"/>
        <w:autoSpaceDN w:val="0"/>
        <w:adjustRightInd w:val="0"/>
        <w:spacing w:afterLines="50" w:line="620" w:lineRule="exact"/>
        <w:jc w:val="center"/>
        <w:rPr>
          <w:rFonts w:ascii="黑体" w:hAnsi="黑体" w:eastAsia="黑体" w:cs="仿宋"/>
          <w:b/>
          <w:kern w:val="0"/>
          <w:sz w:val="44"/>
          <w:szCs w:val="44"/>
        </w:rPr>
      </w:pPr>
      <w:r>
        <w:rPr>
          <w:rFonts w:hint="eastAsia" w:ascii="黑体" w:hAnsi="黑体" w:eastAsia="黑体" w:cs="仿宋"/>
          <w:kern w:val="0"/>
          <w:sz w:val="44"/>
          <w:szCs w:val="44"/>
        </w:rPr>
        <w:t>检测项目检测频率</w:t>
      </w:r>
    </w:p>
    <w:tbl>
      <w:tblPr>
        <w:tblStyle w:val="62"/>
        <w:tblW w:w="0" w:type="auto"/>
        <w:jc w:val="center"/>
        <w:tblLayout w:type="fixed"/>
        <w:tblCellMar>
          <w:top w:w="0" w:type="dxa"/>
          <w:left w:w="0" w:type="dxa"/>
          <w:bottom w:w="0" w:type="dxa"/>
          <w:right w:w="0" w:type="dxa"/>
        </w:tblCellMar>
      </w:tblPr>
      <w:tblGrid>
        <w:gridCol w:w="600"/>
        <w:gridCol w:w="938"/>
        <w:gridCol w:w="2762"/>
        <w:gridCol w:w="4404"/>
      </w:tblGrid>
      <w:tr w14:paraId="0E3AC39E">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8D7E7B">
            <w:pPr>
              <w:widowControl/>
              <w:spacing w:before="120" w:after="120" w:line="260" w:lineRule="exact"/>
              <w:jc w:val="center"/>
              <w:rPr>
                <w:rFonts w:ascii="仿宋" w:hAnsi="仿宋" w:eastAsia="仿宋"/>
                <w:b/>
                <w:szCs w:val="21"/>
              </w:rPr>
            </w:pPr>
            <w:r>
              <w:rPr>
                <w:rFonts w:hint="eastAsia" w:ascii="仿宋" w:hAnsi="仿宋" w:eastAsia="仿宋"/>
                <w:b/>
                <w:szCs w:val="21"/>
              </w:rPr>
              <w:t>序号</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E2016">
            <w:pPr>
              <w:widowControl/>
              <w:spacing w:before="120" w:after="120" w:line="260" w:lineRule="exact"/>
              <w:jc w:val="center"/>
              <w:rPr>
                <w:rFonts w:ascii="仿宋" w:hAnsi="仿宋" w:eastAsia="仿宋"/>
                <w:b/>
                <w:szCs w:val="21"/>
              </w:rPr>
            </w:pPr>
            <w:r>
              <w:rPr>
                <w:rFonts w:hint="eastAsia" w:ascii="仿宋" w:hAnsi="仿宋" w:eastAsia="仿宋"/>
                <w:b/>
                <w:szCs w:val="21"/>
              </w:rPr>
              <w:t>检测对象</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656608">
            <w:pPr>
              <w:widowControl/>
              <w:spacing w:before="120" w:after="120" w:line="260" w:lineRule="exact"/>
              <w:jc w:val="center"/>
              <w:rPr>
                <w:rFonts w:ascii="仿宋" w:hAnsi="仿宋" w:eastAsia="仿宋"/>
                <w:b/>
                <w:szCs w:val="21"/>
              </w:rPr>
            </w:pPr>
            <w:r>
              <w:rPr>
                <w:rFonts w:hint="eastAsia" w:ascii="仿宋" w:hAnsi="仿宋" w:eastAsia="仿宋"/>
                <w:b/>
                <w:szCs w:val="21"/>
              </w:rPr>
              <w:t>检测项目</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9FAACF">
            <w:pPr>
              <w:widowControl/>
              <w:spacing w:before="120" w:after="120" w:line="260" w:lineRule="exact"/>
              <w:jc w:val="center"/>
              <w:rPr>
                <w:rFonts w:ascii="仿宋" w:hAnsi="仿宋" w:eastAsia="仿宋"/>
                <w:b/>
                <w:szCs w:val="21"/>
              </w:rPr>
            </w:pPr>
            <w:r>
              <w:rPr>
                <w:rFonts w:hint="eastAsia" w:ascii="仿宋" w:hAnsi="仿宋" w:eastAsia="仿宋"/>
                <w:b/>
                <w:szCs w:val="21"/>
              </w:rPr>
              <w:t>检测频率</w:t>
            </w:r>
          </w:p>
        </w:tc>
      </w:tr>
      <w:tr w14:paraId="6B0B8EA8">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39FBB5">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C3F2C">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项目范围</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6958E">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原材料</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9A67A5">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原材料按规格型号批次进行检测1组。</w:t>
            </w:r>
          </w:p>
        </w:tc>
      </w:tr>
      <w:tr w14:paraId="7467F605">
        <w:tblPrEx>
          <w:tblCellMar>
            <w:top w:w="0" w:type="dxa"/>
            <w:left w:w="0" w:type="dxa"/>
            <w:bottom w:w="0" w:type="dxa"/>
            <w:right w:w="0" w:type="dxa"/>
          </w:tblCellMar>
        </w:tblPrEx>
        <w:trPr>
          <w:trHeight w:val="58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0682EB">
            <w:pPr>
              <w:widowControl/>
              <w:spacing w:before="120" w:after="120" w:line="220" w:lineRule="exact"/>
              <w:jc w:val="center"/>
              <w:rPr>
                <w:rFonts w:ascii="仿宋" w:hAnsi="仿宋" w:eastAsia="仿宋"/>
                <w:sz w:val="18"/>
                <w:szCs w:val="18"/>
              </w:rPr>
            </w:pPr>
            <w:r>
              <w:rPr>
                <w:rFonts w:hint="eastAsia" w:ascii="仿宋" w:hAnsi="仿宋" w:eastAsia="仿宋"/>
                <w:sz w:val="18"/>
                <w:szCs w:val="18"/>
              </w:rPr>
              <w:t>2</w:t>
            </w:r>
          </w:p>
        </w:tc>
        <w:tc>
          <w:tcPr>
            <w:tcW w:w="93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092ACDA">
            <w:pPr>
              <w:widowControl/>
              <w:spacing w:before="120" w:after="120" w:line="220" w:lineRule="exact"/>
              <w:jc w:val="center"/>
              <w:rPr>
                <w:rFonts w:ascii="仿宋" w:hAnsi="仿宋" w:eastAsia="仿宋"/>
                <w:sz w:val="18"/>
                <w:szCs w:val="18"/>
              </w:rPr>
            </w:pPr>
            <w:r>
              <w:rPr>
                <w:rFonts w:hint="eastAsia" w:ascii="仿宋" w:hAnsi="仿宋" w:eastAsia="仿宋"/>
                <w:sz w:val="18"/>
                <w:szCs w:val="18"/>
              </w:rPr>
              <w:t>车行道（含非机动车道）</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6FBE36">
            <w:pPr>
              <w:widowControl/>
              <w:spacing w:before="120" w:after="120" w:line="220" w:lineRule="exact"/>
              <w:jc w:val="center"/>
              <w:rPr>
                <w:rFonts w:ascii="仿宋" w:hAnsi="仿宋" w:eastAsia="仿宋"/>
                <w:sz w:val="18"/>
                <w:szCs w:val="18"/>
              </w:rPr>
            </w:pPr>
            <w:r>
              <w:rPr>
                <w:rFonts w:hint="eastAsia" w:ascii="仿宋" w:hAnsi="仿宋" w:eastAsia="仿宋"/>
                <w:sz w:val="18"/>
                <w:szCs w:val="18"/>
              </w:rPr>
              <w:t>★结构层压实度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6DBAF4">
            <w:pPr>
              <w:widowControl/>
              <w:spacing w:line="220" w:lineRule="exact"/>
              <w:jc w:val="center"/>
              <w:rPr>
                <w:rFonts w:ascii="仿宋" w:hAnsi="仿宋" w:eastAsia="仿宋"/>
                <w:sz w:val="18"/>
                <w:szCs w:val="18"/>
              </w:rPr>
            </w:pPr>
            <w:r>
              <w:rPr>
                <w:rFonts w:hint="eastAsia" w:ascii="仿宋" w:hAnsi="仿宋" w:eastAsia="仿宋"/>
                <w:sz w:val="18"/>
                <w:szCs w:val="18"/>
              </w:rPr>
              <w:t>每1000㎡测1点</w:t>
            </w:r>
          </w:p>
          <w:p w14:paraId="093F649C">
            <w:pPr>
              <w:widowControl/>
              <w:spacing w:line="220" w:lineRule="exact"/>
              <w:jc w:val="center"/>
              <w:rPr>
                <w:rFonts w:ascii="仿宋" w:hAnsi="仿宋" w:eastAsia="仿宋"/>
                <w:sz w:val="18"/>
                <w:szCs w:val="18"/>
              </w:rPr>
            </w:pPr>
            <w:r>
              <w:rPr>
                <w:rFonts w:hint="eastAsia" w:ascii="仿宋" w:hAnsi="仿宋" w:eastAsia="仿宋"/>
                <w:sz w:val="18"/>
                <w:szCs w:val="18"/>
              </w:rPr>
              <w:t>（不满1000㎡的按照1000㎡测）。</w:t>
            </w:r>
          </w:p>
        </w:tc>
      </w:tr>
      <w:tr w14:paraId="0F06EC59">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358240">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3</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57DDC5D7">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A11984">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★结构层厚度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1BD5C">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每1000㎡测1点。</w:t>
            </w:r>
          </w:p>
        </w:tc>
      </w:tr>
      <w:tr w14:paraId="7FD13736">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6B5666">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4</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1F6649C6">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BE7E2">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弯沉（面层和基层）</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5A558">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每车道、每20m，测1点。</w:t>
            </w:r>
          </w:p>
        </w:tc>
      </w:tr>
      <w:tr w14:paraId="19285B42">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125BE">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5</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1A5B0B36">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79E43">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面层平整度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B252B">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全路段每车道</w:t>
            </w:r>
          </w:p>
        </w:tc>
      </w:tr>
      <w:tr w14:paraId="1ABB83E2">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C9D3F4">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6</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4E59E593">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AB2BC">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★料石铺砌面层用砂浆抗压强度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9EFAD7">
            <w:pPr>
              <w:widowControl/>
              <w:spacing w:line="300" w:lineRule="exact"/>
              <w:jc w:val="center"/>
              <w:rPr>
                <w:rFonts w:ascii="仿宋" w:hAnsi="仿宋" w:eastAsia="仿宋"/>
                <w:sz w:val="18"/>
                <w:szCs w:val="18"/>
              </w:rPr>
            </w:pPr>
            <w:r>
              <w:rPr>
                <w:rFonts w:hint="eastAsia" w:ascii="仿宋" w:hAnsi="仿宋" w:eastAsia="仿宋"/>
                <w:sz w:val="18"/>
                <w:szCs w:val="18"/>
              </w:rPr>
              <w:t>同一配合比，每1000</w:t>
            </w:r>
            <w:r>
              <w:rPr>
                <w:rFonts w:hint="eastAsia" w:ascii="宋体" w:hAnsi="宋体" w:cs="宋体"/>
                <w:sz w:val="18"/>
                <w:szCs w:val="18"/>
              </w:rPr>
              <w:t>㎡</w:t>
            </w:r>
            <w:r>
              <w:rPr>
                <w:rFonts w:hint="eastAsia" w:ascii="仿宋" w:hAnsi="仿宋" w:eastAsia="仿宋"/>
                <w:sz w:val="18"/>
                <w:szCs w:val="18"/>
              </w:rPr>
              <w:t>1组，（不足1000</w:t>
            </w:r>
            <w:r>
              <w:rPr>
                <w:rFonts w:hint="eastAsia" w:ascii="宋体" w:hAnsi="宋体" w:cs="宋体"/>
                <w:sz w:val="18"/>
                <w:szCs w:val="18"/>
              </w:rPr>
              <w:t>㎡</w:t>
            </w:r>
            <w:r>
              <w:rPr>
                <w:rFonts w:hint="eastAsia" w:ascii="微软雅黑" w:hAnsi="微软雅黑" w:eastAsia="微软雅黑" w:cs="微软雅黑"/>
                <w:sz w:val="18"/>
                <w:szCs w:val="18"/>
              </w:rPr>
              <w:t>取</w:t>
            </w:r>
            <w:r>
              <w:rPr>
                <w:rFonts w:hint="eastAsia" w:ascii="仿宋" w:hAnsi="仿宋" w:eastAsia="仿宋"/>
                <w:sz w:val="18"/>
                <w:szCs w:val="18"/>
              </w:rPr>
              <w:t>1组）</w:t>
            </w:r>
          </w:p>
        </w:tc>
      </w:tr>
      <w:tr w14:paraId="00DF5068">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F5737">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7</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45688713">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72D03F">
            <w:pPr>
              <w:widowControl/>
              <w:spacing w:before="120" w:after="120" w:line="260" w:lineRule="exact"/>
              <w:ind w:left="218" w:leftChars="104"/>
              <w:rPr>
                <w:rFonts w:ascii="仿宋" w:hAnsi="仿宋" w:eastAsia="仿宋"/>
                <w:sz w:val="18"/>
                <w:szCs w:val="18"/>
              </w:rPr>
            </w:pPr>
            <w:r>
              <w:rPr>
                <w:rFonts w:hint="eastAsia" w:ascii="仿宋" w:hAnsi="仿宋" w:eastAsia="仿宋"/>
                <w:sz w:val="18"/>
                <w:szCs w:val="18"/>
              </w:rPr>
              <w:t>料石铺砌面层平整度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50F31">
            <w:pPr>
              <w:widowControl/>
              <w:spacing w:line="300" w:lineRule="exact"/>
              <w:jc w:val="center"/>
              <w:rPr>
                <w:rFonts w:ascii="仿宋" w:hAnsi="仿宋" w:eastAsia="仿宋"/>
                <w:sz w:val="18"/>
                <w:szCs w:val="18"/>
              </w:rPr>
            </w:pPr>
            <w:r>
              <w:rPr>
                <w:rFonts w:hint="eastAsia" w:ascii="仿宋" w:hAnsi="仿宋" w:eastAsia="仿宋"/>
                <w:sz w:val="18"/>
                <w:szCs w:val="18"/>
              </w:rPr>
              <w:t>每20m，测1点</w:t>
            </w:r>
          </w:p>
        </w:tc>
      </w:tr>
      <w:tr w14:paraId="0F25E133">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555AA">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8</w:t>
            </w:r>
          </w:p>
        </w:tc>
        <w:tc>
          <w:tcPr>
            <w:tcW w:w="938" w:type="dxa"/>
            <w:tcBorders>
              <w:left w:val="single" w:color="000000" w:sz="4" w:space="0"/>
              <w:right w:val="single" w:color="000000" w:sz="4" w:space="0"/>
            </w:tcBorders>
            <w:tcMar>
              <w:top w:w="12" w:type="dxa"/>
              <w:left w:w="12" w:type="dxa"/>
              <w:right w:w="12" w:type="dxa"/>
            </w:tcMar>
            <w:vAlign w:val="center"/>
          </w:tcPr>
          <w:p w14:paraId="2B67B46B">
            <w:pPr>
              <w:spacing w:before="120" w:after="120" w:line="26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657FF1">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路面抗滑</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86A57D">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每200米测1点</w:t>
            </w:r>
          </w:p>
        </w:tc>
      </w:tr>
      <w:tr w14:paraId="546E6823">
        <w:tblPrEx>
          <w:tblCellMar>
            <w:top w:w="0" w:type="dxa"/>
            <w:left w:w="0" w:type="dxa"/>
            <w:bottom w:w="0" w:type="dxa"/>
            <w:right w:w="0" w:type="dxa"/>
          </w:tblCellMar>
        </w:tblPrEx>
        <w:trPr>
          <w:trHeight w:val="538"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1FB2AC45">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9</w:t>
            </w:r>
          </w:p>
        </w:tc>
        <w:tc>
          <w:tcPr>
            <w:tcW w:w="938"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763269C1">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人行道</w:t>
            </w: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988D657">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★料石、混凝土预制砌块、沥青混合料铺砌人行道路床与基层压实度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57CDCD">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每100m测2点</w:t>
            </w:r>
          </w:p>
        </w:tc>
      </w:tr>
      <w:tr w14:paraId="38F6EC29">
        <w:tblPrEx>
          <w:tblCellMar>
            <w:top w:w="0" w:type="dxa"/>
            <w:left w:w="0" w:type="dxa"/>
            <w:bottom w:w="0" w:type="dxa"/>
            <w:right w:w="0" w:type="dxa"/>
          </w:tblCellMar>
        </w:tblPrEx>
        <w:trPr>
          <w:trHeight w:val="550"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0BE33D16">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10</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0D98C763">
            <w:pPr>
              <w:widowControl/>
              <w:spacing w:before="120" w:after="120" w:line="20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8B388AA">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★料石、混凝土预制砌块铺砌人行道用砂浆强度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16A6AA">
            <w:pPr>
              <w:widowControl/>
              <w:spacing w:before="120" w:after="120" w:line="200" w:lineRule="exact"/>
              <w:jc w:val="center"/>
              <w:rPr>
                <w:rFonts w:ascii="仿宋" w:hAnsi="仿宋" w:eastAsia="仿宋"/>
                <w:sz w:val="18"/>
                <w:szCs w:val="18"/>
              </w:rPr>
            </w:pPr>
            <w:r>
              <w:rPr>
                <w:rFonts w:hint="eastAsia" w:ascii="仿宋" w:hAnsi="仿宋" w:eastAsia="仿宋"/>
                <w:sz w:val="18"/>
                <w:szCs w:val="18"/>
              </w:rPr>
              <w:t>同一配合比，每1000</w:t>
            </w:r>
            <w:r>
              <w:rPr>
                <w:rFonts w:hint="eastAsia" w:ascii="宋体" w:hAnsi="宋体" w:cs="宋体"/>
                <w:sz w:val="18"/>
                <w:szCs w:val="18"/>
              </w:rPr>
              <w:t>㎡</w:t>
            </w:r>
            <w:r>
              <w:rPr>
                <w:rFonts w:hint="eastAsia" w:ascii="仿宋" w:hAnsi="仿宋" w:eastAsia="仿宋"/>
                <w:sz w:val="18"/>
                <w:szCs w:val="18"/>
              </w:rPr>
              <w:t>1组，（不足1000</w:t>
            </w:r>
            <w:r>
              <w:rPr>
                <w:rFonts w:hint="eastAsia" w:ascii="宋体" w:hAnsi="宋体" w:cs="宋体"/>
                <w:sz w:val="18"/>
                <w:szCs w:val="18"/>
              </w:rPr>
              <w:t>㎡</w:t>
            </w:r>
            <w:r>
              <w:rPr>
                <w:rFonts w:hint="eastAsia" w:ascii="微软雅黑" w:hAnsi="微软雅黑" w:eastAsia="微软雅黑" w:cs="微软雅黑"/>
                <w:sz w:val="18"/>
                <w:szCs w:val="18"/>
              </w:rPr>
              <w:t>取</w:t>
            </w:r>
            <w:r>
              <w:rPr>
                <w:rFonts w:hint="eastAsia" w:ascii="仿宋" w:hAnsi="仿宋" w:eastAsia="仿宋"/>
                <w:sz w:val="18"/>
                <w:szCs w:val="18"/>
              </w:rPr>
              <w:t>1组）</w:t>
            </w:r>
          </w:p>
        </w:tc>
      </w:tr>
      <w:tr w14:paraId="29B3022E">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4AAFBEF">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11</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1BA4DBAD">
            <w:pPr>
              <w:widowControl/>
              <w:spacing w:before="120" w:after="120" w:line="26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B60DDFF">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★料石、混凝土预制砌块强度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980BD1">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按规格型号批次检测1组。</w:t>
            </w:r>
          </w:p>
        </w:tc>
      </w:tr>
      <w:tr w14:paraId="790D1AD2">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64576C3">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12</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4CA9CA28">
            <w:pPr>
              <w:spacing w:before="120" w:after="120" w:line="26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64D19FD">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★料石铺砌人行道外观尺寸</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E84FC3">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按规格型号批次检测1组。</w:t>
            </w:r>
          </w:p>
        </w:tc>
      </w:tr>
      <w:tr w14:paraId="6F9F9C75">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05F75712">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13</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7FFE19D1">
            <w:pPr>
              <w:spacing w:before="120" w:after="120" w:line="26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1E4E9CEC">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925F9C">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每20米测1点。</w:t>
            </w:r>
          </w:p>
        </w:tc>
      </w:tr>
      <w:tr w14:paraId="394ACC5B">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7BB2B43">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14</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240420A8">
            <w:pPr>
              <w:spacing w:before="120" w:after="120" w:line="26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408A8A91">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★沥青混合料铺筑人行道厚度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69CFFD">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每100米测1点。</w:t>
            </w:r>
          </w:p>
        </w:tc>
      </w:tr>
      <w:tr w14:paraId="45BB5AD9">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897366D">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15</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1F7CF2CC">
            <w:pPr>
              <w:spacing w:before="120" w:after="120" w:line="26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42CCD624">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★沥青混合料压实度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F10AE">
            <w:pPr>
              <w:widowControl/>
              <w:spacing w:before="120" w:after="120" w:line="260" w:lineRule="exact"/>
              <w:jc w:val="center"/>
              <w:rPr>
                <w:rFonts w:ascii="仿宋" w:hAnsi="仿宋" w:eastAsia="仿宋"/>
                <w:sz w:val="18"/>
                <w:szCs w:val="18"/>
              </w:rPr>
            </w:pPr>
            <w:r>
              <w:rPr>
                <w:rFonts w:hint="eastAsia" w:ascii="仿宋" w:hAnsi="仿宋" w:eastAsia="仿宋"/>
                <w:sz w:val="18"/>
                <w:szCs w:val="18"/>
              </w:rPr>
              <w:t>每100米测1点。</w:t>
            </w:r>
          </w:p>
        </w:tc>
      </w:tr>
      <w:tr w14:paraId="56ED0CBD">
        <w:tblPrEx>
          <w:tblCellMar>
            <w:top w:w="0" w:type="dxa"/>
            <w:left w:w="0" w:type="dxa"/>
            <w:bottom w:w="0" w:type="dxa"/>
            <w:right w:w="0" w:type="dxa"/>
          </w:tblCellMar>
        </w:tblPrEx>
        <w:trPr>
          <w:trHeight w:val="397" w:hRule="atLeast"/>
          <w:jc w:val="center"/>
        </w:trPr>
        <w:tc>
          <w:tcPr>
            <w:tcW w:w="870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E16E4">
            <w:pPr>
              <w:widowControl/>
              <w:spacing w:before="120" w:after="120" w:line="260" w:lineRule="exact"/>
              <w:jc w:val="left"/>
              <w:rPr>
                <w:rFonts w:ascii="仿宋" w:hAnsi="仿宋" w:eastAsia="仿宋"/>
                <w:sz w:val="18"/>
                <w:szCs w:val="18"/>
              </w:rPr>
            </w:pPr>
            <w:r>
              <w:rPr>
                <w:rFonts w:hint="eastAsia" w:ascii="仿宋" w:hAnsi="仿宋" w:eastAsia="仿宋"/>
                <w:sz w:val="18"/>
                <w:szCs w:val="18"/>
              </w:rPr>
              <w:t xml:space="preserve"> 注：带★为主控项目，其余为一般项目。</w:t>
            </w:r>
          </w:p>
        </w:tc>
      </w:tr>
    </w:tbl>
    <w:p w14:paraId="457FC62D">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rPr>
      </w:pPr>
    </w:p>
    <w:p w14:paraId="4E388F4B">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rPr>
      </w:pPr>
    </w:p>
    <w:p w14:paraId="0B6486E4">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rPr>
      </w:pPr>
    </w:p>
    <w:p w14:paraId="63D5916A">
      <w:pPr>
        <w:autoSpaceDE w:val="0"/>
        <w:autoSpaceDN w:val="0"/>
        <w:adjustRightInd w:val="0"/>
        <w:spacing w:afterLines="50" w:line="620" w:lineRule="exact"/>
        <w:jc w:val="center"/>
        <w:rPr>
          <w:rFonts w:ascii="黑体" w:hAnsi="黑体" w:eastAsia="黑体" w:cs="仿宋"/>
          <w:kern w:val="0"/>
          <w:sz w:val="44"/>
          <w:szCs w:val="44"/>
        </w:rPr>
      </w:pPr>
    </w:p>
    <w:p w14:paraId="3405ED4A">
      <w:pPr>
        <w:autoSpaceDE w:val="0"/>
        <w:autoSpaceDN w:val="0"/>
        <w:adjustRightInd w:val="0"/>
        <w:spacing w:afterLines="50" w:line="620" w:lineRule="exact"/>
        <w:jc w:val="center"/>
        <w:rPr>
          <w:rFonts w:ascii="黑体" w:hAnsi="黑体" w:eastAsia="黑体" w:cs="仿宋"/>
          <w:b/>
          <w:kern w:val="0"/>
          <w:sz w:val="44"/>
          <w:szCs w:val="44"/>
        </w:rPr>
      </w:pPr>
      <w:r>
        <w:rPr>
          <w:rFonts w:hint="eastAsia" w:ascii="黑体" w:hAnsi="黑体" w:eastAsia="黑体" w:cs="仿宋"/>
          <w:kern w:val="0"/>
          <w:sz w:val="44"/>
          <w:szCs w:val="44"/>
        </w:rPr>
        <w:t>检测项目判定标准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5"/>
        <w:gridCol w:w="2997"/>
        <w:gridCol w:w="3886"/>
      </w:tblGrid>
      <w:tr w14:paraId="0DF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766" w:type="dxa"/>
            <w:vAlign w:val="center"/>
          </w:tcPr>
          <w:p w14:paraId="0FE38443">
            <w:pPr>
              <w:spacing w:before="120" w:after="120" w:line="260" w:lineRule="exact"/>
              <w:jc w:val="center"/>
              <w:rPr>
                <w:rFonts w:ascii="仿宋" w:hAnsi="仿宋" w:eastAsia="仿宋"/>
                <w:b/>
                <w:szCs w:val="21"/>
              </w:rPr>
            </w:pPr>
            <w:r>
              <w:rPr>
                <w:rFonts w:hint="eastAsia" w:ascii="仿宋" w:hAnsi="仿宋" w:eastAsia="仿宋"/>
                <w:b/>
                <w:szCs w:val="21"/>
              </w:rPr>
              <w:t>序号</w:t>
            </w:r>
          </w:p>
        </w:tc>
        <w:tc>
          <w:tcPr>
            <w:tcW w:w="1105" w:type="dxa"/>
            <w:vAlign w:val="center"/>
          </w:tcPr>
          <w:p w14:paraId="74C9D716">
            <w:pPr>
              <w:widowControl/>
              <w:spacing w:before="120" w:after="120" w:line="260" w:lineRule="exact"/>
              <w:jc w:val="center"/>
              <w:rPr>
                <w:rFonts w:ascii="仿宋" w:hAnsi="仿宋" w:eastAsia="仿宋"/>
                <w:b/>
                <w:szCs w:val="21"/>
              </w:rPr>
            </w:pPr>
            <w:r>
              <w:rPr>
                <w:rFonts w:hint="eastAsia" w:ascii="仿宋" w:hAnsi="仿宋" w:eastAsia="仿宋"/>
                <w:b/>
                <w:szCs w:val="21"/>
              </w:rPr>
              <w:t>检测对象</w:t>
            </w:r>
          </w:p>
        </w:tc>
        <w:tc>
          <w:tcPr>
            <w:tcW w:w="2997" w:type="dxa"/>
            <w:vAlign w:val="center"/>
          </w:tcPr>
          <w:p w14:paraId="23DD6DF3">
            <w:pPr>
              <w:spacing w:before="120" w:after="120" w:line="260" w:lineRule="exact"/>
              <w:jc w:val="center"/>
              <w:rPr>
                <w:rFonts w:ascii="仿宋" w:hAnsi="仿宋" w:eastAsia="仿宋"/>
                <w:b/>
                <w:szCs w:val="21"/>
              </w:rPr>
            </w:pPr>
            <w:r>
              <w:rPr>
                <w:rFonts w:hint="eastAsia" w:ascii="仿宋" w:hAnsi="仿宋" w:eastAsia="仿宋"/>
                <w:b/>
                <w:szCs w:val="21"/>
              </w:rPr>
              <w:t>项目名称</w:t>
            </w:r>
          </w:p>
        </w:tc>
        <w:tc>
          <w:tcPr>
            <w:tcW w:w="3886" w:type="dxa"/>
            <w:vAlign w:val="center"/>
          </w:tcPr>
          <w:p w14:paraId="4C1519A5">
            <w:pPr>
              <w:spacing w:before="120" w:after="120" w:line="260" w:lineRule="exact"/>
              <w:jc w:val="center"/>
              <w:rPr>
                <w:rFonts w:ascii="仿宋" w:hAnsi="仿宋" w:eastAsia="仿宋"/>
                <w:b/>
                <w:szCs w:val="21"/>
              </w:rPr>
            </w:pPr>
            <w:r>
              <w:rPr>
                <w:rFonts w:hint="eastAsia" w:ascii="仿宋" w:hAnsi="仿宋" w:eastAsia="仿宋"/>
                <w:b/>
                <w:szCs w:val="21"/>
              </w:rPr>
              <w:t>判定标准</w:t>
            </w:r>
          </w:p>
        </w:tc>
      </w:tr>
      <w:tr w14:paraId="7B62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4471827A">
            <w:pPr>
              <w:spacing w:line="260" w:lineRule="exact"/>
              <w:jc w:val="center"/>
              <w:rPr>
                <w:rFonts w:ascii="仿宋" w:hAnsi="仿宋" w:eastAsia="仿宋"/>
                <w:sz w:val="18"/>
                <w:szCs w:val="18"/>
              </w:rPr>
            </w:pPr>
            <w:r>
              <w:rPr>
                <w:rFonts w:ascii="仿宋" w:hAnsi="仿宋" w:eastAsia="仿宋"/>
                <w:sz w:val="18"/>
                <w:szCs w:val="18"/>
              </w:rPr>
              <w:t>1</w:t>
            </w:r>
          </w:p>
        </w:tc>
        <w:tc>
          <w:tcPr>
            <w:tcW w:w="1105" w:type="dxa"/>
            <w:vAlign w:val="center"/>
          </w:tcPr>
          <w:p w14:paraId="16EF1813">
            <w:pPr>
              <w:widowControl/>
              <w:spacing w:line="260" w:lineRule="exact"/>
              <w:jc w:val="center"/>
              <w:rPr>
                <w:rFonts w:ascii="仿宋" w:hAnsi="仿宋" w:eastAsia="仿宋"/>
                <w:sz w:val="18"/>
                <w:szCs w:val="18"/>
              </w:rPr>
            </w:pPr>
            <w:r>
              <w:rPr>
                <w:rFonts w:hint="eastAsia" w:ascii="仿宋" w:hAnsi="仿宋" w:eastAsia="仿宋"/>
                <w:sz w:val="18"/>
                <w:szCs w:val="18"/>
              </w:rPr>
              <w:t>项目范围</w:t>
            </w:r>
          </w:p>
        </w:tc>
        <w:tc>
          <w:tcPr>
            <w:tcW w:w="2997" w:type="dxa"/>
            <w:vAlign w:val="center"/>
          </w:tcPr>
          <w:p w14:paraId="09D30AB2">
            <w:pPr>
              <w:widowControl/>
              <w:spacing w:line="260" w:lineRule="exact"/>
              <w:jc w:val="center"/>
              <w:rPr>
                <w:rFonts w:ascii="仿宋" w:hAnsi="仿宋" w:eastAsia="仿宋"/>
                <w:sz w:val="18"/>
                <w:szCs w:val="18"/>
              </w:rPr>
            </w:pPr>
            <w:r>
              <w:rPr>
                <w:rFonts w:hint="eastAsia" w:ascii="仿宋" w:hAnsi="仿宋" w:eastAsia="仿宋"/>
                <w:sz w:val="18"/>
                <w:szCs w:val="18"/>
              </w:rPr>
              <w:t>原材料</w:t>
            </w:r>
          </w:p>
        </w:tc>
        <w:tc>
          <w:tcPr>
            <w:tcW w:w="3886" w:type="dxa"/>
            <w:vAlign w:val="center"/>
          </w:tcPr>
          <w:p w14:paraId="5DE099DC">
            <w:pPr>
              <w:widowControl/>
              <w:spacing w:line="260" w:lineRule="exact"/>
              <w:jc w:val="center"/>
              <w:rPr>
                <w:rFonts w:ascii="仿宋" w:hAnsi="仿宋" w:eastAsia="仿宋"/>
                <w:sz w:val="18"/>
                <w:szCs w:val="18"/>
              </w:rPr>
            </w:pPr>
            <w:r>
              <w:rPr>
                <w:rFonts w:hint="eastAsia" w:ascii="仿宋" w:hAnsi="仿宋" w:eastAsia="仿宋"/>
                <w:sz w:val="18"/>
                <w:szCs w:val="18"/>
              </w:rPr>
              <w:t>符合设计规定</w:t>
            </w:r>
          </w:p>
        </w:tc>
      </w:tr>
      <w:tr w14:paraId="662E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jc w:val="center"/>
        </w:trPr>
        <w:tc>
          <w:tcPr>
            <w:tcW w:w="766" w:type="dxa"/>
            <w:vAlign w:val="center"/>
          </w:tcPr>
          <w:p w14:paraId="13AB002D">
            <w:pPr>
              <w:spacing w:line="260" w:lineRule="exact"/>
              <w:ind w:left="-328" w:leftChars="-156" w:firstLine="280" w:firstLineChars="156"/>
              <w:jc w:val="center"/>
              <w:rPr>
                <w:rFonts w:ascii="仿宋" w:hAnsi="仿宋" w:eastAsia="仿宋"/>
                <w:sz w:val="18"/>
                <w:szCs w:val="18"/>
              </w:rPr>
            </w:pPr>
            <w:r>
              <w:rPr>
                <w:rFonts w:hint="eastAsia" w:ascii="仿宋" w:hAnsi="仿宋" w:eastAsia="仿宋"/>
                <w:sz w:val="18"/>
                <w:szCs w:val="18"/>
              </w:rPr>
              <w:t>2</w:t>
            </w:r>
          </w:p>
        </w:tc>
        <w:tc>
          <w:tcPr>
            <w:tcW w:w="1105" w:type="dxa"/>
            <w:vMerge w:val="restart"/>
            <w:vAlign w:val="center"/>
          </w:tcPr>
          <w:p w14:paraId="177EA792">
            <w:pPr>
              <w:widowControl/>
              <w:spacing w:line="260" w:lineRule="exact"/>
              <w:jc w:val="center"/>
              <w:rPr>
                <w:rFonts w:ascii="仿宋" w:hAnsi="仿宋" w:eastAsia="仿宋"/>
                <w:sz w:val="18"/>
                <w:szCs w:val="18"/>
              </w:rPr>
            </w:pPr>
            <w:r>
              <w:rPr>
                <w:rFonts w:hint="eastAsia" w:ascii="仿宋" w:hAnsi="仿宋" w:eastAsia="仿宋"/>
                <w:sz w:val="18"/>
                <w:szCs w:val="18"/>
              </w:rPr>
              <w:t>车行道（含非机动车道）</w:t>
            </w:r>
          </w:p>
        </w:tc>
        <w:tc>
          <w:tcPr>
            <w:tcW w:w="2997" w:type="dxa"/>
            <w:vAlign w:val="center"/>
          </w:tcPr>
          <w:p w14:paraId="0C8855A2">
            <w:pPr>
              <w:widowControl/>
              <w:spacing w:line="260" w:lineRule="exact"/>
              <w:jc w:val="center"/>
              <w:rPr>
                <w:rFonts w:ascii="仿宋" w:hAnsi="仿宋" w:eastAsia="仿宋"/>
                <w:sz w:val="18"/>
                <w:szCs w:val="18"/>
              </w:rPr>
            </w:pPr>
            <w:r>
              <w:rPr>
                <w:rFonts w:hint="eastAsia" w:ascii="仿宋" w:hAnsi="仿宋" w:eastAsia="仿宋"/>
                <w:sz w:val="18"/>
                <w:szCs w:val="18"/>
              </w:rPr>
              <w:t>★结构层压实度</w:t>
            </w:r>
          </w:p>
        </w:tc>
        <w:tc>
          <w:tcPr>
            <w:tcW w:w="3886" w:type="dxa"/>
            <w:vAlign w:val="center"/>
          </w:tcPr>
          <w:p w14:paraId="71F848E8">
            <w:pPr>
              <w:widowControl/>
              <w:spacing w:line="240" w:lineRule="exact"/>
              <w:jc w:val="left"/>
              <w:rPr>
                <w:rFonts w:ascii="仿宋" w:hAnsi="仿宋" w:eastAsia="仿宋"/>
                <w:sz w:val="18"/>
                <w:szCs w:val="18"/>
              </w:rPr>
            </w:pPr>
            <w:r>
              <w:rPr>
                <w:rFonts w:hint="eastAsia" w:ascii="仿宋" w:hAnsi="仿宋" w:eastAsia="仿宋"/>
                <w:sz w:val="18"/>
                <w:szCs w:val="18"/>
              </w:rPr>
              <w:t>基层：</w:t>
            </w:r>
          </w:p>
          <w:p w14:paraId="6C1E0B9D">
            <w:pPr>
              <w:widowControl/>
              <w:numPr>
                <w:ilvl w:val="0"/>
                <w:numId w:val="3"/>
              </w:numPr>
              <w:spacing w:line="240" w:lineRule="exact"/>
              <w:jc w:val="left"/>
              <w:rPr>
                <w:rFonts w:ascii="仿宋" w:hAnsi="仿宋" w:eastAsia="仿宋"/>
                <w:sz w:val="18"/>
                <w:szCs w:val="18"/>
              </w:rPr>
            </w:pPr>
            <w:r>
              <w:rPr>
                <w:rFonts w:hint="eastAsia" w:ascii="仿宋" w:hAnsi="仿宋" w:eastAsia="仿宋"/>
                <w:sz w:val="18"/>
                <w:szCs w:val="18"/>
              </w:rPr>
              <w:t>石灰稳定土类、水泥稳定土类基层及底基层：城市快速路、主干路基层大于或等于97%，底基层大于或等于95%；其他等级道路基层大于或等于95%，底基层大于或等于93%；</w:t>
            </w:r>
          </w:p>
          <w:p w14:paraId="114E3E9A">
            <w:pPr>
              <w:widowControl/>
              <w:numPr>
                <w:ilvl w:val="0"/>
                <w:numId w:val="3"/>
              </w:numPr>
              <w:spacing w:line="240" w:lineRule="exact"/>
              <w:jc w:val="left"/>
              <w:rPr>
                <w:rFonts w:ascii="仿宋" w:hAnsi="仿宋" w:eastAsia="仿宋"/>
                <w:sz w:val="18"/>
                <w:szCs w:val="18"/>
              </w:rPr>
            </w:pPr>
            <w:r>
              <w:rPr>
                <w:rFonts w:hint="eastAsia" w:ascii="仿宋" w:hAnsi="仿宋" w:eastAsia="仿宋"/>
                <w:sz w:val="18"/>
                <w:szCs w:val="18"/>
              </w:rPr>
              <w:t>级配砂砾石（碎石）及级配砾石（砂碎石）基层和底基层：基层压实度大于等于97%，底基层压实度大于等于95%；</w:t>
            </w:r>
          </w:p>
          <w:p w14:paraId="25D066C7">
            <w:pPr>
              <w:widowControl/>
              <w:numPr>
                <w:ilvl w:val="0"/>
                <w:numId w:val="3"/>
              </w:numPr>
              <w:spacing w:line="240" w:lineRule="exact"/>
              <w:jc w:val="left"/>
              <w:rPr>
                <w:rFonts w:ascii="仿宋" w:hAnsi="仿宋" w:eastAsia="仿宋"/>
                <w:sz w:val="18"/>
                <w:szCs w:val="18"/>
              </w:rPr>
            </w:pPr>
            <w:r>
              <w:rPr>
                <w:rFonts w:hint="eastAsia" w:ascii="仿宋" w:hAnsi="仿宋" w:eastAsia="仿宋"/>
                <w:sz w:val="18"/>
                <w:szCs w:val="18"/>
              </w:rPr>
              <w:t>沥青混合料（沥青碎石）、沥青贯入式基层压实度不应小于95%。</w:t>
            </w:r>
          </w:p>
          <w:p w14:paraId="3278C38C">
            <w:pPr>
              <w:widowControl/>
              <w:spacing w:line="240" w:lineRule="exact"/>
              <w:jc w:val="left"/>
              <w:rPr>
                <w:rFonts w:ascii="仿宋" w:hAnsi="仿宋" w:eastAsia="仿宋"/>
                <w:sz w:val="18"/>
                <w:szCs w:val="18"/>
              </w:rPr>
            </w:pPr>
            <w:r>
              <w:rPr>
                <w:rFonts w:hint="eastAsia" w:ascii="仿宋" w:hAnsi="仿宋" w:eastAsia="仿宋"/>
                <w:sz w:val="18"/>
                <w:szCs w:val="18"/>
              </w:rPr>
              <w:t>面层：</w:t>
            </w:r>
          </w:p>
          <w:p w14:paraId="133FDDDC">
            <w:pPr>
              <w:widowControl/>
              <w:spacing w:line="240" w:lineRule="exact"/>
              <w:jc w:val="left"/>
              <w:rPr>
                <w:rFonts w:ascii="仿宋" w:hAnsi="仿宋" w:eastAsia="仿宋"/>
                <w:sz w:val="18"/>
                <w:szCs w:val="18"/>
              </w:rPr>
            </w:pPr>
            <w:r>
              <w:rPr>
                <w:rFonts w:hint="eastAsia" w:ascii="仿宋" w:hAnsi="仿宋" w:eastAsia="仿宋"/>
                <w:sz w:val="18"/>
                <w:szCs w:val="18"/>
              </w:rPr>
              <w:t>1、热拌沥青混合料面层压实度：城市快速路、主干路不应小于96%；次干路及以下道路不应小于95%。</w:t>
            </w:r>
          </w:p>
          <w:p w14:paraId="7A05C631">
            <w:pPr>
              <w:widowControl/>
              <w:spacing w:line="240" w:lineRule="exact"/>
              <w:jc w:val="left"/>
              <w:rPr>
                <w:rFonts w:ascii="仿宋" w:hAnsi="仿宋" w:eastAsia="仿宋"/>
                <w:sz w:val="18"/>
                <w:szCs w:val="18"/>
              </w:rPr>
            </w:pPr>
            <w:r>
              <w:rPr>
                <w:rFonts w:hint="eastAsia" w:ascii="仿宋" w:hAnsi="仿宋" w:eastAsia="仿宋"/>
                <w:sz w:val="18"/>
                <w:szCs w:val="18"/>
              </w:rPr>
              <w:t>2、冷拌沥青混合料面层压实度不应小于95%。</w:t>
            </w:r>
          </w:p>
        </w:tc>
      </w:tr>
      <w:tr w14:paraId="20D2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8" w:hRule="atLeast"/>
          <w:jc w:val="center"/>
        </w:trPr>
        <w:tc>
          <w:tcPr>
            <w:tcW w:w="766" w:type="dxa"/>
            <w:vAlign w:val="center"/>
          </w:tcPr>
          <w:p w14:paraId="12C57A49">
            <w:pPr>
              <w:spacing w:line="260" w:lineRule="exact"/>
              <w:jc w:val="center"/>
              <w:rPr>
                <w:rFonts w:ascii="仿宋" w:hAnsi="仿宋" w:eastAsia="仿宋"/>
                <w:sz w:val="18"/>
                <w:szCs w:val="18"/>
              </w:rPr>
            </w:pPr>
            <w:r>
              <w:rPr>
                <w:rFonts w:hint="eastAsia" w:ascii="仿宋" w:hAnsi="仿宋" w:eastAsia="仿宋"/>
                <w:sz w:val="18"/>
                <w:szCs w:val="18"/>
              </w:rPr>
              <w:t>3</w:t>
            </w:r>
          </w:p>
        </w:tc>
        <w:tc>
          <w:tcPr>
            <w:tcW w:w="1105" w:type="dxa"/>
            <w:vMerge w:val="continue"/>
            <w:vAlign w:val="center"/>
          </w:tcPr>
          <w:p w14:paraId="42D7540B">
            <w:pPr>
              <w:widowControl/>
              <w:spacing w:line="260" w:lineRule="exact"/>
              <w:jc w:val="center"/>
              <w:rPr>
                <w:rFonts w:ascii="仿宋" w:hAnsi="仿宋" w:eastAsia="仿宋"/>
                <w:sz w:val="18"/>
                <w:szCs w:val="18"/>
              </w:rPr>
            </w:pPr>
          </w:p>
        </w:tc>
        <w:tc>
          <w:tcPr>
            <w:tcW w:w="2997" w:type="dxa"/>
            <w:vAlign w:val="center"/>
          </w:tcPr>
          <w:p w14:paraId="17694BB5">
            <w:pPr>
              <w:widowControl/>
              <w:spacing w:line="260" w:lineRule="exact"/>
              <w:jc w:val="center"/>
              <w:rPr>
                <w:rFonts w:ascii="仿宋" w:hAnsi="仿宋" w:eastAsia="仿宋"/>
                <w:sz w:val="18"/>
                <w:szCs w:val="18"/>
              </w:rPr>
            </w:pPr>
            <w:r>
              <w:rPr>
                <w:rFonts w:hint="eastAsia" w:ascii="仿宋" w:hAnsi="仿宋" w:eastAsia="仿宋"/>
                <w:sz w:val="18"/>
                <w:szCs w:val="18"/>
              </w:rPr>
              <w:t>★结构层厚度</w:t>
            </w:r>
          </w:p>
        </w:tc>
        <w:tc>
          <w:tcPr>
            <w:tcW w:w="3886" w:type="dxa"/>
            <w:vAlign w:val="center"/>
          </w:tcPr>
          <w:p w14:paraId="59F4F210">
            <w:pPr>
              <w:widowControl/>
              <w:numPr>
                <w:ilvl w:val="0"/>
                <w:numId w:val="4"/>
              </w:numPr>
              <w:spacing w:line="260" w:lineRule="exact"/>
              <w:jc w:val="left"/>
              <w:rPr>
                <w:rFonts w:ascii="仿宋" w:hAnsi="仿宋" w:eastAsia="仿宋"/>
                <w:sz w:val="18"/>
                <w:szCs w:val="18"/>
              </w:rPr>
            </w:pPr>
            <w:r>
              <w:rPr>
                <w:rFonts w:hint="eastAsia" w:ascii="仿宋" w:hAnsi="仿宋" w:eastAsia="仿宋"/>
                <w:sz w:val="18"/>
                <w:szCs w:val="18"/>
              </w:rPr>
              <w:t>符合设计规定；</w:t>
            </w:r>
          </w:p>
          <w:p w14:paraId="4E5E3390">
            <w:pPr>
              <w:widowControl/>
              <w:numPr>
                <w:ilvl w:val="0"/>
                <w:numId w:val="4"/>
              </w:numPr>
              <w:spacing w:line="260" w:lineRule="exact"/>
              <w:jc w:val="left"/>
              <w:rPr>
                <w:rFonts w:ascii="仿宋" w:hAnsi="仿宋" w:eastAsia="仿宋"/>
                <w:sz w:val="18"/>
                <w:szCs w:val="18"/>
              </w:rPr>
            </w:pPr>
            <w:r>
              <w:rPr>
                <w:rFonts w:hint="eastAsia" w:ascii="仿宋" w:hAnsi="仿宋" w:eastAsia="仿宋"/>
                <w:sz w:val="18"/>
                <w:szCs w:val="18"/>
              </w:rPr>
              <w:t>基层厚度允许偏差：</w:t>
            </w:r>
          </w:p>
          <w:p w14:paraId="71FBE383">
            <w:pPr>
              <w:widowControl/>
              <w:spacing w:line="260" w:lineRule="exact"/>
              <w:jc w:val="left"/>
              <w:rPr>
                <w:rFonts w:ascii="仿宋" w:hAnsi="仿宋" w:eastAsia="仿宋"/>
                <w:sz w:val="18"/>
                <w:szCs w:val="18"/>
              </w:rPr>
            </w:pPr>
            <w:r>
              <w:rPr>
                <w:rFonts w:hint="eastAsia" w:ascii="仿宋" w:hAnsi="仿宋" w:eastAsia="仿宋"/>
                <w:sz w:val="18"/>
                <w:szCs w:val="18"/>
              </w:rPr>
              <w:t>a石灰稳定土类、水泥稳定土类基层及底基层：允许偏差为±10mm；</w:t>
            </w:r>
          </w:p>
          <w:p w14:paraId="66C61DB5">
            <w:pPr>
              <w:widowControl/>
              <w:spacing w:line="260" w:lineRule="exact"/>
              <w:jc w:val="left"/>
              <w:rPr>
                <w:rFonts w:ascii="仿宋" w:hAnsi="仿宋" w:eastAsia="仿宋"/>
                <w:sz w:val="18"/>
                <w:szCs w:val="18"/>
              </w:rPr>
            </w:pPr>
            <w:r>
              <w:rPr>
                <w:rFonts w:hint="eastAsia" w:ascii="仿宋" w:hAnsi="仿宋" w:eastAsia="仿宋"/>
                <w:sz w:val="18"/>
                <w:szCs w:val="18"/>
              </w:rPr>
              <w:t>b级配砂砾石（碎石）及级配砾石（砂碎石）基层和底基层：砂石，允许偏差为+20— -10mm，砾石，允许偏差为+20mm— -10%层厚；</w:t>
            </w:r>
          </w:p>
          <w:p w14:paraId="178DB15B">
            <w:pPr>
              <w:widowControl/>
              <w:spacing w:line="260" w:lineRule="exact"/>
              <w:jc w:val="left"/>
              <w:rPr>
                <w:rFonts w:ascii="仿宋" w:hAnsi="仿宋" w:eastAsia="仿宋"/>
                <w:sz w:val="18"/>
                <w:szCs w:val="18"/>
              </w:rPr>
            </w:pPr>
            <w:r>
              <w:rPr>
                <w:rFonts w:hint="eastAsia" w:ascii="仿宋" w:hAnsi="仿宋" w:eastAsia="仿宋"/>
                <w:sz w:val="18"/>
                <w:szCs w:val="18"/>
              </w:rPr>
              <w:t>c沥青混合料（沥青碎石）基层：允许偏差为±10mm；沥青贯入式基层：允许偏差为+20mm— -10%层厚。</w:t>
            </w:r>
          </w:p>
          <w:p w14:paraId="2F81DEB1">
            <w:pPr>
              <w:widowControl/>
              <w:numPr>
                <w:ilvl w:val="0"/>
                <w:numId w:val="4"/>
              </w:numPr>
              <w:spacing w:line="260" w:lineRule="exact"/>
              <w:jc w:val="left"/>
              <w:rPr>
                <w:rFonts w:ascii="仿宋" w:hAnsi="仿宋" w:eastAsia="仿宋"/>
                <w:sz w:val="18"/>
                <w:szCs w:val="18"/>
              </w:rPr>
            </w:pPr>
            <w:r>
              <w:rPr>
                <w:rFonts w:hint="eastAsia" w:ascii="仿宋" w:hAnsi="仿宋" w:eastAsia="仿宋"/>
                <w:sz w:val="18"/>
                <w:szCs w:val="18"/>
              </w:rPr>
              <w:t>面层厚度允许偏差：</w:t>
            </w:r>
          </w:p>
          <w:p w14:paraId="6600770E">
            <w:pPr>
              <w:widowControl/>
              <w:spacing w:line="260" w:lineRule="exact"/>
              <w:jc w:val="left"/>
              <w:rPr>
                <w:rFonts w:ascii="仿宋" w:hAnsi="仿宋" w:eastAsia="仿宋"/>
                <w:sz w:val="18"/>
                <w:szCs w:val="18"/>
              </w:rPr>
            </w:pPr>
            <w:r>
              <w:rPr>
                <w:rFonts w:hint="eastAsia" w:ascii="仿宋" w:hAnsi="仿宋" w:eastAsia="仿宋"/>
                <w:sz w:val="18"/>
                <w:szCs w:val="18"/>
              </w:rPr>
              <w:t>a热拌沥青混合料面层：允许偏差为+10— -5mm；</w:t>
            </w:r>
          </w:p>
          <w:p w14:paraId="5C2E6462">
            <w:pPr>
              <w:widowControl/>
              <w:spacing w:line="260" w:lineRule="exact"/>
              <w:jc w:val="left"/>
              <w:rPr>
                <w:rFonts w:ascii="仿宋" w:hAnsi="仿宋" w:eastAsia="仿宋"/>
                <w:sz w:val="18"/>
                <w:szCs w:val="18"/>
              </w:rPr>
            </w:pPr>
            <w:r>
              <w:rPr>
                <w:rFonts w:hint="eastAsia" w:ascii="仿宋" w:hAnsi="仿宋" w:eastAsia="仿宋"/>
                <w:sz w:val="18"/>
                <w:szCs w:val="18"/>
              </w:rPr>
              <w:t>b冷拌沥青混合料面层：允许偏差为+15— -5mm。</w:t>
            </w:r>
          </w:p>
        </w:tc>
      </w:tr>
      <w:tr w14:paraId="39D4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66" w:type="dxa"/>
            <w:vAlign w:val="center"/>
          </w:tcPr>
          <w:p w14:paraId="790AB70E">
            <w:pPr>
              <w:spacing w:line="260" w:lineRule="exact"/>
              <w:jc w:val="center"/>
              <w:rPr>
                <w:rFonts w:ascii="仿宋" w:hAnsi="仿宋" w:eastAsia="仿宋"/>
                <w:sz w:val="18"/>
                <w:szCs w:val="18"/>
              </w:rPr>
            </w:pPr>
            <w:r>
              <w:rPr>
                <w:rFonts w:hint="eastAsia" w:ascii="仿宋" w:hAnsi="仿宋" w:eastAsia="仿宋"/>
                <w:sz w:val="18"/>
                <w:szCs w:val="18"/>
              </w:rPr>
              <w:t>4</w:t>
            </w:r>
          </w:p>
        </w:tc>
        <w:tc>
          <w:tcPr>
            <w:tcW w:w="1105" w:type="dxa"/>
            <w:vMerge w:val="continue"/>
            <w:vAlign w:val="center"/>
          </w:tcPr>
          <w:p w14:paraId="11A568B1">
            <w:pPr>
              <w:spacing w:line="260" w:lineRule="exact"/>
              <w:jc w:val="center"/>
              <w:rPr>
                <w:rFonts w:ascii="仿宋" w:hAnsi="仿宋" w:eastAsia="仿宋"/>
                <w:sz w:val="18"/>
                <w:szCs w:val="18"/>
              </w:rPr>
            </w:pPr>
          </w:p>
        </w:tc>
        <w:tc>
          <w:tcPr>
            <w:tcW w:w="2997" w:type="dxa"/>
            <w:vAlign w:val="center"/>
          </w:tcPr>
          <w:p w14:paraId="2D5C5AEC">
            <w:pPr>
              <w:widowControl/>
              <w:spacing w:line="260" w:lineRule="exact"/>
              <w:jc w:val="center"/>
              <w:rPr>
                <w:rFonts w:ascii="仿宋" w:hAnsi="仿宋" w:eastAsia="仿宋"/>
                <w:sz w:val="18"/>
                <w:szCs w:val="18"/>
              </w:rPr>
            </w:pPr>
            <w:r>
              <w:rPr>
                <w:rFonts w:hint="eastAsia" w:ascii="仿宋" w:hAnsi="仿宋" w:eastAsia="仿宋"/>
                <w:sz w:val="18"/>
                <w:szCs w:val="18"/>
              </w:rPr>
              <w:t>弯沉（面层和基层）</w:t>
            </w:r>
          </w:p>
        </w:tc>
        <w:tc>
          <w:tcPr>
            <w:tcW w:w="3886" w:type="dxa"/>
            <w:vAlign w:val="center"/>
          </w:tcPr>
          <w:p w14:paraId="743B18FC">
            <w:pPr>
              <w:widowControl/>
              <w:spacing w:line="260" w:lineRule="exact"/>
              <w:jc w:val="left"/>
              <w:rPr>
                <w:rFonts w:ascii="仿宋" w:hAnsi="仿宋" w:eastAsia="仿宋"/>
                <w:sz w:val="18"/>
                <w:szCs w:val="18"/>
              </w:rPr>
            </w:pPr>
            <w:r>
              <w:rPr>
                <w:rFonts w:hint="eastAsia" w:ascii="仿宋" w:hAnsi="仿宋" w:eastAsia="仿宋"/>
                <w:sz w:val="18"/>
                <w:szCs w:val="18"/>
              </w:rPr>
              <w:t>1、不应小于设计规定</w:t>
            </w:r>
          </w:p>
        </w:tc>
      </w:tr>
      <w:tr w14:paraId="5F0D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66" w:type="dxa"/>
            <w:vAlign w:val="center"/>
          </w:tcPr>
          <w:p w14:paraId="7988CB3F">
            <w:pPr>
              <w:spacing w:line="260" w:lineRule="exact"/>
              <w:jc w:val="center"/>
              <w:rPr>
                <w:rFonts w:ascii="仿宋" w:hAnsi="仿宋" w:eastAsia="仿宋"/>
                <w:sz w:val="18"/>
                <w:szCs w:val="18"/>
              </w:rPr>
            </w:pPr>
            <w:r>
              <w:rPr>
                <w:rFonts w:hint="eastAsia" w:ascii="仿宋" w:hAnsi="仿宋" w:eastAsia="仿宋"/>
                <w:sz w:val="18"/>
                <w:szCs w:val="18"/>
              </w:rPr>
              <w:t>5</w:t>
            </w:r>
          </w:p>
        </w:tc>
        <w:tc>
          <w:tcPr>
            <w:tcW w:w="1105" w:type="dxa"/>
            <w:vMerge w:val="continue"/>
            <w:vAlign w:val="center"/>
          </w:tcPr>
          <w:p w14:paraId="3D32E378">
            <w:pPr>
              <w:spacing w:line="260" w:lineRule="exact"/>
              <w:jc w:val="center"/>
              <w:rPr>
                <w:rFonts w:ascii="仿宋" w:hAnsi="仿宋" w:eastAsia="仿宋"/>
                <w:sz w:val="18"/>
                <w:szCs w:val="18"/>
              </w:rPr>
            </w:pPr>
          </w:p>
        </w:tc>
        <w:tc>
          <w:tcPr>
            <w:tcW w:w="2997" w:type="dxa"/>
            <w:vAlign w:val="center"/>
          </w:tcPr>
          <w:p w14:paraId="450EA97E">
            <w:pPr>
              <w:spacing w:line="260" w:lineRule="exact"/>
              <w:jc w:val="center"/>
              <w:rPr>
                <w:rFonts w:ascii="仿宋" w:hAnsi="仿宋" w:eastAsia="仿宋"/>
                <w:sz w:val="18"/>
                <w:szCs w:val="18"/>
              </w:rPr>
            </w:pPr>
            <w:r>
              <w:rPr>
                <w:rFonts w:hint="eastAsia" w:ascii="仿宋" w:hAnsi="仿宋" w:eastAsia="仿宋"/>
                <w:sz w:val="18"/>
                <w:szCs w:val="18"/>
              </w:rPr>
              <w:t>面层平整度</w:t>
            </w:r>
          </w:p>
        </w:tc>
        <w:tc>
          <w:tcPr>
            <w:tcW w:w="3886" w:type="dxa"/>
            <w:vAlign w:val="center"/>
          </w:tcPr>
          <w:p w14:paraId="6926C220">
            <w:pPr>
              <w:widowControl/>
              <w:spacing w:line="260" w:lineRule="exact"/>
              <w:jc w:val="left"/>
              <w:rPr>
                <w:rFonts w:ascii="仿宋" w:hAnsi="仿宋" w:eastAsia="仿宋"/>
                <w:sz w:val="18"/>
                <w:szCs w:val="18"/>
              </w:rPr>
            </w:pPr>
            <w:r>
              <w:rPr>
                <w:rFonts w:hint="eastAsia" w:ascii="仿宋" w:hAnsi="仿宋" w:eastAsia="仿宋"/>
                <w:sz w:val="18"/>
                <w:szCs w:val="18"/>
              </w:rPr>
              <w:t>RQI等级应达到A等级。</w:t>
            </w:r>
          </w:p>
        </w:tc>
      </w:tr>
      <w:tr w14:paraId="5384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5BA93A73">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6</w:t>
            </w:r>
          </w:p>
        </w:tc>
        <w:tc>
          <w:tcPr>
            <w:tcW w:w="1105" w:type="dxa"/>
            <w:vMerge w:val="continue"/>
            <w:vAlign w:val="center"/>
          </w:tcPr>
          <w:p w14:paraId="6A29A121">
            <w:pPr>
              <w:widowControl/>
              <w:spacing w:line="260" w:lineRule="exact"/>
              <w:jc w:val="center"/>
              <w:rPr>
                <w:rFonts w:ascii="仿宋" w:hAnsi="仿宋" w:eastAsia="仿宋"/>
                <w:sz w:val="18"/>
                <w:szCs w:val="18"/>
              </w:rPr>
            </w:pPr>
          </w:p>
        </w:tc>
        <w:tc>
          <w:tcPr>
            <w:tcW w:w="2997" w:type="dxa"/>
            <w:vAlign w:val="center"/>
          </w:tcPr>
          <w:p w14:paraId="6F6EF89E">
            <w:pPr>
              <w:widowControl/>
              <w:spacing w:line="260" w:lineRule="exact"/>
              <w:jc w:val="center"/>
              <w:rPr>
                <w:rFonts w:ascii="仿宋" w:hAnsi="仿宋" w:eastAsia="仿宋"/>
                <w:sz w:val="18"/>
                <w:szCs w:val="18"/>
              </w:rPr>
            </w:pPr>
            <w:r>
              <w:rPr>
                <w:rFonts w:hint="eastAsia" w:ascii="仿宋" w:hAnsi="仿宋" w:eastAsia="仿宋"/>
                <w:sz w:val="18"/>
                <w:szCs w:val="18"/>
              </w:rPr>
              <w:t>★料石铺砌面层用砂浆抗压强度</w:t>
            </w:r>
          </w:p>
        </w:tc>
        <w:tc>
          <w:tcPr>
            <w:tcW w:w="3886" w:type="dxa"/>
            <w:vAlign w:val="center"/>
          </w:tcPr>
          <w:p w14:paraId="23A1CB27">
            <w:pPr>
              <w:widowControl/>
              <w:spacing w:line="260" w:lineRule="exact"/>
              <w:jc w:val="left"/>
              <w:rPr>
                <w:rFonts w:ascii="仿宋" w:hAnsi="仿宋" w:eastAsia="仿宋"/>
                <w:sz w:val="18"/>
                <w:szCs w:val="18"/>
              </w:rPr>
            </w:pPr>
            <w:r>
              <w:rPr>
                <w:rFonts w:hint="eastAsia" w:ascii="仿宋" w:hAnsi="仿宋" w:eastAsia="仿宋"/>
                <w:sz w:val="18"/>
                <w:szCs w:val="18"/>
              </w:rPr>
              <w:t>砂浆平均抗压强度等级应符合设计规定，任一组试件抗压强度最低值不应低于设计强度的85%。</w:t>
            </w:r>
          </w:p>
        </w:tc>
      </w:tr>
      <w:tr w14:paraId="19E8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0836606E">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7</w:t>
            </w:r>
          </w:p>
        </w:tc>
        <w:tc>
          <w:tcPr>
            <w:tcW w:w="1105" w:type="dxa"/>
            <w:vMerge w:val="continue"/>
            <w:vAlign w:val="center"/>
          </w:tcPr>
          <w:p w14:paraId="15EB288A">
            <w:pPr>
              <w:widowControl/>
              <w:spacing w:line="260" w:lineRule="exact"/>
              <w:jc w:val="center"/>
              <w:rPr>
                <w:rFonts w:ascii="仿宋" w:hAnsi="仿宋" w:eastAsia="仿宋"/>
                <w:sz w:val="18"/>
                <w:szCs w:val="18"/>
              </w:rPr>
            </w:pPr>
          </w:p>
        </w:tc>
        <w:tc>
          <w:tcPr>
            <w:tcW w:w="2997" w:type="dxa"/>
            <w:vAlign w:val="center"/>
          </w:tcPr>
          <w:p w14:paraId="4873D162">
            <w:pPr>
              <w:widowControl/>
              <w:spacing w:line="260" w:lineRule="exact"/>
              <w:jc w:val="center"/>
              <w:rPr>
                <w:rFonts w:ascii="仿宋" w:hAnsi="仿宋" w:eastAsia="仿宋"/>
                <w:sz w:val="18"/>
                <w:szCs w:val="18"/>
              </w:rPr>
            </w:pPr>
            <w:r>
              <w:rPr>
                <w:rFonts w:hint="eastAsia" w:ascii="仿宋" w:hAnsi="仿宋" w:eastAsia="仿宋"/>
                <w:sz w:val="18"/>
                <w:szCs w:val="18"/>
              </w:rPr>
              <w:t>料石铺砌面层平整度</w:t>
            </w:r>
          </w:p>
        </w:tc>
        <w:tc>
          <w:tcPr>
            <w:tcW w:w="3886" w:type="dxa"/>
            <w:vAlign w:val="center"/>
          </w:tcPr>
          <w:p w14:paraId="563CF273">
            <w:pPr>
              <w:widowControl/>
              <w:spacing w:line="260" w:lineRule="exact"/>
              <w:jc w:val="left"/>
              <w:rPr>
                <w:rFonts w:ascii="仿宋" w:hAnsi="仿宋" w:eastAsia="仿宋"/>
                <w:sz w:val="18"/>
                <w:szCs w:val="18"/>
              </w:rPr>
            </w:pPr>
            <w:r>
              <w:rPr>
                <w:rFonts w:hint="eastAsia" w:ascii="仿宋" w:hAnsi="仿宋" w:eastAsia="仿宋"/>
                <w:sz w:val="18"/>
                <w:szCs w:val="18"/>
              </w:rPr>
              <w:t>允许偏差≤3mm</w:t>
            </w:r>
          </w:p>
        </w:tc>
      </w:tr>
      <w:tr w14:paraId="3F11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57D8D65F">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8</w:t>
            </w:r>
          </w:p>
        </w:tc>
        <w:tc>
          <w:tcPr>
            <w:tcW w:w="1105" w:type="dxa"/>
            <w:vMerge w:val="continue"/>
            <w:vAlign w:val="center"/>
          </w:tcPr>
          <w:p w14:paraId="45F814CE">
            <w:pPr>
              <w:widowControl/>
              <w:spacing w:line="260" w:lineRule="exact"/>
              <w:jc w:val="center"/>
              <w:rPr>
                <w:rFonts w:ascii="仿宋" w:hAnsi="仿宋" w:eastAsia="仿宋"/>
                <w:sz w:val="18"/>
                <w:szCs w:val="18"/>
              </w:rPr>
            </w:pPr>
          </w:p>
        </w:tc>
        <w:tc>
          <w:tcPr>
            <w:tcW w:w="2997" w:type="dxa"/>
            <w:vAlign w:val="center"/>
          </w:tcPr>
          <w:p w14:paraId="2FE416AC">
            <w:pPr>
              <w:widowControl/>
              <w:spacing w:line="260" w:lineRule="exact"/>
              <w:jc w:val="center"/>
              <w:rPr>
                <w:rFonts w:ascii="仿宋" w:hAnsi="仿宋" w:eastAsia="仿宋"/>
                <w:sz w:val="18"/>
                <w:szCs w:val="18"/>
              </w:rPr>
            </w:pPr>
            <w:r>
              <w:rPr>
                <w:rFonts w:hint="eastAsia" w:ascii="仿宋" w:hAnsi="仿宋" w:eastAsia="仿宋"/>
                <w:sz w:val="18"/>
                <w:szCs w:val="18"/>
              </w:rPr>
              <w:t>路面抗滑</w:t>
            </w:r>
          </w:p>
        </w:tc>
        <w:tc>
          <w:tcPr>
            <w:tcW w:w="3886" w:type="dxa"/>
            <w:vAlign w:val="center"/>
          </w:tcPr>
          <w:p w14:paraId="6A0137F8">
            <w:pPr>
              <w:widowControl/>
              <w:spacing w:line="260" w:lineRule="exact"/>
              <w:jc w:val="left"/>
              <w:rPr>
                <w:rFonts w:ascii="仿宋" w:hAnsi="仿宋" w:eastAsia="仿宋"/>
                <w:sz w:val="18"/>
                <w:szCs w:val="18"/>
              </w:rPr>
            </w:pPr>
            <w:r>
              <w:rPr>
                <w:rFonts w:hint="eastAsia" w:ascii="仿宋" w:hAnsi="仿宋" w:eastAsia="仿宋"/>
                <w:sz w:val="18"/>
                <w:szCs w:val="18"/>
              </w:rPr>
              <w:t>符合设计规定；</w:t>
            </w:r>
          </w:p>
        </w:tc>
      </w:tr>
      <w:tr w14:paraId="499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0BACF7E6">
            <w:pPr>
              <w:widowControl/>
              <w:spacing w:line="260" w:lineRule="exact"/>
              <w:jc w:val="center"/>
              <w:rPr>
                <w:rFonts w:ascii="仿宋" w:hAnsi="仿宋" w:eastAsia="仿宋"/>
                <w:spacing w:val="-22"/>
                <w:sz w:val="18"/>
                <w:szCs w:val="18"/>
              </w:rPr>
            </w:pPr>
            <w:r>
              <w:rPr>
                <w:rFonts w:hint="eastAsia" w:ascii="仿宋" w:hAnsi="仿宋" w:eastAsia="仿宋"/>
                <w:spacing w:val="-22"/>
                <w:sz w:val="18"/>
                <w:szCs w:val="18"/>
              </w:rPr>
              <w:t>9</w:t>
            </w:r>
          </w:p>
        </w:tc>
        <w:tc>
          <w:tcPr>
            <w:tcW w:w="1105" w:type="dxa"/>
            <w:vMerge w:val="restart"/>
            <w:vAlign w:val="center"/>
          </w:tcPr>
          <w:p w14:paraId="0D9F15A9">
            <w:pPr>
              <w:spacing w:line="260" w:lineRule="exact"/>
              <w:jc w:val="center"/>
              <w:rPr>
                <w:rFonts w:ascii="仿宋" w:hAnsi="仿宋" w:eastAsia="仿宋"/>
                <w:sz w:val="18"/>
                <w:szCs w:val="18"/>
              </w:rPr>
            </w:pPr>
            <w:r>
              <w:rPr>
                <w:rFonts w:hint="eastAsia" w:ascii="仿宋" w:hAnsi="仿宋" w:eastAsia="仿宋"/>
                <w:sz w:val="18"/>
                <w:szCs w:val="18"/>
              </w:rPr>
              <w:t>人行道</w:t>
            </w:r>
          </w:p>
        </w:tc>
        <w:tc>
          <w:tcPr>
            <w:tcW w:w="2997" w:type="dxa"/>
            <w:vAlign w:val="center"/>
          </w:tcPr>
          <w:p w14:paraId="192FEAF9">
            <w:pPr>
              <w:widowControl/>
              <w:spacing w:line="260" w:lineRule="exact"/>
              <w:jc w:val="center"/>
              <w:rPr>
                <w:rFonts w:ascii="仿宋" w:hAnsi="仿宋" w:eastAsia="仿宋"/>
                <w:sz w:val="18"/>
                <w:szCs w:val="18"/>
              </w:rPr>
            </w:pPr>
            <w:r>
              <w:rPr>
                <w:rFonts w:hint="eastAsia" w:ascii="仿宋" w:hAnsi="仿宋" w:eastAsia="仿宋"/>
                <w:sz w:val="18"/>
                <w:szCs w:val="18"/>
              </w:rPr>
              <w:t>★料石、混凝土预制砌块、沥青混合料铺砌人行道路床与基层压实度</w:t>
            </w:r>
          </w:p>
        </w:tc>
        <w:tc>
          <w:tcPr>
            <w:tcW w:w="3886" w:type="dxa"/>
            <w:vAlign w:val="center"/>
          </w:tcPr>
          <w:p w14:paraId="548A0E0E">
            <w:pPr>
              <w:widowControl/>
              <w:spacing w:line="260" w:lineRule="exact"/>
              <w:rPr>
                <w:rFonts w:ascii="仿宋" w:hAnsi="仿宋" w:eastAsia="仿宋"/>
                <w:sz w:val="18"/>
                <w:szCs w:val="18"/>
              </w:rPr>
            </w:pPr>
            <w:r>
              <w:rPr>
                <w:rFonts w:hint="eastAsia" w:ascii="仿宋" w:hAnsi="仿宋" w:eastAsia="仿宋"/>
                <w:sz w:val="18"/>
                <w:szCs w:val="18"/>
              </w:rPr>
              <w:t>应大于或等于90%。</w:t>
            </w:r>
          </w:p>
        </w:tc>
      </w:tr>
      <w:tr w14:paraId="1F2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6980DC51">
            <w:pPr>
              <w:widowControl/>
              <w:spacing w:line="260" w:lineRule="exact"/>
              <w:jc w:val="center"/>
              <w:rPr>
                <w:rFonts w:ascii="仿宋" w:hAnsi="仿宋" w:eastAsia="仿宋"/>
                <w:spacing w:val="-22"/>
                <w:sz w:val="18"/>
                <w:szCs w:val="18"/>
              </w:rPr>
            </w:pPr>
            <w:r>
              <w:rPr>
                <w:rFonts w:hint="eastAsia" w:ascii="仿宋" w:hAnsi="仿宋" w:eastAsia="仿宋"/>
                <w:spacing w:val="-22"/>
                <w:sz w:val="18"/>
                <w:szCs w:val="18"/>
              </w:rPr>
              <w:t>10</w:t>
            </w:r>
          </w:p>
        </w:tc>
        <w:tc>
          <w:tcPr>
            <w:tcW w:w="1105" w:type="dxa"/>
            <w:vMerge w:val="continue"/>
            <w:vAlign w:val="center"/>
          </w:tcPr>
          <w:p w14:paraId="471E50C7">
            <w:pPr>
              <w:spacing w:line="260" w:lineRule="exact"/>
              <w:jc w:val="center"/>
              <w:rPr>
                <w:rFonts w:ascii="仿宋" w:hAnsi="仿宋" w:eastAsia="仿宋"/>
                <w:sz w:val="18"/>
                <w:szCs w:val="18"/>
              </w:rPr>
            </w:pPr>
          </w:p>
        </w:tc>
        <w:tc>
          <w:tcPr>
            <w:tcW w:w="2997" w:type="dxa"/>
            <w:vAlign w:val="center"/>
          </w:tcPr>
          <w:p w14:paraId="2608F848">
            <w:pPr>
              <w:widowControl/>
              <w:spacing w:line="260" w:lineRule="exact"/>
              <w:jc w:val="center"/>
              <w:rPr>
                <w:rFonts w:ascii="仿宋" w:hAnsi="仿宋" w:eastAsia="仿宋"/>
                <w:sz w:val="18"/>
                <w:szCs w:val="18"/>
              </w:rPr>
            </w:pPr>
            <w:r>
              <w:rPr>
                <w:rFonts w:hint="eastAsia" w:ascii="仿宋" w:hAnsi="仿宋" w:eastAsia="仿宋"/>
                <w:sz w:val="18"/>
                <w:szCs w:val="18"/>
              </w:rPr>
              <w:t>★料石、混凝土预制砌块铺砌人行道用砂浆强度</w:t>
            </w:r>
          </w:p>
        </w:tc>
        <w:tc>
          <w:tcPr>
            <w:tcW w:w="3886" w:type="dxa"/>
            <w:vAlign w:val="center"/>
          </w:tcPr>
          <w:p w14:paraId="1DA08AA7">
            <w:pPr>
              <w:widowControl/>
              <w:spacing w:line="260" w:lineRule="exact"/>
              <w:rPr>
                <w:rFonts w:ascii="仿宋" w:hAnsi="仿宋" w:eastAsia="仿宋"/>
                <w:sz w:val="18"/>
                <w:szCs w:val="18"/>
              </w:rPr>
            </w:pPr>
            <w:r>
              <w:rPr>
                <w:rFonts w:hint="eastAsia" w:ascii="仿宋" w:hAnsi="仿宋" w:eastAsia="仿宋"/>
                <w:sz w:val="18"/>
                <w:szCs w:val="18"/>
              </w:rPr>
              <w:t>砂浆平均抗压强度等级应符合设计规定，任一组试件抗压强度最低值不应低于设计强度的85%。</w:t>
            </w:r>
          </w:p>
        </w:tc>
      </w:tr>
      <w:tr w14:paraId="37A4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023BCB13">
            <w:pPr>
              <w:widowControl/>
              <w:spacing w:line="260" w:lineRule="exact"/>
              <w:jc w:val="center"/>
              <w:rPr>
                <w:rFonts w:ascii="仿宋" w:hAnsi="仿宋" w:eastAsia="仿宋"/>
                <w:spacing w:val="-22"/>
                <w:sz w:val="18"/>
                <w:szCs w:val="18"/>
              </w:rPr>
            </w:pPr>
            <w:r>
              <w:rPr>
                <w:rFonts w:hint="eastAsia" w:ascii="仿宋" w:hAnsi="仿宋" w:eastAsia="仿宋"/>
                <w:spacing w:val="-22"/>
                <w:sz w:val="18"/>
                <w:szCs w:val="18"/>
              </w:rPr>
              <w:t>11</w:t>
            </w:r>
          </w:p>
        </w:tc>
        <w:tc>
          <w:tcPr>
            <w:tcW w:w="1105" w:type="dxa"/>
            <w:vMerge w:val="continue"/>
            <w:vAlign w:val="center"/>
          </w:tcPr>
          <w:p w14:paraId="296E5498">
            <w:pPr>
              <w:spacing w:line="260" w:lineRule="exact"/>
              <w:jc w:val="center"/>
              <w:rPr>
                <w:rFonts w:ascii="仿宋" w:hAnsi="仿宋" w:eastAsia="仿宋"/>
                <w:sz w:val="18"/>
                <w:szCs w:val="18"/>
              </w:rPr>
            </w:pPr>
          </w:p>
        </w:tc>
        <w:tc>
          <w:tcPr>
            <w:tcW w:w="2997" w:type="dxa"/>
            <w:vAlign w:val="center"/>
          </w:tcPr>
          <w:p w14:paraId="03BA7ABE">
            <w:pPr>
              <w:widowControl/>
              <w:spacing w:line="260" w:lineRule="exact"/>
              <w:jc w:val="center"/>
              <w:rPr>
                <w:rFonts w:ascii="仿宋" w:hAnsi="仿宋" w:eastAsia="仿宋"/>
                <w:sz w:val="18"/>
                <w:szCs w:val="18"/>
              </w:rPr>
            </w:pPr>
            <w:r>
              <w:rPr>
                <w:rFonts w:hint="eastAsia" w:ascii="仿宋" w:hAnsi="仿宋" w:eastAsia="仿宋"/>
                <w:sz w:val="18"/>
                <w:szCs w:val="18"/>
              </w:rPr>
              <w:t>★料石、混凝土预制砌块强度</w:t>
            </w:r>
          </w:p>
        </w:tc>
        <w:tc>
          <w:tcPr>
            <w:tcW w:w="3886" w:type="dxa"/>
            <w:vAlign w:val="center"/>
          </w:tcPr>
          <w:p w14:paraId="7F43C866">
            <w:pPr>
              <w:widowControl/>
              <w:spacing w:line="260" w:lineRule="exact"/>
              <w:jc w:val="left"/>
              <w:rPr>
                <w:rFonts w:ascii="仿宋" w:hAnsi="仿宋" w:eastAsia="仿宋"/>
                <w:sz w:val="18"/>
                <w:szCs w:val="18"/>
              </w:rPr>
            </w:pPr>
            <w:r>
              <w:rPr>
                <w:rFonts w:hint="eastAsia" w:ascii="仿宋" w:hAnsi="仿宋" w:eastAsia="仿宋"/>
                <w:sz w:val="18"/>
                <w:szCs w:val="18"/>
              </w:rPr>
              <w:t>符合设计规定及相关验收规范要求</w:t>
            </w:r>
          </w:p>
        </w:tc>
      </w:tr>
      <w:tr w14:paraId="1E6C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3276370D">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12</w:t>
            </w:r>
          </w:p>
        </w:tc>
        <w:tc>
          <w:tcPr>
            <w:tcW w:w="1105" w:type="dxa"/>
            <w:vMerge w:val="continue"/>
            <w:vAlign w:val="center"/>
          </w:tcPr>
          <w:p w14:paraId="36262352">
            <w:pPr>
              <w:spacing w:line="260" w:lineRule="exact"/>
              <w:jc w:val="center"/>
              <w:rPr>
                <w:rFonts w:ascii="仿宋" w:hAnsi="仿宋" w:eastAsia="仿宋"/>
                <w:sz w:val="18"/>
                <w:szCs w:val="18"/>
              </w:rPr>
            </w:pPr>
          </w:p>
        </w:tc>
        <w:tc>
          <w:tcPr>
            <w:tcW w:w="2997" w:type="dxa"/>
            <w:vAlign w:val="center"/>
          </w:tcPr>
          <w:p w14:paraId="6DDB27B1">
            <w:pPr>
              <w:widowControl/>
              <w:spacing w:line="260" w:lineRule="exact"/>
              <w:jc w:val="center"/>
              <w:rPr>
                <w:rFonts w:ascii="仿宋" w:hAnsi="仿宋" w:eastAsia="仿宋"/>
                <w:sz w:val="18"/>
                <w:szCs w:val="18"/>
              </w:rPr>
            </w:pPr>
            <w:r>
              <w:rPr>
                <w:rFonts w:hint="eastAsia" w:ascii="仿宋" w:hAnsi="仿宋" w:eastAsia="仿宋"/>
                <w:sz w:val="18"/>
                <w:szCs w:val="18"/>
              </w:rPr>
              <w:t>★料石铺砌人行道外观尺寸</w:t>
            </w:r>
          </w:p>
        </w:tc>
        <w:tc>
          <w:tcPr>
            <w:tcW w:w="3886" w:type="dxa"/>
            <w:vAlign w:val="center"/>
          </w:tcPr>
          <w:p w14:paraId="20ACAA65">
            <w:pPr>
              <w:widowControl/>
              <w:spacing w:line="260" w:lineRule="exact"/>
              <w:jc w:val="left"/>
              <w:rPr>
                <w:rFonts w:ascii="仿宋" w:hAnsi="仿宋" w:eastAsia="仿宋"/>
                <w:sz w:val="18"/>
                <w:szCs w:val="18"/>
              </w:rPr>
            </w:pPr>
            <w:r>
              <w:rPr>
                <w:rFonts w:hint="eastAsia" w:ascii="仿宋" w:hAnsi="仿宋" w:eastAsia="仿宋"/>
                <w:sz w:val="18"/>
                <w:szCs w:val="18"/>
              </w:rPr>
              <w:t>符合设计规定及相关验收规范要求</w:t>
            </w:r>
          </w:p>
        </w:tc>
      </w:tr>
      <w:tr w14:paraId="4D30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restart"/>
            <w:vAlign w:val="center"/>
          </w:tcPr>
          <w:p w14:paraId="0E4E981B">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13</w:t>
            </w:r>
          </w:p>
        </w:tc>
        <w:tc>
          <w:tcPr>
            <w:tcW w:w="1105" w:type="dxa"/>
            <w:vMerge w:val="continue"/>
            <w:vAlign w:val="center"/>
          </w:tcPr>
          <w:p w14:paraId="4C6DE44B">
            <w:pPr>
              <w:widowControl/>
              <w:spacing w:line="260" w:lineRule="exact"/>
              <w:jc w:val="center"/>
              <w:rPr>
                <w:rFonts w:ascii="仿宋" w:hAnsi="仿宋" w:eastAsia="仿宋"/>
                <w:sz w:val="18"/>
                <w:szCs w:val="18"/>
              </w:rPr>
            </w:pPr>
          </w:p>
        </w:tc>
        <w:tc>
          <w:tcPr>
            <w:tcW w:w="2997" w:type="dxa"/>
            <w:vMerge w:val="restart"/>
            <w:vAlign w:val="center"/>
          </w:tcPr>
          <w:p w14:paraId="23D87E57">
            <w:pPr>
              <w:widowControl/>
              <w:spacing w:line="260" w:lineRule="exact"/>
              <w:jc w:val="center"/>
              <w:rPr>
                <w:rFonts w:ascii="仿宋" w:hAnsi="仿宋" w:eastAsia="仿宋"/>
                <w:sz w:val="18"/>
                <w:szCs w:val="18"/>
              </w:rPr>
            </w:pPr>
            <w:r>
              <w:rPr>
                <w:rFonts w:hint="eastAsia" w:ascii="仿宋" w:hAnsi="仿宋" w:eastAsia="仿宋"/>
                <w:sz w:val="18"/>
                <w:szCs w:val="18"/>
              </w:rPr>
              <w:t>平整度</w:t>
            </w:r>
          </w:p>
        </w:tc>
        <w:tc>
          <w:tcPr>
            <w:tcW w:w="3886" w:type="dxa"/>
            <w:vAlign w:val="center"/>
          </w:tcPr>
          <w:p w14:paraId="6D3DA2CA">
            <w:pPr>
              <w:widowControl/>
              <w:spacing w:line="260" w:lineRule="exact"/>
              <w:jc w:val="left"/>
              <w:rPr>
                <w:rFonts w:ascii="仿宋" w:hAnsi="仿宋" w:eastAsia="仿宋"/>
                <w:sz w:val="18"/>
                <w:szCs w:val="18"/>
              </w:rPr>
            </w:pPr>
            <w:r>
              <w:rPr>
                <w:rFonts w:hint="eastAsia" w:ascii="仿宋" w:hAnsi="仿宋" w:eastAsia="仿宋"/>
                <w:sz w:val="18"/>
                <w:szCs w:val="18"/>
              </w:rPr>
              <w:t>料石铺砌人行道：允许偏差≤3mm；</w:t>
            </w:r>
          </w:p>
        </w:tc>
      </w:tr>
      <w:tr w14:paraId="4732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continue"/>
            <w:vAlign w:val="center"/>
          </w:tcPr>
          <w:p w14:paraId="341AD126">
            <w:pPr>
              <w:widowControl/>
              <w:spacing w:line="260" w:lineRule="exact"/>
              <w:jc w:val="center"/>
              <w:rPr>
                <w:rFonts w:ascii="仿宋" w:hAnsi="仿宋" w:eastAsia="仿宋"/>
                <w:spacing w:val="20"/>
                <w:sz w:val="18"/>
                <w:szCs w:val="18"/>
              </w:rPr>
            </w:pPr>
          </w:p>
        </w:tc>
        <w:tc>
          <w:tcPr>
            <w:tcW w:w="1105" w:type="dxa"/>
            <w:vMerge w:val="continue"/>
            <w:vAlign w:val="center"/>
          </w:tcPr>
          <w:p w14:paraId="57631E1F">
            <w:pPr>
              <w:widowControl/>
              <w:spacing w:line="260" w:lineRule="exact"/>
              <w:jc w:val="center"/>
              <w:rPr>
                <w:rFonts w:ascii="仿宋" w:hAnsi="仿宋" w:eastAsia="仿宋"/>
                <w:sz w:val="18"/>
                <w:szCs w:val="18"/>
              </w:rPr>
            </w:pPr>
          </w:p>
        </w:tc>
        <w:tc>
          <w:tcPr>
            <w:tcW w:w="2997" w:type="dxa"/>
            <w:vMerge w:val="continue"/>
            <w:vAlign w:val="center"/>
          </w:tcPr>
          <w:p w14:paraId="710C1674">
            <w:pPr>
              <w:widowControl/>
              <w:spacing w:line="260" w:lineRule="exact"/>
              <w:jc w:val="center"/>
              <w:rPr>
                <w:rFonts w:ascii="仿宋" w:hAnsi="仿宋" w:eastAsia="仿宋"/>
                <w:sz w:val="18"/>
                <w:szCs w:val="18"/>
              </w:rPr>
            </w:pPr>
          </w:p>
        </w:tc>
        <w:tc>
          <w:tcPr>
            <w:tcW w:w="3886" w:type="dxa"/>
            <w:vAlign w:val="center"/>
          </w:tcPr>
          <w:p w14:paraId="3F046441">
            <w:pPr>
              <w:widowControl/>
              <w:spacing w:line="260" w:lineRule="exact"/>
              <w:jc w:val="left"/>
              <w:rPr>
                <w:rFonts w:ascii="仿宋" w:hAnsi="仿宋" w:eastAsia="仿宋"/>
                <w:sz w:val="18"/>
                <w:szCs w:val="18"/>
              </w:rPr>
            </w:pPr>
            <w:r>
              <w:rPr>
                <w:rFonts w:hint="eastAsia" w:ascii="仿宋" w:hAnsi="仿宋" w:eastAsia="仿宋"/>
                <w:sz w:val="18"/>
                <w:szCs w:val="18"/>
              </w:rPr>
              <w:t>预制砌块铺砌人行道：允许偏差≤5mm；</w:t>
            </w:r>
          </w:p>
        </w:tc>
      </w:tr>
      <w:tr w14:paraId="7A84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66" w:type="dxa"/>
            <w:vMerge w:val="continue"/>
            <w:vAlign w:val="center"/>
          </w:tcPr>
          <w:p w14:paraId="4575FD8A">
            <w:pPr>
              <w:widowControl/>
              <w:spacing w:line="260" w:lineRule="exact"/>
              <w:jc w:val="center"/>
              <w:rPr>
                <w:rFonts w:ascii="仿宋" w:hAnsi="仿宋" w:eastAsia="仿宋"/>
                <w:spacing w:val="20"/>
                <w:sz w:val="18"/>
                <w:szCs w:val="18"/>
              </w:rPr>
            </w:pPr>
          </w:p>
        </w:tc>
        <w:tc>
          <w:tcPr>
            <w:tcW w:w="1105" w:type="dxa"/>
            <w:vMerge w:val="continue"/>
            <w:vAlign w:val="center"/>
          </w:tcPr>
          <w:p w14:paraId="516C9043">
            <w:pPr>
              <w:widowControl/>
              <w:spacing w:line="260" w:lineRule="exact"/>
              <w:jc w:val="center"/>
              <w:rPr>
                <w:rFonts w:ascii="仿宋" w:hAnsi="仿宋" w:eastAsia="仿宋"/>
                <w:sz w:val="18"/>
                <w:szCs w:val="18"/>
              </w:rPr>
            </w:pPr>
          </w:p>
        </w:tc>
        <w:tc>
          <w:tcPr>
            <w:tcW w:w="2997" w:type="dxa"/>
            <w:vMerge w:val="continue"/>
            <w:vAlign w:val="center"/>
          </w:tcPr>
          <w:p w14:paraId="4D4C80B8">
            <w:pPr>
              <w:widowControl/>
              <w:spacing w:line="260" w:lineRule="exact"/>
              <w:jc w:val="center"/>
              <w:rPr>
                <w:rFonts w:ascii="仿宋" w:hAnsi="仿宋" w:eastAsia="仿宋"/>
                <w:sz w:val="18"/>
                <w:szCs w:val="18"/>
              </w:rPr>
            </w:pPr>
          </w:p>
        </w:tc>
        <w:tc>
          <w:tcPr>
            <w:tcW w:w="3886" w:type="dxa"/>
            <w:vAlign w:val="center"/>
          </w:tcPr>
          <w:p w14:paraId="71C3A6CD">
            <w:pPr>
              <w:widowControl/>
              <w:spacing w:line="260" w:lineRule="exact"/>
              <w:jc w:val="left"/>
              <w:rPr>
                <w:rFonts w:ascii="仿宋" w:hAnsi="仿宋" w:eastAsia="仿宋"/>
                <w:sz w:val="18"/>
                <w:szCs w:val="18"/>
              </w:rPr>
            </w:pPr>
            <w:r>
              <w:rPr>
                <w:rFonts w:hint="eastAsia" w:ascii="仿宋" w:hAnsi="仿宋" w:eastAsia="仿宋"/>
                <w:sz w:val="18"/>
                <w:szCs w:val="18"/>
              </w:rPr>
              <w:t>沥青混合料铺筑人行道：沥青混凝土允许偏差≤5mm，其他类型允许偏差≤7mm；</w:t>
            </w:r>
          </w:p>
        </w:tc>
      </w:tr>
      <w:tr w14:paraId="759C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continue"/>
            <w:vAlign w:val="center"/>
          </w:tcPr>
          <w:p w14:paraId="22E08E88">
            <w:pPr>
              <w:widowControl/>
              <w:spacing w:line="260" w:lineRule="exact"/>
              <w:jc w:val="center"/>
              <w:rPr>
                <w:rFonts w:ascii="仿宋" w:hAnsi="仿宋" w:eastAsia="仿宋"/>
                <w:spacing w:val="20"/>
                <w:sz w:val="18"/>
                <w:szCs w:val="18"/>
              </w:rPr>
            </w:pPr>
          </w:p>
        </w:tc>
        <w:tc>
          <w:tcPr>
            <w:tcW w:w="1105" w:type="dxa"/>
            <w:vMerge w:val="continue"/>
            <w:vAlign w:val="center"/>
          </w:tcPr>
          <w:p w14:paraId="53A79E22">
            <w:pPr>
              <w:widowControl/>
              <w:spacing w:line="260" w:lineRule="exact"/>
              <w:jc w:val="center"/>
              <w:rPr>
                <w:rFonts w:ascii="仿宋" w:hAnsi="仿宋" w:eastAsia="仿宋"/>
                <w:sz w:val="18"/>
                <w:szCs w:val="18"/>
              </w:rPr>
            </w:pPr>
          </w:p>
        </w:tc>
        <w:tc>
          <w:tcPr>
            <w:tcW w:w="2997" w:type="dxa"/>
            <w:vMerge w:val="continue"/>
            <w:vAlign w:val="center"/>
          </w:tcPr>
          <w:p w14:paraId="0502F1CB">
            <w:pPr>
              <w:widowControl/>
              <w:spacing w:line="260" w:lineRule="exact"/>
              <w:jc w:val="center"/>
              <w:rPr>
                <w:rFonts w:ascii="仿宋" w:hAnsi="仿宋" w:eastAsia="仿宋"/>
                <w:sz w:val="18"/>
                <w:szCs w:val="18"/>
              </w:rPr>
            </w:pPr>
          </w:p>
        </w:tc>
        <w:tc>
          <w:tcPr>
            <w:tcW w:w="3886" w:type="dxa"/>
            <w:vAlign w:val="center"/>
          </w:tcPr>
          <w:p w14:paraId="7F260044">
            <w:pPr>
              <w:widowControl/>
              <w:spacing w:line="260" w:lineRule="exact"/>
              <w:jc w:val="left"/>
              <w:rPr>
                <w:rFonts w:ascii="仿宋" w:hAnsi="仿宋" w:eastAsia="仿宋"/>
                <w:sz w:val="18"/>
                <w:szCs w:val="18"/>
              </w:rPr>
            </w:pPr>
            <w:r>
              <w:rPr>
                <w:rFonts w:hint="eastAsia" w:ascii="仿宋" w:hAnsi="仿宋" w:eastAsia="仿宋"/>
                <w:sz w:val="18"/>
                <w:szCs w:val="18"/>
              </w:rPr>
              <w:t>按养护要求人行道平整度指标达到A等级</w:t>
            </w:r>
          </w:p>
        </w:tc>
      </w:tr>
      <w:tr w14:paraId="7CB2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66" w:type="dxa"/>
            <w:vAlign w:val="center"/>
          </w:tcPr>
          <w:p w14:paraId="547F8D1D">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14</w:t>
            </w:r>
          </w:p>
        </w:tc>
        <w:tc>
          <w:tcPr>
            <w:tcW w:w="1105" w:type="dxa"/>
            <w:vMerge w:val="continue"/>
            <w:vAlign w:val="center"/>
          </w:tcPr>
          <w:p w14:paraId="0BB4894A">
            <w:pPr>
              <w:widowControl/>
              <w:spacing w:line="260" w:lineRule="exact"/>
              <w:jc w:val="center"/>
              <w:rPr>
                <w:rFonts w:ascii="仿宋" w:hAnsi="仿宋" w:eastAsia="仿宋"/>
                <w:sz w:val="18"/>
                <w:szCs w:val="18"/>
              </w:rPr>
            </w:pPr>
          </w:p>
        </w:tc>
        <w:tc>
          <w:tcPr>
            <w:tcW w:w="2997" w:type="dxa"/>
            <w:vAlign w:val="center"/>
          </w:tcPr>
          <w:p w14:paraId="62A63787">
            <w:pPr>
              <w:widowControl/>
              <w:spacing w:line="260" w:lineRule="exact"/>
              <w:jc w:val="center"/>
              <w:rPr>
                <w:rFonts w:ascii="仿宋" w:hAnsi="仿宋" w:eastAsia="仿宋"/>
                <w:sz w:val="18"/>
                <w:szCs w:val="18"/>
              </w:rPr>
            </w:pPr>
            <w:r>
              <w:rPr>
                <w:rFonts w:hint="eastAsia" w:ascii="仿宋" w:hAnsi="仿宋" w:eastAsia="仿宋"/>
                <w:sz w:val="18"/>
                <w:szCs w:val="18"/>
              </w:rPr>
              <w:t>★沥青混合料铺筑人行道厚度</w:t>
            </w:r>
          </w:p>
        </w:tc>
        <w:tc>
          <w:tcPr>
            <w:tcW w:w="3886" w:type="dxa"/>
            <w:vAlign w:val="center"/>
          </w:tcPr>
          <w:p w14:paraId="2AB8255A">
            <w:pPr>
              <w:widowControl/>
              <w:spacing w:line="260" w:lineRule="exact"/>
              <w:jc w:val="left"/>
              <w:rPr>
                <w:rFonts w:ascii="仿宋" w:hAnsi="仿宋" w:eastAsia="仿宋"/>
                <w:sz w:val="18"/>
                <w:szCs w:val="18"/>
              </w:rPr>
            </w:pPr>
            <w:r>
              <w:rPr>
                <w:rFonts w:hint="eastAsia" w:ascii="仿宋" w:hAnsi="仿宋" w:eastAsia="仿宋"/>
                <w:sz w:val="18"/>
                <w:szCs w:val="18"/>
              </w:rPr>
              <w:t>符合设计规定，允许偏差为±5mm</w:t>
            </w:r>
          </w:p>
        </w:tc>
      </w:tr>
      <w:tr w14:paraId="1B45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123F5B5E">
            <w:pPr>
              <w:widowControl/>
              <w:spacing w:line="260" w:lineRule="exact"/>
              <w:jc w:val="center"/>
              <w:rPr>
                <w:rFonts w:ascii="仿宋" w:hAnsi="仿宋" w:eastAsia="仿宋"/>
                <w:spacing w:val="20"/>
                <w:sz w:val="18"/>
                <w:szCs w:val="18"/>
              </w:rPr>
            </w:pPr>
            <w:r>
              <w:rPr>
                <w:rFonts w:hint="eastAsia" w:ascii="仿宋" w:hAnsi="仿宋" w:eastAsia="仿宋"/>
                <w:spacing w:val="20"/>
                <w:sz w:val="18"/>
                <w:szCs w:val="18"/>
              </w:rPr>
              <w:t>15</w:t>
            </w:r>
          </w:p>
        </w:tc>
        <w:tc>
          <w:tcPr>
            <w:tcW w:w="1105" w:type="dxa"/>
            <w:vMerge w:val="continue"/>
            <w:vAlign w:val="center"/>
          </w:tcPr>
          <w:p w14:paraId="647020EC">
            <w:pPr>
              <w:widowControl/>
              <w:spacing w:line="260" w:lineRule="exact"/>
              <w:jc w:val="center"/>
              <w:rPr>
                <w:rFonts w:ascii="仿宋" w:hAnsi="仿宋" w:eastAsia="仿宋"/>
                <w:sz w:val="18"/>
                <w:szCs w:val="18"/>
              </w:rPr>
            </w:pPr>
          </w:p>
        </w:tc>
        <w:tc>
          <w:tcPr>
            <w:tcW w:w="2997" w:type="dxa"/>
            <w:vAlign w:val="center"/>
          </w:tcPr>
          <w:p w14:paraId="1B27CFCA">
            <w:pPr>
              <w:widowControl/>
              <w:spacing w:line="260" w:lineRule="exact"/>
              <w:jc w:val="center"/>
              <w:rPr>
                <w:rFonts w:ascii="仿宋" w:hAnsi="仿宋" w:eastAsia="仿宋"/>
                <w:sz w:val="18"/>
                <w:szCs w:val="18"/>
              </w:rPr>
            </w:pPr>
            <w:r>
              <w:rPr>
                <w:rFonts w:hint="eastAsia" w:ascii="仿宋" w:hAnsi="仿宋" w:eastAsia="仿宋"/>
                <w:sz w:val="18"/>
                <w:szCs w:val="18"/>
              </w:rPr>
              <w:t>★沥青混合料压实度</w:t>
            </w:r>
          </w:p>
        </w:tc>
        <w:tc>
          <w:tcPr>
            <w:tcW w:w="3886" w:type="dxa"/>
            <w:vAlign w:val="center"/>
          </w:tcPr>
          <w:p w14:paraId="0946CC6D">
            <w:pPr>
              <w:widowControl/>
              <w:spacing w:line="260" w:lineRule="exact"/>
              <w:jc w:val="left"/>
              <w:rPr>
                <w:rFonts w:ascii="仿宋" w:hAnsi="仿宋" w:eastAsia="仿宋"/>
                <w:sz w:val="18"/>
                <w:szCs w:val="18"/>
              </w:rPr>
            </w:pPr>
            <w:r>
              <w:rPr>
                <w:rFonts w:hint="eastAsia" w:ascii="仿宋" w:hAnsi="仿宋" w:eastAsia="仿宋"/>
                <w:sz w:val="18"/>
                <w:szCs w:val="18"/>
              </w:rPr>
              <w:t>不应小于95%</w:t>
            </w:r>
          </w:p>
        </w:tc>
      </w:tr>
      <w:tr w14:paraId="6592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754" w:type="dxa"/>
            <w:gridSpan w:val="4"/>
            <w:vAlign w:val="center"/>
          </w:tcPr>
          <w:p w14:paraId="163DD701">
            <w:pPr>
              <w:widowControl/>
              <w:spacing w:line="260" w:lineRule="exact"/>
              <w:jc w:val="left"/>
              <w:rPr>
                <w:rFonts w:ascii="仿宋" w:hAnsi="仿宋" w:eastAsia="仿宋"/>
                <w:sz w:val="18"/>
                <w:szCs w:val="18"/>
              </w:rPr>
            </w:pPr>
            <w:r>
              <w:rPr>
                <w:rFonts w:hint="eastAsia" w:ascii="仿宋" w:hAnsi="仿宋" w:eastAsia="仿宋"/>
                <w:sz w:val="18"/>
                <w:szCs w:val="18"/>
              </w:rPr>
              <w:t>注：带★为主控项目，其余为一般项目。</w:t>
            </w:r>
          </w:p>
        </w:tc>
      </w:tr>
    </w:tbl>
    <w:p w14:paraId="62CB547D">
      <w:pPr>
        <w:autoSpaceDE w:val="0"/>
        <w:autoSpaceDN w:val="0"/>
        <w:adjustRightInd w:val="0"/>
        <w:spacing w:afterLines="50" w:line="620" w:lineRule="exact"/>
        <w:rPr>
          <w:rFonts w:ascii="黑体" w:hAnsi="黑体" w:eastAsia="黑体" w:cs="仿宋"/>
          <w:kern w:val="0"/>
          <w:sz w:val="44"/>
          <w:szCs w:val="44"/>
        </w:rPr>
      </w:pPr>
    </w:p>
    <w:p w14:paraId="617BAA15">
      <w:pPr>
        <w:autoSpaceDE w:val="0"/>
        <w:autoSpaceDN w:val="0"/>
        <w:adjustRightInd w:val="0"/>
        <w:spacing w:afterLines="50" w:line="620" w:lineRule="exact"/>
        <w:jc w:val="center"/>
        <w:rPr>
          <w:rFonts w:ascii="黑体" w:hAnsi="黑体" w:eastAsia="黑体" w:cs="仿宋"/>
          <w:b/>
          <w:kern w:val="0"/>
          <w:sz w:val="44"/>
          <w:szCs w:val="44"/>
        </w:rPr>
      </w:pPr>
      <w:r>
        <w:rPr>
          <w:rFonts w:hint="eastAsia" w:ascii="黑体" w:hAnsi="黑体" w:eastAsia="黑体" w:cs="仿宋"/>
          <w:kern w:val="0"/>
          <w:sz w:val="44"/>
          <w:szCs w:val="44"/>
        </w:rPr>
        <w:t>抽检项目及抽检频率</w:t>
      </w:r>
    </w:p>
    <w:tbl>
      <w:tblPr>
        <w:tblStyle w:val="62"/>
        <w:tblW w:w="0" w:type="auto"/>
        <w:jc w:val="center"/>
        <w:tblLayout w:type="fixed"/>
        <w:tblCellMar>
          <w:top w:w="0" w:type="dxa"/>
          <w:left w:w="0" w:type="dxa"/>
          <w:bottom w:w="0" w:type="dxa"/>
          <w:right w:w="0" w:type="dxa"/>
        </w:tblCellMar>
      </w:tblPr>
      <w:tblGrid>
        <w:gridCol w:w="600"/>
        <w:gridCol w:w="938"/>
        <w:gridCol w:w="2762"/>
        <w:gridCol w:w="3986"/>
      </w:tblGrid>
      <w:tr w14:paraId="6CA1861C">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7B7AA1">
            <w:pPr>
              <w:widowControl/>
              <w:spacing w:before="120" w:after="120" w:line="260" w:lineRule="exact"/>
              <w:jc w:val="center"/>
              <w:rPr>
                <w:rFonts w:ascii="仿宋" w:hAnsi="仿宋" w:eastAsia="仿宋"/>
                <w:b/>
                <w:sz w:val="18"/>
                <w:szCs w:val="18"/>
              </w:rPr>
            </w:pPr>
            <w:r>
              <w:rPr>
                <w:rFonts w:hint="eastAsia" w:ascii="仿宋" w:hAnsi="仿宋" w:eastAsia="仿宋"/>
                <w:b/>
                <w:sz w:val="18"/>
                <w:szCs w:val="18"/>
              </w:rPr>
              <w:t>序号</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69541E">
            <w:pPr>
              <w:widowControl/>
              <w:spacing w:before="120" w:after="120" w:line="260" w:lineRule="exact"/>
              <w:jc w:val="center"/>
              <w:rPr>
                <w:rFonts w:ascii="仿宋" w:hAnsi="仿宋" w:eastAsia="仿宋"/>
                <w:b/>
                <w:sz w:val="18"/>
                <w:szCs w:val="18"/>
              </w:rPr>
            </w:pPr>
            <w:r>
              <w:rPr>
                <w:rFonts w:hint="eastAsia" w:ascii="仿宋" w:hAnsi="仿宋" w:eastAsia="仿宋"/>
                <w:b/>
                <w:sz w:val="18"/>
                <w:szCs w:val="18"/>
              </w:rPr>
              <w:t>检测对象</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F57C8">
            <w:pPr>
              <w:widowControl/>
              <w:spacing w:before="120" w:after="120" w:line="260" w:lineRule="exact"/>
              <w:jc w:val="center"/>
              <w:rPr>
                <w:rFonts w:ascii="仿宋" w:hAnsi="仿宋" w:eastAsia="仿宋"/>
                <w:b/>
                <w:sz w:val="18"/>
                <w:szCs w:val="18"/>
              </w:rPr>
            </w:pPr>
            <w:r>
              <w:rPr>
                <w:rFonts w:hint="eastAsia" w:ascii="仿宋" w:hAnsi="仿宋" w:eastAsia="仿宋"/>
                <w:b/>
                <w:sz w:val="18"/>
                <w:szCs w:val="18"/>
              </w:rPr>
              <w:t>检测项目</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F40EF8">
            <w:pPr>
              <w:widowControl/>
              <w:spacing w:before="120" w:after="120" w:line="260" w:lineRule="exact"/>
              <w:jc w:val="center"/>
              <w:rPr>
                <w:rFonts w:ascii="仿宋" w:hAnsi="仿宋" w:eastAsia="仿宋"/>
                <w:b/>
                <w:sz w:val="18"/>
                <w:szCs w:val="18"/>
              </w:rPr>
            </w:pPr>
            <w:r>
              <w:rPr>
                <w:rFonts w:hint="eastAsia" w:ascii="仿宋" w:hAnsi="仿宋" w:eastAsia="仿宋"/>
                <w:b/>
                <w:sz w:val="18"/>
                <w:szCs w:val="18"/>
              </w:rPr>
              <w:t>检测频率</w:t>
            </w:r>
          </w:p>
        </w:tc>
      </w:tr>
      <w:tr w14:paraId="2AAB2E2E">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BBFE9">
            <w:pPr>
              <w:widowControl/>
              <w:spacing w:line="220" w:lineRule="exact"/>
              <w:jc w:val="center"/>
              <w:rPr>
                <w:rFonts w:ascii="仿宋" w:hAnsi="仿宋" w:eastAsia="仿宋"/>
                <w:sz w:val="18"/>
                <w:szCs w:val="18"/>
              </w:rPr>
            </w:pPr>
            <w:r>
              <w:rPr>
                <w:rFonts w:hint="eastAsia" w:ascii="仿宋" w:hAnsi="仿宋" w:eastAsia="仿宋"/>
                <w:sz w:val="18"/>
                <w:szCs w:val="18"/>
              </w:rPr>
              <w:t>1</w:t>
            </w:r>
          </w:p>
        </w:tc>
        <w:tc>
          <w:tcPr>
            <w:tcW w:w="93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6F9AB8B">
            <w:pPr>
              <w:widowControl/>
              <w:spacing w:line="220" w:lineRule="exact"/>
              <w:jc w:val="center"/>
              <w:rPr>
                <w:rFonts w:ascii="仿宋" w:hAnsi="仿宋" w:eastAsia="仿宋"/>
                <w:sz w:val="18"/>
                <w:szCs w:val="18"/>
              </w:rPr>
            </w:pPr>
            <w:r>
              <w:rPr>
                <w:rFonts w:hint="eastAsia" w:ascii="仿宋" w:hAnsi="仿宋" w:eastAsia="仿宋"/>
                <w:sz w:val="18"/>
                <w:szCs w:val="18"/>
              </w:rPr>
              <w:t>车行道（含非机动车道）</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ACF735">
            <w:pPr>
              <w:widowControl/>
              <w:spacing w:line="220" w:lineRule="exact"/>
              <w:jc w:val="center"/>
              <w:rPr>
                <w:rFonts w:ascii="仿宋" w:hAnsi="仿宋" w:eastAsia="仿宋"/>
                <w:sz w:val="18"/>
                <w:szCs w:val="18"/>
              </w:rPr>
            </w:pPr>
            <w:r>
              <w:rPr>
                <w:rFonts w:hint="eastAsia" w:ascii="仿宋" w:hAnsi="仿宋" w:eastAsia="仿宋"/>
                <w:sz w:val="18"/>
                <w:szCs w:val="18"/>
              </w:rPr>
              <w:t>结构层厚度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AEF60">
            <w:pPr>
              <w:widowControl/>
              <w:spacing w:line="220" w:lineRule="exact"/>
              <w:jc w:val="center"/>
              <w:rPr>
                <w:rFonts w:ascii="仿宋" w:hAnsi="仿宋" w:eastAsia="仿宋"/>
                <w:sz w:val="18"/>
                <w:szCs w:val="18"/>
              </w:rPr>
            </w:pPr>
            <w:r>
              <w:rPr>
                <w:rFonts w:hint="eastAsia" w:ascii="仿宋" w:hAnsi="仿宋" w:eastAsia="仿宋"/>
                <w:sz w:val="18"/>
                <w:szCs w:val="18"/>
              </w:rPr>
              <w:t>每1000㎡测1点</w:t>
            </w:r>
          </w:p>
          <w:p w14:paraId="075FE19D">
            <w:pPr>
              <w:widowControl/>
              <w:spacing w:line="220" w:lineRule="exact"/>
              <w:jc w:val="center"/>
              <w:rPr>
                <w:rFonts w:ascii="仿宋" w:hAnsi="仿宋" w:eastAsia="仿宋"/>
                <w:sz w:val="18"/>
                <w:szCs w:val="18"/>
              </w:rPr>
            </w:pPr>
            <w:r>
              <w:rPr>
                <w:rFonts w:hint="eastAsia" w:ascii="仿宋" w:hAnsi="仿宋" w:eastAsia="仿宋"/>
                <w:sz w:val="18"/>
                <w:szCs w:val="18"/>
              </w:rPr>
              <w:t>（不满1000㎡的按照1000㎡测）。</w:t>
            </w:r>
          </w:p>
        </w:tc>
      </w:tr>
      <w:tr w14:paraId="6BE5CDB5">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120249">
            <w:pPr>
              <w:widowControl/>
              <w:spacing w:line="220" w:lineRule="exact"/>
              <w:jc w:val="center"/>
              <w:rPr>
                <w:rFonts w:ascii="仿宋" w:hAnsi="仿宋" w:eastAsia="仿宋"/>
                <w:sz w:val="18"/>
                <w:szCs w:val="18"/>
              </w:rPr>
            </w:pPr>
            <w:r>
              <w:rPr>
                <w:rFonts w:hint="eastAsia" w:ascii="仿宋" w:hAnsi="仿宋" w:eastAsia="仿宋"/>
                <w:sz w:val="18"/>
                <w:szCs w:val="18"/>
              </w:rPr>
              <w:t>2</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1C305CBD">
            <w:pPr>
              <w:spacing w:line="220" w:lineRule="exact"/>
              <w:jc w:val="center"/>
              <w:rPr>
                <w:rFonts w:ascii="仿宋" w:hAnsi="仿宋" w:eastAsia="仿宋"/>
                <w:sz w:val="18"/>
                <w:szCs w:val="18"/>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93D7DE">
            <w:pPr>
              <w:widowControl/>
              <w:spacing w:line="220" w:lineRule="exact"/>
              <w:jc w:val="center"/>
              <w:rPr>
                <w:rFonts w:ascii="仿宋" w:hAnsi="仿宋" w:eastAsia="仿宋"/>
                <w:sz w:val="18"/>
                <w:szCs w:val="18"/>
              </w:rPr>
            </w:pPr>
            <w:r>
              <w:rPr>
                <w:rFonts w:hint="eastAsia" w:ascii="仿宋" w:hAnsi="仿宋" w:eastAsia="仿宋"/>
                <w:sz w:val="18"/>
                <w:szCs w:val="18"/>
              </w:rPr>
              <w:t>沥青面层压实度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DC745B">
            <w:pPr>
              <w:widowControl/>
              <w:spacing w:line="220" w:lineRule="exact"/>
              <w:jc w:val="center"/>
              <w:rPr>
                <w:rFonts w:ascii="仿宋" w:hAnsi="仿宋" w:eastAsia="仿宋"/>
                <w:sz w:val="18"/>
                <w:szCs w:val="18"/>
              </w:rPr>
            </w:pPr>
            <w:r>
              <w:rPr>
                <w:rFonts w:hint="eastAsia" w:ascii="仿宋" w:hAnsi="仿宋" w:eastAsia="仿宋"/>
                <w:sz w:val="18"/>
                <w:szCs w:val="18"/>
              </w:rPr>
              <w:t>每1000㎡测1点。</w:t>
            </w:r>
          </w:p>
          <w:p w14:paraId="2D4EF812">
            <w:pPr>
              <w:widowControl/>
              <w:spacing w:line="220" w:lineRule="exact"/>
              <w:jc w:val="center"/>
              <w:rPr>
                <w:rFonts w:ascii="仿宋" w:hAnsi="仿宋" w:eastAsia="仿宋"/>
                <w:sz w:val="18"/>
                <w:szCs w:val="18"/>
              </w:rPr>
            </w:pPr>
            <w:r>
              <w:rPr>
                <w:rFonts w:hint="eastAsia" w:ascii="仿宋" w:hAnsi="仿宋" w:eastAsia="仿宋"/>
                <w:sz w:val="18"/>
                <w:szCs w:val="18"/>
              </w:rPr>
              <w:t>（不满1000㎡的按照1000㎡测）</w:t>
            </w:r>
          </w:p>
        </w:tc>
      </w:tr>
      <w:tr w14:paraId="34F222EE">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3BA6E2BB">
            <w:pPr>
              <w:widowControl/>
              <w:spacing w:line="220" w:lineRule="exact"/>
              <w:jc w:val="center"/>
              <w:rPr>
                <w:rFonts w:ascii="仿宋" w:hAnsi="仿宋" w:eastAsia="仿宋"/>
                <w:sz w:val="18"/>
                <w:szCs w:val="18"/>
              </w:rPr>
            </w:pPr>
            <w:r>
              <w:rPr>
                <w:rFonts w:hint="eastAsia" w:ascii="仿宋" w:hAnsi="仿宋" w:eastAsia="仿宋"/>
                <w:sz w:val="18"/>
                <w:szCs w:val="18"/>
              </w:rPr>
              <w:t>3</w:t>
            </w:r>
          </w:p>
        </w:tc>
        <w:tc>
          <w:tcPr>
            <w:tcW w:w="938"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BE2130A">
            <w:pPr>
              <w:widowControl/>
              <w:spacing w:line="220" w:lineRule="exact"/>
              <w:jc w:val="center"/>
              <w:rPr>
                <w:rFonts w:ascii="仿宋" w:hAnsi="仿宋" w:eastAsia="仿宋"/>
                <w:sz w:val="18"/>
                <w:szCs w:val="18"/>
              </w:rPr>
            </w:pPr>
            <w:r>
              <w:rPr>
                <w:rFonts w:hint="eastAsia" w:ascii="仿宋" w:hAnsi="仿宋" w:eastAsia="仿宋"/>
                <w:sz w:val="18"/>
                <w:szCs w:val="18"/>
              </w:rPr>
              <w:t>人行道</w:t>
            </w: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4F0906D9">
            <w:pPr>
              <w:widowControl/>
              <w:spacing w:line="220" w:lineRule="exact"/>
              <w:jc w:val="center"/>
              <w:rPr>
                <w:rFonts w:ascii="仿宋" w:hAnsi="仿宋" w:eastAsia="仿宋"/>
                <w:sz w:val="18"/>
                <w:szCs w:val="18"/>
              </w:rPr>
            </w:pPr>
            <w:r>
              <w:rPr>
                <w:rFonts w:hint="eastAsia" w:ascii="仿宋" w:hAnsi="仿宋" w:eastAsia="仿宋"/>
                <w:sz w:val="18"/>
                <w:szCs w:val="18"/>
              </w:rPr>
              <w:t>料石、混凝土预制砌块铺砌人行道强度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ECFC86">
            <w:pPr>
              <w:widowControl/>
              <w:spacing w:line="220" w:lineRule="exact"/>
              <w:jc w:val="center"/>
              <w:rPr>
                <w:rFonts w:ascii="仿宋" w:hAnsi="仿宋" w:eastAsia="仿宋"/>
                <w:sz w:val="18"/>
                <w:szCs w:val="18"/>
              </w:rPr>
            </w:pPr>
            <w:r>
              <w:rPr>
                <w:rFonts w:hint="eastAsia" w:ascii="仿宋" w:hAnsi="仿宋" w:eastAsia="仿宋"/>
                <w:sz w:val="18"/>
                <w:szCs w:val="18"/>
              </w:rPr>
              <w:t>按规格型号批次检测1组。</w:t>
            </w:r>
          </w:p>
        </w:tc>
      </w:tr>
      <w:tr w14:paraId="20F82125">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75EF3FCB">
            <w:pPr>
              <w:widowControl/>
              <w:spacing w:line="220" w:lineRule="exact"/>
              <w:jc w:val="center"/>
              <w:rPr>
                <w:rFonts w:ascii="仿宋" w:hAnsi="仿宋" w:eastAsia="仿宋"/>
                <w:sz w:val="18"/>
                <w:szCs w:val="18"/>
              </w:rPr>
            </w:pPr>
            <w:r>
              <w:rPr>
                <w:rFonts w:hint="eastAsia" w:ascii="仿宋" w:hAnsi="仿宋" w:eastAsia="仿宋"/>
                <w:sz w:val="18"/>
                <w:szCs w:val="18"/>
              </w:rPr>
              <w:t>3</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229BF3E1">
            <w:pPr>
              <w:widowControl/>
              <w:spacing w:line="22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10269D37">
            <w:pPr>
              <w:widowControl/>
              <w:spacing w:line="220" w:lineRule="exact"/>
              <w:jc w:val="center"/>
              <w:rPr>
                <w:rFonts w:ascii="仿宋" w:hAnsi="仿宋" w:eastAsia="仿宋"/>
                <w:sz w:val="18"/>
                <w:szCs w:val="18"/>
              </w:rPr>
            </w:pPr>
            <w:r>
              <w:rPr>
                <w:rFonts w:hint="eastAsia" w:ascii="仿宋" w:hAnsi="仿宋" w:eastAsia="仿宋"/>
                <w:sz w:val="18"/>
                <w:szCs w:val="18"/>
              </w:rPr>
              <w:t>料石铺砌人行道外观尺寸</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5D485D">
            <w:pPr>
              <w:widowControl/>
              <w:spacing w:line="220" w:lineRule="exact"/>
              <w:jc w:val="center"/>
              <w:rPr>
                <w:rFonts w:ascii="仿宋" w:hAnsi="仿宋" w:eastAsia="仿宋"/>
                <w:sz w:val="18"/>
                <w:szCs w:val="18"/>
              </w:rPr>
            </w:pPr>
            <w:r>
              <w:rPr>
                <w:rFonts w:hint="eastAsia" w:ascii="仿宋" w:hAnsi="仿宋" w:eastAsia="仿宋"/>
                <w:sz w:val="18"/>
                <w:szCs w:val="18"/>
              </w:rPr>
              <w:t>按规格型号批次检测1组。</w:t>
            </w:r>
          </w:p>
        </w:tc>
      </w:tr>
      <w:tr w14:paraId="2604A3FE">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A25AD85">
            <w:pPr>
              <w:widowControl/>
              <w:spacing w:line="220" w:lineRule="exact"/>
              <w:jc w:val="center"/>
              <w:rPr>
                <w:rFonts w:ascii="仿宋" w:hAnsi="仿宋" w:eastAsia="仿宋"/>
                <w:sz w:val="18"/>
                <w:szCs w:val="18"/>
              </w:rPr>
            </w:pPr>
            <w:r>
              <w:rPr>
                <w:rFonts w:hint="eastAsia" w:ascii="仿宋" w:hAnsi="仿宋" w:eastAsia="仿宋"/>
                <w:sz w:val="18"/>
                <w:szCs w:val="18"/>
              </w:rPr>
              <w:t>4</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7291EE13">
            <w:pPr>
              <w:widowControl/>
              <w:spacing w:line="22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2C36F39">
            <w:pPr>
              <w:widowControl/>
              <w:spacing w:line="220" w:lineRule="exact"/>
              <w:jc w:val="center"/>
              <w:rPr>
                <w:rFonts w:ascii="仿宋" w:hAnsi="仿宋" w:eastAsia="仿宋"/>
                <w:sz w:val="18"/>
                <w:szCs w:val="18"/>
              </w:rPr>
            </w:pPr>
            <w:r>
              <w:rPr>
                <w:rFonts w:hint="eastAsia" w:ascii="仿宋" w:hAnsi="仿宋" w:eastAsia="仿宋"/>
                <w:sz w:val="18"/>
                <w:szCs w:val="18"/>
              </w:rPr>
              <w:t>沥青混合料铺筑人行道厚度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F9365F">
            <w:pPr>
              <w:widowControl/>
              <w:spacing w:line="220" w:lineRule="exact"/>
              <w:jc w:val="center"/>
              <w:rPr>
                <w:rFonts w:ascii="仿宋" w:hAnsi="仿宋" w:eastAsia="仿宋"/>
                <w:sz w:val="18"/>
                <w:szCs w:val="18"/>
              </w:rPr>
            </w:pPr>
            <w:r>
              <w:rPr>
                <w:rFonts w:hint="eastAsia" w:ascii="仿宋" w:hAnsi="仿宋" w:eastAsia="仿宋"/>
                <w:sz w:val="18"/>
                <w:szCs w:val="18"/>
              </w:rPr>
              <w:t>每100米测1点。</w:t>
            </w:r>
          </w:p>
        </w:tc>
      </w:tr>
      <w:tr w14:paraId="5C95364F">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C73C827">
            <w:pPr>
              <w:widowControl/>
              <w:spacing w:line="220" w:lineRule="exact"/>
              <w:jc w:val="center"/>
              <w:rPr>
                <w:rFonts w:ascii="仿宋" w:hAnsi="仿宋" w:eastAsia="仿宋"/>
                <w:sz w:val="18"/>
                <w:szCs w:val="18"/>
              </w:rPr>
            </w:pPr>
            <w:r>
              <w:rPr>
                <w:rFonts w:hint="eastAsia" w:ascii="仿宋" w:hAnsi="仿宋" w:eastAsia="仿宋"/>
                <w:sz w:val="18"/>
                <w:szCs w:val="18"/>
              </w:rPr>
              <w:t>5</w:t>
            </w:r>
          </w:p>
        </w:tc>
        <w:tc>
          <w:tcPr>
            <w:tcW w:w="938"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5DE86E8">
            <w:pPr>
              <w:spacing w:line="220" w:lineRule="exact"/>
              <w:jc w:val="center"/>
              <w:rPr>
                <w:rFonts w:ascii="仿宋" w:hAnsi="仿宋" w:eastAsia="仿宋"/>
                <w:sz w:val="18"/>
                <w:szCs w:val="18"/>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6F465FB">
            <w:pPr>
              <w:widowControl/>
              <w:spacing w:line="220" w:lineRule="exact"/>
              <w:jc w:val="center"/>
              <w:rPr>
                <w:rFonts w:ascii="仿宋" w:hAnsi="仿宋" w:eastAsia="仿宋"/>
                <w:sz w:val="18"/>
                <w:szCs w:val="18"/>
              </w:rPr>
            </w:pPr>
            <w:r>
              <w:rPr>
                <w:rFonts w:hint="eastAsia" w:ascii="仿宋" w:hAnsi="仿宋" w:eastAsia="仿宋"/>
                <w:sz w:val="18"/>
                <w:szCs w:val="18"/>
              </w:rPr>
              <w:t>沥青混合料压实度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4F446">
            <w:pPr>
              <w:widowControl/>
              <w:spacing w:line="220" w:lineRule="exact"/>
              <w:jc w:val="center"/>
              <w:rPr>
                <w:rFonts w:ascii="仿宋" w:hAnsi="仿宋" w:eastAsia="仿宋"/>
                <w:sz w:val="18"/>
                <w:szCs w:val="18"/>
              </w:rPr>
            </w:pPr>
            <w:r>
              <w:rPr>
                <w:rFonts w:hint="eastAsia" w:ascii="仿宋" w:hAnsi="仿宋" w:eastAsia="仿宋"/>
                <w:sz w:val="18"/>
                <w:szCs w:val="18"/>
              </w:rPr>
              <w:t>每100米测1点。</w:t>
            </w:r>
          </w:p>
        </w:tc>
      </w:tr>
    </w:tbl>
    <w:p w14:paraId="5CDCACE9">
      <w:pPr>
        <w:autoSpaceDE w:val="0"/>
        <w:autoSpaceDN w:val="0"/>
        <w:adjustRightInd w:val="0"/>
        <w:jc w:val="center"/>
        <w:rPr>
          <w:rFonts w:ascii="仿宋" w:hAnsi="仿宋" w:eastAsia="仿宋" w:cs="仿宋"/>
          <w:b/>
          <w:kern w:val="0"/>
          <w:sz w:val="52"/>
          <w:szCs w:val="52"/>
        </w:rPr>
      </w:pPr>
    </w:p>
    <w:p w14:paraId="32B76F7F">
      <w:pPr>
        <w:autoSpaceDE w:val="0"/>
        <w:autoSpaceDN w:val="0"/>
        <w:adjustRightInd w:val="0"/>
        <w:rPr>
          <w:rFonts w:ascii="黑体" w:hAnsi="黑体" w:eastAsia="黑体" w:cs="仿宋"/>
          <w:kern w:val="0"/>
          <w:sz w:val="52"/>
          <w:szCs w:val="52"/>
        </w:rPr>
      </w:pPr>
    </w:p>
    <w:p w14:paraId="7F09D414">
      <w:pPr>
        <w:autoSpaceDE w:val="0"/>
        <w:autoSpaceDN w:val="0"/>
        <w:adjustRightInd w:val="0"/>
        <w:jc w:val="center"/>
        <w:rPr>
          <w:rFonts w:ascii="黑体" w:hAnsi="黑体" w:eastAsia="黑体" w:cs="仿宋"/>
          <w:kern w:val="0"/>
          <w:sz w:val="52"/>
          <w:szCs w:val="52"/>
        </w:rPr>
      </w:pPr>
      <w:r>
        <w:rPr>
          <w:rFonts w:hint="eastAsia" w:ascii="黑体" w:hAnsi="黑体" w:eastAsia="黑体" w:cs="仿宋"/>
          <w:kern w:val="0"/>
          <w:sz w:val="52"/>
          <w:szCs w:val="52"/>
        </w:rPr>
        <w:t>杭州市市政道路加固(修缮)工程质量抽检报告</w:t>
      </w:r>
    </w:p>
    <w:p w14:paraId="72BFC093">
      <w:pPr>
        <w:jc w:val="center"/>
        <w:rPr>
          <w:rFonts w:ascii="??" w:hAnsi="??" w:eastAsia="Times New Roman"/>
          <w:sz w:val="36"/>
        </w:rPr>
      </w:pPr>
    </w:p>
    <w:p w14:paraId="692F228A">
      <w:pPr>
        <w:jc w:val="center"/>
        <w:rPr>
          <w:rFonts w:ascii="??" w:hAnsi="??" w:eastAsia="Times New Roman"/>
          <w:sz w:val="36"/>
        </w:rPr>
      </w:pPr>
    </w:p>
    <w:p w14:paraId="7670ED00">
      <w:pPr>
        <w:jc w:val="center"/>
        <w:rPr>
          <w:rFonts w:ascii="??" w:hAnsi="??" w:eastAsia="Times New Roman"/>
          <w:sz w:val="36"/>
        </w:rPr>
      </w:pPr>
    </w:p>
    <w:p w14:paraId="43F62B0B">
      <w:pPr>
        <w:jc w:val="center"/>
        <w:rPr>
          <w:rFonts w:ascii="??" w:hAnsi="??" w:eastAsia="Times New Roman"/>
          <w:sz w:val="36"/>
        </w:rPr>
      </w:pPr>
    </w:p>
    <w:tbl>
      <w:tblPr>
        <w:tblStyle w:val="62"/>
        <w:tblW w:w="0" w:type="auto"/>
        <w:tblInd w:w="0" w:type="dxa"/>
        <w:tblLayout w:type="fixed"/>
        <w:tblCellMar>
          <w:top w:w="0" w:type="dxa"/>
          <w:left w:w="108" w:type="dxa"/>
          <w:bottom w:w="0" w:type="dxa"/>
          <w:right w:w="108" w:type="dxa"/>
        </w:tblCellMar>
      </w:tblPr>
      <w:tblGrid>
        <w:gridCol w:w="1917"/>
        <w:gridCol w:w="6939"/>
      </w:tblGrid>
      <w:tr w14:paraId="4198D115">
        <w:trPr>
          <w:trHeight w:val="1134" w:hRule="exact"/>
        </w:trPr>
        <w:tc>
          <w:tcPr>
            <w:tcW w:w="1917" w:type="dxa"/>
            <w:vAlign w:val="center"/>
          </w:tcPr>
          <w:p w14:paraId="0637DFE4">
            <w:pPr>
              <w:rPr>
                <w:rFonts w:ascii="仿宋" w:hAnsi="仿宋" w:eastAsia="仿宋"/>
                <w:b/>
                <w:sz w:val="32"/>
                <w:szCs w:val="32"/>
              </w:rPr>
            </w:pPr>
            <w:r>
              <w:rPr>
                <w:rFonts w:hint="eastAsia" w:ascii="仿宋" w:hAnsi="仿宋" w:eastAsia="仿宋"/>
                <w:b/>
                <w:sz w:val="32"/>
                <w:szCs w:val="32"/>
              </w:rPr>
              <w:t>委托单位：</w:t>
            </w:r>
          </w:p>
        </w:tc>
        <w:tc>
          <w:tcPr>
            <w:tcW w:w="6939" w:type="dxa"/>
            <w:vAlign w:val="center"/>
          </w:tcPr>
          <w:p w14:paraId="552CA3BA">
            <w:pPr>
              <w:rPr>
                <w:rFonts w:ascii="仿宋" w:hAnsi="仿宋" w:eastAsia="仿宋"/>
                <w:sz w:val="36"/>
              </w:rPr>
            </w:pPr>
            <w:r>
              <w:rPr>
                <w:rFonts w:hint="eastAsia" w:ascii="仿宋" w:hAnsi="仿宋" w:eastAsia="仿宋"/>
                <w:sz w:val="36"/>
              </w:rPr>
              <w:t>——</w:t>
            </w:r>
          </w:p>
        </w:tc>
      </w:tr>
      <w:tr w14:paraId="2CB8A626">
        <w:tblPrEx>
          <w:tblCellMar>
            <w:top w:w="0" w:type="dxa"/>
            <w:left w:w="108" w:type="dxa"/>
            <w:bottom w:w="0" w:type="dxa"/>
            <w:right w:w="108" w:type="dxa"/>
          </w:tblCellMar>
        </w:tblPrEx>
        <w:trPr>
          <w:trHeight w:val="1134" w:hRule="exact"/>
        </w:trPr>
        <w:tc>
          <w:tcPr>
            <w:tcW w:w="1917" w:type="dxa"/>
            <w:vAlign w:val="center"/>
          </w:tcPr>
          <w:p w14:paraId="6DB1EC32">
            <w:pPr>
              <w:rPr>
                <w:rFonts w:ascii="仿宋" w:hAnsi="仿宋" w:eastAsia="仿宋"/>
                <w:b/>
                <w:sz w:val="32"/>
                <w:szCs w:val="32"/>
              </w:rPr>
            </w:pPr>
            <w:r>
              <w:rPr>
                <w:rFonts w:hint="eastAsia" w:ascii="仿宋" w:hAnsi="仿宋" w:eastAsia="仿宋"/>
                <w:b/>
                <w:sz w:val="32"/>
                <w:szCs w:val="32"/>
              </w:rPr>
              <w:t>建设单位：</w:t>
            </w:r>
          </w:p>
        </w:tc>
        <w:tc>
          <w:tcPr>
            <w:tcW w:w="6939" w:type="dxa"/>
            <w:vAlign w:val="center"/>
          </w:tcPr>
          <w:p w14:paraId="1CEDF6C3">
            <w:pPr>
              <w:rPr>
                <w:rFonts w:ascii="仿宋" w:hAnsi="仿宋" w:eastAsia="仿宋"/>
                <w:sz w:val="36"/>
              </w:rPr>
            </w:pPr>
            <w:r>
              <w:rPr>
                <w:rFonts w:hint="eastAsia" w:ascii="仿宋" w:hAnsi="仿宋" w:eastAsia="仿宋"/>
                <w:sz w:val="36"/>
              </w:rPr>
              <w:t>——</w:t>
            </w:r>
          </w:p>
        </w:tc>
      </w:tr>
      <w:tr w14:paraId="2900D970">
        <w:tblPrEx>
          <w:tblCellMar>
            <w:top w:w="0" w:type="dxa"/>
            <w:left w:w="108" w:type="dxa"/>
            <w:bottom w:w="0" w:type="dxa"/>
            <w:right w:w="108" w:type="dxa"/>
          </w:tblCellMar>
        </w:tblPrEx>
        <w:trPr>
          <w:trHeight w:val="1134" w:hRule="exact"/>
        </w:trPr>
        <w:tc>
          <w:tcPr>
            <w:tcW w:w="1917" w:type="dxa"/>
            <w:vAlign w:val="center"/>
          </w:tcPr>
          <w:p w14:paraId="68FD3ABD">
            <w:pPr>
              <w:rPr>
                <w:rFonts w:ascii="仿宋" w:hAnsi="仿宋" w:eastAsia="仿宋"/>
                <w:b/>
                <w:sz w:val="32"/>
                <w:szCs w:val="32"/>
              </w:rPr>
            </w:pPr>
            <w:r>
              <w:rPr>
                <w:rFonts w:hint="eastAsia" w:ascii="仿宋" w:hAnsi="仿宋" w:eastAsia="仿宋"/>
                <w:b/>
                <w:sz w:val="32"/>
                <w:szCs w:val="32"/>
              </w:rPr>
              <w:t>工程名称：</w:t>
            </w:r>
          </w:p>
        </w:tc>
        <w:tc>
          <w:tcPr>
            <w:tcW w:w="6939" w:type="dxa"/>
            <w:vAlign w:val="center"/>
          </w:tcPr>
          <w:p w14:paraId="64BCDE84">
            <w:pPr>
              <w:rPr>
                <w:rFonts w:ascii="仿宋" w:hAnsi="仿宋" w:eastAsia="仿宋"/>
                <w:sz w:val="36"/>
              </w:rPr>
            </w:pPr>
            <w:r>
              <w:rPr>
                <w:rFonts w:hint="eastAsia" w:ascii="仿宋" w:hAnsi="仿宋" w:eastAsia="仿宋"/>
                <w:sz w:val="36"/>
              </w:rPr>
              <w:t>——</w:t>
            </w:r>
          </w:p>
        </w:tc>
      </w:tr>
      <w:tr w14:paraId="5B153AE3">
        <w:tblPrEx>
          <w:tblCellMar>
            <w:top w:w="0" w:type="dxa"/>
            <w:left w:w="108" w:type="dxa"/>
            <w:bottom w:w="0" w:type="dxa"/>
            <w:right w:w="108" w:type="dxa"/>
          </w:tblCellMar>
        </w:tblPrEx>
        <w:trPr>
          <w:trHeight w:val="1134" w:hRule="exact"/>
        </w:trPr>
        <w:tc>
          <w:tcPr>
            <w:tcW w:w="1917" w:type="dxa"/>
            <w:vAlign w:val="center"/>
          </w:tcPr>
          <w:p w14:paraId="6FE66D78">
            <w:pPr>
              <w:rPr>
                <w:rFonts w:ascii="仿宋" w:hAnsi="仿宋" w:eastAsia="仿宋"/>
                <w:b/>
                <w:sz w:val="32"/>
                <w:szCs w:val="32"/>
              </w:rPr>
            </w:pPr>
            <w:r>
              <w:rPr>
                <w:rFonts w:hint="eastAsia" w:ascii="仿宋" w:hAnsi="仿宋" w:eastAsia="仿宋"/>
                <w:b/>
                <w:sz w:val="32"/>
                <w:szCs w:val="32"/>
              </w:rPr>
              <w:t>检测单位</w:t>
            </w:r>
          </w:p>
        </w:tc>
        <w:tc>
          <w:tcPr>
            <w:tcW w:w="6939" w:type="dxa"/>
            <w:vAlign w:val="center"/>
          </w:tcPr>
          <w:p w14:paraId="2E7B17CE">
            <w:pPr>
              <w:rPr>
                <w:rFonts w:ascii="仿宋" w:hAnsi="仿宋" w:eastAsia="仿宋"/>
                <w:sz w:val="36"/>
              </w:rPr>
            </w:pPr>
            <w:r>
              <w:rPr>
                <w:rFonts w:hint="eastAsia" w:ascii="仿宋" w:hAnsi="仿宋" w:eastAsia="仿宋"/>
                <w:sz w:val="36"/>
              </w:rPr>
              <w:t>——</w:t>
            </w:r>
          </w:p>
        </w:tc>
      </w:tr>
    </w:tbl>
    <w:p w14:paraId="6210C4BF">
      <w:pPr>
        <w:jc w:val="center"/>
        <w:rPr>
          <w:rFonts w:ascii="仿宋" w:hAnsi="仿宋" w:eastAsia="仿宋"/>
          <w:sz w:val="36"/>
        </w:rPr>
      </w:pPr>
    </w:p>
    <w:p w14:paraId="562D876B">
      <w:pPr>
        <w:jc w:val="center"/>
        <w:rPr>
          <w:rFonts w:ascii="??" w:hAnsi="??"/>
          <w:sz w:val="36"/>
        </w:rPr>
        <w:sectPr>
          <w:footerReference r:id="rId15" w:type="default"/>
          <w:pgSz w:w="12240" w:h="15840"/>
          <w:pgMar w:top="1440" w:right="1800" w:bottom="1440" w:left="1800" w:header="720" w:footer="720" w:gutter="0"/>
          <w:pgNumType w:fmt="decimal"/>
          <w:cols w:space="720" w:num="1"/>
        </w:sectPr>
      </w:pPr>
      <w:r>
        <w:rPr>
          <w:rFonts w:hint="eastAsia" w:ascii="仿宋" w:hAnsi="仿宋" w:eastAsia="仿宋"/>
          <w:sz w:val="36"/>
        </w:rPr>
        <w:t>2021年 月</w:t>
      </w:r>
    </w:p>
    <w:p w14:paraId="2DC1E1B1">
      <w:pPr>
        <w:rPr>
          <w:rFonts w:ascii="??" w:hAnsi="??"/>
          <w:sz w:val="32"/>
          <w:szCs w:val="32"/>
        </w:rPr>
      </w:pPr>
    </w:p>
    <w:p w14:paraId="235E0FE6">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目    录</w:t>
      </w:r>
    </w:p>
    <w:p w14:paraId="271047D4">
      <w:pPr>
        <w:jc w:val="center"/>
        <w:rPr>
          <w:rFonts w:ascii="华文仿宋" w:hAnsi="华文仿宋" w:eastAsia="华文仿宋" w:cs="华文仿宋"/>
          <w:sz w:val="24"/>
          <w:szCs w:val="24"/>
        </w:rPr>
      </w:pPr>
    </w:p>
    <w:p w14:paraId="33807072">
      <w:pPr>
        <w:jc w:val="center"/>
        <w:rPr>
          <w:rFonts w:ascii="华文仿宋" w:hAnsi="华文仿宋" w:eastAsia="华文仿宋" w:cs="华文仿宋"/>
          <w:sz w:val="24"/>
          <w:szCs w:val="24"/>
        </w:rPr>
      </w:pPr>
    </w:p>
    <w:p w14:paraId="6292B4BB">
      <w:pPr>
        <w:pStyle w:val="42"/>
        <w:tabs>
          <w:tab w:val="right" w:leader="dot" w:pos="8640"/>
        </w:tabs>
        <w:rPr>
          <w:sz w:val="24"/>
          <w:szCs w:val="24"/>
        </w:rPr>
      </w:pPr>
      <w:r>
        <w:rPr>
          <w:rFonts w:hint="eastAsia" w:ascii="华文仿宋" w:hAnsi="华文仿宋" w:eastAsia="华文仿宋" w:cs="华文仿宋"/>
          <w:sz w:val="24"/>
          <w:szCs w:val="24"/>
        </w:rPr>
        <w:fldChar w:fldCharType="begin"/>
      </w:r>
      <w:r>
        <w:rPr>
          <w:rFonts w:hint="eastAsia" w:ascii="华文仿宋" w:hAnsi="华文仿宋" w:eastAsia="华文仿宋" w:cs="华文仿宋"/>
          <w:sz w:val="24"/>
          <w:szCs w:val="24"/>
        </w:rPr>
        <w:instrText xml:space="preserve">TOC \o "1-2" \h \u </w:instrText>
      </w:r>
      <w:r>
        <w:rPr>
          <w:rFonts w:hint="eastAsia" w:ascii="华文仿宋" w:hAnsi="华文仿宋" w:eastAsia="华文仿宋" w:cs="华文仿宋"/>
          <w:sz w:val="24"/>
          <w:szCs w:val="24"/>
        </w:rPr>
        <w:fldChar w:fldCharType="separate"/>
      </w:r>
      <w:r>
        <w:fldChar w:fldCharType="begin"/>
      </w:r>
      <w:r>
        <w:instrText xml:space="preserve"> HYPERLINK \l "_Toc4742" </w:instrText>
      </w:r>
      <w:r>
        <w:fldChar w:fldCharType="separate"/>
      </w:r>
      <w:r>
        <w:rPr>
          <w:rFonts w:hint="eastAsia" w:ascii="宋体" w:hAnsi="宋体"/>
          <w:sz w:val="24"/>
          <w:szCs w:val="24"/>
        </w:rPr>
        <w:t>一、工程概况</w:t>
      </w:r>
      <w:r>
        <w:rPr>
          <w:sz w:val="24"/>
          <w:szCs w:val="24"/>
        </w:rPr>
        <w:tab/>
      </w:r>
      <w:r>
        <w:rPr>
          <w:sz w:val="24"/>
          <w:szCs w:val="24"/>
        </w:rPr>
        <w:fldChar w:fldCharType="begin"/>
      </w:r>
      <w:r>
        <w:rPr>
          <w:sz w:val="24"/>
          <w:szCs w:val="24"/>
        </w:rPr>
        <w:instrText xml:space="preserve"> PAGEREF _Toc4742 </w:instrText>
      </w:r>
      <w:r>
        <w:rPr>
          <w:sz w:val="24"/>
          <w:szCs w:val="24"/>
        </w:rPr>
        <w:fldChar w:fldCharType="separate"/>
      </w:r>
      <w:r>
        <w:rPr>
          <w:sz w:val="24"/>
          <w:szCs w:val="24"/>
        </w:rPr>
        <w:t>15</w:t>
      </w:r>
      <w:r>
        <w:rPr>
          <w:sz w:val="24"/>
          <w:szCs w:val="24"/>
        </w:rPr>
        <w:fldChar w:fldCharType="end"/>
      </w:r>
      <w:r>
        <w:rPr>
          <w:sz w:val="24"/>
          <w:szCs w:val="24"/>
        </w:rPr>
        <w:fldChar w:fldCharType="end"/>
      </w:r>
    </w:p>
    <w:p w14:paraId="02BB9400">
      <w:pPr>
        <w:pStyle w:val="42"/>
        <w:tabs>
          <w:tab w:val="right" w:leader="dot" w:pos="8640"/>
        </w:tabs>
        <w:rPr>
          <w:sz w:val="24"/>
          <w:szCs w:val="24"/>
        </w:rPr>
      </w:pPr>
      <w:r>
        <w:fldChar w:fldCharType="begin"/>
      </w:r>
      <w:r>
        <w:instrText xml:space="preserve"> HYPERLINK \l "_Toc29543" </w:instrText>
      </w:r>
      <w:r>
        <w:fldChar w:fldCharType="separate"/>
      </w:r>
      <w:r>
        <w:rPr>
          <w:rFonts w:hint="eastAsia" w:ascii="宋体" w:hAnsi="宋体"/>
          <w:sz w:val="24"/>
          <w:szCs w:val="24"/>
        </w:rPr>
        <w:t>二、工程范围</w:t>
      </w:r>
      <w:r>
        <w:rPr>
          <w:sz w:val="24"/>
          <w:szCs w:val="24"/>
        </w:rPr>
        <w:tab/>
      </w:r>
      <w:r>
        <w:rPr>
          <w:sz w:val="24"/>
          <w:szCs w:val="24"/>
        </w:rPr>
        <w:fldChar w:fldCharType="begin"/>
      </w:r>
      <w:r>
        <w:rPr>
          <w:sz w:val="24"/>
          <w:szCs w:val="24"/>
        </w:rPr>
        <w:instrText xml:space="preserve"> PAGEREF _Toc29543 </w:instrText>
      </w:r>
      <w:r>
        <w:rPr>
          <w:sz w:val="24"/>
          <w:szCs w:val="24"/>
        </w:rPr>
        <w:fldChar w:fldCharType="separate"/>
      </w:r>
      <w:r>
        <w:rPr>
          <w:sz w:val="24"/>
          <w:szCs w:val="24"/>
        </w:rPr>
        <w:t>15</w:t>
      </w:r>
      <w:r>
        <w:rPr>
          <w:sz w:val="24"/>
          <w:szCs w:val="24"/>
        </w:rPr>
        <w:fldChar w:fldCharType="end"/>
      </w:r>
      <w:r>
        <w:rPr>
          <w:sz w:val="24"/>
          <w:szCs w:val="24"/>
        </w:rPr>
        <w:fldChar w:fldCharType="end"/>
      </w:r>
    </w:p>
    <w:p w14:paraId="3E762EC8">
      <w:pPr>
        <w:pStyle w:val="53"/>
        <w:tabs>
          <w:tab w:val="right" w:leader="dot" w:pos="8640"/>
        </w:tabs>
        <w:rPr>
          <w:sz w:val="24"/>
          <w:szCs w:val="24"/>
        </w:rPr>
      </w:pPr>
      <w:r>
        <w:fldChar w:fldCharType="begin"/>
      </w:r>
      <w:r>
        <w:instrText xml:space="preserve"> HYPERLINK \l "_Toc28491" </w:instrText>
      </w:r>
      <w:r>
        <w:fldChar w:fldCharType="separate"/>
      </w:r>
      <w:r>
        <w:rPr>
          <w:rFonts w:hint="eastAsia" w:ascii="宋体" w:hAnsi="宋体"/>
          <w:bCs/>
          <w:sz w:val="24"/>
          <w:szCs w:val="24"/>
        </w:rPr>
        <w:t>（一）检测路段（含相关地形图和管线位置图）</w:t>
      </w:r>
      <w:r>
        <w:rPr>
          <w:sz w:val="24"/>
          <w:szCs w:val="24"/>
        </w:rPr>
        <w:tab/>
      </w:r>
      <w:r>
        <w:rPr>
          <w:sz w:val="24"/>
          <w:szCs w:val="24"/>
        </w:rPr>
        <w:fldChar w:fldCharType="begin"/>
      </w:r>
      <w:r>
        <w:rPr>
          <w:sz w:val="24"/>
          <w:szCs w:val="24"/>
        </w:rPr>
        <w:instrText xml:space="preserve"> PAGEREF _Toc28491 </w:instrText>
      </w:r>
      <w:r>
        <w:rPr>
          <w:sz w:val="24"/>
          <w:szCs w:val="24"/>
        </w:rPr>
        <w:fldChar w:fldCharType="separate"/>
      </w:r>
      <w:r>
        <w:rPr>
          <w:sz w:val="24"/>
          <w:szCs w:val="24"/>
        </w:rPr>
        <w:t>15</w:t>
      </w:r>
      <w:r>
        <w:rPr>
          <w:sz w:val="24"/>
          <w:szCs w:val="24"/>
        </w:rPr>
        <w:fldChar w:fldCharType="end"/>
      </w:r>
      <w:r>
        <w:rPr>
          <w:sz w:val="24"/>
          <w:szCs w:val="24"/>
        </w:rPr>
        <w:fldChar w:fldCharType="end"/>
      </w:r>
    </w:p>
    <w:p w14:paraId="2E08EB9D">
      <w:pPr>
        <w:pStyle w:val="53"/>
        <w:tabs>
          <w:tab w:val="right" w:leader="dot" w:pos="8640"/>
        </w:tabs>
        <w:rPr>
          <w:sz w:val="24"/>
          <w:szCs w:val="24"/>
        </w:rPr>
      </w:pPr>
      <w:r>
        <w:fldChar w:fldCharType="begin"/>
      </w:r>
      <w:r>
        <w:instrText xml:space="preserve"> HYPERLINK \l "_Toc23737" </w:instrText>
      </w:r>
      <w:r>
        <w:fldChar w:fldCharType="separate"/>
      </w:r>
      <w:r>
        <w:rPr>
          <w:rFonts w:hint="eastAsia" w:ascii="宋体" w:hAnsi="宋体"/>
          <w:bCs/>
          <w:sz w:val="24"/>
          <w:szCs w:val="24"/>
        </w:rPr>
        <w:t>（二）检测要求（包含所有检测项目要求）</w:t>
      </w:r>
      <w:r>
        <w:rPr>
          <w:sz w:val="24"/>
          <w:szCs w:val="24"/>
        </w:rPr>
        <w:tab/>
      </w:r>
      <w:r>
        <w:rPr>
          <w:sz w:val="24"/>
          <w:szCs w:val="24"/>
        </w:rPr>
        <w:fldChar w:fldCharType="begin"/>
      </w:r>
      <w:r>
        <w:rPr>
          <w:sz w:val="24"/>
          <w:szCs w:val="24"/>
        </w:rPr>
        <w:instrText xml:space="preserve"> PAGEREF _Toc23737 </w:instrText>
      </w:r>
      <w:r>
        <w:rPr>
          <w:sz w:val="24"/>
          <w:szCs w:val="24"/>
        </w:rPr>
        <w:fldChar w:fldCharType="separate"/>
      </w:r>
      <w:r>
        <w:rPr>
          <w:sz w:val="24"/>
          <w:szCs w:val="24"/>
        </w:rPr>
        <w:t>15</w:t>
      </w:r>
      <w:r>
        <w:rPr>
          <w:sz w:val="24"/>
          <w:szCs w:val="24"/>
        </w:rPr>
        <w:fldChar w:fldCharType="end"/>
      </w:r>
      <w:r>
        <w:rPr>
          <w:sz w:val="24"/>
          <w:szCs w:val="24"/>
        </w:rPr>
        <w:fldChar w:fldCharType="end"/>
      </w:r>
    </w:p>
    <w:p w14:paraId="15932BDA">
      <w:pPr>
        <w:pStyle w:val="42"/>
        <w:tabs>
          <w:tab w:val="right" w:leader="dot" w:pos="8640"/>
        </w:tabs>
        <w:rPr>
          <w:sz w:val="24"/>
          <w:szCs w:val="24"/>
        </w:rPr>
      </w:pPr>
      <w:r>
        <w:fldChar w:fldCharType="begin"/>
      </w:r>
      <w:r>
        <w:instrText xml:space="preserve"> HYPERLINK \l "_Toc31504" </w:instrText>
      </w:r>
      <w:r>
        <w:fldChar w:fldCharType="separate"/>
      </w:r>
      <w:r>
        <w:rPr>
          <w:rFonts w:hint="eastAsia" w:ascii="宋体" w:hAnsi="宋体"/>
          <w:sz w:val="24"/>
          <w:szCs w:val="24"/>
        </w:rPr>
        <w:t>三、抽检方案</w:t>
      </w:r>
      <w:r>
        <w:rPr>
          <w:sz w:val="24"/>
          <w:szCs w:val="24"/>
        </w:rPr>
        <w:tab/>
      </w:r>
      <w:r>
        <w:rPr>
          <w:sz w:val="24"/>
          <w:szCs w:val="24"/>
        </w:rPr>
        <w:fldChar w:fldCharType="begin"/>
      </w:r>
      <w:r>
        <w:rPr>
          <w:sz w:val="24"/>
          <w:szCs w:val="24"/>
        </w:rPr>
        <w:instrText xml:space="preserve"> PAGEREF _Toc31504 </w:instrText>
      </w:r>
      <w:r>
        <w:rPr>
          <w:sz w:val="24"/>
          <w:szCs w:val="24"/>
        </w:rPr>
        <w:fldChar w:fldCharType="separate"/>
      </w:r>
      <w:r>
        <w:rPr>
          <w:sz w:val="24"/>
          <w:szCs w:val="24"/>
        </w:rPr>
        <w:t>15</w:t>
      </w:r>
      <w:r>
        <w:rPr>
          <w:sz w:val="24"/>
          <w:szCs w:val="24"/>
        </w:rPr>
        <w:fldChar w:fldCharType="end"/>
      </w:r>
      <w:r>
        <w:rPr>
          <w:sz w:val="24"/>
          <w:szCs w:val="24"/>
        </w:rPr>
        <w:fldChar w:fldCharType="end"/>
      </w:r>
    </w:p>
    <w:p w14:paraId="04BC0938">
      <w:pPr>
        <w:pStyle w:val="53"/>
        <w:tabs>
          <w:tab w:val="right" w:leader="dot" w:pos="8640"/>
        </w:tabs>
        <w:rPr>
          <w:sz w:val="24"/>
          <w:szCs w:val="24"/>
        </w:rPr>
      </w:pPr>
      <w:r>
        <w:fldChar w:fldCharType="begin"/>
      </w:r>
      <w:r>
        <w:instrText xml:space="preserve"> HYPERLINK \l "_Toc3668" </w:instrText>
      </w:r>
      <w:r>
        <w:fldChar w:fldCharType="separate"/>
      </w:r>
      <w:r>
        <w:rPr>
          <w:rFonts w:hint="eastAsia" w:ascii="宋体" w:hAnsi="宋体"/>
          <w:sz w:val="24"/>
          <w:szCs w:val="24"/>
        </w:rPr>
        <w:t>（一）抽检方案（包含所有检测项目的详细检测方案及作业指导书）</w:t>
      </w:r>
      <w:r>
        <w:rPr>
          <w:sz w:val="24"/>
          <w:szCs w:val="24"/>
        </w:rPr>
        <w:tab/>
      </w:r>
      <w:r>
        <w:rPr>
          <w:sz w:val="24"/>
          <w:szCs w:val="24"/>
        </w:rPr>
        <w:fldChar w:fldCharType="begin"/>
      </w:r>
      <w:r>
        <w:rPr>
          <w:sz w:val="24"/>
          <w:szCs w:val="24"/>
        </w:rPr>
        <w:instrText xml:space="preserve"> PAGEREF _Toc3668 </w:instrText>
      </w:r>
      <w:r>
        <w:rPr>
          <w:sz w:val="24"/>
          <w:szCs w:val="24"/>
        </w:rPr>
        <w:fldChar w:fldCharType="separate"/>
      </w:r>
      <w:r>
        <w:rPr>
          <w:sz w:val="24"/>
          <w:szCs w:val="24"/>
        </w:rPr>
        <w:t>16</w:t>
      </w:r>
      <w:r>
        <w:rPr>
          <w:sz w:val="24"/>
          <w:szCs w:val="24"/>
        </w:rPr>
        <w:fldChar w:fldCharType="end"/>
      </w:r>
      <w:r>
        <w:rPr>
          <w:sz w:val="24"/>
          <w:szCs w:val="24"/>
        </w:rPr>
        <w:fldChar w:fldCharType="end"/>
      </w:r>
    </w:p>
    <w:p w14:paraId="557D83BD">
      <w:pPr>
        <w:pStyle w:val="53"/>
        <w:tabs>
          <w:tab w:val="right" w:leader="dot" w:pos="8640"/>
        </w:tabs>
        <w:rPr>
          <w:sz w:val="24"/>
          <w:szCs w:val="24"/>
        </w:rPr>
      </w:pPr>
      <w:r>
        <w:fldChar w:fldCharType="begin"/>
      </w:r>
      <w:r>
        <w:instrText xml:space="preserve"> HYPERLINK \l "_Toc25376" </w:instrText>
      </w:r>
      <w:r>
        <w:fldChar w:fldCharType="separate"/>
      </w:r>
      <w:r>
        <w:rPr>
          <w:rFonts w:hint="eastAsia" w:ascii="宋体" w:hAnsi="宋体"/>
          <w:sz w:val="24"/>
          <w:szCs w:val="24"/>
        </w:rPr>
        <w:t>（二）检测依据</w:t>
      </w:r>
      <w:r>
        <w:rPr>
          <w:sz w:val="24"/>
          <w:szCs w:val="24"/>
        </w:rPr>
        <w:tab/>
      </w:r>
      <w:r>
        <w:rPr>
          <w:sz w:val="24"/>
          <w:szCs w:val="24"/>
        </w:rPr>
        <w:fldChar w:fldCharType="begin"/>
      </w:r>
      <w:r>
        <w:rPr>
          <w:sz w:val="24"/>
          <w:szCs w:val="24"/>
        </w:rPr>
        <w:instrText xml:space="preserve"> PAGEREF _Toc25376 </w:instrText>
      </w:r>
      <w:r>
        <w:rPr>
          <w:sz w:val="24"/>
          <w:szCs w:val="24"/>
        </w:rPr>
        <w:fldChar w:fldCharType="separate"/>
      </w:r>
      <w:r>
        <w:rPr>
          <w:sz w:val="24"/>
          <w:szCs w:val="24"/>
        </w:rPr>
        <w:t>16</w:t>
      </w:r>
      <w:r>
        <w:rPr>
          <w:sz w:val="24"/>
          <w:szCs w:val="24"/>
        </w:rPr>
        <w:fldChar w:fldCharType="end"/>
      </w:r>
      <w:r>
        <w:rPr>
          <w:sz w:val="24"/>
          <w:szCs w:val="24"/>
        </w:rPr>
        <w:fldChar w:fldCharType="end"/>
      </w:r>
    </w:p>
    <w:p w14:paraId="0AD381D3">
      <w:pPr>
        <w:pStyle w:val="53"/>
        <w:tabs>
          <w:tab w:val="right" w:leader="dot" w:pos="8640"/>
        </w:tabs>
        <w:rPr>
          <w:sz w:val="24"/>
          <w:szCs w:val="24"/>
        </w:rPr>
      </w:pPr>
      <w:r>
        <w:fldChar w:fldCharType="begin"/>
      </w:r>
      <w:r>
        <w:instrText xml:space="preserve"> HYPERLINK \l "_Toc27810" </w:instrText>
      </w:r>
      <w:r>
        <w:fldChar w:fldCharType="separate"/>
      </w:r>
      <w:r>
        <w:rPr>
          <w:rFonts w:hint="eastAsia" w:ascii="宋体" w:hAnsi="宋体"/>
          <w:sz w:val="24"/>
          <w:szCs w:val="24"/>
        </w:rPr>
        <w:t>（三）判定标准</w:t>
      </w:r>
      <w:r>
        <w:rPr>
          <w:sz w:val="24"/>
          <w:szCs w:val="24"/>
        </w:rPr>
        <w:tab/>
      </w:r>
      <w:r>
        <w:rPr>
          <w:sz w:val="24"/>
          <w:szCs w:val="24"/>
        </w:rPr>
        <w:fldChar w:fldCharType="begin"/>
      </w:r>
      <w:r>
        <w:rPr>
          <w:sz w:val="24"/>
          <w:szCs w:val="24"/>
        </w:rPr>
        <w:instrText xml:space="preserve"> PAGEREF _Toc27810 </w:instrText>
      </w:r>
      <w:r>
        <w:rPr>
          <w:sz w:val="24"/>
          <w:szCs w:val="24"/>
        </w:rPr>
        <w:fldChar w:fldCharType="separate"/>
      </w:r>
      <w:r>
        <w:rPr>
          <w:sz w:val="24"/>
          <w:szCs w:val="24"/>
        </w:rPr>
        <w:t>16</w:t>
      </w:r>
      <w:r>
        <w:rPr>
          <w:sz w:val="24"/>
          <w:szCs w:val="24"/>
        </w:rPr>
        <w:fldChar w:fldCharType="end"/>
      </w:r>
      <w:r>
        <w:rPr>
          <w:sz w:val="24"/>
          <w:szCs w:val="24"/>
        </w:rPr>
        <w:fldChar w:fldCharType="end"/>
      </w:r>
    </w:p>
    <w:p w14:paraId="1AC5E9CA">
      <w:pPr>
        <w:pStyle w:val="53"/>
        <w:tabs>
          <w:tab w:val="right" w:leader="dot" w:pos="8640"/>
        </w:tabs>
        <w:rPr>
          <w:sz w:val="24"/>
          <w:szCs w:val="24"/>
        </w:rPr>
      </w:pPr>
      <w:r>
        <w:fldChar w:fldCharType="begin"/>
      </w:r>
      <w:r>
        <w:instrText xml:space="preserve"> HYPERLINK \l "_Toc23901" </w:instrText>
      </w:r>
      <w:r>
        <w:fldChar w:fldCharType="separate"/>
      </w:r>
      <w:r>
        <w:rPr>
          <w:rFonts w:hint="eastAsia" w:ascii="宋体" w:hAnsi="宋体"/>
          <w:sz w:val="24"/>
          <w:szCs w:val="24"/>
        </w:rPr>
        <w:t>（四）检测设备</w:t>
      </w:r>
      <w:r>
        <w:rPr>
          <w:sz w:val="24"/>
          <w:szCs w:val="24"/>
        </w:rPr>
        <w:tab/>
      </w:r>
      <w:r>
        <w:rPr>
          <w:sz w:val="24"/>
          <w:szCs w:val="24"/>
        </w:rPr>
        <w:fldChar w:fldCharType="begin"/>
      </w:r>
      <w:r>
        <w:rPr>
          <w:sz w:val="24"/>
          <w:szCs w:val="24"/>
        </w:rPr>
        <w:instrText xml:space="preserve"> PAGEREF _Toc23901 </w:instrText>
      </w:r>
      <w:r>
        <w:rPr>
          <w:sz w:val="24"/>
          <w:szCs w:val="24"/>
        </w:rPr>
        <w:fldChar w:fldCharType="separate"/>
      </w:r>
      <w:r>
        <w:rPr>
          <w:sz w:val="24"/>
          <w:szCs w:val="24"/>
        </w:rPr>
        <w:t>16</w:t>
      </w:r>
      <w:r>
        <w:rPr>
          <w:sz w:val="24"/>
          <w:szCs w:val="24"/>
        </w:rPr>
        <w:fldChar w:fldCharType="end"/>
      </w:r>
      <w:r>
        <w:rPr>
          <w:sz w:val="24"/>
          <w:szCs w:val="24"/>
        </w:rPr>
        <w:fldChar w:fldCharType="end"/>
      </w:r>
    </w:p>
    <w:p w14:paraId="6A6A5EA2">
      <w:pPr>
        <w:pStyle w:val="42"/>
        <w:tabs>
          <w:tab w:val="right" w:leader="dot" w:pos="8640"/>
        </w:tabs>
        <w:rPr>
          <w:sz w:val="24"/>
          <w:szCs w:val="24"/>
        </w:rPr>
      </w:pPr>
      <w:r>
        <w:fldChar w:fldCharType="begin"/>
      </w:r>
      <w:r>
        <w:instrText xml:space="preserve"> HYPERLINK \l "_Toc13460" </w:instrText>
      </w:r>
      <w:r>
        <w:fldChar w:fldCharType="separate"/>
      </w:r>
      <w:r>
        <w:rPr>
          <w:rFonts w:hint="eastAsia" w:ascii="宋体" w:hAnsi="宋体"/>
          <w:sz w:val="24"/>
          <w:szCs w:val="24"/>
        </w:rPr>
        <w:t>四、抽检结果</w:t>
      </w:r>
      <w:r>
        <w:rPr>
          <w:sz w:val="24"/>
          <w:szCs w:val="24"/>
        </w:rPr>
        <w:tab/>
      </w:r>
      <w:r>
        <w:rPr>
          <w:sz w:val="24"/>
          <w:szCs w:val="24"/>
        </w:rPr>
        <w:fldChar w:fldCharType="begin"/>
      </w:r>
      <w:r>
        <w:rPr>
          <w:sz w:val="24"/>
          <w:szCs w:val="24"/>
        </w:rPr>
        <w:instrText xml:space="preserve"> PAGEREF _Toc13460 </w:instrText>
      </w:r>
      <w:r>
        <w:rPr>
          <w:sz w:val="24"/>
          <w:szCs w:val="24"/>
        </w:rPr>
        <w:fldChar w:fldCharType="separate"/>
      </w:r>
      <w:r>
        <w:rPr>
          <w:sz w:val="24"/>
          <w:szCs w:val="24"/>
        </w:rPr>
        <w:t>17</w:t>
      </w:r>
      <w:r>
        <w:rPr>
          <w:sz w:val="24"/>
          <w:szCs w:val="24"/>
        </w:rPr>
        <w:fldChar w:fldCharType="end"/>
      </w:r>
      <w:r>
        <w:rPr>
          <w:sz w:val="24"/>
          <w:szCs w:val="24"/>
        </w:rPr>
        <w:fldChar w:fldCharType="end"/>
      </w:r>
    </w:p>
    <w:p w14:paraId="10248EDB">
      <w:pPr>
        <w:pStyle w:val="53"/>
        <w:tabs>
          <w:tab w:val="right" w:leader="dot" w:pos="8640"/>
        </w:tabs>
        <w:rPr>
          <w:sz w:val="24"/>
          <w:szCs w:val="24"/>
        </w:rPr>
      </w:pPr>
      <w:r>
        <w:fldChar w:fldCharType="begin"/>
      </w:r>
      <w:r>
        <w:instrText xml:space="preserve"> HYPERLINK \l "_Toc32550" </w:instrText>
      </w:r>
      <w:r>
        <w:fldChar w:fldCharType="separate"/>
      </w:r>
      <w:r>
        <w:rPr>
          <w:rFonts w:hint="eastAsia" w:ascii="宋体" w:hAnsi="宋体"/>
          <w:bCs/>
          <w:sz w:val="24"/>
          <w:szCs w:val="24"/>
        </w:rPr>
        <w:t>（一）抽检结果</w:t>
      </w:r>
      <w:r>
        <w:rPr>
          <w:sz w:val="24"/>
          <w:szCs w:val="24"/>
        </w:rPr>
        <w:tab/>
      </w:r>
      <w:r>
        <w:rPr>
          <w:sz w:val="24"/>
          <w:szCs w:val="24"/>
        </w:rPr>
        <w:fldChar w:fldCharType="begin"/>
      </w:r>
      <w:r>
        <w:rPr>
          <w:sz w:val="24"/>
          <w:szCs w:val="24"/>
        </w:rPr>
        <w:instrText xml:space="preserve"> PAGEREF _Toc32550 </w:instrText>
      </w:r>
      <w:r>
        <w:rPr>
          <w:sz w:val="24"/>
          <w:szCs w:val="24"/>
        </w:rPr>
        <w:fldChar w:fldCharType="separate"/>
      </w:r>
      <w:r>
        <w:rPr>
          <w:sz w:val="24"/>
          <w:szCs w:val="24"/>
        </w:rPr>
        <w:t>17</w:t>
      </w:r>
      <w:r>
        <w:rPr>
          <w:sz w:val="24"/>
          <w:szCs w:val="24"/>
        </w:rPr>
        <w:fldChar w:fldCharType="end"/>
      </w:r>
      <w:r>
        <w:rPr>
          <w:sz w:val="24"/>
          <w:szCs w:val="24"/>
        </w:rPr>
        <w:fldChar w:fldCharType="end"/>
      </w:r>
    </w:p>
    <w:p w14:paraId="3C5AACA3">
      <w:pPr>
        <w:pStyle w:val="53"/>
        <w:tabs>
          <w:tab w:val="right" w:leader="dot" w:pos="8640"/>
        </w:tabs>
        <w:rPr>
          <w:sz w:val="24"/>
          <w:szCs w:val="24"/>
        </w:rPr>
      </w:pPr>
      <w:r>
        <w:fldChar w:fldCharType="begin"/>
      </w:r>
      <w:r>
        <w:instrText xml:space="preserve"> HYPERLINK \l "_Toc2427" </w:instrText>
      </w:r>
      <w:r>
        <w:fldChar w:fldCharType="separate"/>
      </w:r>
      <w:r>
        <w:rPr>
          <w:rFonts w:hint="eastAsia" w:ascii="宋体" w:hAnsi="宋体"/>
          <w:bCs/>
          <w:sz w:val="24"/>
          <w:szCs w:val="24"/>
        </w:rPr>
        <w:t>（二）抽检结论</w:t>
      </w:r>
      <w:r>
        <w:rPr>
          <w:sz w:val="24"/>
          <w:szCs w:val="24"/>
        </w:rPr>
        <w:tab/>
      </w:r>
      <w:r>
        <w:rPr>
          <w:sz w:val="24"/>
          <w:szCs w:val="24"/>
        </w:rPr>
        <w:fldChar w:fldCharType="begin"/>
      </w:r>
      <w:r>
        <w:rPr>
          <w:sz w:val="24"/>
          <w:szCs w:val="24"/>
        </w:rPr>
        <w:instrText xml:space="preserve"> PAGEREF _Toc2427 </w:instrText>
      </w:r>
      <w:r>
        <w:rPr>
          <w:sz w:val="24"/>
          <w:szCs w:val="24"/>
        </w:rPr>
        <w:fldChar w:fldCharType="separate"/>
      </w:r>
      <w:r>
        <w:rPr>
          <w:sz w:val="24"/>
          <w:szCs w:val="24"/>
        </w:rPr>
        <w:t>18</w:t>
      </w:r>
      <w:r>
        <w:rPr>
          <w:sz w:val="24"/>
          <w:szCs w:val="24"/>
        </w:rPr>
        <w:fldChar w:fldCharType="end"/>
      </w:r>
      <w:r>
        <w:rPr>
          <w:sz w:val="24"/>
          <w:szCs w:val="24"/>
        </w:rPr>
        <w:fldChar w:fldCharType="end"/>
      </w:r>
    </w:p>
    <w:p w14:paraId="78EC91E2">
      <w:pPr>
        <w:pStyle w:val="42"/>
        <w:tabs>
          <w:tab w:val="right" w:leader="dot" w:pos="8640"/>
        </w:tabs>
        <w:rPr>
          <w:sz w:val="24"/>
          <w:szCs w:val="24"/>
        </w:rPr>
      </w:pPr>
      <w:r>
        <w:fldChar w:fldCharType="begin"/>
      </w:r>
      <w:r>
        <w:instrText xml:space="preserve"> HYPERLINK \l "_Toc23627" </w:instrText>
      </w:r>
      <w:r>
        <w:fldChar w:fldCharType="separate"/>
      </w:r>
      <w:r>
        <w:rPr>
          <w:rFonts w:hint="eastAsia" w:ascii="宋体" w:hAnsi="宋体"/>
          <w:sz w:val="24"/>
          <w:szCs w:val="24"/>
        </w:rPr>
        <w:t>五、分项报告</w:t>
      </w:r>
      <w:r>
        <w:rPr>
          <w:sz w:val="24"/>
          <w:szCs w:val="24"/>
        </w:rPr>
        <w:tab/>
      </w:r>
      <w:r>
        <w:rPr>
          <w:sz w:val="24"/>
          <w:szCs w:val="24"/>
        </w:rPr>
        <w:fldChar w:fldCharType="begin"/>
      </w:r>
      <w:r>
        <w:rPr>
          <w:sz w:val="24"/>
          <w:szCs w:val="24"/>
        </w:rPr>
        <w:instrText xml:space="preserve"> PAGEREF _Toc23627 </w:instrText>
      </w:r>
      <w:r>
        <w:rPr>
          <w:sz w:val="24"/>
          <w:szCs w:val="24"/>
        </w:rPr>
        <w:fldChar w:fldCharType="separate"/>
      </w:r>
      <w:r>
        <w:rPr>
          <w:sz w:val="24"/>
          <w:szCs w:val="24"/>
        </w:rPr>
        <w:t>18</w:t>
      </w:r>
      <w:r>
        <w:rPr>
          <w:sz w:val="24"/>
          <w:szCs w:val="24"/>
        </w:rPr>
        <w:fldChar w:fldCharType="end"/>
      </w:r>
      <w:r>
        <w:rPr>
          <w:sz w:val="24"/>
          <w:szCs w:val="24"/>
        </w:rPr>
        <w:fldChar w:fldCharType="end"/>
      </w:r>
    </w:p>
    <w:p w14:paraId="5465E6F3">
      <w:pPr>
        <w:jc w:val="center"/>
        <w:rPr>
          <w:rFonts w:ascii="??" w:hAnsi="??"/>
          <w:sz w:val="36"/>
        </w:rPr>
      </w:pPr>
      <w:r>
        <w:rPr>
          <w:rFonts w:hint="eastAsia" w:ascii="华文仿宋" w:hAnsi="华文仿宋" w:eastAsia="华文仿宋" w:cs="华文仿宋"/>
          <w:sz w:val="24"/>
          <w:szCs w:val="24"/>
        </w:rPr>
        <w:fldChar w:fldCharType="end"/>
      </w:r>
    </w:p>
    <w:p w14:paraId="27C45333">
      <w:pPr>
        <w:jc w:val="center"/>
        <w:rPr>
          <w:rFonts w:ascii="??" w:hAnsi="??"/>
          <w:sz w:val="36"/>
        </w:rPr>
      </w:pPr>
    </w:p>
    <w:p w14:paraId="0AEF5714">
      <w:pPr>
        <w:jc w:val="center"/>
        <w:rPr>
          <w:rFonts w:ascii="??" w:hAnsi="??"/>
          <w:sz w:val="36"/>
        </w:rPr>
      </w:pPr>
    </w:p>
    <w:p w14:paraId="3C1C688E">
      <w:pPr>
        <w:rPr>
          <w:rFonts w:ascii="黑体" w:hAnsi="黑体" w:eastAsia="黑体"/>
          <w:sz w:val="28"/>
          <w:szCs w:val="28"/>
        </w:rPr>
      </w:pPr>
      <w:r>
        <w:rPr>
          <w:rFonts w:hint="eastAsia" w:ascii="黑体" w:hAnsi="黑体" w:eastAsia="黑体"/>
          <w:sz w:val="28"/>
          <w:szCs w:val="28"/>
        </w:rPr>
        <w:br w:type="page"/>
      </w:r>
    </w:p>
    <w:p w14:paraId="65CA2F24">
      <w:pPr>
        <w:spacing w:line="520" w:lineRule="exact"/>
        <w:ind w:firstLine="560" w:firstLineChars="200"/>
        <w:outlineLvl w:val="0"/>
        <w:rPr>
          <w:rFonts w:ascii="黑体" w:hAnsi="黑体" w:eastAsia="黑体"/>
          <w:sz w:val="28"/>
          <w:szCs w:val="28"/>
        </w:rPr>
      </w:pPr>
      <w:r>
        <w:rPr>
          <w:rFonts w:hint="eastAsia" w:ascii="黑体" w:hAnsi="黑体" w:eastAsia="黑体"/>
          <w:sz w:val="28"/>
          <w:szCs w:val="28"/>
        </w:rPr>
        <w:t>一、工程概况</w:t>
      </w:r>
    </w:p>
    <w:p w14:paraId="48B4B3AD">
      <w:pPr>
        <w:spacing w:line="520" w:lineRule="exact"/>
        <w:ind w:firstLine="560" w:firstLineChars="200"/>
        <w:outlineLvl w:val="0"/>
        <w:rPr>
          <w:rFonts w:ascii="黑体" w:hAnsi="黑体" w:eastAsia="黑体"/>
          <w:sz w:val="28"/>
          <w:szCs w:val="28"/>
        </w:rPr>
      </w:pPr>
      <w:r>
        <w:rPr>
          <w:rFonts w:hint="eastAsia" w:ascii="黑体" w:hAnsi="黑体" w:eastAsia="黑体"/>
          <w:sz w:val="28"/>
          <w:szCs w:val="28"/>
        </w:rPr>
        <w:t>二、工程范围</w:t>
      </w:r>
    </w:p>
    <w:p w14:paraId="35F19548">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（一）检测路段（含相关地形图和管线位置图）</w:t>
      </w:r>
    </w:p>
    <w:p w14:paraId="5A7E7919">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（二）检测要求（包含所有检测项目要求）</w:t>
      </w:r>
    </w:p>
    <w:p w14:paraId="1B948FDD">
      <w:pPr>
        <w:spacing w:line="520" w:lineRule="exact"/>
        <w:ind w:firstLine="560" w:firstLineChars="200"/>
        <w:outlineLvl w:val="0"/>
        <w:rPr>
          <w:rFonts w:ascii="黑体" w:hAnsi="黑体" w:eastAsia="黑体"/>
          <w:sz w:val="28"/>
          <w:szCs w:val="28"/>
        </w:rPr>
      </w:pPr>
      <w:r>
        <w:rPr>
          <w:rFonts w:hint="eastAsia" w:ascii="黑体" w:hAnsi="黑体" w:eastAsia="黑体"/>
          <w:sz w:val="28"/>
          <w:szCs w:val="28"/>
        </w:rPr>
        <w:t>三、抽检方案</w:t>
      </w:r>
    </w:p>
    <w:p w14:paraId="54BA13C4">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（一）抽检方案（含所有检测项目的详细检测方案及作业指导书）</w:t>
      </w:r>
    </w:p>
    <w:p w14:paraId="34B687BA">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（二）抽检依据</w:t>
      </w:r>
    </w:p>
    <w:p w14:paraId="22C59AFF">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1.《城镇道路工程施工与质量验收规范》CJJ1-2008</w:t>
      </w:r>
    </w:p>
    <w:p w14:paraId="1B47D19A">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2.《公路沥青路面施工技术规范》JTG F40-2004</w:t>
      </w:r>
    </w:p>
    <w:p w14:paraId="34914DCA">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3.《给水排水管道工程施工及验收规范》 GB50268-2008</w:t>
      </w:r>
    </w:p>
    <w:p w14:paraId="7039E1FB">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4.《城镇排水管道维护安全技术规程》CJJ6-2009</w:t>
      </w:r>
    </w:p>
    <w:p w14:paraId="33C4B331">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5.《城镇排水管道检测与评估技术规程》CJJ181—2012</w:t>
      </w:r>
    </w:p>
    <w:p w14:paraId="0C29FB3D">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（三）判定标准</w:t>
      </w:r>
    </w:p>
    <w:p w14:paraId="38600716">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1.《城镇道路工程施工与质量验收规范》CJJ1-2008</w:t>
      </w:r>
    </w:p>
    <w:p w14:paraId="38838BF6">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2.《给水排水管道工程施工及验收规范》 GB50268-2008</w:t>
      </w:r>
    </w:p>
    <w:p w14:paraId="542C9956">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3.设计规定。</w:t>
      </w:r>
    </w:p>
    <w:p w14:paraId="013F7CA7">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（四）检测设备</w:t>
      </w:r>
    </w:p>
    <w:p w14:paraId="6AEDCB2B">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本次检测所采用的检测设备包含：贝克曼梁弯沉仪、连续式平整度仪、CCTV机器人、潜望镜、标准车、钻孔取芯机、测温枪、钢直尺、卷尺等。</w:t>
      </w:r>
    </w:p>
    <w:p w14:paraId="18103A3A">
      <w:pPr>
        <w:spacing w:line="520" w:lineRule="exact"/>
        <w:ind w:firstLine="560" w:firstLineChars="200"/>
        <w:outlineLvl w:val="0"/>
        <w:rPr>
          <w:rFonts w:ascii="黑体" w:hAnsi="黑体" w:eastAsia="黑体"/>
          <w:sz w:val="28"/>
          <w:szCs w:val="28"/>
        </w:rPr>
      </w:pPr>
      <w:r>
        <w:rPr>
          <w:rFonts w:hint="eastAsia" w:ascii="黑体" w:hAnsi="黑体" w:eastAsia="黑体"/>
          <w:sz w:val="28"/>
          <w:szCs w:val="28"/>
        </w:rPr>
        <w:t>四、检测结果</w:t>
      </w:r>
    </w:p>
    <w:p w14:paraId="24EE344B">
      <w:pPr>
        <w:spacing w:line="520" w:lineRule="exact"/>
        <w:ind w:firstLine="560" w:firstLineChars="200"/>
        <w:outlineLvl w:val="0"/>
        <w:rPr>
          <w:rFonts w:ascii="黑体" w:hAnsi="黑体" w:eastAsia="黑体"/>
          <w:sz w:val="28"/>
          <w:szCs w:val="28"/>
        </w:rPr>
      </w:pPr>
      <w:r>
        <w:rPr>
          <w:rFonts w:hint="eastAsia" w:ascii="仿宋_GB2312" w:hAnsi="仿宋" w:eastAsia="仿宋_GB2312"/>
          <w:bCs/>
          <w:sz w:val="28"/>
          <w:szCs w:val="28"/>
        </w:rPr>
        <w:t>（一）检测结果</w:t>
      </w:r>
    </w:p>
    <w:p w14:paraId="71CC0EE9">
      <w:pPr>
        <w:spacing w:line="520" w:lineRule="exact"/>
        <w:ind w:firstLine="560" w:firstLineChars="200"/>
        <w:outlineLvl w:val="1"/>
        <w:rPr>
          <w:rFonts w:ascii="仿宋_GB2312" w:hAnsi="仿宋" w:eastAsia="仿宋_GB2312"/>
          <w:bCs/>
          <w:sz w:val="28"/>
          <w:szCs w:val="28"/>
        </w:rPr>
      </w:pPr>
      <w:r>
        <w:rPr>
          <w:rFonts w:hint="eastAsia" w:ascii="仿宋_GB2312" w:hAnsi="仿宋" w:eastAsia="仿宋_GB2312"/>
          <w:bCs/>
          <w:sz w:val="28"/>
          <w:szCs w:val="28"/>
        </w:rPr>
        <w:t>1.车行道沥青结构层厚度检测结果</w:t>
      </w:r>
    </w:p>
    <w:tbl>
      <w:tblPr>
        <w:tblStyle w:val="62"/>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610"/>
        <w:gridCol w:w="1078"/>
        <w:gridCol w:w="749"/>
        <w:gridCol w:w="869"/>
        <w:gridCol w:w="1147"/>
        <w:gridCol w:w="838"/>
        <w:gridCol w:w="1613"/>
        <w:gridCol w:w="944"/>
      </w:tblGrid>
      <w:tr w14:paraId="6EE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blHeader/>
          <w:tblCellSpacing w:w="0" w:type="dxa"/>
        </w:trPr>
        <w:tc>
          <w:tcPr>
            <w:tcW w:w="838" w:type="dxa"/>
            <w:tcMar>
              <w:top w:w="12" w:type="dxa"/>
              <w:left w:w="12" w:type="dxa"/>
              <w:right w:w="12" w:type="dxa"/>
            </w:tcMar>
            <w:vAlign w:val="center"/>
          </w:tcPr>
          <w:p w14:paraId="6CE150C5">
            <w:pPr>
              <w:spacing w:line="360" w:lineRule="auto"/>
              <w:ind w:left="420" w:hanging="420" w:hangingChars="200"/>
              <w:jc w:val="center"/>
              <w:rPr>
                <w:rFonts w:ascii="仿宋" w:hAnsi="仿宋" w:eastAsia="仿宋"/>
                <w:szCs w:val="20"/>
              </w:rPr>
            </w:pPr>
            <w:r>
              <w:rPr>
                <w:rFonts w:hint="eastAsia" w:ascii="仿宋" w:hAnsi="仿宋" w:eastAsia="仿宋" w:cs="宋体"/>
                <w:color w:val="000000"/>
                <w:szCs w:val="21"/>
              </w:rPr>
              <w:t>道路名称</w:t>
            </w:r>
          </w:p>
        </w:tc>
        <w:tc>
          <w:tcPr>
            <w:tcW w:w="610" w:type="dxa"/>
            <w:tcMar>
              <w:top w:w="12" w:type="dxa"/>
              <w:left w:w="12" w:type="dxa"/>
              <w:right w:w="12" w:type="dxa"/>
            </w:tcMar>
            <w:vAlign w:val="center"/>
          </w:tcPr>
          <w:p w14:paraId="1D200E84">
            <w:pPr>
              <w:pStyle w:val="57"/>
              <w:jc w:val="center"/>
              <w:rPr>
                <w:rFonts w:ascii="仿宋" w:hAnsi="仿宋" w:eastAsia="仿宋"/>
                <w:sz w:val="21"/>
                <w:szCs w:val="20"/>
              </w:rPr>
            </w:pPr>
            <w:r>
              <w:rPr>
                <w:rFonts w:hint="eastAsia" w:ascii="仿宋" w:hAnsi="仿宋" w:eastAsia="仿宋"/>
                <w:color w:val="000000"/>
                <w:sz w:val="21"/>
                <w:szCs w:val="21"/>
              </w:rPr>
              <w:t>道路等级</w:t>
            </w:r>
          </w:p>
        </w:tc>
        <w:tc>
          <w:tcPr>
            <w:tcW w:w="1078" w:type="dxa"/>
            <w:tcMar>
              <w:top w:w="12" w:type="dxa"/>
              <w:left w:w="12" w:type="dxa"/>
              <w:right w:w="12" w:type="dxa"/>
            </w:tcMar>
            <w:vAlign w:val="center"/>
          </w:tcPr>
          <w:p w14:paraId="5275D680">
            <w:pPr>
              <w:pStyle w:val="57"/>
              <w:jc w:val="center"/>
              <w:rPr>
                <w:rFonts w:ascii="仿宋" w:hAnsi="仿宋" w:eastAsia="仿宋"/>
                <w:sz w:val="21"/>
                <w:szCs w:val="20"/>
              </w:rPr>
            </w:pPr>
            <w:r>
              <w:rPr>
                <w:rFonts w:hint="eastAsia" w:ascii="仿宋" w:hAnsi="仿宋" w:eastAsia="仿宋"/>
                <w:color w:val="000000"/>
                <w:sz w:val="21"/>
                <w:szCs w:val="21"/>
              </w:rPr>
              <w:t>桩号</w:t>
            </w:r>
          </w:p>
        </w:tc>
        <w:tc>
          <w:tcPr>
            <w:tcW w:w="749" w:type="dxa"/>
            <w:tcMar>
              <w:top w:w="12" w:type="dxa"/>
              <w:left w:w="12" w:type="dxa"/>
              <w:right w:w="12" w:type="dxa"/>
            </w:tcMar>
            <w:vAlign w:val="center"/>
          </w:tcPr>
          <w:p w14:paraId="66F68E78">
            <w:pPr>
              <w:pStyle w:val="57"/>
              <w:jc w:val="both"/>
              <w:rPr>
                <w:rFonts w:ascii="仿宋" w:hAnsi="仿宋" w:eastAsia="仿宋"/>
                <w:sz w:val="21"/>
                <w:szCs w:val="20"/>
              </w:rPr>
            </w:pPr>
            <w:r>
              <w:rPr>
                <w:rFonts w:hint="eastAsia" w:ascii="仿宋" w:hAnsi="仿宋" w:eastAsia="仿宋"/>
                <w:color w:val="000000"/>
                <w:sz w:val="21"/>
                <w:szCs w:val="21"/>
              </w:rPr>
              <w:t>设计厚度（mm）</w:t>
            </w:r>
          </w:p>
        </w:tc>
        <w:tc>
          <w:tcPr>
            <w:tcW w:w="869" w:type="dxa"/>
            <w:tcMar>
              <w:top w:w="12" w:type="dxa"/>
              <w:left w:w="12" w:type="dxa"/>
              <w:right w:w="12" w:type="dxa"/>
            </w:tcMar>
            <w:vAlign w:val="center"/>
          </w:tcPr>
          <w:p w14:paraId="71CE1221">
            <w:pPr>
              <w:pStyle w:val="57"/>
              <w:jc w:val="center"/>
              <w:rPr>
                <w:rFonts w:ascii="仿宋" w:hAnsi="仿宋" w:eastAsia="仿宋"/>
                <w:sz w:val="21"/>
                <w:szCs w:val="20"/>
              </w:rPr>
            </w:pPr>
            <w:r>
              <w:rPr>
                <w:rFonts w:hint="eastAsia" w:ascii="仿宋" w:hAnsi="仿宋" w:eastAsia="仿宋"/>
                <w:color w:val="000000"/>
                <w:sz w:val="21"/>
                <w:szCs w:val="21"/>
              </w:rPr>
              <w:t>允许偏差（mm）</w:t>
            </w:r>
          </w:p>
        </w:tc>
        <w:tc>
          <w:tcPr>
            <w:tcW w:w="1147" w:type="dxa"/>
            <w:tcMar>
              <w:top w:w="12" w:type="dxa"/>
              <w:left w:w="12" w:type="dxa"/>
              <w:right w:w="12" w:type="dxa"/>
            </w:tcMar>
            <w:vAlign w:val="center"/>
          </w:tcPr>
          <w:p w14:paraId="482FB0DF">
            <w:pPr>
              <w:pStyle w:val="57"/>
              <w:jc w:val="center"/>
              <w:rPr>
                <w:rFonts w:ascii="仿宋" w:hAnsi="仿宋" w:eastAsia="仿宋"/>
                <w:sz w:val="21"/>
                <w:szCs w:val="20"/>
              </w:rPr>
            </w:pPr>
            <w:r>
              <w:rPr>
                <w:rFonts w:hint="eastAsia" w:ascii="仿宋" w:hAnsi="仿宋" w:eastAsia="仿宋"/>
                <w:color w:val="000000"/>
                <w:sz w:val="21"/>
                <w:szCs w:val="21"/>
              </w:rPr>
              <w:t>实测结果（mm）</w:t>
            </w:r>
          </w:p>
        </w:tc>
        <w:tc>
          <w:tcPr>
            <w:tcW w:w="838" w:type="dxa"/>
            <w:tcMar>
              <w:top w:w="12" w:type="dxa"/>
              <w:left w:w="12" w:type="dxa"/>
              <w:right w:w="12" w:type="dxa"/>
            </w:tcMar>
            <w:vAlign w:val="center"/>
          </w:tcPr>
          <w:p w14:paraId="47C79E73">
            <w:pPr>
              <w:pStyle w:val="57"/>
              <w:jc w:val="center"/>
              <w:rPr>
                <w:rFonts w:ascii="仿宋" w:hAnsi="仿宋" w:eastAsia="仿宋"/>
                <w:sz w:val="21"/>
                <w:szCs w:val="20"/>
              </w:rPr>
            </w:pPr>
            <w:r>
              <w:rPr>
                <w:rFonts w:hint="eastAsia" w:ascii="仿宋" w:hAnsi="仿宋" w:eastAsia="仿宋"/>
                <w:color w:val="000000"/>
                <w:sz w:val="21"/>
                <w:szCs w:val="21"/>
              </w:rPr>
              <w:t>偏差（mm）</w:t>
            </w:r>
          </w:p>
        </w:tc>
        <w:tc>
          <w:tcPr>
            <w:tcW w:w="1613" w:type="dxa"/>
            <w:tcMar>
              <w:top w:w="12" w:type="dxa"/>
              <w:left w:w="12" w:type="dxa"/>
              <w:right w:w="12" w:type="dxa"/>
            </w:tcMar>
            <w:vAlign w:val="center"/>
          </w:tcPr>
          <w:p w14:paraId="39D25EC8">
            <w:pPr>
              <w:pStyle w:val="57"/>
              <w:jc w:val="center"/>
              <w:rPr>
                <w:rFonts w:ascii="仿宋" w:hAnsi="仿宋" w:eastAsia="仿宋"/>
                <w:sz w:val="21"/>
                <w:szCs w:val="20"/>
              </w:rPr>
            </w:pPr>
            <w:r>
              <w:rPr>
                <w:rFonts w:hint="eastAsia" w:ascii="仿宋" w:hAnsi="仿宋" w:eastAsia="仿宋"/>
                <w:color w:val="000000"/>
                <w:sz w:val="21"/>
                <w:szCs w:val="21"/>
              </w:rPr>
              <w:t>结论</w:t>
            </w:r>
          </w:p>
        </w:tc>
        <w:tc>
          <w:tcPr>
            <w:tcW w:w="944" w:type="dxa"/>
            <w:tcMar>
              <w:top w:w="12" w:type="dxa"/>
              <w:left w:w="12" w:type="dxa"/>
              <w:right w:w="12" w:type="dxa"/>
            </w:tcMar>
            <w:vAlign w:val="center"/>
          </w:tcPr>
          <w:p w14:paraId="3449EB37">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3BA6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838" w:type="dxa"/>
            <w:tcMar>
              <w:top w:w="12" w:type="dxa"/>
              <w:left w:w="12" w:type="dxa"/>
              <w:right w:w="12" w:type="dxa"/>
            </w:tcMar>
            <w:vAlign w:val="center"/>
          </w:tcPr>
          <w:p w14:paraId="28DBDEAB">
            <w:pPr>
              <w:pStyle w:val="57"/>
              <w:jc w:val="center"/>
              <w:rPr>
                <w:rFonts w:ascii="仿宋" w:hAnsi="仿宋" w:eastAsia="仿宋"/>
                <w:sz w:val="21"/>
                <w:szCs w:val="20"/>
              </w:rPr>
            </w:pPr>
          </w:p>
        </w:tc>
        <w:tc>
          <w:tcPr>
            <w:tcW w:w="610" w:type="dxa"/>
            <w:tcMar>
              <w:top w:w="12" w:type="dxa"/>
              <w:left w:w="12" w:type="dxa"/>
              <w:right w:w="12" w:type="dxa"/>
            </w:tcMar>
            <w:vAlign w:val="center"/>
          </w:tcPr>
          <w:p w14:paraId="6A1B7DBD">
            <w:pPr>
              <w:pStyle w:val="57"/>
              <w:jc w:val="center"/>
              <w:rPr>
                <w:rFonts w:ascii="仿宋" w:hAnsi="仿宋" w:eastAsia="仿宋"/>
                <w:sz w:val="21"/>
                <w:szCs w:val="20"/>
              </w:rPr>
            </w:pPr>
          </w:p>
        </w:tc>
        <w:tc>
          <w:tcPr>
            <w:tcW w:w="1078" w:type="dxa"/>
            <w:tcMar>
              <w:top w:w="12" w:type="dxa"/>
              <w:left w:w="12" w:type="dxa"/>
              <w:right w:w="12" w:type="dxa"/>
            </w:tcMar>
            <w:vAlign w:val="center"/>
          </w:tcPr>
          <w:p w14:paraId="26C1525B">
            <w:pPr>
              <w:pStyle w:val="57"/>
              <w:jc w:val="center"/>
              <w:rPr>
                <w:rFonts w:ascii="仿宋" w:hAnsi="仿宋" w:eastAsia="仿宋"/>
                <w:sz w:val="21"/>
                <w:szCs w:val="20"/>
              </w:rPr>
            </w:pPr>
          </w:p>
        </w:tc>
        <w:tc>
          <w:tcPr>
            <w:tcW w:w="749" w:type="dxa"/>
            <w:tcMar>
              <w:top w:w="12" w:type="dxa"/>
              <w:left w:w="12" w:type="dxa"/>
              <w:right w:w="12" w:type="dxa"/>
            </w:tcMar>
            <w:vAlign w:val="center"/>
          </w:tcPr>
          <w:p w14:paraId="1DEFBEF6">
            <w:pPr>
              <w:pStyle w:val="57"/>
              <w:jc w:val="center"/>
              <w:rPr>
                <w:rFonts w:ascii="仿宋" w:hAnsi="仿宋" w:eastAsia="仿宋"/>
                <w:sz w:val="21"/>
                <w:szCs w:val="20"/>
              </w:rPr>
            </w:pPr>
          </w:p>
        </w:tc>
        <w:tc>
          <w:tcPr>
            <w:tcW w:w="869" w:type="dxa"/>
            <w:tcMar>
              <w:top w:w="12" w:type="dxa"/>
              <w:left w:w="12" w:type="dxa"/>
              <w:right w:w="12" w:type="dxa"/>
            </w:tcMar>
            <w:vAlign w:val="center"/>
          </w:tcPr>
          <w:p w14:paraId="02695536">
            <w:pPr>
              <w:pStyle w:val="57"/>
              <w:jc w:val="center"/>
              <w:rPr>
                <w:rFonts w:ascii="仿宋" w:hAnsi="仿宋" w:eastAsia="仿宋"/>
                <w:sz w:val="21"/>
                <w:szCs w:val="20"/>
              </w:rPr>
            </w:pPr>
          </w:p>
        </w:tc>
        <w:tc>
          <w:tcPr>
            <w:tcW w:w="1147" w:type="dxa"/>
            <w:tcMar>
              <w:top w:w="12" w:type="dxa"/>
              <w:left w:w="12" w:type="dxa"/>
              <w:right w:w="12" w:type="dxa"/>
            </w:tcMar>
            <w:vAlign w:val="center"/>
          </w:tcPr>
          <w:p w14:paraId="2B66A06D">
            <w:pPr>
              <w:pStyle w:val="57"/>
              <w:jc w:val="center"/>
              <w:rPr>
                <w:rFonts w:ascii="仿宋" w:hAnsi="仿宋" w:eastAsia="仿宋"/>
                <w:sz w:val="21"/>
                <w:szCs w:val="20"/>
              </w:rPr>
            </w:pPr>
          </w:p>
        </w:tc>
        <w:tc>
          <w:tcPr>
            <w:tcW w:w="838" w:type="dxa"/>
            <w:tcMar>
              <w:top w:w="12" w:type="dxa"/>
              <w:left w:w="12" w:type="dxa"/>
              <w:right w:w="12" w:type="dxa"/>
            </w:tcMar>
            <w:vAlign w:val="center"/>
          </w:tcPr>
          <w:p w14:paraId="6CBF313B">
            <w:pPr>
              <w:pStyle w:val="57"/>
              <w:jc w:val="center"/>
              <w:rPr>
                <w:rFonts w:ascii="仿宋" w:hAnsi="仿宋" w:eastAsia="仿宋"/>
                <w:sz w:val="21"/>
                <w:szCs w:val="20"/>
              </w:rPr>
            </w:pPr>
          </w:p>
        </w:tc>
        <w:tc>
          <w:tcPr>
            <w:tcW w:w="1613" w:type="dxa"/>
            <w:tcMar>
              <w:top w:w="12" w:type="dxa"/>
              <w:left w:w="12" w:type="dxa"/>
              <w:right w:w="12" w:type="dxa"/>
            </w:tcMar>
            <w:vAlign w:val="center"/>
          </w:tcPr>
          <w:p w14:paraId="1EBC6F56">
            <w:pPr>
              <w:pStyle w:val="57"/>
              <w:jc w:val="center"/>
              <w:rPr>
                <w:rFonts w:ascii="仿宋" w:hAnsi="仿宋" w:eastAsia="仿宋"/>
                <w:sz w:val="21"/>
                <w:szCs w:val="20"/>
              </w:rPr>
            </w:pPr>
          </w:p>
        </w:tc>
        <w:tc>
          <w:tcPr>
            <w:tcW w:w="944" w:type="dxa"/>
            <w:tcMar>
              <w:top w:w="12" w:type="dxa"/>
              <w:left w:w="12" w:type="dxa"/>
              <w:right w:w="12" w:type="dxa"/>
            </w:tcMar>
            <w:vAlign w:val="center"/>
          </w:tcPr>
          <w:p w14:paraId="3A619E88">
            <w:pPr>
              <w:pStyle w:val="57"/>
              <w:jc w:val="center"/>
              <w:rPr>
                <w:rFonts w:ascii="仿宋" w:hAnsi="仿宋" w:eastAsia="仿宋"/>
                <w:sz w:val="21"/>
                <w:szCs w:val="20"/>
              </w:rPr>
            </w:pPr>
          </w:p>
        </w:tc>
      </w:tr>
    </w:tbl>
    <w:p w14:paraId="4E9A21EF">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2.沥青混合料面层压实度检测结果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21CA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4642BA9F">
            <w:pPr>
              <w:pStyle w:val="57"/>
              <w:jc w:val="center"/>
              <w:rPr>
                <w:rFonts w:ascii="仿宋" w:hAnsi="仿宋" w:eastAsia="仿宋"/>
                <w:sz w:val="21"/>
                <w:szCs w:val="21"/>
              </w:rPr>
            </w:pPr>
            <w:r>
              <w:rPr>
                <w:rFonts w:hint="eastAsia" w:ascii="仿宋" w:hAnsi="仿宋" w:eastAsia="仿宋"/>
                <w:color w:val="000000"/>
                <w:sz w:val="21"/>
                <w:szCs w:val="21"/>
              </w:rPr>
              <w:t>道路名称</w:t>
            </w:r>
          </w:p>
        </w:tc>
        <w:tc>
          <w:tcPr>
            <w:tcW w:w="1127" w:type="dxa"/>
            <w:tcMar>
              <w:top w:w="11" w:type="dxa"/>
              <w:left w:w="11" w:type="dxa"/>
              <w:right w:w="11" w:type="dxa"/>
            </w:tcMar>
            <w:vAlign w:val="center"/>
          </w:tcPr>
          <w:p w14:paraId="7CD2A70E">
            <w:pPr>
              <w:pStyle w:val="57"/>
              <w:jc w:val="center"/>
              <w:rPr>
                <w:rFonts w:ascii="仿宋" w:hAnsi="仿宋" w:eastAsia="仿宋"/>
                <w:sz w:val="21"/>
                <w:szCs w:val="21"/>
              </w:rPr>
            </w:pPr>
            <w:r>
              <w:rPr>
                <w:rFonts w:hint="eastAsia" w:ascii="仿宋" w:hAnsi="仿宋" w:eastAsia="仿宋"/>
                <w:color w:val="000000"/>
                <w:sz w:val="21"/>
                <w:szCs w:val="21"/>
              </w:rPr>
              <w:t>道路等级</w:t>
            </w:r>
          </w:p>
        </w:tc>
        <w:tc>
          <w:tcPr>
            <w:tcW w:w="1779" w:type="dxa"/>
            <w:tcMar>
              <w:top w:w="11" w:type="dxa"/>
              <w:left w:w="11" w:type="dxa"/>
              <w:right w:w="11" w:type="dxa"/>
            </w:tcMar>
            <w:vAlign w:val="center"/>
          </w:tcPr>
          <w:p w14:paraId="3CA48EEE">
            <w:pPr>
              <w:pStyle w:val="57"/>
              <w:jc w:val="center"/>
              <w:rPr>
                <w:rFonts w:ascii="仿宋" w:hAnsi="仿宋" w:eastAsia="仿宋"/>
                <w:sz w:val="21"/>
                <w:szCs w:val="21"/>
              </w:rPr>
            </w:pPr>
            <w:r>
              <w:rPr>
                <w:rFonts w:hint="eastAsia" w:ascii="仿宋" w:hAnsi="仿宋" w:eastAsia="仿宋"/>
                <w:color w:val="000000"/>
                <w:sz w:val="21"/>
                <w:szCs w:val="21"/>
              </w:rPr>
              <w:t>规范要求</w:t>
            </w:r>
          </w:p>
        </w:tc>
        <w:tc>
          <w:tcPr>
            <w:tcW w:w="1779" w:type="dxa"/>
            <w:tcMar>
              <w:top w:w="11" w:type="dxa"/>
              <w:left w:w="11" w:type="dxa"/>
              <w:right w:w="11" w:type="dxa"/>
            </w:tcMar>
            <w:vAlign w:val="center"/>
          </w:tcPr>
          <w:p w14:paraId="5D7F2711">
            <w:pPr>
              <w:pStyle w:val="57"/>
              <w:jc w:val="center"/>
              <w:rPr>
                <w:rFonts w:ascii="仿宋" w:hAnsi="仿宋" w:eastAsia="仿宋"/>
                <w:sz w:val="21"/>
                <w:szCs w:val="21"/>
              </w:rPr>
            </w:pPr>
            <w:r>
              <w:rPr>
                <w:rFonts w:hint="eastAsia" w:ascii="仿宋" w:hAnsi="仿宋" w:eastAsia="仿宋"/>
                <w:color w:val="000000"/>
                <w:sz w:val="21"/>
                <w:szCs w:val="21"/>
              </w:rPr>
              <w:t>检测结果</w:t>
            </w:r>
          </w:p>
        </w:tc>
        <w:tc>
          <w:tcPr>
            <w:tcW w:w="1632" w:type="dxa"/>
            <w:tcMar>
              <w:top w:w="11" w:type="dxa"/>
              <w:left w:w="11" w:type="dxa"/>
              <w:right w:w="11" w:type="dxa"/>
            </w:tcMar>
            <w:vAlign w:val="center"/>
          </w:tcPr>
          <w:p w14:paraId="4B6DA54A">
            <w:pPr>
              <w:pStyle w:val="57"/>
              <w:jc w:val="center"/>
              <w:rPr>
                <w:rFonts w:ascii="仿宋" w:hAnsi="仿宋" w:eastAsia="仿宋"/>
                <w:sz w:val="21"/>
                <w:szCs w:val="21"/>
              </w:rPr>
            </w:pPr>
            <w:r>
              <w:rPr>
                <w:rFonts w:hint="eastAsia" w:ascii="仿宋" w:hAnsi="仿宋" w:eastAsia="仿宋"/>
                <w:color w:val="000000"/>
                <w:sz w:val="21"/>
                <w:szCs w:val="21"/>
              </w:rPr>
              <w:t>结论</w:t>
            </w:r>
          </w:p>
        </w:tc>
        <w:tc>
          <w:tcPr>
            <w:tcW w:w="751" w:type="dxa"/>
            <w:tcMar>
              <w:top w:w="11" w:type="dxa"/>
              <w:left w:w="11" w:type="dxa"/>
              <w:right w:w="11" w:type="dxa"/>
            </w:tcMar>
            <w:vAlign w:val="center"/>
          </w:tcPr>
          <w:p w14:paraId="5D619E41">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32B1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2B9BFAE0">
            <w:pPr>
              <w:pStyle w:val="57"/>
              <w:jc w:val="center"/>
              <w:rPr>
                <w:rFonts w:ascii="仿宋" w:hAnsi="仿宋" w:eastAsia="仿宋"/>
                <w:sz w:val="21"/>
                <w:szCs w:val="21"/>
              </w:rPr>
            </w:pPr>
          </w:p>
        </w:tc>
        <w:tc>
          <w:tcPr>
            <w:tcW w:w="1127" w:type="dxa"/>
            <w:tcMar>
              <w:top w:w="11" w:type="dxa"/>
              <w:left w:w="11" w:type="dxa"/>
              <w:right w:w="11" w:type="dxa"/>
            </w:tcMar>
            <w:vAlign w:val="center"/>
          </w:tcPr>
          <w:p w14:paraId="25EB9495">
            <w:pPr>
              <w:pStyle w:val="57"/>
              <w:jc w:val="center"/>
              <w:rPr>
                <w:rFonts w:ascii="仿宋" w:hAnsi="仿宋" w:eastAsia="仿宋"/>
                <w:sz w:val="21"/>
                <w:szCs w:val="21"/>
              </w:rPr>
            </w:pPr>
          </w:p>
        </w:tc>
        <w:tc>
          <w:tcPr>
            <w:tcW w:w="1779" w:type="dxa"/>
            <w:tcMar>
              <w:top w:w="11" w:type="dxa"/>
              <w:left w:w="11" w:type="dxa"/>
              <w:right w:w="11" w:type="dxa"/>
            </w:tcMar>
            <w:vAlign w:val="center"/>
          </w:tcPr>
          <w:p w14:paraId="1C7A151F">
            <w:pPr>
              <w:pStyle w:val="57"/>
              <w:jc w:val="center"/>
              <w:rPr>
                <w:rFonts w:ascii="仿宋" w:hAnsi="仿宋" w:eastAsia="仿宋"/>
                <w:sz w:val="21"/>
                <w:szCs w:val="21"/>
              </w:rPr>
            </w:pPr>
          </w:p>
        </w:tc>
        <w:tc>
          <w:tcPr>
            <w:tcW w:w="1779" w:type="dxa"/>
            <w:tcMar>
              <w:top w:w="11" w:type="dxa"/>
              <w:left w:w="11" w:type="dxa"/>
              <w:right w:w="11" w:type="dxa"/>
            </w:tcMar>
            <w:vAlign w:val="center"/>
          </w:tcPr>
          <w:p w14:paraId="4CB8CA2B">
            <w:pPr>
              <w:pStyle w:val="57"/>
              <w:jc w:val="center"/>
              <w:rPr>
                <w:rFonts w:ascii="仿宋" w:hAnsi="仿宋" w:eastAsia="仿宋"/>
                <w:sz w:val="21"/>
                <w:szCs w:val="21"/>
              </w:rPr>
            </w:pPr>
          </w:p>
        </w:tc>
        <w:tc>
          <w:tcPr>
            <w:tcW w:w="1632" w:type="dxa"/>
            <w:tcMar>
              <w:top w:w="11" w:type="dxa"/>
              <w:left w:w="11" w:type="dxa"/>
              <w:right w:w="11" w:type="dxa"/>
            </w:tcMar>
            <w:vAlign w:val="center"/>
          </w:tcPr>
          <w:p w14:paraId="6A04D67C">
            <w:pPr>
              <w:pStyle w:val="57"/>
              <w:jc w:val="center"/>
              <w:rPr>
                <w:rFonts w:ascii="仿宋" w:hAnsi="仿宋" w:eastAsia="仿宋"/>
                <w:sz w:val="21"/>
                <w:szCs w:val="21"/>
              </w:rPr>
            </w:pPr>
          </w:p>
        </w:tc>
        <w:tc>
          <w:tcPr>
            <w:tcW w:w="751" w:type="dxa"/>
            <w:tcMar>
              <w:top w:w="11" w:type="dxa"/>
              <w:left w:w="11" w:type="dxa"/>
              <w:right w:w="11" w:type="dxa"/>
            </w:tcMar>
            <w:vAlign w:val="center"/>
          </w:tcPr>
          <w:p w14:paraId="241C2CCA">
            <w:pPr>
              <w:pStyle w:val="57"/>
              <w:jc w:val="center"/>
              <w:rPr>
                <w:rFonts w:ascii="仿宋" w:hAnsi="仿宋" w:eastAsia="仿宋"/>
                <w:sz w:val="21"/>
                <w:szCs w:val="21"/>
              </w:rPr>
            </w:pPr>
          </w:p>
        </w:tc>
      </w:tr>
    </w:tbl>
    <w:p w14:paraId="7FAAAD33">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3. 料石、混凝土预制砌块铺砌人行道强度检测结果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0B47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0B3F47C9">
            <w:pPr>
              <w:pStyle w:val="57"/>
              <w:jc w:val="center"/>
              <w:rPr>
                <w:rFonts w:ascii="仿宋" w:hAnsi="仿宋" w:eastAsia="仿宋"/>
                <w:sz w:val="21"/>
                <w:szCs w:val="21"/>
              </w:rPr>
            </w:pPr>
            <w:r>
              <w:rPr>
                <w:rFonts w:hint="eastAsia" w:ascii="仿宋" w:hAnsi="仿宋" w:eastAsia="仿宋"/>
                <w:color w:val="000000"/>
                <w:sz w:val="21"/>
                <w:szCs w:val="21"/>
              </w:rPr>
              <w:t>道路名称</w:t>
            </w:r>
          </w:p>
        </w:tc>
        <w:tc>
          <w:tcPr>
            <w:tcW w:w="1127" w:type="dxa"/>
            <w:tcMar>
              <w:top w:w="11" w:type="dxa"/>
              <w:left w:w="11" w:type="dxa"/>
              <w:right w:w="11" w:type="dxa"/>
            </w:tcMar>
            <w:vAlign w:val="center"/>
          </w:tcPr>
          <w:p w14:paraId="5712341D">
            <w:pPr>
              <w:pStyle w:val="57"/>
              <w:jc w:val="center"/>
              <w:rPr>
                <w:rFonts w:ascii="仿宋" w:hAnsi="仿宋" w:eastAsia="仿宋"/>
                <w:sz w:val="21"/>
                <w:szCs w:val="21"/>
              </w:rPr>
            </w:pPr>
            <w:r>
              <w:rPr>
                <w:rFonts w:hint="eastAsia" w:ascii="仿宋" w:hAnsi="仿宋" w:eastAsia="仿宋"/>
                <w:color w:val="000000"/>
                <w:sz w:val="21"/>
                <w:szCs w:val="21"/>
              </w:rPr>
              <w:t>道路等级</w:t>
            </w:r>
          </w:p>
        </w:tc>
        <w:tc>
          <w:tcPr>
            <w:tcW w:w="1779" w:type="dxa"/>
            <w:tcMar>
              <w:top w:w="11" w:type="dxa"/>
              <w:left w:w="11" w:type="dxa"/>
              <w:right w:w="11" w:type="dxa"/>
            </w:tcMar>
            <w:vAlign w:val="center"/>
          </w:tcPr>
          <w:p w14:paraId="41FF1FDF">
            <w:pPr>
              <w:pStyle w:val="57"/>
              <w:jc w:val="center"/>
              <w:rPr>
                <w:rFonts w:ascii="仿宋" w:hAnsi="仿宋" w:eastAsia="仿宋"/>
                <w:sz w:val="21"/>
                <w:szCs w:val="21"/>
              </w:rPr>
            </w:pPr>
            <w:r>
              <w:rPr>
                <w:rFonts w:hint="eastAsia" w:ascii="仿宋" w:hAnsi="仿宋" w:eastAsia="仿宋"/>
                <w:color w:val="000000"/>
                <w:sz w:val="21"/>
                <w:szCs w:val="21"/>
              </w:rPr>
              <w:t>设计要求</w:t>
            </w:r>
          </w:p>
        </w:tc>
        <w:tc>
          <w:tcPr>
            <w:tcW w:w="1779" w:type="dxa"/>
            <w:tcMar>
              <w:top w:w="11" w:type="dxa"/>
              <w:left w:w="11" w:type="dxa"/>
              <w:right w:w="11" w:type="dxa"/>
            </w:tcMar>
            <w:vAlign w:val="center"/>
          </w:tcPr>
          <w:p w14:paraId="3DB42CA7">
            <w:pPr>
              <w:pStyle w:val="57"/>
              <w:jc w:val="center"/>
              <w:rPr>
                <w:rFonts w:ascii="仿宋" w:hAnsi="仿宋" w:eastAsia="仿宋"/>
                <w:sz w:val="21"/>
                <w:szCs w:val="21"/>
              </w:rPr>
            </w:pPr>
            <w:r>
              <w:rPr>
                <w:rFonts w:hint="eastAsia" w:ascii="仿宋" w:hAnsi="仿宋" w:eastAsia="仿宋"/>
                <w:color w:val="000000"/>
                <w:sz w:val="21"/>
                <w:szCs w:val="21"/>
              </w:rPr>
              <w:t>检测结果</w:t>
            </w:r>
          </w:p>
        </w:tc>
        <w:tc>
          <w:tcPr>
            <w:tcW w:w="1632" w:type="dxa"/>
            <w:tcMar>
              <w:top w:w="11" w:type="dxa"/>
              <w:left w:w="11" w:type="dxa"/>
              <w:right w:w="11" w:type="dxa"/>
            </w:tcMar>
            <w:vAlign w:val="center"/>
          </w:tcPr>
          <w:p w14:paraId="03F56266">
            <w:pPr>
              <w:pStyle w:val="57"/>
              <w:jc w:val="center"/>
              <w:rPr>
                <w:rFonts w:ascii="仿宋" w:hAnsi="仿宋" w:eastAsia="仿宋"/>
                <w:sz w:val="21"/>
                <w:szCs w:val="21"/>
              </w:rPr>
            </w:pPr>
            <w:r>
              <w:rPr>
                <w:rFonts w:hint="eastAsia" w:ascii="仿宋" w:hAnsi="仿宋" w:eastAsia="仿宋"/>
                <w:color w:val="000000"/>
                <w:sz w:val="21"/>
                <w:szCs w:val="21"/>
              </w:rPr>
              <w:t>结论</w:t>
            </w:r>
          </w:p>
        </w:tc>
        <w:tc>
          <w:tcPr>
            <w:tcW w:w="751" w:type="dxa"/>
            <w:tcMar>
              <w:top w:w="11" w:type="dxa"/>
              <w:left w:w="11" w:type="dxa"/>
              <w:right w:w="11" w:type="dxa"/>
            </w:tcMar>
            <w:vAlign w:val="center"/>
          </w:tcPr>
          <w:p w14:paraId="389DE7BC">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338E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276D84EC">
            <w:pPr>
              <w:pStyle w:val="57"/>
              <w:jc w:val="center"/>
              <w:rPr>
                <w:rFonts w:ascii="仿宋" w:hAnsi="仿宋" w:eastAsia="仿宋"/>
                <w:sz w:val="21"/>
                <w:szCs w:val="21"/>
              </w:rPr>
            </w:pPr>
          </w:p>
        </w:tc>
        <w:tc>
          <w:tcPr>
            <w:tcW w:w="1127" w:type="dxa"/>
            <w:tcMar>
              <w:top w:w="11" w:type="dxa"/>
              <w:left w:w="11" w:type="dxa"/>
              <w:right w:w="11" w:type="dxa"/>
            </w:tcMar>
            <w:vAlign w:val="center"/>
          </w:tcPr>
          <w:p w14:paraId="2B8DC436">
            <w:pPr>
              <w:pStyle w:val="57"/>
              <w:jc w:val="center"/>
              <w:rPr>
                <w:rFonts w:ascii="仿宋" w:hAnsi="仿宋" w:eastAsia="仿宋"/>
                <w:sz w:val="21"/>
                <w:szCs w:val="21"/>
              </w:rPr>
            </w:pPr>
          </w:p>
        </w:tc>
        <w:tc>
          <w:tcPr>
            <w:tcW w:w="1779" w:type="dxa"/>
            <w:tcMar>
              <w:top w:w="11" w:type="dxa"/>
              <w:left w:w="11" w:type="dxa"/>
              <w:right w:w="11" w:type="dxa"/>
            </w:tcMar>
            <w:vAlign w:val="center"/>
          </w:tcPr>
          <w:p w14:paraId="033BA17D">
            <w:pPr>
              <w:pStyle w:val="57"/>
              <w:jc w:val="center"/>
              <w:rPr>
                <w:rFonts w:ascii="仿宋" w:hAnsi="仿宋" w:eastAsia="仿宋"/>
                <w:sz w:val="21"/>
                <w:szCs w:val="21"/>
              </w:rPr>
            </w:pPr>
          </w:p>
        </w:tc>
        <w:tc>
          <w:tcPr>
            <w:tcW w:w="1779" w:type="dxa"/>
            <w:tcMar>
              <w:top w:w="11" w:type="dxa"/>
              <w:left w:w="11" w:type="dxa"/>
              <w:right w:w="11" w:type="dxa"/>
            </w:tcMar>
            <w:vAlign w:val="center"/>
          </w:tcPr>
          <w:p w14:paraId="642B7CC1">
            <w:pPr>
              <w:pStyle w:val="57"/>
              <w:jc w:val="center"/>
              <w:rPr>
                <w:rFonts w:ascii="仿宋" w:hAnsi="仿宋" w:eastAsia="仿宋"/>
                <w:sz w:val="21"/>
                <w:szCs w:val="21"/>
              </w:rPr>
            </w:pPr>
          </w:p>
        </w:tc>
        <w:tc>
          <w:tcPr>
            <w:tcW w:w="1632" w:type="dxa"/>
            <w:tcMar>
              <w:top w:w="11" w:type="dxa"/>
              <w:left w:w="11" w:type="dxa"/>
              <w:right w:w="11" w:type="dxa"/>
            </w:tcMar>
            <w:vAlign w:val="center"/>
          </w:tcPr>
          <w:p w14:paraId="288D36C6">
            <w:pPr>
              <w:pStyle w:val="57"/>
              <w:jc w:val="center"/>
              <w:rPr>
                <w:rFonts w:ascii="仿宋" w:hAnsi="仿宋" w:eastAsia="仿宋"/>
                <w:sz w:val="21"/>
                <w:szCs w:val="21"/>
              </w:rPr>
            </w:pPr>
          </w:p>
        </w:tc>
        <w:tc>
          <w:tcPr>
            <w:tcW w:w="751" w:type="dxa"/>
            <w:tcMar>
              <w:top w:w="11" w:type="dxa"/>
              <w:left w:w="11" w:type="dxa"/>
              <w:right w:w="11" w:type="dxa"/>
            </w:tcMar>
            <w:vAlign w:val="center"/>
          </w:tcPr>
          <w:p w14:paraId="1F6BC86C">
            <w:pPr>
              <w:pStyle w:val="57"/>
              <w:jc w:val="center"/>
              <w:rPr>
                <w:rFonts w:ascii="仿宋" w:hAnsi="仿宋" w:eastAsia="仿宋"/>
                <w:sz w:val="21"/>
                <w:szCs w:val="21"/>
              </w:rPr>
            </w:pPr>
          </w:p>
        </w:tc>
      </w:tr>
    </w:tbl>
    <w:p w14:paraId="1408346E">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4. 料石铺砌人行道外观尺寸检测结果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788C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624DCB94">
            <w:pPr>
              <w:pStyle w:val="57"/>
              <w:jc w:val="center"/>
              <w:rPr>
                <w:rFonts w:ascii="仿宋" w:hAnsi="仿宋" w:eastAsia="仿宋"/>
                <w:sz w:val="21"/>
                <w:szCs w:val="21"/>
              </w:rPr>
            </w:pPr>
            <w:r>
              <w:rPr>
                <w:rFonts w:hint="eastAsia" w:ascii="仿宋" w:hAnsi="仿宋" w:eastAsia="仿宋"/>
                <w:color w:val="000000"/>
                <w:sz w:val="21"/>
                <w:szCs w:val="21"/>
              </w:rPr>
              <w:t>道路名称</w:t>
            </w:r>
          </w:p>
        </w:tc>
        <w:tc>
          <w:tcPr>
            <w:tcW w:w="1127" w:type="dxa"/>
            <w:tcMar>
              <w:top w:w="11" w:type="dxa"/>
              <w:left w:w="11" w:type="dxa"/>
              <w:right w:w="11" w:type="dxa"/>
            </w:tcMar>
            <w:vAlign w:val="center"/>
          </w:tcPr>
          <w:p w14:paraId="5B63792F">
            <w:pPr>
              <w:pStyle w:val="57"/>
              <w:jc w:val="center"/>
              <w:rPr>
                <w:rFonts w:ascii="仿宋" w:hAnsi="仿宋" w:eastAsia="仿宋"/>
                <w:sz w:val="21"/>
                <w:szCs w:val="21"/>
              </w:rPr>
            </w:pPr>
            <w:r>
              <w:rPr>
                <w:rFonts w:hint="eastAsia" w:ascii="仿宋" w:hAnsi="仿宋" w:eastAsia="仿宋"/>
                <w:color w:val="000000"/>
                <w:sz w:val="21"/>
                <w:szCs w:val="21"/>
              </w:rPr>
              <w:t>道路等级</w:t>
            </w:r>
          </w:p>
        </w:tc>
        <w:tc>
          <w:tcPr>
            <w:tcW w:w="1779" w:type="dxa"/>
            <w:tcMar>
              <w:top w:w="11" w:type="dxa"/>
              <w:left w:w="11" w:type="dxa"/>
              <w:right w:w="11" w:type="dxa"/>
            </w:tcMar>
            <w:vAlign w:val="center"/>
          </w:tcPr>
          <w:p w14:paraId="0B9E5A18">
            <w:pPr>
              <w:pStyle w:val="57"/>
              <w:jc w:val="center"/>
              <w:rPr>
                <w:rFonts w:ascii="仿宋" w:hAnsi="仿宋" w:eastAsia="仿宋"/>
                <w:sz w:val="21"/>
                <w:szCs w:val="21"/>
              </w:rPr>
            </w:pPr>
            <w:r>
              <w:rPr>
                <w:rFonts w:hint="eastAsia" w:ascii="仿宋" w:hAnsi="仿宋" w:eastAsia="仿宋"/>
                <w:color w:val="000000"/>
                <w:sz w:val="21"/>
                <w:szCs w:val="21"/>
              </w:rPr>
              <w:t>设计要求</w:t>
            </w:r>
          </w:p>
        </w:tc>
        <w:tc>
          <w:tcPr>
            <w:tcW w:w="1779" w:type="dxa"/>
            <w:tcMar>
              <w:top w:w="11" w:type="dxa"/>
              <w:left w:w="11" w:type="dxa"/>
              <w:right w:w="11" w:type="dxa"/>
            </w:tcMar>
            <w:vAlign w:val="center"/>
          </w:tcPr>
          <w:p w14:paraId="085CAF24">
            <w:pPr>
              <w:pStyle w:val="57"/>
              <w:jc w:val="center"/>
              <w:rPr>
                <w:rFonts w:ascii="仿宋" w:hAnsi="仿宋" w:eastAsia="仿宋"/>
                <w:sz w:val="21"/>
                <w:szCs w:val="21"/>
              </w:rPr>
            </w:pPr>
            <w:r>
              <w:rPr>
                <w:rFonts w:hint="eastAsia" w:ascii="仿宋" w:hAnsi="仿宋" w:eastAsia="仿宋"/>
                <w:color w:val="000000"/>
                <w:sz w:val="21"/>
                <w:szCs w:val="21"/>
              </w:rPr>
              <w:t>检测结果</w:t>
            </w:r>
          </w:p>
        </w:tc>
        <w:tc>
          <w:tcPr>
            <w:tcW w:w="1632" w:type="dxa"/>
            <w:tcMar>
              <w:top w:w="11" w:type="dxa"/>
              <w:left w:w="11" w:type="dxa"/>
              <w:right w:w="11" w:type="dxa"/>
            </w:tcMar>
            <w:vAlign w:val="center"/>
          </w:tcPr>
          <w:p w14:paraId="7CAADB10">
            <w:pPr>
              <w:pStyle w:val="57"/>
              <w:jc w:val="center"/>
              <w:rPr>
                <w:rFonts w:ascii="仿宋" w:hAnsi="仿宋" w:eastAsia="仿宋"/>
                <w:sz w:val="21"/>
                <w:szCs w:val="21"/>
              </w:rPr>
            </w:pPr>
            <w:r>
              <w:rPr>
                <w:rFonts w:hint="eastAsia" w:ascii="仿宋" w:hAnsi="仿宋" w:eastAsia="仿宋"/>
                <w:color w:val="000000"/>
                <w:sz w:val="21"/>
                <w:szCs w:val="21"/>
              </w:rPr>
              <w:t>结论</w:t>
            </w:r>
          </w:p>
        </w:tc>
        <w:tc>
          <w:tcPr>
            <w:tcW w:w="751" w:type="dxa"/>
            <w:tcMar>
              <w:top w:w="11" w:type="dxa"/>
              <w:left w:w="11" w:type="dxa"/>
              <w:right w:w="11" w:type="dxa"/>
            </w:tcMar>
            <w:vAlign w:val="center"/>
          </w:tcPr>
          <w:p w14:paraId="36FA91BE">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6F51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36F77376">
            <w:pPr>
              <w:pStyle w:val="57"/>
              <w:jc w:val="center"/>
              <w:rPr>
                <w:rFonts w:ascii="仿宋" w:hAnsi="仿宋" w:eastAsia="仿宋"/>
                <w:sz w:val="21"/>
                <w:szCs w:val="21"/>
              </w:rPr>
            </w:pPr>
          </w:p>
        </w:tc>
        <w:tc>
          <w:tcPr>
            <w:tcW w:w="1127" w:type="dxa"/>
            <w:tcMar>
              <w:top w:w="11" w:type="dxa"/>
              <w:left w:w="11" w:type="dxa"/>
              <w:right w:w="11" w:type="dxa"/>
            </w:tcMar>
            <w:vAlign w:val="center"/>
          </w:tcPr>
          <w:p w14:paraId="52417018">
            <w:pPr>
              <w:pStyle w:val="57"/>
              <w:jc w:val="center"/>
              <w:rPr>
                <w:rFonts w:ascii="仿宋" w:hAnsi="仿宋" w:eastAsia="仿宋"/>
                <w:sz w:val="21"/>
                <w:szCs w:val="21"/>
              </w:rPr>
            </w:pPr>
          </w:p>
        </w:tc>
        <w:tc>
          <w:tcPr>
            <w:tcW w:w="1779" w:type="dxa"/>
            <w:tcMar>
              <w:top w:w="11" w:type="dxa"/>
              <w:left w:w="11" w:type="dxa"/>
              <w:right w:w="11" w:type="dxa"/>
            </w:tcMar>
            <w:vAlign w:val="center"/>
          </w:tcPr>
          <w:p w14:paraId="48EF14F8">
            <w:pPr>
              <w:pStyle w:val="57"/>
              <w:jc w:val="center"/>
              <w:rPr>
                <w:rFonts w:ascii="仿宋" w:hAnsi="仿宋" w:eastAsia="仿宋"/>
                <w:sz w:val="21"/>
                <w:szCs w:val="21"/>
              </w:rPr>
            </w:pPr>
          </w:p>
        </w:tc>
        <w:tc>
          <w:tcPr>
            <w:tcW w:w="1779" w:type="dxa"/>
            <w:tcMar>
              <w:top w:w="11" w:type="dxa"/>
              <w:left w:w="11" w:type="dxa"/>
              <w:right w:w="11" w:type="dxa"/>
            </w:tcMar>
            <w:vAlign w:val="center"/>
          </w:tcPr>
          <w:p w14:paraId="302B9D32">
            <w:pPr>
              <w:pStyle w:val="57"/>
              <w:jc w:val="center"/>
              <w:rPr>
                <w:rFonts w:ascii="仿宋" w:hAnsi="仿宋" w:eastAsia="仿宋"/>
                <w:sz w:val="21"/>
                <w:szCs w:val="21"/>
              </w:rPr>
            </w:pPr>
          </w:p>
        </w:tc>
        <w:tc>
          <w:tcPr>
            <w:tcW w:w="1632" w:type="dxa"/>
            <w:tcMar>
              <w:top w:w="11" w:type="dxa"/>
              <w:left w:w="11" w:type="dxa"/>
              <w:right w:w="11" w:type="dxa"/>
            </w:tcMar>
            <w:vAlign w:val="center"/>
          </w:tcPr>
          <w:p w14:paraId="669AD22E">
            <w:pPr>
              <w:pStyle w:val="57"/>
              <w:jc w:val="center"/>
              <w:rPr>
                <w:rFonts w:ascii="仿宋" w:hAnsi="仿宋" w:eastAsia="仿宋"/>
                <w:sz w:val="21"/>
                <w:szCs w:val="21"/>
              </w:rPr>
            </w:pPr>
          </w:p>
        </w:tc>
        <w:tc>
          <w:tcPr>
            <w:tcW w:w="751" w:type="dxa"/>
            <w:tcMar>
              <w:top w:w="11" w:type="dxa"/>
              <w:left w:w="11" w:type="dxa"/>
              <w:right w:w="11" w:type="dxa"/>
            </w:tcMar>
            <w:vAlign w:val="center"/>
          </w:tcPr>
          <w:p w14:paraId="096C54B0">
            <w:pPr>
              <w:pStyle w:val="57"/>
              <w:jc w:val="center"/>
              <w:rPr>
                <w:rFonts w:ascii="仿宋" w:hAnsi="仿宋" w:eastAsia="仿宋"/>
                <w:sz w:val="21"/>
                <w:szCs w:val="21"/>
              </w:rPr>
            </w:pPr>
          </w:p>
        </w:tc>
      </w:tr>
    </w:tbl>
    <w:p w14:paraId="4371278C">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5．沥青混合料人行道厚度检测结果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6FAE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tcMar>
              <w:top w:w="11" w:type="dxa"/>
              <w:left w:w="11" w:type="dxa"/>
              <w:right w:w="11" w:type="dxa"/>
            </w:tcMar>
            <w:vAlign w:val="center"/>
          </w:tcPr>
          <w:p w14:paraId="68A2C448">
            <w:pPr>
              <w:pStyle w:val="57"/>
              <w:jc w:val="center"/>
              <w:rPr>
                <w:rFonts w:ascii="仿宋" w:hAnsi="仿宋" w:eastAsia="仿宋"/>
                <w:sz w:val="21"/>
                <w:szCs w:val="21"/>
              </w:rPr>
            </w:pPr>
            <w:r>
              <w:rPr>
                <w:rFonts w:hint="eastAsia" w:ascii="仿宋" w:hAnsi="仿宋" w:eastAsia="仿宋"/>
                <w:color w:val="000000"/>
                <w:sz w:val="21"/>
                <w:szCs w:val="21"/>
              </w:rPr>
              <w:t>道路名称</w:t>
            </w:r>
          </w:p>
        </w:tc>
        <w:tc>
          <w:tcPr>
            <w:tcW w:w="1127" w:type="dxa"/>
            <w:tcMar>
              <w:top w:w="11" w:type="dxa"/>
              <w:left w:w="11" w:type="dxa"/>
              <w:right w:w="11" w:type="dxa"/>
            </w:tcMar>
            <w:vAlign w:val="center"/>
          </w:tcPr>
          <w:p w14:paraId="608E2078">
            <w:pPr>
              <w:pStyle w:val="57"/>
              <w:jc w:val="center"/>
              <w:rPr>
                <w:rFonts w:ascii="仿宋" w:hAnsi="仿宋" w:eastAsia="仿宋"/>
                <w:sz w:val="21"/>
                <w:szCs w:val="21"/>
              </w:rPr>
            </w:pPr>
            <w:r>
              <w:rPr>
                <w:rFonts w:hint="eastAsia" w:ascii="仿宋" w:hAnsi="仿宋" w:eastAsia="仿宋"/>
                <w:color w:val="000000"/>
                <w:sz w:val="21"/>
                <w:szCs w:val="21"/>
              </w:rPr>
              <w:t>道路等级</w:t>
            </w:r>
          </w:p>
        </w:tc>
        <w:tc>
          <w:tcPr>
            <w:tcW w:w="1779" w:type="dxa"/>
            <w:tcMar>
              <w:top w:w="11" w:type="dxa"/>
              <w:left w:w="11" w:type="dxa"/>
              <w:right w:w="11" w:type="dxa"/>
            </w:tcMar>
            <w:vAlign w:val="center"/>
          </w:tcPr>
          <w:p w14:paraId="2C35E8D1">
            <w:pPr>
              <w:pStyle w:val="57"/>
              <w:jc w:val="center"/>
              <w:rPr>
                <w:rFonts w:ascii="仿宋" w:hAnsi="仿宋" w:eastAsia="仿宋"/>
                <w:sz w:val="21"/>
                <w:szCs w:val="21"/>
              </w:rPr>
            </w:pPr>
            <w:r>
              <w:rPr>
                <w:rFonts w:hint="eastAsia" w:ascii="仿宋" w:hAnsi="仿宋" w:eastAsia="仿宋"/>
                <w:color w:val="000000"/>
                <w:sz w:val="21"/>
                <w:szCs w:val="21"/>
              </w:rPr>
              <w:t>规范要求</w:t>
            </w:r>
          </w:p>
        </w:tc>
        <w:tc>
          <w:tcPr>
            <w:tcW w:w="1779" w:type="dxa"/>
            <w:tcMar>
              <w:top w:w="11" w:type="dxa"/>
              <w:left w:w="11" w:type="dxa"/>
              <w:right w:w="11" w:type="dxa"/>
            </w:tcMar>
            <w:vAlign w:val="center"/>
          </w:tcPr>
          <w:p w14:paraId="6CF3A0DF">
            <w:pPr>
              <w:pStyle w:val="57"/>
              <w:jc w:val="center"/>
              <w:rPr>
                <w:rFonts w:ascii="仿宋" w:hAnsi="仿宋" w:eastAsia="仿宋"/>
                <w:sz w:val="21"/>
                <w:szCs w:val="21"/>
              </w:rPr>
            </w:pPr>
            <w:r>
              <w:rPr>
                <w:rFonts w:hint="eastAsia" w:ascii="仿宋" w:hAnsi="仿宋" w:eastAsia="仿宋"/>
                <w:color w:val="000000"/>
                <w:sz w:val="21"/>
                <w:szCs w:val="21"/>
              </w:rPr>
              <w:t>检测结果</w:t>
            </w:r>
          </w:p>
        </w:tc>
        <w:tc>
          <w:tcPr>
            <w:tcW w:w="1632" w:type="dxa"/>
            <w:tcMar>
              <w:top w:w="11" w:type="dxa"/>
              <w:left w:w="11" w:type="dxa"/>
              <w:right w:w="11" w:type="dxa"/>
            </w:tcMar>
            <w:vAlign w:val="center"/>
          </w:tcPr>
          <w:p w14:paraId="1AD070B0">
            <w:pPr>
              <w:pStyle w:val="57"/>
              <w:jc w:val="center"/>
              <w:rPr>
                <w:rFonts w:ascii="仿宋" w:hAnsi="仿宋" w:eastAsia="仿宋"/>
                <w:sz w:val="21"/>
                <w:szCs w:val="21"/>
              </w:rPr>
            </w:pPr>
            <w:r>
              <w:rPr>
                <w:rFonts w:hint="eastAsia" w:ascii="仿宋" w:hAnsi="仿宋" w:eastAsia="仿宋"/>
                <w:color w:val="000000"/>
                <w:sz w:val="21"/>
                <w:szCs w:val="21"/>
              </w:rPr>
              <w:t>结论</w:t>
            </w:r>
          </w:p>
        </w:tc>
        <w:tc>
          <w:tcPr>
            <w:tcW w:w="751" w:type="dxa"/>
            <w:tcMar>
              <w:top w:w="11" w:type="dxa"/>
              <w:left w:w="11" w:type="dxa"/>
              <w:right w:w="11" w:type="dxa"/>
            </w:tcMar>
            <w:vAlign w:val="center"/>
          </w:tcPr>
          <w:p w14:paraId="155A3545">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4BC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5412860A">
            <w:pPr>
              <w:pStyle w:val="57"/>
              <w:jc w:val="center"/>
              <w:rPr>
                <w:rFonts w:ascii="仿宋" w:hAnsi="仿宋" w:eastAsia="仿宋"/>
                <w:sz w:val="21"/>
                <w:szCs w:val="21"/>
              </w:rPr>
            </w:pPr>
          </w:p>
        </w:tc>
        <w:tc>
          <w:tcPr>
            <w:tcW w:w="1127" w:type="dxa"/>
            <w:tcMar>
              <w:top w:w="11" w:type="dxa"/>
              <w:left w:w="11" w:type="dxa"/>
              <w:right w:w="11" w:type="dxa"/>
            </w:tcMar>
            <w:vAlign w:val="center"/>
          </w:tcPr>
          <w:p w14:paraId="03812667">
            <w:pPr>
              <w:pStyle w:val="57"/>
              <w:jc w:val="center"/>
              <w:rPr>
                <w:rFonts w:ascii="仿宋" w:hAnsi="仿宋" w:eastAsia="仿宋"/>
                <w:sz w:val="21"/>
                <w:szCs w:val="21"/>
              </w:rPr>
            </w:pPr>
          </w:p>
        </w:tc>
        <w:tc>
          <w:tcPr>
            <w:tcW w:w="1779" w:type="dxa"/>
            <w:tcMar>
              <w:top w:w="11" w:type="dxa"/>
              <w:left w:w="11" w:type="dxa"/>
              <w:right w:w="11" w:type="dxa"/>
            </w:tcMar>
            <w:vAlign w:val="center"/>
          </w:tcPr>
          <w:p w14:paraId="1242FC8F">
            <w:pPr>
              <w:pStyle w:val="57"/>
              <w:jc w:val="center"/>
              <w:rPr>
                <w:rFonts w:ascii="仿宋" w:hAnsi="仿宋" w:eastAsia="仿宋"/>
                <w:sz w:val="21"/>
                <w:szCs w:val="21"/>
              </w:rPr>
            </w:pPr>
          </w:p>
        </w:tc>
        <w:tc>
          <w:tcPr>
            <w:tcW w:w="1779" w:type="dxa"/>
            <w:tcMar>
              <w:top w:w="11" w:type="dxa"/>
              <w:left w:w="11" w:type="dxa"/>
              <w:right w:w="11" w:type="dxa"/>
            </w:tcMar>
            <w:vAlign w:val="center"/>
          </w:tcPr>
          <w:p w14:paraId="6480CC4F">
            <w:pPr>
              <w:pStyle w:val="57"/>
              <w:jc w:val="center"/>
              <w:rPr>
                <w:rFonts w:ascii="仿宋" w:hAnsi="仿宋" w:eastAsia="仿宋"/>
                <w:sz w:val="21"/>
                <w:szCs w:val="21"/>
              </w:rPr>
            </w:pPr>
          </w:p>
        </w:tc>
        <w:tc>
          <w:tcPr>
            <w:tcW w:w="1632" w:type="dxa"/>
            <w:tcMar>
              <w:top w:w="11" w:type="dxa"/>
              <w:left w:w="11" w:type="dxa"/>
              <w:right w:w="11" w:type="dxa"/>
            </w:tcMar>
            <w:vAlign w:val="center"/>
          </w:tcPr>
          <w:p w14:paraId="504575F8">
            <w:pPr>
              <w:pStyle w:val="57"/>
              <w:jc w:val="center"/>
              <w:rPr>
                <w:rFonts w:ascii="仿宋" w:hAnsi="仿宋" w:eastAsia="仿宋"/>
                <w:sz w:val="21"/>
                <w:szCs w:val="21"/>
              </w:rPr>
            </w:pPr>
          </w:p>
        </w:tc>
        <w:tc>
          <w:tcPr>
            <w:tcW w:w="751" w:type="dxa"/>
            <w:tcMar>
              <w:top w:w="11" w:type="dxa"/>
              <w:left w:w="11" w:type="dxa"/>
              <w:right w:w="11" w:type="dxa"/>
            </w:tcMar>
            <w:vAlign w:val="center"/>
          </w:tcPr>
          <w:p w14:paraId="3A0F4876">
            <w:pPr>
              <w:pStyle w:val="57"/>
              <w:jc w:val="center"/>
              <w:rPr>
                <w:rFonts w:ascii="仿宋" w:hAnsi="仿宋" w:eastAsia="仿宋"/>
                <w:sz w:val="21"/>
                <w:szCs w:val="21"/>
              </w:rPr>
            </w:pPr>
          </w:p>
        </w:tc>
      </w:tr>
    </w:tbl>
    <w:p w14:paraId="6A7E96C7">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6. 人行道沥青混合料压实度检测结果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03D4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tcMar>
              <w:top w:w="11" w:type="dxa"/>
              <w:left w:w="11" w:type="dxa"/>
              <w:right w:w="11" w:type="dxa"/>
            </w:tcMar>
            <w:vAlign w:val="center"/>
          </w:tcPr>
          <w:p w14:paraId="20ABCFDE">
            <w:pPr>
              <w:pStyle w:val="57"/>
              <w:jc w:val="center"/>
              <w:rPr>
                <w:rFonts w:ascii="仿宋" w:hAnsi="仿宋" w:eastAsia="仿宋"/>
                <w:sz w:val="21"/>
                <w:szCs w:val="21"/>
              </w:rPr>
            </w:pPr>
            <w:r>
              <w:rPr>
                <w:rFonts w:hint="eastAsia" w:ascii="仿宋" w:hAnsi="仿宋" w:eastAsia="仿宋"/>
                <w:color w:val="000000"/>
                <w:sz w:val="21"/>
                <w:szCs w:val="21"/>
              </w:rPr>
              <w:t>道路名称</w:t>
            </w:r>
          </w:p>
        </w:tc>
        <w:tc>
          <w:tcPr>
            <w:tcW w:w="1127" w:type="dxa"/>
            <w:tcMar>
              <w:top w:w="11" w:type="dxa"/>
              <w:left w:w="11" w:type="dxa"/>
              <w:right w:w="11" w:type="dxa"/>
            </w:tcMar>
            <w:vAlign w:val="center"/>
          </w:tcPr>
          <w:p w14:paraId="7DE2A450">
            <w:pPr>
              <w:pStyle w:val="57"/>
              <w:jc w:val="center"/>
              <w:rPr>
                <w:rFonts w:ascii="仿宋" w:hAnsi="仿宋" w:eastAsia="仿宋"/>
                <w:sz w:val="21"/>
                <w:szCs w:val="21"/>
              </w:rPr>
            </w:pPr>
            <w:r>
              <w:rPr>
                <w:rFonts w:hint="eastAsia" w:ascii="仿宋" w:hAnsi="仿宋" w:eastAsia="仿宋"/>
                <w:color w:val="000000"/>
                <w:sz w:val="21"/>
                <w:szCs w:val="21"/>
              </w:rPr>
              <w:t>道路等级</w:t>
            </w:r>
          </w:p>
        </w:tc>
        <w:tc>
          <w:tcPr>
            <w:tcW w:w="1779" w:type="dxa"/>
            <w:tcMar>
              <w:top w:w="11" w:type="dxa"/>
              <w:left w:w="11" w:type="dxa"/>
              <w:right w:w="11" w:type="dxa"/>
            </w:tcMar>
            <w:vAlign w:val="center"/>
          </w:tcPr>
          <w:p w14:paraId="23C06CC5">
            <w:pPr>
              <w:pStyle w:val="57"/>
              <w:jc w:val="center"/>
              <w:rPr>
                <w:rFonts w:ascii="仿宋" w:hAnsi="仿宋" w:eastAsia="仿宋"/>
                <w:sz w:val="21"/>
                <w:szCs w:val="21"/>
              </w:rPr>
            </w:pPr>
            <w:r>
              <w:rPr>
                <w:rFonts w:hint="eastAsia" w:ascii="仿宋" w:hAnsi="仿宋" w:eastAsia="仿宋"/>
                <w:color w:val="000000"/>
                <w:sz w:val="21"/>
                <w:szCs w:val="21"/>
              </w:rPr>
              <w:t>规范要求</w:t>
            </w:r>
          </w:p>
        </w:tc>
        <w:tc>
          <w:tcPr>
            <w:tcW w:w="1779" w:type="dxa"/>
            <w:tcMar>
              <w:top w:w="11" w:type="dxa"/>
              <w:left w:w="11" w:type="dxa"/>
              <w:right w:w="11" w:type="dxa"/>
            </w:tcMar>
            <w:vAlign w:val="center"/>
          </w:tcPr>
          <w:p w14:paraId="0672C1E0">
            <w:pPr>
              <w:pStyle w:val="57"/>
              <w:jc w:val="center"/>
              <w:rPr>
                <w:rFonts w:ascii="仿宋" w:hAnsi="仿宋" w:eastAsia="仿宋"/>
                <w:sz w:val="21"/>
                <w:szCs w:val="21"/>
              </w:rPr>
            </w:pPr>
            <w:r>
              <w:rPr>
                <w:rFonts w:hint="eastAsia" w:ascii="仿宋" w:hAnsi="仿宋" w:eastAsia="仿宋"/>
                <w:color w:val="000000"/>
                <w:sz w:val="21"/>
                <w:szCs w:val="21"/>
              </w:rPr>
              <w:t>检测结果</w:t>
            </w:r>
          </w:p>
        </w:tc>
        <w:tc>
          <w:tcPr>
            <w:tcW w:w="1632" w:type="dxa"/>
            <w:tcMar>
              <w:top w:w="11" w:type="dxa"/>
              <w:left w:w="11" w:type="dxa"/>
              <w:right w:w="11" w:type="dxa"/>
            </w:tcMar>
            <w:vAlign w:val="center"/>
          </w:tcPr>
          <w:p w14:paraId="0D74DF6F">
            <w:pPr>
              <w:pStyle w:val="57"/>
              <w:jc w:val="center"/>
              <w:rPr>
                <w:rFonts w:ascii="仿宋" w:hAnsi="仿宋" w:eastAsia="仿宋"/>
                <w:sz w:val="21"/>
                <w:szCs w:val="21"/>
              </w:rPr>
            </w:pPr>
            <w:r>
              <w:rPr>
                <w:rFonts w:hint="eastAsia" w:ascii="仿宋" w:hAnsi="仿宋" w:eastAsia="仿宋"/>
                <w:color w:val="000000"/>
                <w:sz w:val="21"/>
                <w:szCs w:val="21"/>
              </w:rPr>
              <w:t>结论</w:t>
            </w:r>
          </w:p>
        </w:tc>
        <w:tc>
          <w:tcPr>
            <w:tcW w:w="751" w:type="dxa"/>
            <w:tcMar>
              <w:top w:w="11" w:type="dxa"/>
              <w:left w:w="11" w:type="dxa"/>
              <w:right w:w="11" w:type="dxa"/>
            </w:tcMar>
            <w:vAlign w:val="center"/>
          </w:tcPr>
          <w:p w14:paraId="1DB55ED5">
            <w:pPr>
              <w:pStyle w:val="57"/>
              <w:jc w:val="center"/>
              <w:rPr>
                <w:rFonts w:ascii="仿宋" w:hAnsi="仿宋" w:eastAsia="仿宋"/>
                <w:color w:val="000000"/>
                <w:sz w:val="21"/>
                <w:szCs w:val="21"/>
              </w:rPr>
            </w:pPr>
            <w:r>
              <w:rPr>
                <w:rFonts w:hint="eastAsia" w:ascii="仿宋" w:hAnsi="仿宋" w:eastAsia="仿宋"/>
                <w:color w:val="000000"/>
                <w:sz w:val="21"/>
                <w:szCs w:val="21"/>
              </w:rPr>
              <w:t>备注</w:t>
            </w:r>
          </w:p>
        </w:tc>
      </w:tr>
      <w:tr w14:paraId="2EA2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24BBE863">
            <w:pPr>
              <w:pStyle w:val="57"/>
              <w:jc w:val="center"/>
              <w:rPr>
                <w:rFonts w:ascii="仿宋" w:hAnsi="仿宋" w:eastAsia="仿宋"/>
                <w:sz w:val="21"/>
                <w:szCs w:val="21"/>
              </w:rPr>
            </w:pPr>
          </w:p>
        </w:tc>
        <w:tc>
          <w:tcPr>
            <w:tcW w:w="1127" w:type="dxa"/>
            <w:tcMar>
              <w:top w:w="11" w:type="dxa"/>
              <w:left w:w="11" w:type="dxa"/>
              <w:right w:w="11" w:type="dxa"/>
            </w:tcMar>
            <w:vAlign w:val="center"/>
          </w:tcPr>
          <w:p w14:paraId="19026FF7">
            <w:pPr>
              <w:pStyle w:val="57"/>
              <w:jc w:val="center"/>
              <w:rPr>
                <w:rFonts w:ascii="仿宋" w:hAnsi="仿宋" w:eastAsia="仿宋"/>
                <w:sz w:val="21"/>
                <w:szCs w:val="21"/>
              </w:rPr>
            </w:pPr>
          </w:p>
        </w:tc>
        <w:tc>
          <w:tcPr>
            <w:tcW w:w="1779" w:type="dxa"/>
            <w:tcMar>
              <w:top w:w="11" w:type="dxa"/>
              <w:left w:w="11" w:type="dxa"/>
              <w:right w:w="11" w:type="dxa"/>
            </w:tcMar>
            <w:vAlign w:val="center"/>
          </w:tcPr>
          <w:p w14:paraId="69CBF770">
            <w:pPr>
              <w:pStyle w:val="57"/>
              <w:jc w:val="center"/>
              <w:rPr>
                <w:rFonts w:ascii="仿宋" w:hAnsi="仿宋" w:eastAsia="仿宋"/>
                <w:sz w:val="21"/>
                <w:szCs w:val="21"/>
              </w:rPr>
            </w:pPr>
          </w:p>
        </w:tc>
        <w:tc>
          <w:tcPr>
            <w:tcW w:w="1779" w:type="dxa"/>
            <w:tcMar>
              <w:top w:w="11" w:type="dxa"/>
              <w:left w:w="11" w:type="dxa"/>
              <w:right w:w="11" w:type="dxa"/>
            </w:tcMar>
            <w:vAlign w:val="center"/>
          </w:tcPr>
          <w:p w14:paraId="646BF0EA">
            <w:pPr>
              <w:pStyle w:val="57"/>
              <w:jc w:val="center"/>
              <w:rPr>
                <w:rFonts w:ascii="仿宋" w:hAnsi="仿宋" w:eastAsia="仿宋"/>
                <w:sz w:val="21"/>
                <w:szCs w:val="21"/>
              </w:rPr>
            </w:pPr>
          </w:p>
        </w:tc>
        <w:tc>
          <w:tcPr>
            <w:tcW w:w="1632" w:type="dxa"/>
            <w:tcMar>
              <w:top w:w="11" w:type="dxa"/>
              <w:left w:w="11" w:type="dxa"/>
              <w:right w:w="11" w:type="dxa"/>
            </w:tcMar>
            <w:vAlign w:val="center"/>
          </w:tcPr>
          <w:p w14:paraId="0AE940DB">
            <w:pPr>
              <w:pStyle w:val="57"/>
              <w:jc w:val="center"/>
              <w:rPr>
                <w:rFonts w:ascii="仿宋" w:hAnsi="仿宋" w:eastAsia="仿宋"/>
                <w:sz w:val="21"/>
                <w:szCs w:val="21"/>
              </w:rPr>
            </w:pPr>
          </w:p>
        </w:tc>
        <w:tc>
          <w:tcPr>
            <w:tcW w:w="751" w:type="dxa"/>
            <w:tcMar>
              <w:top w:w="11" w:type="dxa"/>
              <w:left w:w="11" w:type="dxa"/>
              <w:right w:w="11" w:type="dxa"/>
            </w:tcMar>
            <w:vAlign w:val="center"/>
          </w:tcPr>
          <w:p w14:paraId="27D9C796">
            <w:pPr>
              <w:pStyle w:val="57"/>
              <w:jc w:val="center"/>
              <w:rPr>
                <w:rFonts w:ascii="仿宋" w:hAnsi="仿宋" w:eastAsia="仿宋"/>
                <w:sz w:val="21"/>
                <w:szCs w:val="21"/>
              </w:rPr>
            </w:pPr>
          </w:p>
        </w:tc>
      </w:tr>
    </w:tbl>
    <w:p w14:paraId="27E0375D">
      <w:pPr>
        <w:autoSpaceDE w:val="0"/>
        <w:autoSpaceDN w:val="0"/>
        <w:adjustRightInd w:val="0"/>
        <w:spacing w:afterLines="50" w:line="440" w:lineRule="exact"/>
        <w:ind w:firstLine="420" w:firstLineChars="150"/>
        <w:rPr>
          <w:rFonts w:ascii="仿宋_GB2312" w:hAnsi="仿宋" w:eastAsia="仿宋_GB2312"/>
          <w:bCs/>
          <w:sz w:val="28"/>
          <w:szCs w:val="28"/>
        </w:rPr>
      </w:pPr>
      <w:r>
        <w:rPr>
          <w:rFonts w:hint="eastAsia" w:ascii="仿宋_GB2312" w:hAnsi="仿宋" w:eastAsia="仿宋_GB2312"/>
          <w:bCs/>
          <w:sz w:val="28"/>
          <w:szCs w:val="28"/>
        </w:rPr>
        <w:t xml:space="preserve"> （二）检测结论</w:t>
      </w:r>
    </w:p>
    <w:tbl>
      <w:tblPr>
        <w:tblStyle w:val="62"/>
        <w:tblW w:w="895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828"/>
        <w:gridCol w:w="1422"/>
        <w:gridCol w:w="1275"/>
        <w:gridCol w:w="1276"/>
        <w:gridCol w:w="720"/>
        <w:gridCol w:w="1406"/>
        <w:gridCol w:w="993"/>
      </w:tblGrid>
      <w:tr w14:paraId="5BDC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blHeader/>
          <w:tblCellSpacing w:w="0" w:type="dxa"/>
        </w:trPr>
        <w:tc>
          <w:tcPr>
            <w:tcW w:w="1038" w:type="dxa"/>
            <w:tcMar>
              <w:top w:w="11" w:type="dxa"/>
              <w:left w:w="11" w:type="dxa"/>
              <w:right w:w="11" w:type="dxa"/>
            </w:tcMar>
            <w:vAlign w:val="center"/>
          </w:tcPr>
          <w:p w14:paraId="4C6CE8BA">
            <w:pPr>
              <w:pStyle w:val="57"/>
              <w:jc w:val="center"/>
              <w:rPr>
                <w:rFonts w:ascii="仿宋" w:hAnsi="仿宋" w:eastAsia="仿宋"/>
                <w:sz w:val="18"/>
                <w:szCs w:val="18"/>
              </w:rPr>
            </w:pPr>
            <w:r>
              <w:rPr>
                <w:rFonts w:hint="eastAsia" w:ascii="仿宋" w:hAnsi="仿宋" w:eastAsia="仿宋"/>
                <w:color w:val="000000"/>
                <w:sz w:val="18"/>
                <w:szCs w:val="18"/>
              </w:rPr>
              <w:t>道路名称</w:t>
            </w:r>
          </w:p>
        </w:tc>
        <w:tc>
          <w:tcPr>
            <w:tcW w:w="828" w:type="dxa"/>
            <w:tcMar>
              <w:top w:w="11" w:type="dxa"/>
              <w:left w:w="11" w:type="dxa"/>
              <w:right w:w="11" w:type="dxa"/>
            </w:tcMar>
            <w:vAlign w:val="center"/>
          </w:tcPr>
          <w:p w14:paraId="4FBE1D85">
            <w:pPr>
              <w:pStyle w:val="57"/>
              <w:jc w:val="center"/>
              <w:rPr>
                <w:rFonts w:ascii="仿宋" w:hAnsi="仿宋" w:eastAsia="仿宋"/>
                <w:sz w:val="18"/>
                <w:szCs w:val="18"/>
              </w:rPr>
            </w:pPr>
            <w:r>
              <w:rPr>
                <w:rFonts w:hint="eastAsia" w:ascii="仿宋" w:hAnsi="仿宋" w:eastAsia="仿宋"/>
                <w:color w:val="000000"/>
                <w:sz w:val="18"/>
                <w:szCs w:val="18"/>
              </w:rPr>
              <w:t>道路等级</w:t>
            </w:r>
          </w:p>
        </w:tc>
        <w:tc>
          <w:tcPr>
            <w:tcW w:w="1422" w:type="dxa"/>
            <w:tcMar>
              <w:top w:w="11" w:type="dxa"/>
              <w:left w:w="11" w:type="dxa"/>
              <w:right w:w="11" w:type="dxa"/>
            </w:tcMar>
            <w:vAlign w:val="center"/>
          </w:tcPr>
          <w:p w14:paraId="0469BD5B">
            <w:pPr>
              <w:pStyle w:val="57"/>
              <w:jc w:val="center"/>
              <w:rPr>
                <w:rFonts w:ascii="仿宋" w:hAnsi="仿宋" w:eastAsia="仿宋"/>
                <w:sz w:val="18"/>
                <w:szCs w:val="18"/>
              </w:rPr>
            </w:pPr>
            <w:r>
              <w:rPr>
                <w:rFonts w:hint="eastAsia" w:ascii="仿宋" w:hAnsi="仿宋" w:eastAsia="仿宋"/>
                <w:sz w:val="18"/>
                <w:szCs w:val="18"/>
              </w:rPr>
              <w:t>检测项目1结论</w:t>
            </w:r>
          </w:p>
        </w:tc>
        <w:tc>
          <w:tcPr>
            <w:tcW w:w="1275" w:type="dxa"/>
            <w:tcMar>
              <w:top w:w="11" w:type="dxa"/>
              <w:left w:w="11" w:type="dxa"/>
              <w:right w:w="11" w:type="dxa"/>
            </w:tcMar>
            <w:vAlign w:val="center"/>
          </w:tcPr>
          <w:p w14:paraId="76A7F462">
            <w:pPr>
              <w:pStyle w:val="57"/>
              <w:jc w:val="center"/>
              <w:rPr>
                <w:rFonts w:ascii="仿宋" w:hAnsi="仿宋" w:eastAsia="仿宋"/>
                <w:sz w:val="18"/>
                <w:szCs w:val="18"/>
              </w:rPr>
            </w:pPr>
            <w:r>
              <w:rPr>
                <w:rFonts w:hint="eastAsia" w:ascii="仿宋" w:hAnsi="仿宋" w:eastAsia="仿宋"/>
                <w:sz w:val="18"/>
                <w:szCs w:val="18"/>
              </w:rPr>
              <w:t>检测项目2结论</w:t>
            </w:r>
          </w:p>
        </w:tc>
        <w:tc>
          <w:tcPr>
            <w:tcW w:w="1276" w:type="dxa"/>
            <w:tcMar>
              <w:top w:w="11" w:type="dxa"/>
              <w:left w:w="11" w:type="dxa"/>
              <w:right w:w="11" w:type="dxa"/>
            </w:tcMar>
            <w:vAlign w:val="center"/>
          </w:tcPr>
          <w:p w14:paraId="59C06CDB">
            <w:pPr>
              <w:pStyle w:val="57"/>
              <w:jc w:val="center"/>
              <w:rPr>
                <w:rFonts w:ascii="仿宋" w:hAnsi="仿宋" w:eastAsia="仿宋"/>
                <w:sz w:val="18"/>
                <w:szCs w:val="18"/>
              </w:rPr>
            </w:pPr>
            <w:r>
              <w:rPr>
                <w:rFonts w:hint="eastAsia" w:ascii="仿宋" w:hAnsi="仿宋" w:eastAsia="仿宋"/>
                <w:sz w:val="18"/>
                <w:szCs w:val="18"/>
              </w:rPr>
              <w:t>检测项目3结论</w:t>
            </w:r>
          </w:p>
        </w:tc>
        <w:tc>
          <w:tcPr>
            <w:tcW w:w="720" w:type="dxa"/>
            <w:tcMar>
              <w:top w:w="11" w:type="dxa"/>
              <w:left w:w="11" w:type="dxa"/>
              <w:right w:w="11" w:type="dxa"/>
            </w:tcMar>
            <w:vAlign w:val="center"/>
          </w:tcPr>
          <w:p w14:paraId="7CB7BFCF">
            <w:pPr>
              <w:pStyle w:val="57"/>
              <w:jc w:val="center"/>
              <w:rPr>
                <w:rFonts w:ascii="仿宋" w:hAnsi="仿宋" w:eastAsia="仿宋"/>
                <w:sz w:val="18"/>
                <w:szCs w:val="18"/>
              </w:rPr>
            </w:pPr>
            <w:r>
              <w:rPr>
                <w:rFonts w:hint="eastAsia" w:ascii="仿宋" w:hAnsi="仿宋" w:eastAsia="仿宋"/>
                <w:sz w:val="18"/>
                <w:szCs w:val="18"/>
              </w:rPr>
              <w:t>.........</w:t>
            </w:r>
          </w:p>
        </w:tc>
        <w:tc>
          <w:tcPr>
            <w:tcW w:w="1406" w:type="dxa"/>
            <w:tcMar>
              <w:top w:w="11" w:type="dxa"/>
              <w:left w:w="11" w:type="dxa"/>
              <w:right w:w="11" w:type="dxa"/>
            </w:tcMar>
            <w:vAlign w:val="center"/>
          </w:tcPr>
          <w:p w14:paraId="6473F3D1">
            <w:pPr>
              <w:pStyle w:val="57"/>
              <w:jc w:val="center"/>
              <w:rPr>
                <w:rFonts w:ascii="仿宋" w:hAnsi="仿宋" w:eastAsia="仿宋"/>
                <w:sz w:val="18"/>
                <w:szCs w:val="18"/>
              </w:rPr>
            </w:pPr>
            <w:r>
              <w:rPr>
                <w:rFonts w:hint="eastAsia" w:ascii="仿宋" w:hAnsi="仿宋" w:eastAsia="仿宋"/>
                <w:sz w:val="18"/>
                <w:szCs w:val="18"/>
              </w:rPr>
              <w:t>检测项目10结论</w:t>
            </w:r>
          </w:p>
        </w:tc>
        <w:tc>
          <w:tcPr>
            <w:tcW w:w="993" w:type="dxa"/>
            <w:tcMar>
              <w:top w:w="11" w:type="dxa"/>
              <w:left w:w="11" w:type="dxa"/>
              <w:right w:w="11" w:type="dxa"/>
            </w:tcMar>
            <w:vAlign w:val="center"/>
          </w:tcPr>
          <w:p w14:paraId="06BAFFA9">
            <w:pPr>
              <w:pStyle w:val="57"/>
              <w:jc w:val="center"/>
              <w:rPr>
                <w:rFonts w:ascii="仿宋" w:hAnsi="仿宋" w:eastAsia="仿宋"/>
                <w:sz w:val="18"/>
                <w:szCs w:val="18"/>
              </w:rPr>
            </w:pPr>
            <w:r>
              <w:rPr>
                <w:rFonts w:hint="eastAsia" w:ascii="仿宋" w:hAnsi="仿宋" w:eastAsia="仿宋"/>
                <w:sz w:val="18"/>
                <w:szCs w:val="18"/>
              </w:rPr>
              <w:t>建议</w:t>
            </w:r>
          </w:p>
        </w:tc>
      </w:tr>
      <w:tr w14:paraId="3793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tblHeader/>
          <w:tblCellSpacing w:w="0" w:type="dxa"/>
        </w:trPr>
        <w:tc>
          <w:tcPr>
            <w:tcW w:w="1038" w:type="dxa"/>
            <w:tcMar>
              <w:top w:w="11" w:type="dxa"/>
              <w:left w:w="11" w:type="dxa"/>
              <w:right w:w="11" w:type="dxa"/>
            </w:tcMar>
            <w:vAlign w:val="center"/>
          </w:tcPr>
          <w:p w14:paraId="6F5C50B2">
            <w:pPr>
              <w:pStyle w:val="57"/>
              <w:jc w:val="center"/>
              <w:rPr>
                <w:rFonts w:ascii="仿宋" w:hAnsi="仿宋" w:eastAsia="仿宋"/>
                <w:color w:val="000000"/>
                <w:sz w:val="18"/>
                <w:szCs w:val="18"/>
              </w:rPr>
            </w:pPr>
          </w:p>
        </w:tc>
        <w:tc>
          <w:tcPr>
            <w:tcW w:w="828" w:type="dxa"/>
            <w:tcMar>
              <w:top w:w="11" w:type="dxa"/>
              <w:left w:w="11" w:type="dxa"/>
              <w:right w:w="11" w:type="dxa"/>
            </w:tcMar>
            <w:vAlign w:val="center"/>
          </w:tcPr>
          <w:p w14:paraId="5826E61E">
            <w:pPr>
              <w:pStyle w:val="57"/>
              <w:jc w:val="center"/>
              <w:rPr>
                <w:rFonts w:ascii="仿宋" w:hAnsi="仿宋" w:eastAsia="仿宋"/>
                <w:color w:val="000000"/>
                <w:sz w:val="18"/>
                <w:szCs w:val="18"/>
              </w:rPr>
            </w:pPr>
          </w:p>
        </w:tc>
        <w:tc>
          <w:tcPr>
            <w:tcW w:w="1422" w:type="dxa"/>
            <w:tcMar>
              <w:top w:w="11" w:type="dxa"/>
              <w:left w:w="11" w:type="dxa"/>
              <w:right w:w="11" w:type="dxa"/>
            </w:tcMar>
            <w:vAlign w:val="center"/>
          </w:tcPr>
          <w:p w14:paraId="722B0890">
            <w:pPr>
              <w:pStyle w:val="57"/>
              <w:jc w:val="center"/>
              <w:rPr>
                <w:rFonts w:ascii="仿宋" w:hAnsi="仿宋" w:eastAsia="仿宋"/>
                <w:sz w:val="18"/>
                <w:szCs w:val="18"/>
              </w:rPr>
            </w:pPr>
          </w:p>
        </w:tc>
        <w:tc>
          <w:tcPr>
            <w:tcW w:w="1275" w:type="dxa"/>
            <w:tcMar>
              <w:top w:w="11" w:type="dxa"/>
              <w:left w:w="11" w:type="dxa"/>
              <w:right w:w="11" w:type="dxa"/>
            </w:tcMar>
            <w:vAlign w:val="center"/>
          </w:tcPr>
          <w:p w14:paraId="1E832BB9">
            <w:pPr>
              <w:pStyle w:val="57"/>
              <w:jc w:val="center"/>
              <w:rPr>
                <w:rFonts w:ascii="仿宋" w:hAnsi="仿宋" w:eastAsia="仿宋"/>
                <w:sz w:val="18"/>
                <w:szCs w:val="18"/>
              </w:rPr>
            </w:pPr>
          </w:p>
        </w:tc>
        <w:tc>
          <w:tcPr>
            <w:tcW w:w="1276" w:type="dxa"/>
            <w:tcMar>
              <w:top w:w="11" w:type="dxa"/>
              <w:left w:w="11" w:type="dxa"/>
              <w:right w:w="11" w:type="dxa"/>
            </w:tcMar>
            <w:vAlign w:val="center"/>
          </w:tcPr>
          <w:p w14:paraId="7D17185C">
            <w:pPr>
              <w:pStyle w:val="57"/>
              <w:jc w:val="center"/>
              <w:rPr>
                <w:rFonts w:ascii="仿宋" w:hAnsi="仿宋" w:eastAsia="仿宋"/>
                <w:sz w:val="18"/>
                <w:szCs w:val="18"/>
              </w:rPr>
            </w:pPr>
          </w:p>
        </w:tc>
        <w:tc>
          <w:tcPr>
            <w:tcW w:w="720" w:type="dxa"/>
            <w:tcMar>
              <w:top w:w="11" w:type="dxa"/>
              <w:left w:w="11" w:type="dxa"/>
              <w:right w:w="11" w:type="dxa"/>
            </w:tcMar>
            <w:vAlign w:val="center"/>
          </w:tcPr>
          <w:p w14:paraId="70A04422">
            <w:pPr>
              <w:pStyle w:val="57"/>
              <w:jc w:val="center"/>
              <w:rPr>
                <w:rFonts w:ascii="仿宋" w:hAnsi="仿宋" w:eastAsia="仿宋"/>
                <w:sz w:val="18"/>
                <w:szCs w:val="18"/>
              </w:rPr>
            </w:pPr>
          </w:p>
        </w:tc>
        <w:tc>
          <w:tcPr>
            <w:tcW w:w="1406" w:type="dxa"/>
            <w:tcMar>
              <w:top w:w="11" w:type="dxa"/>
              <w:left w:w="11" w:type="dxa"/>
              <w:right w:w="11" w:type="dxa"/>
            </w:tcMar>
            <w:vAlign w:val="center"/>
          </w:tcPr>
          <w:p w14:paraId="02F4137E">
            <w:pPr>
              <w:pStyle w:val="57"/>
              <w:jc w:val="center"/>
              <w:rPr>
                <w:rFonts w:ascii="仿宋" w:hAnsi="仿宋" w:eastAsia="仿宋"/>
                <w:sz w:val="18"/>
                <w:szCs w:val="18"/>
              </w:rPr>
            </w:pPr>
          </w:p>
        </w:tc>
        <w:tc>
          <w:tcPr>
            <w:tcW w:w="993" w:type="dxa"/>
            <w:tcMar>
              <w:top w:w="11" w:type="dxa"/>
              <w:left w:w="11" w:type="dxa"/>
              <w:right w:w="11" w:type="dxa"/>
            </w:tcMar>
            <w:vAlign w:val="center"/>
          </w:tcPr>
          <w:p w14:paraId="773A42C3">
            <w:pPr>
              <w:pStyle w:val="57"/>
              <w:jc w:val="center"/>
              <w:rPr>
                <w:rFonts w:ascii="仿宋" w:hAnsi="仿宋" w:eastAsia="仿宋"/>
                <w:sz w:val="18"/>
                <w:szCs w:val="18"/>
              </w:rPr>
            </w:pPr>
          </w:p>
        </w:tc>
      </w:tr>
    </w:tbl>
    <w:p w14:paraId="73698741">
      <w:pPr>
        <w:numPr>
          <w:ilvl w:val="0"/>
          <w:numId w:val="5"/>
        </w:numPr>
        <w:autoSpaceDE w:val="0"/>
        <w:autoSpaceDN w:val="0"/>
        <w:adjustRightInd w:val="0"/>
        <w:spacing w:afterLines="50" w:line="440" w:lineRule="exact"/>
        <w:ind w:firstLine="420" w:firstLineChars="150"/>
      </w:pPr>
      <w:r>
        <w:rPr>
          <w:rFonts w:hint="eastAsia" w:ascii="黑体" w:hAnsi="黑体" w:eastAsia="黑体"/>
          <w:sz w:val="28"/>
          <w:szCs w:val="28"/>
        </w:rPr>
        <w:t>分项报告：</w:t>
      </w:r>
      <w:r>
        <w:rPr>
          <w:rFonts w:hint="eastAsia" w:ascii="仿宋_GB2312" w:hAnsi="仿宋" w:eastAsia="仿宋_GB2312"/>
          <w:bCs/>
          <w:sz w:val="28"/>
          <w:szCs w:val="28"/>
        </w:rPr>
        <w:t>详见各分项检验检测报告（附后）。</w:t>
      </w:r>
    </w:p>
    <w:p w14:paraId="142941D3">
      <w:pPr>
        <w:rPr>
          <w:rFonts w:ascii="仿宋" w:hAnsi="仿宋" w:eastAsia="仿宋" w:cs="仿宋"/>
          <w:sz w:val="24"/>
          <w:szCs w:val="24"/>
        </w:rPr>
      </w:pPr>
      <w:r>
        <w:rPr>
          <w:rFonts w:hint="eastAsia" w:ascii="仿宋" w:hAnsi="仿宋" w:eastAsia="仿宋" w:cs="仿宋"/>
          <w:sz w:val="24"/>
          <w:szCs w:val="24"/>
        </w:rPr>
        <w:br w:type="page"/>
      </w:r>
    </w:p>
    <w:p w14:paraId="32C4FB42">
      <w:pPr>
        <w:spacing w:line="340" w:lineRule="atLeast"/>
        <w:rPr>
          <w:rFonts w:ascii="仿宋" w:hAnsi="仿宋" w:eastAsia="仿宋" w:cs="仿宋"/>
          <w:sz w:val="24"/>
          <w:szCs w:val="24"/>
        </w:rPr>
      </w:pPr>
      <w:r>
        <w:rPr>
          <w:rFonts w:hint="eastAsia" w:ascii="仿宋" w:hAnsi="仿宋" w:eastAsia="仿宋" w:cs="仿宋"/>
          <w:sz w:val="24"/>
          <w:szCs w:val="24"/>
        </w:rPr>
        <w:t>附件10：</w:t>
      </w:r>
    </w:p>
    <w:p w14:paraId="25128114">
      <w:pPr>
        <w:spacing w:line="620" w:lineRule="exact"/>
        <w:jc w:val="center"/>
        <w:rPr>
          <w:rFonts w:ascii="黑体" w:hAnsi="黑体" w:eastAsia="黑体"/>
          <w:sz w:val="44"/>
          <w:szCs w:val="44"/>
        </w:rPr>
      </w:pPr>
      <w:r>
        <w:rPr>
          <w:rFonts w:hint="eastAsia" w:ascii="黑体" w:hAnsi="黑体" w:eastAsia="黑体"/>
          <w:sz w:val="44"/>
          <w:szCs w:val="44"/>
        </w:rPr>
        <w:t>杭州市市政道路养护指导书</w:t>
      </w:r>
    </w:p>
    <w:p w14:paraId="3706ECD4">
      <w:pPr>
        <w:jc w:val="center"/>
        <w:rPr>
          <w:rFonts w:ascii="仿宋_GB2312" w:hAnsi="仿宋_GB2312" w:eastAsia="仿宋_GB2312" w:cs="仿宋_GB2312"/>
          <w:sz w:val="18"/>
          <w:szCs w:val="18"/>
        </w:rPr>
      </w:pPr>
    </w:p>
    <w:p w14:paraId="432F26D4">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为进一步提高市政养护精细化管理水平，全面提升市政道路设施品质，营造“大气开放、精致和谐”的城市形象，依据《城镇道路养护技术规范》（CJJ36-2016）和《城市道路养护规范》（DB 3301/T 0012—2013），结合杭州市道路养护管理工作，特制定本指导书。</w:t>
      </w:r>
    </w:p>
    <w:p w14:paraId="54AAC493">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一、工作目标</w:t>
      </w:r>
    </w:p>
    <w:p w14:paraId="738AAC9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遵循“质量第一、品质保证”的原则，市政道路设施实现“十无”目标，车行道无坑洞、无沉降、无裂缝、无积水；人行道无缺失、无破损、无松动；井盖及道路附属设施无缺失、无破损、无沉降，重点提高道路平整度、行车舒适度，打造市政道路管养“杭州样本”。</w:t>
      </w:r>
    </w:p>
    <w:p w14:paraId="2CA01825">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二、适用范围</w:t>
      </w:r>
    </w:p>
    <w:p w14:paraId="7C14ED4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杭州全市范围市政道路及附属设施的日常养护，主要包括车行道（沥青混凝土路面、水泥混凝土路面）、人行道、盲道、无障碍坡道、各类检查井、道路名称指示牌等设施。</w:t>
      </w:r>
    </w:p>
    <w:p w14:paraId="5AE25851">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三、养护评价</w:t>
      </w:r>
    </w:p>
    <w:p w14:paraId="47737623">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道路养护PQI（路面综合评价指数）要求：</w:t>
      </w:r>
    </w:p>
    <w:p w14:paraId="351E7CDE">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Ⅰ等养护道路（快速路、主干路、商业繁华街道、游览路线），PQI评价结果为B级及以上的道路数量≥95%；</w:t>
      </w:r>
    </w:p>
    <w:p w14:paraId="3C81C70C">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Ⅱ等养护道路（除Ⅰ等养护以外的次干路、步行街、支路中的商业街道），PQI评价结果为B级及以上的道路数量≥92%；</w:t>
      </w:r>
    </w:p>
    <w:p w14:paraId="0ACBD91A">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Ⅲ等养护道路（除Ⅰ、Ⅱ等养护以外的支路），PQI评价结果为B级及以上的道路数量≥90%；</w:t>
      </w:r>
    </w:p>
    <w:p w14:paraId="178FE5DA">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四、工作要求</w:t>
      </w:r>
    </w:p>
    <w:p w14:paraId="0CE38314">
      <w:pPr>
        <w:ind w:firstLine="181" w:firstLineChars="100"/>
        <w:jc w:val="left"/>
        <w:rPr>
          <w:rFonts w:ascii="仿宋_GB2312" w:hAnsi="仿宋_GB2312" w:eastAsia="仿宋_GB2312" w:cs="仿宋_GB2312"/>
          <w:sz w:val="18"/>
          <w:szCs w:val="18"/>
        </w:rPr>
      </w:pPr>
      <w:r>
        <w:rPr>
          <w:rFonts w:hint="eastAsia" w:ascii="仿宋_GB2312" w:hAnsi="仿宋_GB2312" w:eastAsia="仿宋_GB2312" w:cs="仿宋_GB2312"/>
          <w:b/>
          <w:sz w:val="18"/>
          <w:szCs w:val="18"/>
        </w:rPr>
        <w:t xml:space="preserve"> 1.</w:t>
      </w:r>
      <w:r>
        <w:rPr>
          <w:rFonts w:hint="eastAsia" w:ascii="仿宋_GB2312" w:hAnsi="仿宋_GB2312" w:eastAsia="仿宋_GB2312" w:cs="仿宋_GB2312"/>
          <w:b/>
          <w:bCs/>
          <w:sz w:val="18"/>
          <w:szCs w:val="18"/>
        </w:rPr>
        <w:t xml:space="preserve"> 强化精细化养护</w:t>
      </w:r>
      <w:r>
        <w:rPr>
          <w:rFonts w:hint="eastAsia" w:ascii="仿宋_GB2312" w:hAnsi="仿宋_GB2312" w:eastAsia="仿宋_GB2312" w:cs="仿宋_GB2312"/>
          <w:sz w:val="18"/>
          <w:szCs w:val="18"/>
        </w:rPr>
        <w:t>。认真贯彻国家省有关规范文件及行业技术标准，养护工作应由“粗放式”变为“精细化”管理，对道路问题进行精准施策，做到规范化、标准化养护，以“精、准、细、严”控制养护作业，不断提升市政道路养护质量。</w:t>
      </w:r>
    </w:p>
    <w:p w14:paraId="05EAE1F6">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bCs/>
          <w:sz w:val="18"/>
          <w:szCs w:val="18"/>
        </w:rPr>
        <w:t>2.突出重点问题解决</w:t>
      </w:r>
      <w:r>
        <w:rPr>
          <w:rFonts w:hint="eastAsia" w:ascii="仿宋_GB2312" w:hAnsi="仿宋_GB2312" w:eastAsia="仿宋_GB2312" w:cs="仿宋_GB2312"/>
          <w:sz w:val="18"/>
          <w:szCs w:val="18"/>
        </w:rPr>
        <w:t>。坚持问题导向与结果导向，切实抓好道路交叉口病害反复修、人行道“水老鼠”、检查井井盖下沉、公交站台积水及市民所反应的等热难点问题，加强预养护工作，做到早发现，早处置，及时消除病害与隐患，不断提升市民群众幸福感与满意度。</w:t>
      </w:r>
    </w:p>
    <w:p w14:paraId="4788F515">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3.提升掘路修复质量。</w:t>
      </w:r>
      <w:r>
        <w:rPr>
          <w:rFonts w:hint="eastAsia" w:ascii="仿宋_GB2312" w:hAnsi="仿宋_GB2312" w:eastAsia="仿宋_GB2312" w:cs="仿宋_GB2312"/>
          <w:sz w:val="18"/>
          <w:szCs w:val="18"/>
        </w:rPr>
        <w:t>进一步规范掘路修复，确保道路开挖施工质量，做到</w:t>
      </w:r>
      <w:r>
        <w:rPr>
          <w:rFonts w:hint="eastAsia" w:ascii="仿宋_GB2312" w:hAnsi="仿宋_GB2312" w:eastAsia="仿宋_GB2312" w:cs="仿宋_GB2312"/>
          <w:kern w:val="0"/>
          <w:sz w:val="18"/>
          <w:szCs w:val="18"/>
          <w:lang w:val="zh-CN"/>
        </w:rPr>
        <w:t>关口前移、加强</w:t>
      </w:r>
      <w:r>
        <w:rPr>
          <w:rFonts w:hint="eastAsia" w:ascii="仿宋_GB2312" w:hAnsi="仿宋_GB2312" w:eastAsia="仿宋_GB2312" w:cs="仿宋_GB2312"/>
          <w:sz w:val="18"/>
          <w:szCs w:val="18"/>
        </w:rPr>
        <w:t>源头管理，在严把道路挖掘审批的同时，进一步加强批后监管，加强过程管理，确保施工质量，不断提升道路品质。</w:t>
      </w:r>
    </w:p>
    <w:p w14:paraId="408F7120">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bCs/>
          <w:sz w:val="18"/>
          <w:szCs w:val="18"/>
        </w:rPr>
        <w:t>4.强化安全文明施工</w:t>
      </w:r>
      <w:r>
        <w:rPr>
          <w:rFonts w:hint="eastAsia" w:ascii="仿宋_GB2312" w:hAnsi="仿宋_GB2312" w:eastAsia="仿宋_GB2312" w:cs="仿宋_GB2312"/>
          <w:sz w:val="18"/>
          <w:szCs w:val="18"/>
        </w:rPr>
        <w:t>。认真贯彻落实“安全第一，预防为主”的方针，重点抓好安全围护、降尘防污、队伍形象等工作，做到安全文明作业，对周边环境的影响降到最低点。实现安全、有序、高效、文明施工。</w:t>
      </w:r>
    </w:p>
    <w:p w14:paraId="4ECB578D">
      <w:pPr>
        <w:rPr>
          <w:rFonts w:ascii="仿宋_GB2312" w:hAnsi="仿宋_GB2312" w:eastAsia="仿宋_GB2312" w:cs="仿宋_GB2312"/>
          <w:sz w:val="18"/>
          <w:szCs w:val="18"/>
        </w:rPr>
      </w:pPr>
    </w:p>
    <w:p w14:paraId="0588CF07">
      <w:pPr>
        <w:rPr>
          <w:rFonts w:ascii="仿宋_GB2312" w:hAnsi="仿宋_GB2312" w:eastAsia="仿宋_GB2312" w:cs="仿宋_GB2312"/>
          <w:sz w:val="18"/>
          <w:szCs w:val="18"/>
        </w:rPr>
      </w:pPr>
    </w:p>
    <w:p w14:paraId="382B9E6E">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附件：市政道路设施养护施工及验收要求</w:t>
      </w:r>
    </w:p>
    <w:p w14:paraId="639A69BA">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市政道路掘路修复要求</w:t>
      </w:r>
    </w:p>
    <w:p w14:paraId="512897A0">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市政道路安全文明施工要求</w:t>
      </w:r>
    </w:p>
    <w:p w14:paraId="437D95B6">
      <w:pPr>
        <w:rPr>
          <w:rFonts w:ascii="黑体" w:hAnsi="黑体" w:eastAsia="黑体" w:cs="仿宋"/>
          <w:bCs/>
          <w:sz w:val="44"/>
          <w:szCs w:val="44"/>
        </w:rPr>
      </w:pPr>
      <w:r>
        <w:rPr>
          <w:rFonts w:hint="eastAsia" w:ascii="黑体" w:hAnsi="黑体" w:eastAsia="黑体" w:cs="仿宋"/>
          <w:bCs/>
          <w:sz w:val="44"/>
          <w:szCs w:val="44"/>
        </w:rPr>
        <w:br w:type="page"/>
      </w:r>
    </w:p>
    <w:p w14:paraId="7E2D2EE1">
      <w:pPr>
        <w:jc w:val="center"/>
        <w:rPr>
          <w:rFonts w:ascii="黑体" w:hAnsi="黑体" w:eastAsia="黑体" w:cs="仿宋"/>
          <w:bCs/>
          <w:sz w:val="44"/>
          <w:szCs w:val="44"/>
        </w:rPr>
      </w:pPr>
      <w:r>
        <w:rPr>
          <w:rFonts w:hint="eastAsia" w:ascii="黑体" w:hAnsi="黑体" w:eastAsia="黑体" w:cs="仿宋"/>
          <w:bCs/>
          <w:sz w:val="44"/>
          <w:szCs w:val="44"/>
        </w:rPr>
        <w:t>市政道路设施养护施工及验收要求</w:t>
      </w:r>
    </w:p>
    <w:p w14:paraId="5B0A461A">
      <w:pPr>
        <w:ind w:firstLine="361" w:firstLineChars="200"/>
        <w:rPr>
          <w:rFonts w:ascii="仿宋_GB2312" w:hAnsi="仿宋_GB2312" w:eastAsia="仿宋_GB2312" w:cs="仿宋_GB2312"/>
          <w:b/>
          <w:bCs/>
          <w:sz w:val="18"/>
          <w:szCs w:val="18"/>
        </w:rPr>
      </w:pPr>
    </w:p>
    <w:p w14:paraId="2587DE8B">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市政道路及其附属设施包括：车行道（沥青混凝土路面、水泥混凝土路面）、人行道、盲道、无障碍坡道、各类检查井、道路名称指示牌等。</w:t>
      </w:r>
    </w:p>
    <w:p w14:paraId="7777CF7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一、沥青混凝土路面</w:t>
      </w:r>
    </w:p>
    <w:p w14:paraId="047B4BDE">
      <w:pPr>
        <w:ind w:firstLine="452" w:firstLineChars="25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39980B41">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（1）维修时限。</w:t>
      </w:r>
      <w:r>
        <w:rPr>
          <w:rFonts w:hint="eastAsia" w:ascii="仿宋_GB2312" w:hAnsi="仿宋_GB2312" w:eastAsia="仿宋_GB2312" w:cs="仿宋_GB2312"/>
          <w:sz w:val="18"/>
          <w:szCs w:val="18"/>
        </w:rPr>
        <w:t>发现病害应及时处理。</w:t>
      </w:r>
    </w:p>
    <w:p w14:paraId="3E942A0F">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结构性破坏病害72小时内开始维修；功能性破坏病害48小时内开始维修。</w:t>
      </w:r>
    </w:p>
    <w:p w14:paraId="76276E37">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（2）维修材料。</w:t>
      </w:r>
      <w:r>
        <w:rPr>
          <w:rFonts w:hint="eastAsia" w:ascii="仿宋_GB2312" w:hAnsi="仿宋_GB2312" w:eastAsia="仿宋_GB2312" w:cs="仿宋_GB2312"/>
          <w:sz w:val="18"/>
          <w:szCs w:val="18"/>
        </w:rPr>
        <w:t>应采用相应材质的沥青混合料。</w:t>
      </w:r>
    </w:p>
    <w:p w14:paraId="59B72A4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应急时，可先采用普通沥青混合料；后续，再按照原设计标准修复。</w:t>
      </w:r>
    </w:p>
    <w:p w14:paraId="72BADC8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台风、汛期和低温雨雪期，宜采用高性能全天候沥青冷补料按标准修复。 </w:t>
      </w:r>
    </w:p>
    <w:p w14:paraId="07CA8279">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（3）沥青温度。</w:t>
      </w:r>
      <w:r>
        <w:rPr>
          <w:rFonts w:hint="eastAsia" w:ascii="仿宋_GB2312" w:hAnsi="仿宋_GB2312" w:eastAsia="仿宋_GB2312" w:cs="仿宋_GB2312"/>
          <w:sz w:val="18"/>
          <w:szCs w:val="18"/>
        </w:rPr>
        <w:t>应保持沥青混合料施工温度，运输、施工时应采用保温设备；</w:t>
      </w:r>
      <w:r>
        <w:fldChar w:fldCharType="begin"/>
      </w:r>
      <w:r>
        <w:instrText xml:space="preserve"> HYPERLINK "https://www.baidu.com/s?wd=%E5%86%AC%E5%AD%A3%E6%96%BD%E5%B7%A5&amp;tn=SE_PcZhidaonwhc_ngpagmjz&amp;rsv_dl=gh_pc_zhidao" \t "_blank" </w:instrText>
      </w:r>
      <w:r>
        <w:fldChar w:fldCharType="separate"/>
      </w:r>
      <w:r>
        <w:rPr>
          <w:rFonts w:hint="eastAsia" w:ascii="仿宋_GB2312" w:hAnsi="仿宋_GB2312" w:eastAsia="仿宋_GB2312" w:cs="仿宋_GB2312"/>
          <w:sz w:val="18"/>
          <w:szCs w:val="18"/>
        </w:rPr>
        <w:t>冬季（气温连续5天低于零下5℃）施工</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，必须做好防冻、保暖的准备。</w:t>
      </w:r>
    </w:p>
    <w:p w14:paraId="671C006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摊铺开始时，不低于140℃；</w:t>
      </w:r>
    </w:p>
    <w:p w14:paraId="75F8EE0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碾压开始时，不低于120℃；</w:t>
      </w:r>
    </w:p>
    <w:p w14:paraId="2AC39172">
      <w:pPr>
        <w:ind w:firstLine="360" w:firstLineChars="200"/>
        <w:rPr>
          <w:rFonts w:ascii="仿宋_GB2312" w:hAnsi="仿宋_GB2312" w:eastAsia="仿宋_GB2312" w:cs="仿宋_GB2312"/>
          <w:b/>
          <w:sz w:val="18"/>
          <w:szCs w:val="18"/>
        </w:rPr>
      </w:pPr>
      <w:r>
        <w:rPr>
          <w:rFonts w:hint="eastAsia" w:ascii="仿宋_GB2312" w:hAnsi="仿宋_GB2312" w:eastAsia="仿宋_GB2312" w:cs="仿宋_GB2312"/>
          <w:sz w:val="18"/>
          <w:szCs w:val="18"/>
        </w:rPr>
        <w:t>开放交通时，不高于50℃。</w:t>
      </w:r>
    </w:p>
    <w:p w14:paraId="0D3002C9">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（4）铣刨范围。</w:t>
      </w:r>
      <w:r>
        <w:rPr>
          <w:rFonts w:hint="eastAsia" w:ascii="仿宋_GB2312" w:hAnsi="仿宋_GB2312" w:eastAsia="仿宋_GB2312" w:cs="仿宋_GB2312"/>
          <w:sz w:val="18"/>
          <w:szCs w:val="18"/>
        </w:rPr>
        <w:t>在病害范围的基础上延伸，按既有车道合理布局。</w:t>
      </w:r>
    </w:p>
    <w:p w14:paraId="1614BA8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长度：病害边缘向外延伸150mm，相邻距离小于2m的病害应统一铣刨。</w:t>
      </w:r>
    </w:p>
    <w:p w14:paraId="655E4C6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宽幅：春、冬两季宜按病害实际范围进行修复；夏、秋两季应按车道宽幅进行修复（背街小巷除外）。</w:t>
      </w:r>
    </w:p>
    <w:p w14:paraId="59BEF469">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（5）边线切割。</w:t>
      </w:r>
      <w:r>
        <w:rPr>
          <w:rFonts w:hint="eastAsia" w:ascii="仿宋_GB2312" w:hAnsi="仿宋_GB2312" w:eastAsia="仿宋_GB2312" w:cs="仿宋_GB2312"/>
          <w:sz w:val="18"/>
          <w:szCs w:val="18"/>
        </w:rPr>
        <w:t>边线应使用机械切割。</w:t>
      </w:r>
    </w:p>
    <w:p w14:paraId="615FCFF3">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边线齐直，与路面中心线平行或垂直；</w:t>
      </w:r>
    </w:p>
    <w:p w14:paraId="625333EA">
      <w:pPr>
        <w:ind w:firstLine="360" w:firstLineChars="200"/>
        <w:rPr>
          <w:rFonts w:ascii="仿宋_GB2312" w:hAnsi="仿宋_GB2312" w:eastAsia="仿宋_GB2312" w:cs="仿宋_GB2312"/>
          <w:sz w:val="18"/>
          <w:szCs w:val="18"/>
          <w:u w:val="single"/>
        </w:rPr>
      </w:pPr>
      <w:r>
        <w:rPr>
          <w:rFonts w:hint="eastAsia" w:ascii="仿宋_GB2312" w:hAnsi="仿宋_GB2312" w:eastAsia="仿宋_GB2312" w:cs="仿宋_GB2312"/>
          <w:sz w:val="18"/>
          <w:szCs w:val="18"/>
        </w:rPr>
        <w:t>切口垂直、底面清洁、形状方正，不得出现多边形。</w:t>
      </w:r>
    </w:p>
    <w:p w14:paraId="6B760DB5">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（6）铣刨深度。</w:t>
      </w:r>
      <w:r>
        <w:rPr>
          <w:rFonts w:hint="eastAsia" w:ascii="仿宋_GB2312" w:hAnsi="仿宋_GB2312" w:eastAsia="仿宋_GB2312" w:cs="仿宋_GB2312"/>
          <w:sz w:val="18"/>
          <w:szCs w:val="18"/>
        </w:rPr>
        <w:t>主要进行路面面层铣刨。</w:t>
      </w:r>
    </w:p>
    <w:p w14:paraId="2F7ECD5B">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铣刨厚度应根据原设计的分层厚度确定分层铣刨厚度。</w:t>
      </w:r>
    </w:p>
    <w:p w14:paraId="041F53CF">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（7）维修施工。</w:t>
      </w:r>
      <w:r>
        <w:rPr>
          <w:rFonts w:hint="eastAsia" w:ascii="仿宋_GB2312" w:hAnsi="仿宋_GB2312" w:eastAsia="仿宋_GB2312" w:cs="仿宋_GB2312"/>
          <w:sz w:val="18"/>
          <w:szCs w:val="18"/>
        </w:rPr>
        <w:t>施工作业应做到卸料快、摊铺快、接平快、碾压快。</w:t>
      </w:r>
    </w:p>
    <w:p w14:paraId="22F93A6E">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路面修补面积＞100㎡的，宜采用机械化修补；其他，应采用铣刨加层修补；</w:t>
      </w:r>
    </w:p>
    <w:p w14:paraId="1FFC7FDF">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快速路和主干路施工气温低于10℃、次干路和支路施工气温低于5℃时，不宜摊铺热拌沥青混合料。</w:t>
      </w:r>
    </w:p>
    <w:p w14:paraId="3E7305F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禁止采用贴面方式修补，禁止雨天热拌沥青混合料施工。</w:t>
      </w:r>
    </w:p>
    <w:p w14:paraId="72E88B61">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（8）灌缝封边。</w:t>
      </w:r>
      <w:r>
        <w:rPr>
          <w:rFonts w:hint="eastAsia" w:ascii="仿宋_GB2312" w:hAnsi="仿宋_GB2312" w:eastAsia="仿宋_GB2312" w:cs="仿宋_GB2312"/>
          <w:sz w:val="18"/>
          <w:szCs w:val="18"/>
        </w:rPr>
        <w:t>路面线裂病害可采用灌缝处治；养护修复封边宜和路面修复同步实施，特殊情况下间隔不大于24小时。</w:t>
      </w:r>
    </w:p>
    <w:p w14:paraId="2DFD1B4D">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灌缝封边应采用高分子聚合物密封胶或高分子聚合物双面贴。</w:t>
      </w:r>
    </w:p>
    <w:p w14:paraId="09D3764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灌入密封槽内的密封胶冷却后即可开放交通，一般为10-20min。</w:t>
      </w:r>
    </w:p>
    <w:p w14:paraId="727B3962">
      <w:pPr>
        <w:ind w:firstLine="360" w:firstLineChars="200"/>
        <w:rPr>
          <w:rFonts w:ascii="仿宋_GB2312" w:hAnsi="仿宋_GB2312" w:eastAsia="仿宋_GB2312" w:cs="仿宋_GB2312"/>
          <w:b/>
          <w:sz w:val="18"/>
          <w:szCs w:val="18"/>
        </w:rPr>
      </w:pPr>
      <w:r>
        <w:rPr>
          <w:rFonts w:hint="eastAsia" w:ascii="仿宋_GB2312" w:hAnsi="仿宋_GB2312" w:eastAsia="仿宋_GB2312" w:cs="仿宋_GB2312"/>
          <w:sz w:val="18"/>
          <w:szCs w:val="18"/>
        </w:rPr>
        <w:t>在路面温度低于5℃及下雨雪天气时，不宜进行灌缝或封边施工。</w:t>
      </w:r>
    </w:p>
    <w:p w14:paraId="04AF1E0C">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6"/>
        <w:gridCol w:w="7143"/>
        <w:gridCol w:w="783"/>
      </w:tblGrid>
      <w:tr w14:paraId="4321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77" w:type="pct"/>
            <w:noWrap/>
            <w:vAlign w:val="center"/>
          </w:tcPr>
          <w:p w14:paraId="1FCF9D7B">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w:t>
            </w:r>
          </w:p>
        </w:tc>
        <w:tc>
          <w:tcPr>
            <w:tcW w:w="3554" w:type="pct"/>
            <w:noWrap/>
            <w:vAlign w:val="center"/>
          </w:tcPr>
          <w:p w14:paraId="5058849D">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质量要求或允许偏差</w:t>
            </w:r>
          </w:p>
        </w:tc>
        <w:tc>
          <w:tcPr>
            <w:tcW w:w="769" w:type="pct"/>
            <w:noWrap/>
            <w:vAlign w:val="center"/>
          </w:tcPr>
          <w:p w14:paraId="5948F4A2">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检验方法</w:t>
            </w:r>
          </w:p>
        </w:tc>
      </w:tr>
      <w:tr w14:paraId="542D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677" w:type="pct"/>
            <w:noWrap/>
            <w:vAlign w:val="center"/>
          </w:tcPr>
          <w:p w14:paraId="59C8094C">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平整度</w:t>
            </w:r>
          </w:p>
        </w:tc>
        <w:tc>
          <w:tcPr>
            <w:tcW w:w="3554" w:type="pct"/>
            <w:noWrap/>
            <w:vAlign w:val="center"/>
          </w:tcPr>
          <w:p w14:paraId="620EF279">
            <w:pPr>
              <w:rPr>
                <w:rFonts w:ascii="仿宋_GB2312" w:hAnsi="仿宋_GB2312" w:eastAsia="仿宋_GB2312" w:cs="仿宋_GB2312"/>
                <w:sz w:val="18"/>
                <w:szCs w:val="18"/>
              </w:rPr>
            </w:pPr>
            <w:r>
              <w:rPr>
                <w:rFonts w:hint="eastAsia" w:ascii="仿宋_GB2312" w:hAnsi="仿宋_GB2312" w:eastAsia="仿宋_GB2312" w:cs="仿宋_GB2312"/>
                <w:sz w:val="18"/>
                <w:szCs w:val="18"/>
              </w:rPr>
              <w:t>路面平整，人工摊铺不大于7mm，机械摊铺不大于5mm</w:t>
            </w:r>
          </w:p>
        </w:tc>
        <w:tc>
          <w:tcPr>
            <w:tcW w:w="769" w:type="pct"/>
            <w:noWrap/>
            <w:vAlign w:val="center"/>
          </w:tcPr>
          <w:p w14:paraId="794610F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3m直尺量</w:t>
            </w:r>
          </w:p>
        </w:tc>
      </w:tr>
      <w:tr w14:paraId="5DC9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7" w:type="pct"/>
            <w:noWrap/>
            <w:vAlign w:val="center"/>
          </w:tcPr>
          <w:p w14:paraId="45AA6E6B">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接茬</w:t>
            </w:r>
          </w:p>
        </w:tc>
        <w:tc>
          <w:tcPr>
            <w:tcW w:w="3554" w:type="pct"/>
            <w:noWrap/>
            <w:vAlign w:val="center"/>
          </w:tcPr>
          <w:p w14:paraId="7ADF9DBF">
            <w:pPr>
              <w:rPr>
                <w:rFonts w:ascii="仿宋_GB2312" w:hAnsi="仿宋_GB2312" w:eastAsia="仿宋_GB2312" w:cs="仿宋_GB2312"/>
                <w:sz w:val="18"/>
                <w:szCs w:val="18"/>
              </w:rPr>
            </w:pPr>
            <w:r>
              <w:rPr>
                <w:rFonts w:hint="eastAsia" w:ascii="仿宋_GB2312" w:hAnsi="仿宋_GB2312" w:eastAsia="仿宋_GB2312" w:cs="仿宋_GB2312"/>
                <w:sz w:val="18"/>
                <w:szCs w:val="18"/>
              </w:rPr>
              <w:t>1.接茬密实，无起壳、松散；</w:t>
            </w:r>
          </w:p>
          <w:p w14:paraId="485729A7">
            <w:pPr>
              <w:rPr>
                <w:rFonts w:ascii="仿宋_GB2312" w:hAnsi="仿宋_GB2312" w:eastAsia="仿宋_GB2312" w:cs="仿宋_GB2312"/>
                <w:sz w:val="18"/>
                <w:szCs w:val="18"/>
              </w:rPr>
            </w:pPr>
            <w:bookmarkStart w:id="1486" w:name="6275-1536205866574"/>
            <w:bookmarkEnd w:id="1486"/>
            <w:r>
              <w:rPr>
                <w:rFonts w:hint="eastAsia" w:ascii="仿宋_GB2312" w:hAnsi="仿宋_GB2312" w:eastAsia="仿宋_GB2312" w:cs="仿宋_GB2312"/>
                <w:sz w:val="18"/>
                <w:szCs w:val="18"/>
              </w:rPr>
              <w:t>2.与平石相接不低于平石，高不大于5mm；</w:t>
            </w:r>
          </w:p>
          <w:p w14:paraId="33DE5829">
            <w:pPr>
              <w:rPr>
                <w:rFonts w:ascii="仿宋_GB2312" w:hAnsi="仿宋_GB2312" w:eastAsia="仿宋_GB2312" w:cs="仿宋_GB2312"/>
                <w:sz w:val="18"/>
                <w:szCs w:val="18"/>
              </w:rPr>
            </w:pPr>
            <w:bookmarkStart w:id="1487" w:name="4670-1536205866574"/>
            <w:bookmarkEnd w:id="1487"/>
            <w:r>
              <w:rPr>
                <w:rFonts w:hint="eastAsia" w:ascii="仿宋_GB2312" w:hAnsi="仿宋_GB2312" w:eastAsia="仿宋_GB2312" w:cs="仿宋_GB2312"/>
                <w:sz w:val="18"/>
                <w:szCs w:val="18"/>
              </w:rPr>
              <w:t>3.新老接茬密实，平顺齐直，不低于原路面，高不大于5mm</w:t>
            </w:r>
          </w:p>
        </w:tc>
        <w:tc>
          <w:tcPr>
            <w:tcW w:w="769" w:type="pct"/>
            <w:noWrap/>
            <w:vAlign w:val="center"/>
          </w:tcPr>
          <w:p w14:paraId="0831607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0C89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7" w:type="pct"/>
            <w:noWrap/>
            <w:vAlign w:val="center"/>
          </w:tcPr>
          <w:p w14:paraId="1F411E77">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路框差</w:t>
            </w:r>
          </w:p>
        </w:tc>
        <w:tc>
          <w:tcPr>
            <w:tcW w:w="3554" w:type="pct"/>
            <w:noWrap/>
            <w:vAlign w:val="center"/>
          </w:tcPr>
          <w:p w14:paraId="6611754A">
            <w:pPr>
              <w:rPr>
                <w:rFonts w:ascii="仿宋_GB2312" w:hAnsi="仿宋_GB2312" w:eastAsia="仿宋_GB2312" w:cs="仿宋_GB2312"/>
                <w:sz w:val="18"/>
                <w:szCs w:val="18"/>
              </w:rPr>
            </w:pPr>
            <w:r>
              <w:rPr>
                <w:rFonts w:hint="eastAsia" w:ascii="仿宋_GB2312" w:hAnsi="仿宋_GB2312" w:eastAsia="仿宋_GB2312" w:cs="仿宋_GB2312"/>
                <w:sz w:val="18"/>
                <w:szCs w:val="18"/>
              </w:rPr>
              <w:t>1.各类井框周围路面无沉陷；</w:t>
            </w:r>
          </w:p>
          <w:p w14:paraId="362EFA3B">
            <w:pPr>
              <w:rPr>
                <w:rFonts w:ascii="仿宋_GB2312" w:hAnsi="仿宋_GB2312" w:eastAsia="仿宋_GB2312" w:cs="仿宋_GB2312"/>
                <w:sz w:val="18"/>
                <w:szCs w:val="18"/>
              </w:rPr>
            </w:pPr>
            <w:bookmarkStart w:id="1488" w:name="8422-1536205866574"/>
            <w:bookmarkEnd w:id="1488"/>
            <w:r>
              <w:rPr>
                <w:rFonts w:hint="eastAsia" w:ascii="仿宋_GB2312" w:hAnsi="仿宋_GB2312" w:eastAsia="仿宋_GB2312" w:cs="仿宋_GB2312"/>
                <w:sz w:val="18"/>
                <w:szCs w:val="18"/>
              </w:rPr>
              <w:t>2.各类井框与路面高差不大于5mm</w:t>
            </w:r>
          </w:p>
        </w:tc>
        <w:tc>
          <w:tcPr>
            <w:tcW w:w="769" w:type="pct"/>
            <w:noWrap/>
            <w:vAlign w:val="center"/>
          </w:tcPr>
          <w:p w14:paraId="1781427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2BF3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7" w:type="pct"/>
            <w:noWrap/>
            <w:vAlign w:val="center"/>
          </w:tcPr>
          <w:p w14:paraId="0C57E56B">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横坡度</w:t>
            </w:r>
          </w:p>
        </w:tc>
        <w:tc>
          <w:tcPr>
            <w:tcW w:w="3554" w:type="pct"/>
            <w:noWrap/>
            <w:vAlign w:val="center"/>
          </w:tcPr>
          <w:p w14:paraId="23E65066">
            <w:pPr>
              <w:rPr>
                <w:rFonts w:ascii="仿宋_GB2312" w:hAnsi="仿宋_GB2312" w:eastAsia="仿宋_GB2312" w:cs="仿宋_GB2312"/>
                <w:sz w:val="18"/>
                <w:szCs w:val="18"/>
              </w:rPr>
            </w:pPr>
            <w:r>
              <w:rPr>
                <w:rFonts w:hint="eastAsia" w:ascii="仿宋_GB2312" w:hAnsi="仿宋_GB2312" w:eastAsia="仿宋_GB2312" w:cs="仿宋_GB2312"/>
                <w:sz w:val="18"/>
                <w:szCs w:val="18"/>
              </w:rPr>
              <w:t>与原路面横坡相一致,无积水</w:t>
            </w:r>
          </w:p>
        </w:tc>
        <w:tc>
          <w:tcPr>
            <w:tcW w:w="769" w:type="pct"/>
            <w:noWrap/>
            <w:vAlign w:val="center"/>
          </w:tcPr>
          <w:p w14:paraId="625F3B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r w14:paraId="31959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7" w:type="pct"/>
            <w:noWrap/>
            <w:vAlign w:val="center"/>
          </w:tcPr>
          <w:p w14:paraId="56015C48">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积水</w:t>
            </w:r>
          </w:p>
        </w:tc>
        <w:tc>
          <w:tcPr>
            <w:tcW w:w="3554" w:type="pct"/>
            <w:noWrap/>
            <w:vAlign w:val="center"/>
          </w:tcPr>
          <w:p w14:paraId="417CADA8">
            <w:pPr>
              <w:rPr>
                <w:rFonts w:ascii="仿宋_GB2312" w:hAnsi="仿宋_GB2312" w:eastAsia="仿宋_GB2312" w:cs="仿宋_GB2312"/>
                <w:sz w:val="18"/>
                <w:szCs w:val="18"/>
              </w:rPr>
            </w:pPr>
            <w:r>
              <w:rPr>
                <w:rFonts w:hint="eastAsia" w:ascii="仿宋_GB2312" w:hAnsi="仿宋_GB2312" w:eastAsia="仿宋_GB2312" w:cs="仿宋_GB2312"/>
                <w:sz w:val="18"/>
                <w:szCs w:val="18"/>
              </w:rPr>
              <w:t>雨天路面无积水，尤其是公交车站、人行横道线处无积水</w:t>
            </w:r>
          </w:p>
        </w:tc>
        <w:tc>
          <w:tcPr>
            <w:tcW w:w="769" w:type="pct"/>
            <w:noWrap/>
            <w:vAlign w:val="center"/>
          </w:tcPr>
          <w:p w14:paraId="01E955D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r w14:paraId="7892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677" w:type="pct"/>
            <w:noWrap/>
            <w:vAlign w:val="center"/>
          </w:tcPr>
          <w:p w14:paraId="175E5E59">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灌缝/封边</w:t>
            </w:r>
          </w:p>
        </w:tc>
        <w:tc>
          <w:tcPr>
            <w:tcW w:w="3554" w:type="pct"/>
            <w:noWrap/>
            <w:vAlign w:val="center"/>
          </w:tcPr>
          <w:p w14:paraId="6563811D">
            <w:pPr>
              <w:rPr>
                <w:rFonts w:ascii="仿宋_GB2312" w:hAnsi="仿宋_GB2312" w:eastAsia="仿宋_GB2312" w:cs="仿宋_GB2312"/>
                <w:b/>
                <w:sz w:val="18"/>
                <w:szCs w:val="18"/>
              </w:rPr>
            </w:pPr>
            <w:r>
              <w:rPr>
                <w:rFonts w:hint="eastAsia" w:ascii="仿宋_GB2312" w:hAnsi="仿宋_GB2312" w:eastAsia="仿宋_GB2312" w:cs="仿宋_GB2312"/>
                <w:sz w:val="18"/>
                <w:szCs w:val="18"/>
              </w:rPr>
              <w:t>修复区域新老接茬处封边表面应平整、密实、均匀、直顺、美观；灌缝处表面光滑，无颗粒状胶粒、无轮迹、无划痕；灌缝和封边处应与原路面接顺，宽度不宜大于5cm，平整度不大于5mm</w:t>
            </w:r>
          </w:p>
        </w:tc>
        <w:tc>
          <w:tcPr>
            <w:tcW w:w="769" w:type="pct"/>
            <w:noWrap/>
            <w:vAlign w:val="center"/>
          </w:tcPr>
          <w:p w14:paraId="550E041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目测/3m直尺量</w:t>
            </w:r>
          </w:p>
        </w:tc>
      </w:tr>
    </w:tbl>
    <w:p w14:paraId="4C1C87BE">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二、水泥混凝土路面</w:t>
      </w:r>
    </w:p>
    <w:p w14:paraId="4F6DDD83">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4153E6E6">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（1）维修时限。</w:t>
      </w:r>
      <w:r>
        <w:rPr>
          <w:rFonts w:hint="eastAsia" w:ascii="仿宋_GB2312" w:hAnsi="仿宋_GB2312" w:eastAsia="仿宋_GB2312" w:cs="仿宋_GB2312"/>
          <w:sz w:val="18"/>
          <w:szCs w:val="18"/>
        </w:rPr>
        <w:t>Ⅰ、Ⅱ等养护的道路宜采用专用机械及相应的快速维修方法施工。</w:t>
      </w:r>
    </w:p>
    <w:p w14:paraId="49D980C4">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（2）维修材料及指标。</w:t>
      </w:r>
      <w:r>
        <w:rPr>
          <w:rFonts w:hint="eastAsia" w:ascii="仿宋_GB2312" w:hAnsi="仿宋_GB2312" w:eastAsia="仿宋_GB2312" w:cs="仿宋_GB2312"/>
          <w:sz w:val="18"/>
          <w:szCs w:val="18"/>
        </w:rPr>
        <w:t>应满足强度、耐久性和稳定性要求，主要材料应进行检验，维修水泥混凝土板块抗压、抗弯拉强度不低于原有路面强度。</w:t>
      </w:r>
    </w:p>
    <w:p w14:paraId="66D3281A">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（3）维修范围及切割。</w:t>
      </w:r>
      <w:r>
        <w:rPr>
          <w:rFonts w:hint="eastAsia" w:ascii="仿宋_GB2312" w:hAnsi="仿宋_GB2312" w:eastAsia="仿宋_GB2312" w:cs="仿宋_GB2312"/>
          <w:sz w:val="18"/>
          <w:szCs w:val="18"/>
        </w:rPr>
        <w:t>水泥混凝土板面破损面积超过三分之二的，应对整块板进行维修；四周切割应整齐垂直，无损伤碎片，切角不小于90°。</w:t>
      </w:r>
    </w:p>
    <w:p w14:paraId="49B50121">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（4）维修施工。</w:t>
      </w:r>
      <w:r>
        <w:rPr>
          <w:rFonts w:hint="eastAsia" w:ascii="仿宋_GB2312" w:hAnsi="仿宋_GB2312" w:eastAsia="仿宋_GB2312" w:cs="仿宋_GB2312"/>
          <w:sz w:val="18"/>
          <w:szCs w:val="18"/>
        </w:rPr>
        <w:t>水泥混凝土板厚度允许误差±5mm，面层拉毛、压痕或刻痕整齐。</w:t>
      </w:r>
    </w:p>
    <w:p w14:paraId="1C2A3D76">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水泥混凝土路面不宜采用沥青混合料修补或罩面，严禁在路面上拌合砂浆或混凝土等作业。</w:t>
      </w:r>
    </w:p>
    <w:p w14:paraId="4A778D72">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751"/>
        <w:gridCol w:w="1529"/>
      </w:tblGrid>
      <w:tr w14:paraId="1F8B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832" w:type="pct"/>
            <w:noWrap/>
            <w:vAlign w:val="center"/>
          </w:tcPr>
          <w:p w14:paraId="68A788A3">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w:t>
            </w:r>
          </w:p>
        </w:tc>
        <w:tc>
          <w:tcPr>
            <w:tcW w:w="3168" w:type="pct"/>
            <w:noWrap/>
            <w:vAlign w:val="center"/>
          </w:tcPr>
          <w:p w14:paraId="0706A978">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质量要求或允许偏差</w:t>
            </w:r>
          </w:p>
        </w:tc>
        <w:tc>
          <w:tcPr>
            <w:tcW w:w="1000" w:type="pct"/>
            <w:noWrap/>
            <w:vAlign w:val="center"/>
          </w:tcPr>
          <w:p w14:paraId="31A0591E">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检验方法</w:t>
            </w:r>
          </w:p>
        </w:tc>
      </w:tr>
      <w:tr w14:paraId="51C8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832" w:type="pct"/>
            <w:noWrap/>
            <w:vAlign w:val="center"/>
          </w:tcPr>
          <w:p w14:paraId="47BD4EF7">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平整度</w:t>
            </w:r>
          </w:p>
        </w:tc>
        <w:tc>
          <w:tcPr>
            <w:tcW w:w="3168" w:type="pct"/>
            <w:noWrap/>
            <w:vAlign w:val="center"/>
          </w:tcPr>
          <w:p w14:paraId="45277026">
            <w:pPr>
              <w:rPr>
                <w:rFonts w:ascii="仿宋_GB2312" w:hAnsi="仿宋_GB2312" w:eastAsia="仿宋_GB2312" w:cs="仿宋_GB2312"/>
                <w:sz w:val="18"/>
                <w:szCs w:val="18"/>
              </w:rPr>
            </w:pPr>
            <w:r>
              <w:rPr>
                <w:rFonts w:hint="eastAsia" w:ascii="仿宋_GB2312" w:hAnsi="仿宋_GB2312" w:eastAsia="仿宋_GB2312" w:cs="仿宋_GB2312"/>
                <w:sz w:val="18"/>
                <w:szCs w:val="18"/>
              </w:rPr>
              <w:t>路面整齐度高差不大于3mm</w:t>
            </w:r>
          </w:p>
        </w:tc>
        <w:tc>
          <w:tcPr>
            <w:tcW w:w="1000" w:type="pct"/>
            <w:noWrap/>
            <w:vAlign w:val="center"/>
          </w:tcPr>
          <w:p w14:paraId="326ED84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3m直尺量</w:t>
            </w:r>
          </w:p>
        </w:tc>
      </w:tr>
      <w:tr w14:paraId="2B39D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32" w:type="pct"/>
            <w:noWrap/>
            <w:vAlign w:val="center"/>
          </w:tcPr>
          <w:p w14:paraId="758E072E">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抗滑</w:t>
            </w:r>
          </w:p>
        </w:tc>
        <w:tc>
          <w:tcPr>
            <w:tcW w:w="3168" w:type="pct"/>
            <w:noWrap/>
            <w:vAlign w:val="center"/>
          </w:tcPr>
          <w:p w14:paraId="3FC00C84">
            <w:pPr>
              <w:rPr>
                <w:rFonts w:ascii="仿宋_GB2312" w:hAnsi="仿宋_GB2312" w:eastAsia="仿宋_GB2312" w:cs="仿宋_GB2312"/>
                <w:sz w:val="18"/>
                <w:szCs w:val="18"/>
              </w:rPr>
            </w:pPr>
            <w:r>
              <w:rPr>
                <w:rFonts w:hint="eastAsia" w:ascii="仿宋_GB2312" w:hAnsi="仿宋_GB2312" w:eastAsia="仿宋_GB2312" w:cs="仿宋_GB2312"/>
                <w:sz w:val="18"/>
                <w:szCs w:val="18"/>
              </w:rPr>
              <w:t>符合设计要求</w:t>
            </w:r>
          </w:p>
        </w:tc>
        <w:tc>
          <w:tcPr>
            <w:tcW w:w="1000" w:type="pct"/>
            <w:noWrap/>
            <w:vAlign w:val="center"/>
          </w:tcPr>
          <w:p w14:paraId="086D91B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测试</w:t>
            </w:r>
          </w:p>
        </w:tc>
      </w:tr>
      <w:tr w14:paraId="107C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32" w:type="pct"/>
            <w:noWrap/>
            <w:vAlign w:val="center"/>
          </w:tcPr>
          <w:p w14:paraId="511083F7">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相邻板差</w:t>
            </w:r>
          </w:p>
        </w:tc>
        <w:tc>
          <w:tcPr>
            <w:tcW w:w="3168" w:type="pct"/>
            <w:noWrap/>
            <w:vAlign w:val="center"/>
          </w:tcPr>
          <w:p w14:paraId="6E02C93A">
            <w:pPr>
              <w:rPr>
                <w:rFonts w:ascii="仿宋_GB2312" w:hAnsi="仿宋_GB2312" w:eastAsia="仿宋_GB2312" w:cs="仿宋_GB2312"/>
                <w:sz w:val="18"/>
                <w:szCs w:val="18"/>
              </w:rPr>
            </w:pPr>
            <w:r>
              <w:rPr>
                <w:rFonts w:hint="eastAsia" w:ascii="仿宋_GB2312" w:hAnsi="仿宋_GB2312" w:eastAsia="仿宋_GB2312" w:cs="仿宋_GB2312"/>
                <w:sz w:val="18"/>
                <w:szCs w:val="18"/>
              </w:rPr>
              <w:t>新板边接边，高差不大于5mm</w:t>
            </w:r>
          </w:p>
        </w:tc>
        <w:tc>
          <w:tcPr>
            <w:tcW w:w="1000" w:type="pct"/>
            <w:noWrap/>
            <w:vAlign w:val="center"/>
          </w:tcPr>
          <w:p w14:paraId="1314FE7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57FC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32" w:type="pct"/>
            <w:noWrap/>
            <w:vAlign w:val="center"/>
          </w:tcPr>
          <w:p w14:paraId="200DA305">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伸缩缝</w:t>
            </w:r>
          </w:p>
        </w:tc>
        <w:tc>
          <w:tcPr>
            <w:tcW w:w="3168" w:type="pct"/>
            <w:noWrap/>
            <w:vAlign w:val="center"/>
          </w:tcPr>
          <w:p w14:paraId="62EB30A3">
            <w:pPr>
              <w:rPr>
                <w:rFonts w:ascii="仿宋_GB2312" w:hAnsi="仿宋_GB2312" w:eastAsia="仿宋_GB2312" w:cs="仿宋_GB2312"/>
                <w:sz w:val="18"/>
                <w:szCs w:val="18"/>
              </w:rPr>
            </w:pPr>
            <w:r>
              <w:rPr>
                <w:rFonts w:hint="eastAsia" w:ascii="仿宋_GB2312" w:hAnsi="仿宋_GB2312" w:eastAsia="仿宋_GB2312" w:cs="仿宋_GB2312"/>
                <w:sz w:val="18"/>
                <w:szCs w:val="18"/>
              </w:rPr>
              <w:t>1.顺直，深度、宽度不小于原规定；2.嵌缝密实，高差不大于3mm</w:t>
            </w:r>
          </w:p>
        </w:tc>
        <w:tc>
          <w:tcPr>
            <w:tcW w:w="1000" w:type="pct"/>
            <w:noWrap/>
            <w:vAlign w:val="center"/>
          </w:tcPr>
          <w:p w14:paraId="2F3C75E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32AC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32" w:type="pct"/>
            <w:noWrap/>
            <w:vAlign w:val="center"/>
          </w:tcPr>
          <w:p w14:paraId="70A58B1F">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路框差</w:t>
            </w:r>
          </w:p>
        </w:tc>
        <w:tc>
          <w:tcPr>
            <w:tcW w:w="3168" w:type="pct"/>
            <w:noWrap/>
            <w:vAlign w:val="center"/>
          </w:tcPr>
          <w:p w14:paraId="75860B27">
            <w:pPr>
              <w:rPr>
                <w:rFonts w:ascii="仿宋_GB2312" w:hAnsi="仿宋_GB2312" w:eastAsia="仿宋_GB2312" w:cs="仿宋_GB2312"/>
                <w:sz w:val="18"/>
                <w:szCs w:val="18"/>
              </w:rPr>
            </w:pPr>
            <w:r>
              <w:rPr>
                <w:rFonts w:hint="eastAsia" w:ascii="仿宋_GB2312" w:hAnsi="仿宋_GB2312" w:eastAsia="仿宋_GB2312" w:cs="仿宋_GB2312"/>
                <w:sz w:val="18"/>
                <w:szCs w:val="18"/>
              </w:rPr>
              <w:t>1.座框四周设置混凝土保护护边；2.座框或护边与路面高差不大于3mm</w:t>
            </w:r>
          </w:p>
        </w:tc>
        <w:tc>
          <w:tcPr>
            <w:tcW w:w="1000" w:type="pct"/>
            <w:noWrap/>
            <w:vAlign w:val="center"/>
          </w:tcPr>
          <w:p w14:paraId="07BA15F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6E48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832" w:type="pct"/>
            <w:noWrap/>
            <w:vAlign w:val="center"/>
          </w:tcPr>
          <w:p w14:paraId="0C977122">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纵横坡度</w:t>
            </w:r>
          </w:p>
        </w:tc>
        <w:tc>
          <w:tcPr>
            <w:tcW w:w="3168" w:type="pct"/>
            <w:noWrap/>
            <w:vAlign w:val="center"/>
          </w:tcPr>
          <w:p w14:paraId="29DE9E35">
            <w:pPr>
              <w:rPr>
                <w:rFonts w:ascii="仿宋_GB2312" w:hAnsi="仿宋_GB2312" w:eastAsia="仿宋_GB2312" w:cs="仿宋_GB2312"/>
                <w:sz w:val="18"/>
                <w:szCs w:val="18"/>
              </w:rPr>
            </w:pPr>
            <w:r>
              <w:rPr>
                <w:rFonts w:hint="eastAsia" w:ascii="仿宋_GB2312" w:hAnsi="仿宋_GB2312" w:eastAsia="仿宋_GB2312" w:cs="仿宋_GB2312"/>
                <w:sz w:val="18"/>
                <w:szCs w:val="18"/>
              </w:rPr>
              <w:t>与原路面纵坡、横坡相一致，无积水</w:t>
            </w:r>
          </w:p>
        </w:tc>
        <w:tc>
          <w:tcPr>
            <w:tcW w:w="1000" w:type="pct"/>
            <w:noWrap/>
            <w:vAlign w:val="center"/>
          </w:tcPr>
          <w:p w14:paraId="5132B92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bl>
    <w:p w14:paraId="2AFA0543">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三、人行道</w:t>
      </w:r>
    </w:p>
    <w:p w14:paraId="7C704B45">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376B7DE5">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（1）面层材料。</w:t>
      </w:r>
      <w:r>
        <w:rPr>
          <w:rFonts w:hint="eastAsia" w:ascii="仿宋_GB2312" w:hAnsi="仿宋_GB2312" w:eastAsia="仿宋_GB2312" w:cs="仿宋_GB2312"/>
          <w:sz w:val="18"/>
          <w:szCs w:val="18"/>
        </w:rPr>
        <w:t>应采用与原人行道同材质、同颜色的材料。预制块、块石铺筑平整无松动，缝隙饱满；纵横缝顺直，排列整齐，纵向偏差不大于10mm。</w:t>
      </w:r>
    </w:p>
    <w:p w14:paraId="356CB43F">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（2）基层维修。</w:t>
      </w:r>
      <w:r>
        <w:rPr>
          <w:rFonts w:hint="eastAsia" w:ascii="仿宋_GB2312" w:hAnsi="仿宋_GB2312" w:eastAsia="仿宋_GB2312" w:cs="仿宋_GB2312"/>
          <w:sz w:val="18"/>
          <w:szCs w:val="18"/>
        </w:rPr>
        <w:t>人行道下沉和拱胀凸起时，应对基层进行维修。</w:t>
      </w:r>
    </w:p>
    <w:p w14:paraId="3E73F9F4">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基层维修宜采用原设计材料，不应采用薄层贴补；采用其他材料维修基层时，其强度不应低于原基层材料。</w:t>
      </w:r>
    </w:p>
    <w:p w14:paraId="537ECA0F">
      <w:pPr>
        <w:ind w:firstLine="360" w:firstLineChars="200"/>
        <w:rPr>
          <w:rFonts w:ascii="仿宋_GB2312" w:hAnsi="仿宋_GB2312" w:eastAsia="仿宋_GB2312" w:cs="仿宋_GB2312"/>
          <w:sz w:val="18"/>
          <w:szCs w:val="18"/>
        </w:rPr>
      </w:pPr>
    </w:p>
    <w:p w14:paraId="75649D0A">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冬季施工时，不宜采用石灰稳定类和水泥稳定类材料，否则应采取防冻措施。</w:t>
      </w:r>
    </w:p>
    <w:p w14:paraId="56C50D0D">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（3）缘石维修。</w:t>
      </w:r>
      <w:r>
        <w:rPr>
          <w:rFonts w:hint="eastAsia" w:ascii="仿宋_GB2312" w:hAnsi="仿宋_GB2312" w:eastAsia="仿宋_GB2312" w:cs="仿宋_GB2312"/>
          <w:sz w:val="18"/>
          <w:szCs w:val="18"/>
        </w:rPr>
        <w:t>混凝土缘石应保持稳固、直顺。发生挤压、拱涨变形应调整并及时勾缝。</w:t>
      </w:r>
    </w:p>
    <w:p w14:paraId="15AF8FBD">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更换的缘石规格、材质应与原路缘石一致。</w:t>
      </w:r>
    </w:p>
    <w:p w14:paraId="3166C9C6">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花岗石、大理石类缘石的维修养护，其缝宽不得小于3mm，最大缝宽不得超过10mm。</w:t>
      </w:r>
    </w:p>
    <w:p w14:paraId="5E8C7DEF">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5662"/>
        <w:gridCol w:w="1442"/>
      </w:tblGrid>
      <w:tr w14:paraId="72BD0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blHeader/>
        </w:trPr>
        <w:tc>
          <w:tcPr>
            <w:tcW w:w="832" w:type="pct"/>
            <w:noWrap/>
            <w:vAlign w:val="center"/>
          </w:tcPr>
          <w:p w14:paraId="336EA1F0">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w:t>
            </w:r>
          </w:p>
        </w:tc>
        <w:tc>
          <w:tcPr>
            <w:tcW w:w="3322" w:type="pct"/>
            <w:noWrap/>
            <w:vAlign w:val="center"/>
          </w:tcPr>
          <w:p w14:paraId="024DE974">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质量要求或允许偏差</w:t>
            </w:r>
          </w:p>
        </w:tc>
        <w:tc>
          <w:tcPr>
            <w:tcW w:w="846" w:type="pct"/>
            <w:noWrap/>
            <w:vAlign w:val="center"/>
          </w:tcPr>
          <w:p w14:paraId="1F76AA81">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检验方法</w:t>
            </w:r>
          </w:p>
        </w:tc>
      </w:tr>
      <w:tr w14:paraId="47DB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blHeader/>
        </w:trPr>
        <w:tc>
          <w:tcPr>
            <w:tcW w:w="832" w:type="pct"/>
            <w:noWrap/>
            <w:vAlign w:val="center"/>
          </w:tcPr>
          <w:p w14:paraId="292473CA">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平整度</w:t>
            </w:r>
          </w:p>
        </w:tc>
        <w:tc>
          <w:tcPr>
            <w:tcW w:w="3322" w:type="pct"/>
            <w:noWrap/>
            <w:vAlign w:val="center"/>
          </w:tcPr>
          <w:p w14:paraId="09804ECF">
            <w:pPr>
              <w:rPr>
                <w:rFonts w:ascii="仿宋_GB2312" w:hAnsi="仿宋_GB2312" w:eastAsia="仿宋_GB2312" w:cs="仿宋_GB2312"/>
                <w:sz w:val="18"/>
                <w:szCs w:val="18"/>
              </w:rPr>
            </w:pPr>
            <w:r>
              <w:rPr>
                <w:rFonts w:hint="eastAsia" w:ascii="仿宋_GB2312" w:hAnsi="仿宋_GB2312" w:eastAsia="仿宋_GB2312" w:cs="仿宋_GB2312"/>
                <w:sz w:val="18"/>
                <w:szCs w:val="18"/>
              </w:rPr>
              <w:t>预制块和现浇水泥人行道的平整度不大于5mm</w:t>
            </w:r>
          </w:p>
        </w:tc>
        <w:tc>
          <w:tcPr>
            <w:tcW w:w="846" w:type="pct"/>
            <w:noWrap/>
            <w:vAlign w:val="center"/>
          </w:tcPr>
          <w:p w14:paraId="3A248A2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3m直尺量</w:t>
            </w:r>
          </w:p>
        </w:tc>
      </w:tr>
      <w:tr w14:paraId="4F3E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832" w:type="pct"/>
            <w:noWrap/>
            <w:vAlign w:val="center"/>
          </w:tcPr>
          <w:p w14:paraId="5E3C5686">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路框差</w:t>
            </w:r>
          </w:p>
        </w:tc>
        <w:tc>
          <w:tcPr>
            <w:tcW w:w="3322" w:type="pct"/>
            <w:noWrap/>
            <w:vAlign w:val="center"/>
          </w:tcPr>
          <w:p w14:paraId="0D547C6B">
            <w:pPr>
              <w:rPr>
                <w:rFonts w:ascii="仿宋_GB2312" w:hAnsi="仿宋_GB2312" w:eastAsia="仿宋_GB2312" w:cs="仿宋_GB2312"/>
                <w:sz w:val="18"/>
                <w:szCs w:val="18"/>
              </w:rPr>
            </w:pPr>
            <w:r>
              <w:rPr>
                <w:rFonts w:hint="eastAsia" w:ascii="仿宋_GB2312" w:hAnsi="仿宋_GB2312" w:eastAsia="仿宋_GB2312" w:cs="仿宋_GB2312"/>
                <w:sz w:val="18"/>
                <w:szCs w:val="18"/>
              </w:rPr>
              <w:t>1.检查井及公用事业井盖框和人行道高差不大于5mm；</w:t>
            </w:r>
          </w:p>
          <w:p w14:paraId="1257FEA0">
            <w:pPr>
              <w:rPr>
                <w:rFonts w:ascii="仿宋_GB2312" w:hAnsi="仿宋_GB2312" w:eastAsia="仿宋_GB2312" w:cs="仿宋_GB2312"/>
                <w:sz w:val="18"/>
                <w:szCs w:val="18"/>
              </w:rPr>
            </w:pPr>
            <w:bookmarkStart w:id="1489" w:name="9052-1536205866578"/>
            <w:bookmarkEnd w:id="1489"/>
            <w:r>
              <w:rPr>
                <w:rFonts w:hint="eastAsia" w:ascii="仿宋_GB2312" w:hAnsi="仿宋_GB2312" w:eastAsia="仿宋_GB2312" w:cs="仿宋_GB2312"/>
                <w:sz w:val="18"/>
                <w:szCs w:val="18"/>
              </w:rPr>
              <w:t>2.与现浇水泥人行道高差不大于3mm</w:t>
            </w:r>
          </w:p>
        </w:tc>
        <w:tc>
          <w:tcPr>
            <w:tcW w:w="846" w:type="pct"/>
            <w:noWrap/>
            <w:vAlign w:val="center"/>
          </w:tcPr>
          <w:p w14:paraId="7B99192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1DB9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blHeader/>
        </w:trPr>
        <w:tc>
          <w:tcPr>
            <w:tcW w:w="832" w:type="pct"/>
            <w:noWrap/>
            <w:vAlign w:val="center"/>
          </w:tcPr>
          <w:p w14:paraId="7BAD6735">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接茬</w:t>
            </w:r>
          </w:p>
        </w:tc>
        <w:tc>
          <w:tcPr>
            <w:tcW w:w="3322" w:type="pct"/>
            <w:noWrap/>
            <w:vAlign w:val="center"/>
          </w:tcPr>
          <w:p w14:paraId="37BE29F0">
            <w:pPr>
              <w:rPr>
                <w:rFonts w:ascii="仿宋_GB2312" w:hAnsi="仿宋_GB2312" w:eastAsia="仿宋_GB2312" w:cs="仿宋_GB2312"/>
                <w:sz w:val="18"/>
                <w:szCs w:val="18"/>
              </w:rPr>
            </w:pPr>
            <w:r>
              <w:rPr>
                <w:rFonts w:hint="eastAsia" w:ascii="仿宋_GB2312" w:hAnsi="仿宋_GB2312" w:eastAsia="仿宋_GB2312" w:cs="仿宋_GB2312"/>
                <w:sz w:val="18"/>
                <w:szCs w:val="18"/>
              </w:rPr>
              <w:t>1.新老接茬齐平,高差不大于5mm；</w:t>
            </w:r>
          </w:p>
          <w:p w14:paraId="39367EC8">
            <w:pPr>
              <w:rPr>
                <w:rFonts w:ascii="仿宋_GB2312" w:hAnsi="仿宋_GB2312" w:eastAsia="仿宋_GB2312" w:cs="仿宋_GB2312"/>
                <w:sz w:val="18"/>
                <w:szCs w:val="18"/>
              </w:rPr>
            </w:pPr>
            <w:r>
              <w:rPr>
                <w:rFonts w:hint="eastAsia" w:ascii="仿宋_GB2312" w:hAnsi="仿宋_GB2312" w:eastAsia="仿宋_GB2312" w:cs="仿宋_GB2312"/>
                <w:sz w:val="18"/>
                <w:szCs w:val="18"/>
              </w:rPr>
              <w:t>2.人行道面高出侧石顶面5mm</w:t>
            </w:r>
          </w:p>
        </w:tc>
        <w:tc>
          <w:tcPr>
            <w:tcW w:w="846" w:type="pct"/>
            <w:noWrap/>
            <w:vAlign w:val="center"/>
          </w:tcPr>
          <w:p w14:paraId="2275D05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1m直尺量</w:t>
            </w:r>
          </w:p>
        </w:tc>
      </w:tr>
      <w:tr w14:paraId="14F7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blHeader/>
        </w:trPr>
        <w:tc>
          <w:tcPr>
            <w:tcW w:w="832" w:type="pct"/>
            <w:noWrap/>
            <w:vAlign w:val="center"/>
          </w:tcPr>
          <w:p w14:paraId="525782F5">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凿边及压缝</w:t>
            </w:r>
          </w:p>
        </w:tc>
        <w:tc>
          <w:tcPr>
            <w:tcW w:w="3322" w:type="pct"/>
            <w:noWrap/>
            <w:vAlign w:val="center"/>
          </w:tcPr>
          <w:p w14:paraId="1524118A">
            <w:pPr>
              <w:rPr>
                <w:rFonts w:ascii="仿宋_GB2312" w:hAnsi="仿宋_GB2312" w:eastAsia="仿宋_GB2312" w:cs="仿宋_GB2312"/>
                <w:sz w:val="18"/>
                <w:szCs w:val="18"/>
              </w:rPr>
            </w:pPr>
            <w:r>
              <w:rPr>
                <w:rFonts w:hint="eastAsia" w:ascii="仿宋_GB2312" w:hAnsi="仿宋_GB2312" w:eastAsia="仿宋_GB2312" w:cs="仿宋_GB2312"/>
                <w:sz w:val="18"/>
                <w:szCs w:val="18"/>
              </w:rPr>
              <w:t>1.现浇水泥人行道四周凿边整齐不斜，四周无损伤；</w:t>
            </w:r>
          </w:p>
          <w:p w14:paraId="240DC830">
            <w:pPr>
              <w:rPr>
                <w:rFonts w:ascii="仿宋_GB2312" w:hAnsi="仿宋_GB2312" w:eastAsia="仿宋_GB2312" w:cs="仿宋_GB2312"/>
                <w:sz w:val="18"/>
                <w:szCs w:val="18"/>
              </w:rPr>
            </w:pPr>
            <w:bookmarkStart w:id="1490" w:name="3060-1536205866578"/>
            <w:bookmarkEnd w:id="1490"/>
            <w:r>
              <w:rPr>
                <w:rFonts w:hint="eastAsia" w:ascii="仿宋_GB2312" w:hAnsi="仿宋_GB2312" w:eastAsia="仿宋_GB2312" w:cs="仿宋_GB2312"/>
                <w:sz w:val="18"/>
                <w:szCs w:val="18"/>
              </w:rPr>
              <w:t>2.现浇混凝土粗底完成后即做细砂浆,表面平整美观；</w:t>
            </w:r>
          </w:p>
          <w:p w14:paraId="250F3030">
            <w:pPr>
              <w:rPr>
                <w:rFonts w:ascii="仿宋_GB2312" w:hAnsi="仿宋_GB2312" w:eastAsia="仿宋_GB2312" w:cs="仿宋_GB2312"/>
                <w:sz w:val="18"/>
                <w:szCs w:val="18"/>
              </w:rPr>
            </w:pPr>
            <w:r>
              <w:rPr>
                <w:rFonts w:hint="eastAsia" w:ascii="仿宋_GB2312" w:hAnsi="仿宋_GB2312" w:eastAsia="仿宋_GB2312" w:cs="仿宋_GB2312"/>
                <w:sz w:val="18"/>
                <w:szCs w:val="18"/>
              </w:rPr>
              <w:t>3.纵横划线垂直齐整、缝宽和缝深均匀，压缝整齐</w:t>
            </w:r>
          </w:p>
        </w:tc>
        <w:tc>
          <w:tcPr>
            <w:tcW w:w="846" w:type="pct"/>
            <w:noWrap/>
            <w:vAlign w:val="center"/>
          </w:tcPr>
          <w:p w14:paraId="1792162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r w14:paraId="7148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blHeader/>
        </w:trPr>
        <w:tc>
          <w:tcPr>
            <w:tcW w:w="832" w:type="pct"/>
            <w:noWrap/>
            <w:vAlign w:val="center"/>
          </w:tcPr>
          <w:p w14:paraId="41AD6D8D">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铺筑质量</w:t>
            </w:r>
          </w:p>
        </w:tc>
        <w:tc>
          <w:tcPr>
            <w:tcW w:w="3322" w:type="pct"/>
            <w:noWrap/>
            <w:vAlign w:val="center"/>
          </w:tcPr>
          <w:p w14:paraId="384C866A">
            <w:pPr>
              <w:rPr>
                <w:rFonts w:ascii="仿宋_GB2312" w:hAnsi="仿宋_GB2312" w:eastAsia="仿宋_GB2312" w:cs="仿宋_GB2312"/>
                <w:sz w:val="18"/>
                <w:szCs w:val="18"/>
              </w:rPr>
            </w:pPr>
            <w:r>
              <w:rPr>
                <w:rFonts w:hint="eastAsia" w:ascii="仿宋_GB2312" w:hAnsi="仿宋_GB2312" w:eastAsia="仿宋_GB2312" w:cs="仿宋_GB2312"/>
                <w:sz w:val="18"/>
                <w:szCs w:val="18"/>
              </w:rPr>
              <w:t>预制块、块石铺筑平整无松动，缝隙饱满；雨天无“水老鼠”现象。</w:t>
            </w:r>
          </w:p>
        </w:tc>
        <w:tc>
          <w:tcPr>
            <w:tcW w:w="846" w:type="pct"/>
            <w:noWrap/>
            <w:vAlign w:val="center"/>
          </w:tcPr>
          <w:p w14:paraId="4391E95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bl>
    <w:p w14:paraId="29F2F354">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四、盲道</w:t>
      </w:r>
    </w:p>
    <w:p w14:paraId="3169991B">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40DC91F2">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（1）盲道走向。</w:t>
      </w:r>
      <w:r>
        <w:rPr>
          <w:rFonts w:hint="eastAsia" w:ascii="仿宋_GB2312" w:hAnsi="仿宋_GB2312" w:eastAsia="仿宋_GB2312" w:cs="仿宋_GB2312"/>
          <w:sz w:val="18"/>
          <w:szCs w:val="18"/>
        </w:rPr>
        <w:t>提示盲道的块型和位置应按照原来标准安装，行进盲道应与人行道的走向一致。</w:t>
      </w:r>
    </w:p>
    <w:p w14:paraId="52773D19">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（2）盲道纹路。</w:t>
      </w:r>
      <w:r>
        <w:rPr>
          <w:rFonts w:hint="eastAsia" w:ascii="仿宋_GB2312" w:hAnsi="仿宋_GB2312" w:eastAsia="仿宋_GB2312" w:cs="仿宋_GB2312"/>
          <w:sz w:val="18"/>
          <w:szCs w:val="18"/>
        </w:rPr>
        <w:t>应凸出路面4mm高，表面应防滑。</w:t>
      </w:r>
    </w:p>
    <w:p w14:paraId="78CCE8E1">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（3）盲道颜色。</w:t>
      </w:r>
      <w:r>
        <w:rPr>
          <w:rFonts w:hint="eastAsia" w:ascii="仿宋_GB2312" w:hAnsi="仿宋_GB2312" w:eastAsia="仿宋_GB2312" w:cs="仿宋_GB2312"/>
          <w:sz w:val="18"/>
          <w:szCs w:val="18"/>
        </w:rPr>
        <w:t>宜采用中黄色，与相邻的人行道铺面的颜色形成对比，并与周围景观相协调。</w:t>
      </w:r>
    </w:p>
    <w:p w14:paraId="21DB2FB9">
      <w:pPr>
        <w:ind w:firstLine="361" w:firstLineChars="200"/>
        <w:rPr>
          <w:rFonts w:ascii="仿宋_GB2312" w:hAnsi="仿宋_GB2312" w:eastAsia="仿宋_GB2312" w:cs="仿宋_GB2312"/>
          <w:b/>
          <w:sz w:val="18"/>
          <w:szCs w:val="18"/>
        </w:rPr>
      </w:pPr>
    </w:p>
    <w:p w14:paraId="5A8EBC9C">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（4）盲道铺设。</w:t>
      </w:r>
      <w:r>
        <w:rPr>
          <w:rFonts w:hint="eastAsia" w:ascii="仿宋_GB2312" w:hAnsi="仿宋_GB2312" w:eastAsia="仿宋_GB2312" w:cs="仿宋_GB2312"/>
          <w:sz w:val="18"/>
          <w:szCs w:val="18"/>
        </w:rPr>
        <w:t>应连续，应避开树木(穴)、电线杆、拉线等障碍物，宜在距树池、围墙、花台、绿化带250mm～500mm处设置，其他设施不得占用盲道。</w:t>
      </w:r>
    </w:p>
    <w:p w14:paraId="5071962C">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
        <w:gridCol w:w="7187"/>
        <w:gridCol w:w="877"/>
      </w:tblGrid>
      <w:tr w14:paraId="033E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blHeader/>
        </w:trPr>
        <w:tc>
          <w:tcPr>
            <w:tcW w:w="832" w:type="pct"/>
            <w:noWrap/>
            <w:vAlign w:val="center"/>
          </w:tcPr>
          <w:p w14:paraId="33BC51C4">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w:t>
            </w:r>
          </w:p>
        </w:tc>
        <w:tc>
          <w:tcPr>
            <w:tcW w:w="3322" w:type="pct"/>
            <w:noWrap/>
            <w:vAlign w:val="center"/>
          </w:tcPr>
          <w:p w14:paraId="25E6C3A0">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质量要求或允许偏差</w:t>
            </w:r>
          </w:p>
        </w:tc>
        <w:tc>
          <w:tcPr>
            <w:tcW w:w="846" w:type="pct"/>
            <w:noWrap/>
            <w:vAlign w:val="center"/>
          </w:tcPr>
          <w:p w14:paraId="243F67FB">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检验方法</w:t>
            </w:r>
          </w:p>
        </w:tc>
      </w:tr>
      <w:tr w14:paraId="6AF03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blHeader/>
        </w:trPr>
        <w:tc>
          <w:tcPr>
            <w:tcW w:w="832" w:type="pct"/>
            <w:noWrap/>
            <w:vAlign w:val="center"/>
          </w:tcPr>
          <w:p w14:paraId="6968506C">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3322" w:type="pct"/>
            <w:noWrap/>
            <w:vAlign w:val="center"/>
          </w:tcPr>
          <w:p w14:paraId="51AC7B50">
            <w:pPr>
              <w:rPr>
                <w:rFonts w:ascii="仿宋_GB2312" w:hAnsi="仿宋_GB2312" w:eastAsia="仿宋_GB2312" w:cs="仿宋_GB2312"/>
                <w:sz w:val="18"/>
                <w:szCs w:val="18"/>
              </w:rPr>
            </w:pPr>
            <w:r>
              <w:rPr>
                <w:rFonts w:hint="eastAsia" w:ascii="仿宋_GB2312" w:hAnsi="仿宋_GB2312" w:eastAsia="仿宋_GB2312" w:cs="仿宋_GB2312"/>
                <w:sz w:val="18"/>
                <w:szCs w:val="18"/>
              </w:rPr>
              <w:t>与原盲道一致</w:t>
            </w:r>
          </w:p>
        </w:tc>
        <w:tc>
          <w:tcPr>
            <w:tcW w:w="846" w:type="pct"/>
            <w:noWrap/>
            <w:vAlign w:val="center"/>
          </w:tcPr>
          <w:p w14:paraId="4E9B1CD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r w14:paraId="6FFD7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blHeader/>
        </w:trPr>
        <w:tc>
          <w:tcPr>
            <w:tcW w:w="832" w:type="pct"/>
            <w:noWrap/>
            <w:vAlign w:val="center"/>
          </w:tcPr>
          <w:p w14:paraId="1775622E">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位置</w:t>
            </w:r>
          </w:p>
        </w:tc>
        <w:tc>
          <w:tcPr>
            <w:tcW w:w="3322" w:type="pct"/>
            <w:noWrap/>
            <w:vAlign w:val="center"/>
          </w:tcPr>
          <w:p w14:paraId="3B744732">
            <w:pPr>
              <w:rPr>
                <w:rFonts w:ascii="仿宋_GB2312" w:hAnsi="仿宋_GB2312" w:eastAsia="仿宋_GB2312" w:cs="仿宋_GB2312"/>
                <w:sz w:val="18"/>
                <w:szCs w:val="18"/>
              </w:rPr>
            </w:pPr>
            <w:r>
              <w:rPr>
                <w:rFonts w:hint="eastAsia" w:ascii="仿宋_GB2312" w:hAnsi="仿宋_GB2312" w:eastAsia="仿宋_GB2312" w:cs="仿宋_GB2312"/>
                <w:sz w:val="18"/>
                <w:szCs w:val="18"/>
              </w:rPr>
              <w:t>1.设置盲道的城镇道路人行道宽度不小于3500mm；</w:t>
            </w:r>
          </w:p>
          <w:p w14:paraId="2C6FCE42">
            <w:pPr>
              <w:rPr>
                <w:rFonts w:ascii="仿宋_GB2312" w:hAnsi="仿宋_GB2312" w:eastAsia="仿宋_GB2312" w:cs="仿宋_GB2312"/>
                <w:sz w:val="18"/>
                <w:szCs w:val="18"/>
              </w:rPr>
            </w:pPr>
            <w:r>
              <w:rPr>
                <w:rFonts w:hint="eastAsia" w:ascii="仿宋_GB2312" w:hAnsi="仿宋_GB2312" w:eastAsia="仿宋_GB2312" w:cs="仿宋_GB2312"/>
                <w:sz w:val="18"/>
                <w:szCs w:val="18"/>
              </w:rPr>
              <w:t>2.盲道中无障碍物，检查井盖框高低差不超过5mm；</w:t>
            </w:r>
          </w:p>
          <w:p w14:paraId="731C4F1E">
            <w:pPr>
              <w:rPr>
                <w:rFonts w:ascii="仿宋_GB2312" w:hAnsi="仿宋_GB2312" w:eastAsia="仿宋_GB2312" w:cs="仿宋_GB2312"/>
                <w:sz w:val="18"/>
                <w:szCs w:val="18"/>
              </w:rPr>
            </w:pPr>
            <w:r>
              <w:rPr>
                <w:rFonts w:hint="eastAsia" w:ascii="仿宋_GB2312" w:hAnsi="仿宋_GB2312" w:eastAsia="仿宋_GB2312" w:cs="仿宋_GB2312"/>
                <w:sz w:val="18"/>
                <w:szCs w:val="18"/>
              </w:rPr>
              <w:t>3.行进盲道与人行道的走向一致；</w:t>
            </w:r>
          </w:p>
          <w:p w14:paraId="05443481">
            <w:pPr>
              <w:rPr>
                <w:rFonts w:ascii="仿宋_GB2312" w:hAnsi="仿宋_GB2312" w:eastAsia="仿宋_GB2312" w:cs="仿宋_GB2312"/>
                <w:sz w:val="18"/>
                <w:szCs w:val="18"/>
              </w:rPr>
            </w:pPr>
            <w:r>
              <w:rPr>
                <w:rFonts w:hint="eastAsia" w:ascii="仿宋_GB2312" w:hAnsi="仿宋_GB2312" w:eastAsia="仿宋_GB2312" w:cs="仿宋_GB2312"/>
                <w:sz w:val="18"/>
                <w:szCs w:val="18"/>
              </w:rPr>
              <w:t>4.盲道避开非机动车停放的位置。</w:t>
            </w:r>
          </w:p>
        </w:tc>
        <w:tc>
          <w:tcPr>
            <w:tcW w:w="846" w:type="pct"/>
            <w:noWrap/>
            <w:vAlign w:val="center"/>
          </w:tcPr>
          <w:p w14:paraId="03AA6D3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用尺量/目测</w:t>
            </w:r>
          </w:p>
        </w:tc>
      </w:tr>
      <w:tr w14:paraId="67B1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tblHeader/>
        </w:trPr>
        <w:tc>
          <w:tcPr>
            <w:tcW w:w="832" w:type="pct"/>
            <w:noWrap/>
            <w:vAlign w:val="center"/>
          </w:tcPr>
          <w:p w14:paraId="3C5ED4FA">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宽度</w:t>
            </w:r>
          </w:p>
        </w:tc>
        <w:tc>
          <w:tcPr>
            <w:tcW w:w="3322" w:type="pct"/>
            <w:noWrap/>
            <w:vAlign w:val="center"/>
          </w:tcPr>
          <w:p w14:paraId="35AA4249">
            <w:pPr>
              <w:rPr>
                <w:rFonts w:ascii="仿宋_GB2312" w:hAnsi="仿宋_GB2312" w:eastAsia="仿宋_GB2312" w:cs="仿宋_GB2312"/>
                <w:sz w:val="18"/>
                <w:szCs w:val="18"/>
              </w:rPr>
            </w:pPr>
            <w:r>
              <w:rPr>
                <w:rFonts w:hint="eastAsia" w:ascii="仿宋_GB2312" w:hAnsi="仿宋_GB2312" w:eastAsia="仿宋_GB2312" w:cs="仿宋_GB2312"/>
                <w:sz w:val="18"/>
                <w:szCs w:val="18"/>
              </w:rPr>
              <w:t>1.行进盲道的宽度为250mm～500mm；</w:t>
            </w:r>
          </w:p>
          <w:p w14:paraId="0E14A66A">
            <w:pPr>
              <w:rPr>
                <w:rFonts w:ascii="仿宋_GB2312" w:hAnsi="仿宋_GB2312" w:eastAsia="仿宋_GB2312" w:cs="仿宋_GB2312"/>
                <w:sz w:val="18"/>
                <w:szCs w:val="18"/>
              </w:rPr>
            </w:pPr>
            <w:r>
              <w:rPr>
                <w:rFonts w:hint="eastAsia" w:ascii="仿宋_GB2312" w:hAnsi="仿宋_GB2312" w:eastAsia="仿宋_GB2312" w:cs="仿宋_GB2312"/>
                <w:sz w:val="18"/>
                <w:szCs w:val="18"/>
              </w:rPr>
              <w:t>2.行进盲道的起点、终点、转弯处及其他需要处设提示盲道。当盲道的宽度不大于300mm时，提示盲道的宽度大于行进盲道的宽度。</w:t>
            </w:r>
          </w:p>
        </w:tc>
        <w:tc>
          <w:tcPr>
            <w:tcW w:w="846" w:type="pct"/>
            <w:noWrap/>
            <w:vAlign w:val="center"/>
          </w:tcPr>
          <w:p w14:paraId="4012AD4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w:t>
            </w:r>
          </w:p>
        </w:tc>
      </w:tr>
    </w:tbl>
    <w:p w14:paraId="1EE9BBFC">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五、无障碍坡道</w:t>
      </w:r>
    </w:p>
    <w:p w14:paraId="446C27B6">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6876D5A8">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养护施工标准参照（三）人行道养护施工要求。</w:t>
      </w:r>
    </w:p>
    <w:p w14:paraId="6897D501">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7018"/>
        <w:gridCol w:w="930"/>
      </w:tblGrid>
      <w:tr w14:paraId="6A8B4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blHeader/>
        </w:trPr>
        <w:tc>
          <w:tcPr>
            <w:tcW w:w="646" w:type="pct"/>
            <w:noWrap/>
            <w:vAlign w:val="center"/>
          </w:tcPr>
          <w:p w14:paraId="49A1164D">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项目</w:t>
            </w:r>
          </w:p>
        </w:tc>
        <w:tc>
          <w:tcPr>
            <w:tcW w:w="3659" w:type="pct"/>
            <w:noWrap/>
            <w:vAlign w:val="center"/>
          </w:tcPr>
          <w:p w14:paraId="77492083">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质量要求或允许偏差</w:t>
            </w:r>
          </w:p>
        </w:tc>
        <w:tc>
          <w:tcPr>
            <w:tcW w:w="695" w:type="pct"/>
            <w:noWrap/>
            <w:vAlign w:val="center"/>
          </w:tcPr>
          <w:p w14:paraId="24A5ED4D">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检验方法</w:t>
            </w:r>
          </w:p>
        </w:tc>
      </w:tr>
      <w:tr w14:paraId="53101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blHeader/>
        </w:trPr>
        <w:tc>
          <w:tcPr>
            <w:tcW w:w="646" w:type="pct"/>
            <w:noWrap/>
            <w:vAlign w:val="center"/>
          </w:tcPr>
          <w:p w14:paraId="535F6ED5">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坡度</w:t>
            </w:r>
          </w:p>
        </w:tc>
        <w:tc>
          <w:tcPr>
            <w:tcW w:w="3659" w:type="pct"/>
            <w:noWrap/>
            <w:vAlign w:val="center"/>
          </w:tcPr>
          <w:p w14:paraId="165851D1">
            <w:pPr>
              <w:rPr>
                <w:rFonts w:ascii="仿宋_GB2312" w:hAnsi="仿宋_GB2312" w:eastAsia="仿宋_GB2312" w:cs="仿宋_GB2312"/>
                <w:sz w:val="18"/>
                <w:szCs w:val="18"/>
              </w:rPr>
            </w:pPr>
            <w:r>
              <w:rPr>
                <w:rFonts w:hint="eastAsia" w:ascii="仿宋_GB2312" w:hAnsi="仿宋_GB2312" w:eastAsia="仿宋_GB2312" w:cs="仿宋_GB2312"/>
                <w:sz w:val="18"/>
                <w:szCs w:val="18"/>
              </w:rPr>
              <w:t>1.全宽式单面坡缘石坡道的坡度不大于1:20；</w:t>
            </w:r>
          </w:p>
          <w:p w14:paraId="663DD72C">
            <w:pPr>
              <w:rPr>
                <w:rFonts w:ascii="仿宋_GB2312" w:hAnsi="仿宋_GB2312" w:eastAsia="仿宋_GB2312" w:cs="仿宋_GB2312"/>
                <w:sz w:val="18"/>
                <w:szCs w:val="18"/>
              </w:rPr>
            </w:pPr>
            <w:r>
              <w:rPr>
                <w:rFonts w:hint="eastAsia" w:ascii="仿宋_GB2312" w:hAnsi="仿宋_GB2312" w:eastAsia="仿宋_GB2312" w:cs="仿宋_GB2312"/>
                <w:sz w:val="18"/>
                <w:szCs w:val="18"/>
              </w:rPr>
              <w:t>2.三面坡缘石坡道正面及侧面的坡度不大于1:12</w:t>
            </w:r>
          </w:p>
          <w:p w14:paraId="73E5DA96">
            <w:pPr>
              <w:rPr>
                <w:rFonts w:ascii="仿宋_GB2312" w:hAnsi="仿宋_GB2312" w:eastAsia="仿宋_GB2312" w:cs="仿宋_GB2312"/>
                <w:sz w:val="18"/>
                <w:szCs w:val="18"/>
              </w:rPr>
            </w:pPr>
            <w:r>
              <w:rPr>
                <w:rFonts w:hint="eastAsia" w:ascii="仿宋_GB2312" w:hAnsi="仿宋_GB2312" w:eastAsia="仿宋_GB2312" w:cs="仿宋_GB2312"/>
                <w:sz w:val="18"/>
                <w:szCs w:val="18"/>
              </w:rPr>
              <w:t>3.其他形式的缘石坡道的坡度均不大于1:12。</w:t>
            </w:r>
          </w:p>
        </w:tc>
        <w:tc>
          <w:tcPr>
            <w:tcW w:w="695" w:type="pct"/>
            <w:noWrap/>
            <w:vAlign w:val="center"/>
          </w:tcPr>
          <w:p w14:paraId="34D4B18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w:t>
            </w:r>
          </w:p>
        </w:tc>
      </w:tr>
      <w:tr w14:paraId="3DDD6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646" w:type="pct"/>
            <w:noWrap/>
            <w:vAlign w:val="center"/>
          </w:tcPr>
          <w:p w14:paraId="1529B544">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高度</w:t>
            </w:r>
          </w:p>
        </w:tc>
        <w:tc>
          <w:tcPr>
            <w:tcW w:w="3659" w:type="pct"/>
            <w:noWrap/>
            <w:vAlign w:val="center"/>
          </w:tcPr>
          <w:p w14:paraId="3E47A608">
            <w:pPr>
              <w:rPr>
                <w:rFonts w:ascii="仿宋_GB2312" w:hAnsi="仿宋_GB2312" w:eastAsia="仿宋_GB2312" w:cs="仿宋_GB2312"/>
                <w:sz w:val="18"/>
                <w:szCs w:val="18"/>
              </w:rPr>
            </w:pPr>
            <w:r>
              <w:rPr>
                <w:rFonts w:hint="eastAsia" w:ascii="仿宋_GB2312" w:hAnsi="仿宋_GB2312" w:eastAsia="仿宋_GB2312" w:cs="仿宋_GB2312"/>
                <w:sz w:val="18"/>
                <w:szCs w:val="18"/>
              </w:rPr>
              <w:t>缘石坡道的坡口与车行道之间宜没有高差；有高差时，高出车行道的地面不大于10mm。</w:t>
            </w:r>
          </w:p>
        </w:tc>
        <w:tc>
          <w:tcPr>
            <w:tcW w:w="695" w:type="pct"/>
            <w:noWrap/>
            <w:vAlign w:val="center"/>
          </w:tcPr>
          <w:p w14:paraId="23BBCC6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w:t>
            </w:r>
          </w:p>
        </w:tc>
      </w:tr>
      <w:tr w14:paraId="57D1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blHeader/>
        </w:trPr>
        <w:tc>
          <w:tcPr>
            <w:tcW w:w="646" w:type="pct"/>
            <w:noWrap/>
            <w:vAlign w:val="center"/>
          </w:tcPr>
          <w:p w14:paraId="7153E84F">
            <w:pPr>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宽度</w:t>
            </w:r>
          </w:p>
        </w:tc>
        <w:tc>
          <w:tcPr>
            <w:tcW w:w="3659" w:type="pct"/>
            <w:noWrap/>
            <w:vAlign w:val="center"/>
          </w:tcPr>
          <w:p w14:paraId="308E82B6">
            <w:pPr>
              <w:rPr>
                <w:rFonts w:ascii="仿宋_GB2312" w:hAnsi="仿宋_GB2312" w:eastAsia="仿宋_GB2312" w:cs="仿宋_GB2312"/>
                <w:sz w:val="18"/>
                <w:szCs w:val="18"/>
              </w:rPr>
            </w:pPr>
            <w:r>
              <w:rPr>
                <w:rFonts w:hint="eastAsia" w:ascii="仿宋_GB2312" w:hAnsi="仿宋_GB2312" w:eastAsia="仿宋_GB2312" w:cs="仿宋_GB2312"/>
                <w:sz w:val="18"/>
                <w:szCs w:val="18"/>
              </w:rPr>
              <w:t>1.全宽式单面坡缘石坡道的宽度与人行道宽度相同；</w:t>
            </w:r>
          </w:p>
          <w:p w14:paraId="1709BCC2">
            <w:pPr>
              <w:rPr>
                <w:rFonts w:ascii="仿宋_GB2312" w:hAnsi="仿宋_GB2312" w:eastAsia="仿宋_GB2312" w:cs="仿宋_GB2312"/>
                <w:sz w:val="18"/>
                <w:szCs w:val="18"/>
              </w:rPr>
            </w:pPr>
            <w:r>
              <w:rPr>
                <w:rFonts w:hint="eastAsia" w:ascii="仿宋_GB2312" w:hAnsi="仿宋_GB2312" w:eastAsia="仿宋_GB2312" w:cs="仿宋_GB2312"/>
                <w:sz w:val="18"/>
                <w:szCs w:val="18"/>
              </w:rPr>
              <w:t>2.三面坡缘石坡道正面坡道宽度不小于1200mm；</w:t>
            </w:r>
          </w:p>
          <w:p w14:paraId="49D4FB07">
            <w:pPr>
              <w:rPr>
                <w:rFonts w:ascii="仿宋_GB2312" w:hAnsi="仿宋_GB2312" w:eastAsia="仿宋_GB2312" w:cs="仿宋_GB2312"/>
                <w:sz w:val="18"/>
                <w:szCs w:val="18"/>
              </w:rPr>
            </w:pPr>
            <w:r>
              <w:rPr>
                <w:rFonts w:hint="eastAsia" w:ascii="仿宋_GB2312" w:hAnsi="仿宋_GB2312" w:eastAsia="仿宋_GB2312" w:cs="仿宋_GB2312"/>
                <w:sz w:val="18"/>
                <w:szCs w:val="18"/>
              </w:rPr>
              <w:t>3.其他形式的缘石坡道的坡口宽度不小于1500mm。</w:t>
            </w:r>
          </w:p>
        </w:tc>
        <w:tc>
          <w:tcPr>
            <w:tcW w:w="695" w:type="pct"/>
            <w:noWrap/>
            <w:vAlign w:val="center"/>
          </w:tcPr>
          <w:p w14:paraId="722D0B0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w:t>
            </w:r>
          </w:p>
        </w:tc>
      </w:tr>
    </w:tbl>
    <w:p w14:paraId="43957D3C">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六、检查井</w:t>
      </w:r>
    </w:p>
    <w:p w14:paraId="1D96B86A">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2BBA8883">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（1）维修施工。</w:t>
      </w:r>
      <w:r>
        <w:rPr>
          <w:rFonts w:hint="eastAsia" w:ascii="仿宋_GB2312" w:hAnsi="仿宋_GB2312" w:eastAsia="仿宋_GB2312" w:cs="仿宋_GB2312"/>
          <w:sz w:val="18"/>
          <w:szCs w:val="18"/>
        </w:rPr>
        <w:t>应优先选择防沉降井盖；检查井井室、井筒、井座破损或强度不符合要求的应及时进行更换维修；检查井高出或低于周边路面或人行道板面时，可采取降低或抬升处理。</w:t>
      </w:r>
    </w:p>
    <w:p w14:paraId="19943D5B">
      <w:pPr>
        <w:ind w:firstLine="361" w:firstLineChars="200"/>
        <w:rPr>
          <w:rFonts w:ascii="仿宋_GB2312" w:hAnsi="仿宋_GB2312" w:eastAsia="仿宋_GB2312" w:cs="仿宋_GB2312"/>
          <w:bCs/>
          <w:sz w:val="18"/>
          <w:szCs w:val="18"/>
        </w:rPr>
      </w:pPr>
      <w:r>
        <w:rPr>
          <w:rFonts w:hint="eastAsia" w:ascii="仿宋_GB2312" w:hAnsi="仿宋_GB2312" w:eastAsia="仿宋_GB2312" w:cs="仿宋_GB2312"/>
          <w:b/>
          <w:sz w:val="18"/>
          <w:szCs w:val="18"/>
        </w:rPr>
        <w:t>（2）标识要求。</w:t>
      </w:r>
      <w:r>
        <w:rPr>
          <w:rFonts w:hint="eastAsia" w:ascii="仿宋_GB2312" w:hAnsi="仿宋_GB2312" w:eastAsia="仿宋_GB2312" w:cs="仿宋_GB2312"/>
          <w:bCs/>
          <w:sz w:val="18"/>
          <w:szCs w:val="18"/>
        </w:rPr>
        <w:t>检查井盖必须安装铝制身份证标识牌，标识牌统一安装在井内壁井口向下10cm处，用水泥钉四角固定；由养护专业人员绘制道路示意图标识检查井位置，统一制成表格备查。</w:t>
      </w:r>
    </w:p>
    <w:p w14:paraId="7A555FA1">
      <w:pPr>
        <w:ind w:firstLine="361" w:firstLineChars="200"/>
        <w:rPr>
          <w:rFonts w:ascii="仿宋_GB2312" w:hAnsi="仿宋_GB2312" w:eastAsia="仿宋_GB2312" w:cs="仿宋_GB2312"/>
          <w:bCs/>
          <w:sz w:val="18"/>
          <w:szCs w:val="18"/>
        </w:rPr>
      </w:pPr>
      <w:r>
        <w:rPr>
          <w:rFonts w:hint="eastAsia" w:ascii="仿宋_GB2312" w:hAnsi="仿宋_GB2312" w:eastAsia="仿宋_GB2312" w:cs="仿宋_GB2312"/>
          <w:b/>
          <w:sz w:val="18"/>
          <w:szCs w:val="18"/>
        </w:rPr>
        <w:t>（3）防护要求。</w:t>
      </w:r>
      <w:r>
        <w:rPr>
          <w:rFonts w:hint="eastAsia" w:ascii="仿宋_GB2312" w:hAnsi="仿宋_GB2312" w:eastAsia="仿宋_GB2312" w:cs="仿宋_GB2312"/>
          <w:bCs/>
          <w:sz w:val="18"/>
          <w:szCs w:val="18"/>
        </w:rPr>
        <w:t>检查井内必须设置防坠网。安装于井口下0.2-0.5米范围内。防坠网采用耐腐蚀、高强度的聚乙烯材料制作，网绳直径不小于6mm，边绳直径不小于8mm，呈网状结构，网目小于10cm。</w:t>
      </w:r>
    </w:p>
    <w:p w14:paraId="606DD316">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6"/>
        <w:gridCol w:w="1476"/>
        <w:gridCol w:w="1507"/>
        <w:gridCol w:w="1507"/>
        <w:gridCol w:w="7"/>
        <w:gridCol w:w="1829"/>
      </w:tblGrid>
      <w:tr w14:paraId="48E1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vMerge w:val="restart"/>
            <w:noWrap/>
            <w:vAlign w:val="center"/>
          </w:tcPr>
          <w:p w14:paraId="388CE2E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w:t>
            </w:r>
          </w:p>
        </w:tc>
        <w:tc>
          <w:tcPr>
            <w:tcW w:w="628" w:type="pct"/>
            <w:vMerge w:val="restart"/>
            <w:noWrap/>
            <w:vAlign w:val="center"/>
          </w:tcPr>
          <w:p w14:paraId="3799F52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允许偏差（mm）</w:t>
            </w:r>
          </w:p>
        </w:tc>
        <w:tc>
          <w:tcPr>
            <w:tcW w:w="1978" w:type="pct"/>
            <w:gridSpan w:val="2"/>
            <w:noWrap/>
            <w:vAlign w:val="center"/>
          </w:tcPr>
          <w:p w14:paraId="63863E8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检验频率</w:t>
            </w:r>
          </w:p>
        </w:tc>
        <w:tc>
          <w:tcPr>
            <w:tcW w:w="1000" w:type="pct"/>
            <w:gridSpan w:val="2"/>
            <w:vMerge w:val="restart"/>
            <w:noWrap/>
            <w:vAlign w:val="center"/>
          </w:tcPr>
          <w:p w14:paraId="565AB3D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检验方法(取最大值)</w:t>
            </w:r>
          </w:p>
        </w:tc>
      </w:tr>
      <w:tr w14:paraId="36A7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vMerge w:val="continue"/>
            <w:noWrap/>
            <w:vAlign w:val="center"/>
          </w:tcPr>
          <w:p w14:paraId="1705D927">
            <w:pPr>
              <w:jc w:val="center"/>
              <w:rPr>
                <w:rFonts w:ascii="仿宋_GB2312" w:hAnsi="仿宋_GB2312" w:eastAsia="仿宋_GB2312" w:cs="仿宋_GB2312"/>
                <w:sz w:val="18"/>
                <w:szCs w:val="18"/>
              </w:rPr>
            </w:pPr>
          </w:p>
        </w:tc>
        <w:tc>
          <w:tcPr>
            <w:tcW w:w="628" w:type="pct"/>
            <w:vMerge w:val="continue"/>
            <w:noWrap/>
            <w:vAlign w:val="center"/>
          </w:tcPr>
          <w:p w14:paraId="517DDBA1">
            <w:pPr>
              <w:jc w:val="center"/>
              <w:rPr>
                <w:rFonts w:ascii="仿宋_GB2312" w:hAnsi="仿宋_GB2312" w:eastAsia="仿宋_GB2312" w:cs="仿宋_GB2312"/>
                <w:sz w:val="18"/>
                <w:szCs w:val="18"/>
              </w:rPr>
            </w:pPr>
          </w:p>
        </w:tc>
        <w:tc>
          <w:tcPr>
            <w:tcW w:w="989" w:type="pct"/>
            <w:noWrap/>
            <w:vAlign w:val="center"/>
          </w:tcPr>
          <w:p w14:paraId="737A0E4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范围</w:t>
            </w:r>
          </w:p>
        </w:tc>
        <w:tc>
          <w:tcPr>
            <w:tcW w:w="989" w:type="pct"/>
            <w:noWrap/>
            <w:vAlign w:val="center"/>
          </w:tcPr>
          <w:p w14:paraId="776BCEF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点数</w:t>
            </w:r>
          </w:p>
        </w:tc>
        <w:tc>
          <w:tcPr>
            <w:tcW w:w="1000" w:type="pct"/>
            <w:gridSpan w:val="2"/>
            <w:vMerge w:val="continue"/>
            <w:noWrap/>
            <w:vAlign w:val="center"/>
          </w:tcPr>
          <w:p w14:paraId="42EB7E23">
            <w:pPr>
              <w:jc w:val="center"/>
              <w:rPr>
                <w:rFonts w:ascii="仿宋_GB2312" w:hAnsi="仿宋_GB2312" w:eastAsia="仿宋_GB2312" w:cs="仿宋_GB2312"/>
                <w:sz w:val="18"/>
                <w:szCs w:val="18"/>
              </w:rPr>
            </w:pPr>
          </w:p>
        </w:tc>
      </w:tr>
      <w:tr w14:paraId="4B126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3204FE5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井框与周边路面吻合</w:t>
            </w:r>
          </w:p>
        </w:tc>
        <w:tc>
          <w:tcPr>
            <w:tcW w:w="628" w:type="pct"/>
            <w:noWrap/>
            <w:vAlign w:val="center"/>
          </w:tcPr>
          <w:p w14:paraId="52B72CA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±5mm</w:t>
            </w:r>
          </w:p>
        </w:tc>
        <w:tc>
          <w:tcPr>
            <w:tcW w:w="989" w:type="pct"/>
            <w:noWrap/>
            <w:vAlign w:val="center"/>
          </w:tcPr>
          <w:p w14:paraId="6501431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每座</w:t>
            </w:r>
          </w:p>
        </w:tc>
        <w:tc>
          <w:tcPr>
            <w:tcW w:w="989" w:type="pct"/>
            <w:noWrap/>
            <w:vAlign w:val="center"/>
          </w:tcPr>
          <w:p w14:paraId="32F8EDA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00" w:type="pct"/>
            <w:gridSpan w:val="2"/>
            <w:noWrap/>
            <w:vAlign w:val="center"/>
          </w:tcPr>
          <w:p w14:paraId="56E32ED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用直尺考量 </w:t>
            </w:r>
          </w:p>
        </w:tc>
      </w:tr>
      <w:tr w14:paraId="0854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5F61464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雨水口与路边线间距</w:t>
            </w:r>
          </w:p>
        </w:tc>
        <w:tc>
          <w:tcPr>
            <w:tcW w:w="628" w:type="pct"/>
            <w:noWrap/>
            <w:vAlign w:val="center"/>
          </w:tcPr>
          <w:p w14:paraId="6ED287E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989" w:type="pct"/>
            <w:noWrap/>
            <w:vAlign w:val="center"/>
          </w:tcPr>
          <w:p w14:paraId="5EB6BD9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每座</w:t>
            </w:r>
          </w:p>
        </w:tc>
        <w:tc>
          <w:tcPr>
            <w:tcW w:w="989" w:type="pct"/>
            <w:tcBorders>
              <w:right w:val="single" w:color="auto" w:sz="4" w:space="0"/>
            </w:tcBorders>
            <w:noWrap/>
            <w:vAlign w:val="center"/>
          </w:tcPr>
          <w:p w14:paraId="3797D9A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00" w:type="pct"/>
            <w:gridSpan w:val="2"/>
            <w:tcBorders>
              <w:left w:val="single" w:color="auto" w:sz="4" w:space="0"/>
            </w:tcBorders>
            <w:noWrap/>
            <w:vAlign w:val="center"/>
          </w:tcPr>
          <w:p w14:paraId="5F13704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用钢尺量</w:t>
            </w:r>
          </w:p>
        </w:tc>
      </w:tr>
      <w:tr w14:paraId="165C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04D33BF1">
            <w:pPr>
              <w:jc w:val="center"/>
              <w:rPr>
                <w:rFonts w:ascii="仿宋_GB2312" w:hAnsi="仿宋_GB2312" w:eastAsia="仿宋_GB2312" w:cs="仿宋_GB2312"/>
                <w:b/>
                <w:sz w:val="18"/>
                <w:szCs w:val="18"/>
              </w:rPr>
            </w:pPr>
            <w:r>
              <w:rPr>
                <w:rFonts w:hint="eastAsia" w:ascii="仿宋_GB2312" w:hAnsi="仿宋_GB2312" w:eastAsia="仿宋_GB2312" w:cs="仿宋_GB2312"/>
                <w:sz w:val="18"/>
                <w:szCs w:val="18"/>
              </w:rPr>
              <w:t>安装质量</w:t>
            </w:r>
          </w:p>
        </w:tc>
        <w:tc>
          <w:tcPr>
            <w:tcW w:w="2610" w:type="pct"/>
            <w:gridSpan w:val="4"/>
            <w:tcBorders>
              <w:right w:val="single" w:color="auto" w:sz="4" w:space="0"/>
            </w:tcBorders>
            <w:noWrap/>
            <w:vAlign w:val="center"/>
          </w:tcPr>
          <w:p w14:paraId="376E68F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车辆通过时无异响、无弹跳</w:t>
            </w:r>
          </w:p>
        </w:tc>
        <w:tc>
          <w:tcPr>
            <w:tcW w:w="996" w:type="pct"/>
            <w:tcBorders>
              <w:left w:val="single" w:color="auto" w:sz="4" w:space="0"/>
            </w:tcBorders>
            <w:noWrap/>
            <w:vAlign w:val="center"/>
          </w:tcPr>
          <w:p w14:paraId="0B59D8A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目测</w:t>
            </w:r>
          </w:p>
        </w:tc>
      </w:tr>
    </w:tbl>
    <w:p w14:paraId="68341105">
      <w:pPr>
        <w:spacing w:beforeLines="50"/>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七、道路名称指示牌</w:t>
      </w:r>
    </w:p>
    <w:p w14:paraId="07E557D5">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1.养护施工要求</w:t>
      </w:r>
    </w:p>
    <w:p w14:paraId="64D572EB">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（1）材质要求。</w:t>
      </w:r>
      <w:r>
        <w:rPr>
          <w:rFonts w:hint="eastAsia" w:ascii="仿宋_GB2312" w:hAnsi="仿宋_GB2312" w:eastAsia="仿宋_GB2312" w:cs="仿宋_GB2312"/>
          <w:sz w:val="18"/>
          <w:szCs w:val="18"/>
        </w:rPr>
        <w:t>道路名称指示牌应外贴反光膜，反光膜的逆反射性能应符合GB/T 18833的V类反光膜。选用连接部件时，材质应满足安装方便、连接牢固、外型美观、经久耐用的要求。</w:t>
      </w:r>
    </w:p>
    <w:p w14:paraId="7625A7AA">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（2）位置要求。</w:t>
      </w:r>
      <w:r>
        <w:rPr>
          <w:rFonts w:hint="eastAsia" w:ascii="仿宋_GB2312" w:hAnsi="仿宋_GB2312" w:eastAsia="仿宋_GB2312" w:cs="仿宋_GB2312"/>
          <w:sz w:val="18"/>
          <w:szCs w:val="18"/>
        </w:rPr>
        <w:t>道路名称指示牌应设置在道路行车方向的右侧。每条道路与其他主、次干路交叉口必须设置道路名称指示牌，如两处交叉口间距＞300m的，还应每隔300m再设置一块道路名称指示牌。</w:t>
      </w:r>
    </w:p>
    <w:p w14:paraId="4F191704">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（3）安装要求。</w:t>
      </w:r>
      <w:r>
        <w:rPr>
          <w:rFonts w:hint="eastAsia" w:ascii="仿宋_GB2312" w:hAnsi="仿宋_GB2312" w:eastAsia="仿宋_GB2312" w:cs="仿宋_GB2312"/>
          <w:sz w:val="18"/>
          <w:szCs w:val="18"/>
        </w:rPr>
        <w:t>道路名称指示牌无倾斜、无松动、无变形、无锈蚀、无缺失，牌面清洁、字体清楚。道路名称指示牌的安装和译写要求参照《城市道路杆件及标识整合技术规范》（DB3301/T 0232-2018）和《道路交通指示标识英文译写规范》（DB3301/T 0170-2016）。</w:t>
      </w:r>
    </w:p>
    <w:p w14:paraId="17179DCD">
      <w:pPr>
        <w:ind w:firstLine="361" w:firstLineChars="200"/>
        <w:rPr>
          <w:rFonts w:ascii="仿宋_GB2312" w:hAnsi="仿宋_GB2312" w:eastAsia="仿宋_GB2312" w:cs="仿宋_GB2312"/>
          <w:b/>
          <w:sz w:val="18"/>
          <w:szCs w:val="18"/>
        </w:rPr>
      </w:pPr>
      <w:r>
        <w:rPr>
          <w:rFonts w:hint="eastAsia" w:ascii="仿宋_GB2312" w:hAnsi="仿宋_GB2312" w:eastAsia="仿宋_GB2312" w:cs="仿宋_GB2312"/>
          <w:b/>
          <w:sz w:val="18"/>
          <w:szCs w:val="18"/>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2"/>
        <w:gridCol w:w="1728"/>
        <w:gridCol w:w="1653"/>
        <w:gridCol w:w="1653"/>
        <w:gridCol w:w="1836"/>
      </w:tblGrid>
      <w:tr w14:paraId="5AB07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Merge w:val="restart"/>
            <w:noWrap/>
            <w:vAlign w:val="center"/>
          </w:tcPr>
          <w:p w14:paraId="1961FB6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w:t>
            </w:r>
          </w:p>
        </w:tc>
        <w:tc>
          <w:tcPr>
            <w:tcW w:w="1033" w:type="pct"/>
            <w:vMerge w:val="restart"/>
            <w:noWrap/>
            <w:vAlign w:val="center"/>
          </w:tcPr>
          <w:p w14:paraId="370A75C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允许偏差（mm）</w:t>
            </w:r>
          </w:p>
        </w:tc>
        <w:tc>
          <w:tcPr>
            <w:tcW w:w="1978" w:type="pct"/>
            <w:gridSpan w:val="2"/>
            <w:noWrap/>
            <w:vAlign w:val="center"/>
          </w:tcPr>
          <w:p w14:paraId="058A756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检验频率</w:t>
            </w:r>
          </w:p>
        </w:tc>
        <w:tc>
          <w:tcPr>
            <w:tcW w:w="1000" w:type="pct"/>
            <w:vMerge w:val="restart"/>
            <w:noWrap/>
            <w:vAlign w:val="center"/>
          </w:tcPr>
          <w:p w14:paraId="610F31A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检验方法(取最大值)</w:t>
            </w:r>
          </w:p>
        </w:tc>
      </w:tr>
      <w:tr w14:paraId="1D4D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Merge w:val="continue"/>
            <w:noWrap/>
            <w:vAlign w:val="center"/>
          </w:tcPr>
          <w:p w14:paraId="53A7F024">
            <w:pPr>
              <w:jc w:val="center"/>
              <w:rPr>
                <w:rFonts w:ascii="仿宋_GB2312" w:hAnsi="仿宋_GB2312" w:eastAsia="仿宋_GB2312" w:cs="仿宋_GB2312"/>
                <w:sz w:val="18"/>
                <w:szCs w:val="18"/>
              </w:rPr>
            </w:pPr>
          </w:p>
        </w:tc>
        <w:tc>
          <w:tcPr>
            <w:tcW w:w="1033" w:type="pct"/>
            <w:vMerge w:val="continue"/>
            <w:noWrap/>
            <w:vAlign w:val="center"/>
          </w:tcPr>
          <w:p w14:paraId="716BC48C">
            <w:pPr>
              <w:jc w:val="center"/>
              <w:rPr>
                <w:rFonts w:ascii="仿宋_GB2312" w:hAnsi="仿宋_GB2312" w:eastAsia="仿宋_GB2312" w:cs="仿宋_GB2312"/>
                <w:sz w:val="18"/>
                <w:szCs w:val="18"/>
              </w:rPr>
            </w:pPr>
          </w:p>
        </w:tc>
        <w:tc>
          <w:tcPr>
            <w:tcW w:w="989" w:type="pct"/>
            <w:noWrap/>
            <w:vAlign w:val="center"/>
          </w:tcPr>
          <w:p w14:paraId="760808A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范围</w:t>
            </w:r>
          </w:p>
        </w:tc>
        <w:tc>
          <w:tcPr>
            <w:tcW w:w="989" w:type="pct"/>
            <w:noWrap/>
            <w:vAlign w:val="center"/>
          </w:tcPr>
          <w:p w14:paraId="10CA04F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点数</w:t>
            </w:r>
          </w:p>
        </w:tc>
        <w:tc>
          <w:tcPr>
            <w:tcW w:w="1000" w:type="pct"/>
            <w:vMerge w:val="continue"/>
            <w:noWrap/>
            <w:vAlign w:val="center"/>
          </w:tcPr>
          <w:p w14:paraId="68FD3145">
            <w:pPr>
              <w:jc w:val="center"/>
              <w:rPr>
                <w:rFonts w:ascii="仿宋_GB2312" w:hAnsi="仿宋_GB2312" w:eastAsia="仿宋_GB2312" w:cs="仿宋_GB2312"/>
                <w:sz w:val="18"/>
                <w:szCs w:val="18"/>
              </w:rPr>
            </w:pPr>
          </w:p>
        </w:tc>
      </w:tr>
      <w:tr w14:paraId="2255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7E79B5D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高度</w:t>
            </w:r>
          </w:p>
        </w:tc>
        <w:tc>
          <w:tcPr>
            <w:tcW w:w="1033" w:type="pct"/>
            <w:noWrap/>
            <w:vAlign w:val="center"/>
          </w:tcPr>
          <w:p w14:paraId="0C2E865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989" w:type="pct"/>
            <w:noWrap/>
            <w:vAlign w:val="center"/>
          </w:tcPr>
          <w:p w14:paraId="74B2AAA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每块</w:t>
            </w:r>
          </w:p>
        </w:tc>
        <w:tc>
          <w:tcPr>
            <w:tcW w:w="989" w:type="pct"/>
            <w:noWrap/>
            <w:vAlign w:val="center"/>
          </w:tcPr>
          <w:p w14:paraId="71B90F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00" w:type="pct"/>
            <w:noWrap/>
            <w:vAlign w:val="center"/>
          </w:tcPr>
          <w:p w14:paraId="53241D4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用尺量 </w:t>
            </w:r>
          </w:p>
        </w:tc>
      </w:tr>
      <w:tr w14:paraId="35B2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3C120C6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垂直度</w:t>
            </w:r>
          </w:p>
        </w:tc>
        <w:tc>
          <w:tcPr>
            <w:tcW w:w="1033" w:type="pct"/>
            <w:noWrap/>
            <w:vAlign w:val="center"/>
          </w:tcPr>
          <w:p w14:paraId="4777F19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989" w:type="pct"/>
            <w:noWrap/>
            <w:vAlign w:val="center"/>
          </w:tcPr>
          <w:p w14:paraId="6BA52A2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每块</w:t>
            </w:r>
          </w:p>
        </w:tc>
        <w:tc>
          <w:tcPr>
            <w:tcW w:w="989" w:type="pct"/>
            <w:noWrap/>
            <w:vAlign w:val="center"/>
          </w:tcPr>
          <w:p w14:paraId="3226FF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00" w:type="pct"/>
            <w:noWrap/>
            <w:vAlign w:val="center"/>
          </w:tcPr>
          <w:p w14:paraId="79BAAC6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用垂线吊量</w:t>
            </w:r>
          </w:p>
        </w:tc>
      </w:tr>
      <w:tr w14:paraId="4A8D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1020FC0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位置</w:t>
            </w:r>
          </w:p>
        </w:tc>
        <w:tc>
          <w:tcPr>
            <w:tcW w:w="1033" w:type="pct"/>
            <w:noWrap/>
            <w:vAlign w:val="center"/>
          </w:tcPr>
          <w:p w14:paraId="26F4C32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989" w:type="pct"/>
            <w:noWrap/>
            <w:vAlign w:val="center"/>
          </w:tcPr>
          <w:p w14:paraId="09A05DC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每块</w:t>
            </w:r>
          </w:p>
        </w:tc>
        <w:tc>
          <w:tcPr>
            <w:tcW w:w="989" w:type="pct"/>
            <w:noWrap/>
            <w:vAlign w:val="center"/>
          </w:tcPr>
          <w:p w14:paraId="18F048E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00" w:type="pct"/>
            <w:noWrap/>
            <w:vAlign w:val="center"/>
          </w:tcPr>
          <w:p w14:paraId="67A34C6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用尺量</w:t>
            </w:r>
          </w:p>
        </w:tc>
      </w:tr>
    </w:tbl>
    <w:p w14:paraId="75061CFA">
      <w:pPr>
        <w:jc w:val="center"/>
        <w:rPr>
          <w:rFonts w:ascii="仿宋_GB2312" w:hAnsi="仿宋_GB2312" w:eastAsia="仿宋_GB2312" w:cs="仿宋_GB2312"/>
          <w:bCs/>
          <w:sz w:val="18"/>
          <w:szCs w:val="18"/>
        </w:rPr>
      </w:pPr>
    </w:p>
    <w:p w14:paraId="3488B043">
      <w:pPr>
        <w:jc w:val="center"/>
        <w:rPr>
          <w:rFonts w:ascii="仿宋_GB2312" w:hAnsi="仿宋_GB2312" w:eastAsia="仿宋_GB2312" w:cs="仿宋_GB2312"/>
          <w:bCs/>
          <w:sz w:val="18"/>
          <w:szCs w:val="18"/>
        </w:rPr>
      </w:pPr>
    </w:p>
    <w:p w14:paraId="4199F2D4">
      <w:pPr>
        <w:jc w:val="center"/>
        <w:rPr>
          <w:rFonts w:ascii="仿宋_GB2312" w:hAnsi="仿宋_GB2312" w:eastAsia="仿宋_GB2312" w:cs="仿宋_GB2312"/>
          <w:bCs/>
          <w:sz w:val="18"/>
          <w:szCs w:val="18"/>
        </w:rPr>
      </w:pPr>
    </w:p>
    <w:p w14:paraId="447C5F9A">
      <w:pPr>
        <w:rPr>
          <w:rFonts w:ascii="仿宋_GB2312" w:hAnsi="仿宋_GB2312" w:eastAsia="仿宋_GB2312" w:cs="仿宋_GB2312"/>
          <w:bCs/>
          <w:sz w:val="18"/>
          <w:szCs w:val="18"/>
        </w:rPr>
      </w:pPr>
      <w:r>
        <w:rPr>
          <w:rFonts w:hint="eastAsia" w:ascii="仿宋_GB2312" w:hAnsi="仿宋_GB2312" w:eastAsia="仿宋_GB2312" w:cs="仿宋_GB2312"/>
          <w:bCs/>
          <w:sz w:val="18"/>
          <w:szCs w:val="18"/>
        </w:rPr>
        <w:br w:type="page"/>
      </w:r>
    </w:p>
    <w:p w14:paraId="7CCCC314">
      <w:pPr>
        <w:jc w:val="center"/>
        <w:rPr>
          <w:rFonts w:ascii="黑体" w:hAnsi="黑体" w:eastAsia="黑体" w:cs="仿宋"/>
          <w:bCs/>
          <w:sz w:val="44"/>
          <w:szCs w:val="44"/>
        </w:rPr>
      </w:pPr>
      <w:r>
        <w:rPr>
          <w:rFonts w:hint="eastAsia" w:ascii="黑体" w:hAnsi="黑体" w:eastAsia="黑体" w:cs="仿宋"/>
          <w:bCs/>
          <w:sz w:val="44"/>
          <w:szCs w:val="44"/>
        </w:rPr>
        <w:t>市政道路掘路修复要求</w:t>
      </w:r>
    </w:p>
    <w:p w14:paraId="03B6CAA4">
      <w:pPr>
        <w:ind w:firstLine="643" w:firstLineChars="200"/>
        <w:jc w:val="left"/>
        <w:rPr>
          <w:rFonts w:ascii="仿宋_GB2312" w:hAnsi="仿宋" w:eastAsia="仿宋_GB2312" w:cs="仿宋"/>
          <w:b/>
          <w:sz w:val="32"/>
          <w:szCs w:val="32"/>
        </w:rPr>
      </w:pPr>
    </w:p>
    <w:p w14:paraId="0732F2FA">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一、基本规定</w:t>
      </w:r>
    </w:p>
    <w:p w14:paraId="4CED725F">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掘路修复所采用的的基层、面层结构不应低于原结构强度；紧急抢修的掘路，当一次修复达不到规定压实度时，应进行再次修复；掘路修复应快速、坚实和平整，现场应清洁。</w:t>
      </w:r>
    </w:p>
    <w:p w14:paraId="36ED2057">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二、回填要求</w:t>
      </w:r>
    </w:p>
    <w:p w14:paraId="119289B4">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1.严禁使用淤泥、沼泽土、泥炭土、冻土、有机土或含生活垃圾的土对掘路沟槽进行回填。</w:t>
      </w:r>
    </w:p>
    <w:p w14:paraId="30FECD20">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2.沟槽分段填土交接处应做成阶梯形，阶梯宽度应大于层厚的两倍。</w:t>
      </w:r>
    </w:p>
    <w:p w14:paraId="07BD0271">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3.槽底至设施顶部以上500mm范围回填时，应从两侧对称进行，同时还土的高度差不得大于一层。</w:t>
      </w:r>
    </w:p>
    <w:p w14:paraId="3C358C49">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4.直埋线缆沟槽回填时，其线缆上方应有保护层。回填材料可采用粗砂或混凝土等回填灌注。</w:t>
      </w:r>
    </w:p>
    <w:p w14:paraId="4CD1EE0E">
      <w:pPr>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三、基层修复</w:t>
      </w:r>
    </w:p>
    <w:p w14:paraId="60711F30">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1.掘路的基层修复应在开挖断面两侧各加宽300mm～500mm。</w:t>
      </w:r>
    </w:p>
    <w:p w14:paraId="45075B27">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2.掘路修复采用的材料不低于原道路设计标准，且应符合现行行业标准《城镇道路工程施工与质量验收规范》CJJ 1的相关规定。</w:t>
      </w:r>
    </w:p>
    <w:p w14:paraId="6C15B94D">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3.基层的修复质量应符合下表规定。</w:t>
      </w:r>
    </w:p>
    <w:p w14:paraId="3F977359">
      <w:pPr>
        <w:ind w:firstLine="360" w:firstLineChars="200"/>
        <w:rPr>
          <w:rFonts w:ascii="仿宋_GB2312" w:hAnsi="仿宋_GB2312" w:eastAsia="仿宋_GB2312" w:cs="仿宋_GB2312"/>
          <w:sz w:val="18"/>
          <w:szCs w:val="18"/>
        </w:rPr>
      </w:pP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084"/>
        <w:gridCol w:w="1352"/>
        <w:gridCol w:w="682"/>
        <w:gridCol w:w="1206"/>
        <w:gridCol w:w="2737"/>
      </w:tblGrid>
      <w:tr w14:paraId="4AB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FE8F4D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　目</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14:paraId="5FE2E03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质量要求或允许偏差</w:t>
            </w:r>
          </w:p>
        </w:tc>
        <w:tc>
          <w:tcPr>
            <w:tcW w:w="1971" w:type="dxa"/>
            <w:gridSpan w:val="2"/>
            <w:tcBorders>
              <w:top w:val="single" w:color="auto" w:sz="4" w:space="0"/>
              <w:left w:val="single" w:color="auto" w:sz="4" w:space="0"/>
              <w:bottom w:val="single" w:color="auto" w:sz="4" w:space="0"/>
              <w:right w:val="single" w:color="auto" w:sz="4" w:space="0"/>
            </w:tcBorders>
            <w:noWrap/>
            <w:vAlign w:val="center"/>
          </w:tcPr>
          <w:p w14:paraId="3F6138C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检验频率</w:t>
            </w:r>
          </w:p>
        </w:tc>
        <w:tc>
          <w:tcPr>
            <w:tcW w:w="2880" w:type="dxa"/>
            <w:vMerge w:val="restart"/>
            <w:tcBorders>
              <w:top w:val="single" w:color="auto" w:sz="4" w:space="0"/>
              <w:left w:val="single" w:color="auto" w:sz="4" w:space="0"/>
              <w:bottom w:val="single" w:color="auto" w:sz="4" w:space="0"/>
              <w:right w:val="single" w:color="auto" w:sz="4" w:space="0"/>
            </w:tcBorders>
            <w:noWrap/>
            <w:vAlign w:val="center"/>
          </w:tcPr>
          <w:p w14:paraId="716DE47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检验方法</w:t>
            </w:r>
          </w:p>
          <w:p w14:paraId="4F2C753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（取最大值）</w:t>
            </w:r>
          </w:p>
        </w:tc>
      </w:tr>
      <w:tr w14:paraId="68B3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09AF5FE">
            <w:pPr>
              <w:jc w:val="center"/>
              <w:rPr>
                <w:rFonts w:ascii="仿宋_GB2312" w:hAnsi="仿宋_GB2312" w:eastAsia="仿宋_GB2312" w:cs="仿宋_GB2312"/>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670B7A01">
            <w:pPr>
              <w:jc w:val="center"/>
              <w:rPr>
                <w:rFonts w:ascii="仿宋_GB2312" w:hAnsi="仿宋_GB2312" w:eastAsia="仿宋_GB2312" w:cs="仿宋_GB2312"/>
                <w:sz w:val="18"/>
                <w:szCs w:val="18"/>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724F7E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范围</w:t>
            </w:r>
          </w:p>
        </w:tc>
        <w:tc>
          <w:tcPr>
            <w:tcW w:w="1262" w:type="dxa"/>
            <w:tcBorders>
              <w:top w:val="single" w:color="auto" w:sz="4" w:space="0"/>
              <w:left w:val="single" w:color="auto" w:sz="4" w:space="0"/>
              <w:bottom w:val="single" w:color="auto" w:sz="4" w:space="0"/>
              <w:right w:val="single" w:color="auto" w:sz="4" w:space="0"/>
            </w:tcBorders>
            <w:noWrap/>
            <w:vAlign w:val="center"/>
          </w:tcPr>
          <w:p w14:paraId="15390DB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点数</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C3D5699">
            <w:pPr>
              <w:jc w:val="center"/>
              <w:rPr>
                <w:rFonts w:ascii="仿宋_GB2312" w:hAnsi="仿宋_GB2312" w:eastAsia="仿宋_GB2312" w:cs="仿宋_GB2312"/>
                <w:sz w:val="18"/>
                <w:szCs w:val="18"/>
              </w:rPr>
            </w:pPr>
          </w:p>
        </w:tc>
      </w:tr>
      <w:tr w14:paraId="2360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Borders>
              <w:top w:val="single" w:color="auto" w:sz="4" w:space="0"/>
              <w:left w:val="single" w:color="auto" w:sz="4" w:space="0"/>
              <w:right w:val="single" w:color="auto" w:sz="4" w:space="0"/>
            </w:tcBorders>
            <w:noWrap/>
            <w:vAlign w:val="center"/>
          </w:tcPr>
          <w:p w14:paraId="1D7849A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压实度</w:t>
            </w:r>
          </w:p>
          <w:p w14:paraId="7A4D5FF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（重型击实）</w:t>
            </w:r>
          </w:p>
        </w:tc>
        <w:tc>
          <w:tcPr>
            <w:tcW w:w="1134" w:type="dxa"/>
            <w:tcBorders>
              <w:top w:val="single" w:color="auto" w:sz="4" w:space="0"/>
              <w:left w:val="single" w:color="auto" w:sz="4" w:space="0"/>
              <w:bottom w:val="single" w:color="auto" w:sz="4" w:space="0"/>
              <w:right w:val="single" w:color="auto" w:sz="4" w:space="0"/>
            </w:tcBorders>
            <w:noWrap/>
            <w:vAlign w:val="center"/>
          </w:tcPr>
          <w:p w14:paraId="56FBC71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快速路、</w:t>
            </w:r>
          </w:p>
          <w:p w14:paraId="7284AEC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主干路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3B35658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≥97%</w:t>
            </w:r>
          </w:p>
        </w:tc>
        <w:tc>
          <w:tcPr>
            <w:tcW w:w="709" w:type="dxa"/>
            <w:vMerge w:val="restart"/>
            <w:tcBorders>
              <w:top w:val="single" w:color="auto" w:sz="4" w:space="0"/>
              <w:left w:val="single" w:color="auto" w:sz="4" w:space="0"/>
              <w:right w:val="single" w:color="auto" w:sz="4" w:space="0"/>
            </w:tcBorders>
            <w:noWrap/>
            <w:vAlign w:val="center"/>
          </w:tcPr>
          <w:p w14:paraId="6E66A14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20m</w:t>
            </w:r>
          </w:p>
        </w:tc>
        <w:tc>
          <w:tcPr>
            <w:tcW w:w="1262" w:type="dxa"/>
            <w:vMerge w:val="restart"/>
            <w:tcBorders>
              <w:top w:val="single" w:color="auto" w:sz="4" w:space="0"/>
              <w:left w:val="single" w:color="auto" w:sz="4" w:space="0"/>
              <w:right w:val="single" w:color="auto" w:sz="4" w:space="0"/>
            </w:tcBorders>
            <w:noWrap/>
            <w:vAlign w:val="center"/>
          </w:tcPr>
          <w:p w14:paraId="01CCFF7D">
            <w:pPr>
              <w:ind w:firstLine="48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880" w:type="dxa"/>
            <w:vMerge w:val="restart"/>
            <w:tcBorders>
              <w:top w:val="single" w:color="auto" w:sz="4" w:space="0"/>
              <w:left w:val="single" w:color="auto" w:sz="4" w:space="0"/>
              <w:right w:val="single" w:color="auto" w:sz="4" w:space="0"/>
            </w:tcBorders>
            <w:noWrap/>
            <w:vAlign w:val="center"/>
          </w:tcPr>
          <w:p w14:paraId="54D24300">
            <w:pPr>
              <w:ind w:firstLine="48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环刀法</w:t>
            </w:r>
          </w:p>
          <w:p w14:paraId="7EB37C0F">
            <w:pPr>
              <w:ind w:firstLine="48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灌砂法</w:t>
            </w:r>
          </w:p>
        </w:tc>
      </w:tr>
      <w:tr w14:paraId="76CA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ign w:val="center"/>
          </w:tcPr>
          <w:p w14:paraId="4E6066DF">
            <w:pPr>
              <w:jc w:val="center"/>
              <w:rPr>
                <w:rFonts w:ascii="仿宋_GB2312" w:hAnsi="仿宋_GB2312" w:eastAsia="仿宋_GB2312" w:cs="仿宋_GB2312"/>
                <w:sz w:val="18"/>
                <w:szCs w:val="18"/>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AAB7D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次干路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3D74830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c>
          <w:tcPr>
            <w:tcW w:w="709" w:type="dxa"/>
            <w:vMerge w:val="continue"/>
            <w:tcBorders>
              <w:left w:val="single" w:color="auto" w:sz="4" w:space="0"/>
              <w:right w:val="single" w:color="auto" w:sz="4" w:space="0"/>
            </w:tcBorders>
            <w:noWrap/>
            <w:vAlign w:val="center"/>
          </w:tcPr>
          <w:p w14:paraId="461173C9">
            <w:pPr>
              <w:jc w:val="center"/>
              <w:rPr>
                <w:rFonts w:ascii="仿宋_GB2312" w:hAnsi="仿宋_GB2312" w:eastAsia="仿宋_GB2312" w:cs="仿宋_GB2312"/>
                <w:sz w:val="18"/>
                <w:szCs w:val="18"/>
              </w:rPr>
            </w:pPr>
          </w:p>
        </w:tc>
        <w:tc>
          <w:tcPr>
            <w:tcW w:w="1262" w:type="dxa"/>
            <w:vMerge w:val="continue"/>
            <w:tcBorders>
              <w:left w:val="single" w:color="auto" w:sz="4" w:space="0"/>
              <w:right w:val="single" w:color="auto" w:sz="4" w:space="0"/>
            </w:tcBorders>
            <w:noWrap/>
            <w:vAlign w:val="center"/>
          </w:tcPr>
          <w:p w14:paraId="4A4F0A04">
            <w:pPr>
              <w:ind w:firstLine="360" w:firstLineChars="200"/>
              <w:jc w:val="center"/>
              <w:rPr>
                <w:rFonts w:ascii="仿宋_GB2312" w:hAnsi="仿宋_GB2312" w:eastAsia="仿宋_GB2312" w:cs="仿宋_GB2312"/>
                <w:sz w:val="18"/>
                <w:szCs w:val="18"/>
              </w:rPr>
            </w:pPr>
          </w:p>
        </w:tc>
        <w:tc>
          <w:tcPr>
            <w:tcW w:w="2880" w:type="dxa"/>
            <w:vMerge w:val="continue"/>
            <w:tcBorders>
              <w:left w:val="single" w:color="auto" w:sz="4" w:space="0"/>
              <w:right w:val="single" w:color="auto" w:sz="4" w:space="0"/>
            </w:tcBorders>
            <w:noWrap/>
            <w:vAlign w:val="center"/>
          </w:tcPr>
          <w:p w14:paraId="50243AAF">
            <w:pPr>
              <w:ind w:firstLine="360" w:firstLineChars="200"/>
              <w:jc w:val="center"/>
              <w:rPr>
                <w:rFonts w:ascii="仿宋_GB2312" w:hAnsi="仿宋_GB2312" w:eastAsia="仿宋_GB2312" w:cs="仿宋_GB2312"/>
                <w:sz w:val="18"/>
                <w:szCs w:val="18"/>
              </w:rPr>
            </w:pPr>
          </w:p>
        </w:tc>
      </w:tr>
      <w:tr w14:paraId="1D1D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bottom w:val="single" w:color="auto" w:sz="4" w:space="0"/>
              <w:right w:val="single" w:color="auto" w:sz="4" w:space="0"/>
            </w:tcBorders>
            <w:noWrap/>
            <w:vAlign w:val="center"/>
          </w:tcPr>
          <w:p w14:paraId="731ACFC0">
            <w:pPr>
              <w:jc w:val="center"/>
              <w:rPr>
                <w:rFonts w:ascii="仿宋_GB2312" w:hAnsi="仿宋_GB2312" w:eastAsia="仿宋_GB2312" w:cs="仿宋_GB2312"/>
                <w:sz w:val="18"/>
                <w:szCs w:val="18"/>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343A78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支路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1EC1F2A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709" w:type="dxa"/>
            <w:vMerge w:val="continue"/>
            <w:tcBorders>
              <w:left w:val="single" w:color="auto" w:sz="4" w:space="0"/>
              <w:right w:val="single" w:color="auto" w:sz="4" w:space="0"/>
            </w:tcBorders>
            <w:noWrap/>
            <w:vAlign w:val="center"/>
          </w:tcPr>
          <w:p w14:paraId="645CA638">
            <w:pPr>
              <w:jc w:val="center"/>
              <w:rPr>
                <w:rFonts w:ascii="仿宋_GB2312" w:hAnsi="仿宋_GB2312" w:eastAsia="仿宋_GB2312" w:cs="仿宋_GB2312"/>
                <w:sz w:val="18"/>
                <w:szCs w:val="18"/>
              </w:rPr>
            </w:pPr>
          </w:p>
        </w:tc>
        <w:tc>
          <w:tcPr>
            <w:tcW w:w="1262" w:type="dxa"/>
            <w:vMerge w:val="continue"/>
            <w:tcBorders>
              <w:left w:val="single" w:color="auto" w:sz="4" w:space="0"/>
              <w:right w:val="single" w:color="auto" w:sz="4" w:space="0"/>
            </w:tcBorders>
            <w:noWrap/>
            <w:vAlign w:val="center"/>
          </w:tcPr>
          <w:p w14:paraId="3268B315">
            <w:pPr>
              <w:ind w:firstLine="360" w:firstLineChars="200"/>
              <w:jc w:val="center"/>
              <w:rPr>
                <w:rFonts w:ascii="仿宋_GB2312" w:hAnsi="仿宋_GB2312" w:eastAsia="仿宋_GB2312" w:cs="仿宋_GB2312"/>
                <w:sz w:val="18"/>
                <w:szCs w:val="18"/>
              </w:rPr>
            </w:pPr>
          </w:p>
        </w:tc>
        <w:tc>
          <w:tcPr>
            <w:tcW w:w="2880" w:type="dxa"/>
            <w:vMerge w:val="continue"/>
            <w:tcBorders>
              <w:left w:val="single" w:color="auto" w:sz="4" w:space="0"/>
              <w:bottom w:val="single" w:color="auto" w:sz="4" w:space="0"/>
              <w:right w:val="single" w:color="auto" w:sz="4" w:space="0"/>
            </w:tcBorders>
            <w:noWrap/>
            <w:vAlign w:val="center"/>
          </w:tcPr>
          <w:p w14:paraId="484341DA">
            <w:pPr>
              <w:jc w:val="center"/>
              <w:rPr>
                <w:rFonts w:ascii="仿宋_GB2312" w:hAnsi="仿宋_GB2312" w:eastAsia="仿宋_GB2312" w:cs="仿宋_GB2312"/>
                <w:sz w:val="18"/>
                <w:szCs w:val="18"/>
              </w:rPr>
            </w:pPr>
          </w:p>
        </w:tc>
      </w:tr>
      <w:tr w14:paraId="4794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single" w:color="auto" w:sz="4" w:space="0"/>
              <w:left w:val="single" w:color="auto" w:sz="4" w:space="0"/>
              <w:bottom w:val="single" w:color="auto" w:sz="4" w:space="0"/>
              <w:right w:val="single" w:color="auto" w:sz="4" w:space="0"/>
            </w:tcBorders>
            <w:noWrap/>
            <w:vAlign w:val="center"/>
          </w:tcPr>
          <w:p w14:paraId="0E70D64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平整度</w:t>
            </w:r>
          </w:p>
        </w:tc>
        <w:tc>
          <w:tcPr>
            <w:tcW w:w="1417" w:type="dxa"/>
            <w:tcBorders>
              <w:top w:val="single" w:color="auto" w:sz="4" w:space="0"/>
              <w:left w:val="single" w:color="auto" w:sz="4" w:space="0"/>
              <w:bottom w:val="single" w:color="auto" w:sz="4" w:space="0"/>
              <w:right w:val="single" w:color="auto" w:sz="4" w:space="0"/>
            </w:tcBorders>
            <w:noWrap/>
            <w:vAlign w:val="center"/>
          </w:tcPr>
          <w:p w14:paraId="7BAED46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≤10mm</w:t>
            </w:r>
          </w:p>
        </w:tc>
        <w:tc>
          <w:tcPr>
            <w:tcW w:w="709" w:type="dxa"/>
            <w:vMerge w:val="continue"/>
            <w:tcBorders>
              <w:left w:val="single" w:color="auto" w:sz="4" w:space="0"/>
              <w:right w:val="single" w:color="auto" w:sz="4" w:space="0"/>
            </w:tcBorders>
            <w:noWrap/>
            <w:vAlign w:val="center"/>
          </w:tcPr>
          <w:p w14:paraId="2388C2AE">
            <w:pPr>
              <w:jc w:val="center"/>
              <w:rPr>
                <w:rFonts w:ascii="仿宋_GB2312" w:hAnsi="仿宋_GB2312" w:eastAsia="仿宋_GB2312" w:cs="仿宋_GB2312"/>
                <w:sz w:val="18"/>
                <w:szCs w:val="18"/>
              </w:rPr>
            </w:pPr>
          </w:p>
        </w:tc>
        <w:tc>
          <w:tcPr>
            <w:tcW w:w="1262" w:type="dxa"/>
            <w:vMerge w:val="continue"/>
            <w:tcBorders>
              <w:left w:val="single" w:color="auto" w:sz="4" w:space="0"/>
              <w:right w:val="single" w:color="auto" w:sz="4" w:space="0"/>
            </w:tcBorders>
            <w:noWrap/>
            <w:vAlign w:val="center"/>
          </w:tcPr>
          <w:p w14:paraId="0D25E756">
            <w:pPr>
              <w:ind w:firstLine="360" w:firstLineChars="200"/>
              <w:jc w:val="center"/>
              <w:rPr>
                <w:rFonts w:ascii="仿宋_GB2312" w:hAnsi="仿宋_GB2312" w:eastAsia="仿宋_GB2312" w:cs="仿宋_GB2312"/>
                <w:sz w:val="18"/>
                <w:szCs w:val="18"/>
              </w:rPr>
            </w:pPr>
          </w:p>
        </w:tc>
        <w:tc>
          <w:tcPr>
            <w:tcW w:w="2880" w:type="dxa"/>
            <w:tcBorders>
              <w:top w:val="single" w:color="auto" w:sz="4" w:space="0"/>
              <w:left w:val="single" w:color="auto" w:sz="4" w:space="0"/>
              <w:bottom w:val="single" w:color="auto" w:sz="4" w:space="0"/>
              <w:right w:val="single" w:color="auto" w:sz="4" w:space="0"/>
            </w:tcBorders>
            <w:noWrap/>
            <w:vAlign w:val="center"/>
          </w:tcPr>
          <w:p w14:paraId="1AEEF10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3m直尺</w:t>
            </w:r>
          </w:p>
        </w:tc>
      </w:tr>
      <w:tr w14:paraId="2B62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single" w:color="auto" w:sz="4" w:space="0"/>
              <w:left w:val="single" w:color="auto" w:sz="4" w:space="0"/>
              <w:bottom w:val="single" w:color="auto" w:sz="4" w:space="0"/>
              <w:right w:val="single" w:color="auto" w:sz="4" w:space="0"/>
            </w:tcBorders>
            <w:noWrap/>
            <w:vAlign w:val="center"/>
          </w:tcPr>
          <w:p w14:paraId="39D7633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厚度</w:t>
            </w:r>
          </w:p>
        </w:tc>
        <w:tc>
          <w:tcPr>
            <w:tcW w:w="1417" w:type="dxa"/>
            <w:tcBorders>
              <w:top w:val="single" w:color="auto" w:sz="4" w:space="0"/>
              <w:left w:val="single" w:color="auto" w:sz="4" w:space="0"/>
              <w:bottom w:val="single" w:color="auto" w:sz="4" w:space="0"/>
              <w:right w:val="single" w:color="auto" w:sz="4" w:space="0"/>
            </w:tcBorders>
            <w:noWrap/>
            <w:vAlign w:val="center"/>
          </w:tcPr>
          <w:p w14:paraId="2A9565B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09" w:type="dxa"/>
            <w:vMerge w:val="continue"/>
            <w:tcBorders>
              <w:left w:val="single" w:color="auto" w:sz="4" w:space="0"/>
              <w:bottom w:val="single" w:color="auto" w:sz="4" w:space="0"/>
              <w:right w:val="single" w:color="auto" w:sz="4" w:space="0"/>
            </w:tcBorders>
            <w:noWrap/>
            <w:vAlign w:val="center"/>
          </w:tcPr>
          <w:p w14:paraId="10A57249">
            <w:pPr>
              <w:jc w:val="center"/>
              <w:rPr>
                <w:rFonts w:ascii="仿宋_GB2312" w:hAnsi="仿宋_GB2312" w:eastAsia="仿宋_GB2312" w:cs="仿宋_GB2312"/>
                <w:sz w:val="18"/>
                <w:szCs w:val="18"/>
              </w:rPr>
            </w:pPr>
          </w:p>
        </w:tc>
        <w:tc>
          <w:tcPr>
            <w:tcW w:w="1262" w:type="dxa"/>
            <w:vMerge w:val="continue"/>
            <w:tcBorders>
              <w:left w:val="single" w:color="auto" w:sz="4" w:space="0"/>
              <w:bottom w:val="single" w:color="auto" w:sz="4" w:space="0"/>
              <w:right w:val="single" w:color="auto" w:sz="4" w:space="0"/>
            </w:tcBorders>
            <w:noWrap/>
            <w:vAlign w:val="center"/>
          </w:tcPr>
          <w:p w14:paraId="664E91E7">
            <w:pPr>
              <w:jc w:val="center"/>
              <w:rPr>
                <w:rFonts w:ascii="仿宋_GB2312" w:hAnsi="仿宋_GB2312" w:eastAsia="仿宋_GB2312" w:cs="仿宋_GB2312"/>
                <w:sz w:val="18"/>
                <w:szCs w:val="18"/>
              </w:rPr>
            </w:pPr>
          </w:p>
        </w:tc>
        <w:tc>
          <w:tcPr>
            <w:tcW w:w="2880" w:type="dxa"/>
            <w:tcBorders>
              <w:top w:val="single" w:color="auto" w:sz="4" w:space="0"/>
              <w:left w:val="single" w:color="auto" w:sz="4" w:space="0"/>
              <w:bottom w:val="single" w:color="auto" w:sz="4" w:space="0"/>
              <w:right w:val="single" w:color="auto" w:sz="4" w:space="0"/>
            </w:tcBorders>
            <w:noWrap/>
            <w:vAlign w:val="center"/>
          </w:tcPr>
          <w:p w14:paraId="41CF622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钢尺</w:t>
            </w:r>
          </w:p>
        </w:tc>
      </w:tr>
    </w:tbl>
    <w:p w14:paraId="0A5DC2C9">
      <w:pPr>
        <w:spacing w:beforeLines="50"/>
        <w:ind w:firstLine="360" w:firstLineChars="20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四、面层修复</w:t>
      </w:r>
    </w:p>
    <w:p w14:paraId="7F5690B1">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1.沥青混凝土路面。</w:t>
      </w:r>
      <w:r>
        <w:rPr>
          <w:rFonts w:hint="eastAsia" w:ascii="仿宋_GB2312" w:hAnsi="仿宋_GB2312" w:eastAsia="仿宋_GB2312" w:cs="仿宋_GB2312"/>
          <w:sz w:val="18"/>
          <w:szCs w:val="18"/>
        </w:rPr>
        <w:t>修复前，应对掘路时影响的破损路面进行清除，修复宽度每侧应大于基层500mm及以上；修复沥青混凝土面层前，应对半刚性基层或刚性基层采取防反射裂缝措施及防水措施；宜采用振动压路机或振动夯实机具，分层碾压。</w:t>
      </w:r>
    </w:p>
    <w:p w14:paraId="5082627B">
      <w:pPr>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2.水泥混凝土路面。</w:t>
      </w:r>
      <w:r>
        <w:rPr>
          <w:rFonts w:hint="eastAsia" w:ascii="仿宋_GB2312" w:hAnsi="仿宋_GB2312" w:eastAsia="仿宋_GB2312" w:cs="仿宋_GB2312"/>
          <w:sz w:val="18"/>
          <w:szCs w:val="18"/>
        </w:rPr>
        <w:t>当水泥混凝土路面掘路宽度超过1/3板宽时，应按整板恢复；当不足1/3板宽时应进行加固处理。</w:t>
      </w:r>
    </w:p>
    <w:p w14:paraId="0912BF60">
      <w:pPr>
        <w:rPr>
          <w:rFonts w:ascii="仿宋_GB2312" w:hAnsi="仿宋_GB2312" w:eastAsia="仿宋_GB2312" w:cs="仿宋_GB2312"/>
          <w:bCs/>
          <w:sz w:val="18"/>
          <w:szCs w:val="18"/>
        </w:rPr>
      </w:pPr>
      <w:r>
        <w:rPr>
          <w:rFonts w:hint="eastAsia" w:ascii="仿宋_GB2312" w:hAnsi="仿宋_GB2312" w:eastAsia="仿宋_GB2312" w:cs="仿宋_GB2312"/>
          <w:b/>
          <w:sz w:val="18"/>
          <w:szCs w:val="18"/>
        </w:rPr>
        <w:t>3.人行道面层修复。</w:t>
      </w:r>
      <w:r>
        <w:rPr>
          <w:rFonts w:hint="eastAsia" w:ascii="仿宋_GB2312" w:hAnsi="仿宋_GB2312" w:eastAsia="仿宋_GB2312" w:cs="仿宋_GB2312"/>
          <w:bCs/>
          <w:sz w:val="18"/>
          <w:szCs w:val="18"/>
        </w:rPr>
        <w:t>应将掘路施工期间被扰动的人行道板全部拆除重新铺砌。人行道板底应当紧贴垫层，不得有虚空现象。</w:t>
      </w:r>
    </w:p>
    <w:p w14:paraId="51CD8184">
      <w:pP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br w:type="page"/>
      </w:r>
    </w:p>
    <w:p w14:paraId="6CB9BC2F">
      <w:pPr>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市政道路安全文明施工要求</w:t>
      </w:r>
    </w:p>
    <w:p w14:paraId="227D0716">
      <w:pPr>
        <w:pStyle w:val="42"/>
        <w:rPr>
          <w:rFonts w:ascii="仿宋_GB2312" w:hAnsi="仿宋_GB2312" w:eastAsia="仿宋_GB2312" w:cs="仿宋_GB2312"/>
          <w:sz w:val="18"/>
          <w:szCs w:val="18"/>
        </w:rPr>
      </w:pPr>
    </w:p>
    <w:p w14:paraId="20A93C02">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安全围护。道路养护施工现场，设置安全围护、施工牌、导流锥；夜间施工时施工现场必须配备照明、警示装置；现场作业必须严格执行有关安全生产操作规程，人员应穿戴反光背心、安全帽，机械设备应张贴反光标志。养护施工中，道路铣刨后2小时内应及时恢复面层，损坏道路交通标识标线的，应及时通知交警部门进行补划。</w:t>
      </w:r>
    </w:p>
    <w:p w14:paraId="60088920">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降尘防污。人行道板施工时，对道板切割部位进行洒水除尘；沥青路面铣刨施工前，对铣刨区域进行洒水处理，利用路面水分降低扬尘；沥青养护撒布粘层油前应对维修范围以外的面层进行隔离保护防止油污污染路面。</w:t>
      </w:r>
    </w:p>
    <w:p w14:paraId="07658DEA">
      <w:pPr>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队伍形象。养护作业人员应按规定统一着装，养护作业施工时不大声喧哗。加强车辆、养护机械的管理，定期进行维修保养、年检，杜绝废气、噪声超标现象。养护施工完成后应清扫路面废料，回收各类工具，及时恢复交通，降低对城市环境影响。</w:t>
      </w:r>
    </w:p>
    <w:p w14:paraId="3AFE1438">
      <w:pPr>
        <w:spacing w:line="340" w:lineRule="atLeast"/>
        <w:rPr>
          <w:rFonts w:hint="eastAsia" w:ascii="仿宋" w:hAnsi="仿宋" w:eastAsia="仿宋" w:cs="仿宋"/>
          <w:sz w:val="24"/>
          <w:szCs w:val="24"/>
        </w:rPr>
      </w:pPr>
    </w:p>
    <w:p w14:paraId="55AE94A8">
      <w:pPr>
        <w:spacing w:line="340" w:lineRule="atLeast"/>
        <w:rPr>
          <w:rFonts w:hint="eastAsia" w:ascii="仿宋" w:hAnsi="仿宋" w:eastAsia="仿宋" w:cs="仿宋"/>
          <w:sz w:val="24"/>
          <w:szCs w:val="24"/>
        </w:rPr>
      </w:pPr>
    </w:p>
    <w:p w14:paraId="4C54D1DD">
      <w:pPr>
        <w:spacing w:line="340" w:lineRule="atLeast"/>
        <w:rPr>
          <w:rFonts w:hint="eastAsia" w:ascii="仿宋" w:hAnsi="仿宋" w:eastAsia="仿宋" w:cs="仿宋"/>
          <w:sz w:val="24"/>
          <w:szCs w:val="24"/>
        </w:rPr>
      </w:pPr>
    </w:p>
    <w:p w14:paraId="7CC85273">
      <w:pPr>
        <w:spacing w:line="340" w:lineRule="atLeast"/>
        <w:rPr>
          <w:rFonts w:hint="eastAsia" w:ascii="仿宋" w:hAnsi="仿宋" w:eastAsia="仿宋" w:cs="仿宋"/>
          <w:sz w:val="24"/>
          <w:szCs w:val="24"/>
        </w:rPr>
      </w:pPr>
    </w:p>
    <w:p w14:paraId="74CA1AA0">
      <w:pPr>
        <w:spacing w:line="340" w:lineRule="atLeast"/>
        <w:rPr>
          <w:rFonts w:hint="eastAsia" w:ascii="仿宋" w:hAnsi="仿宋" w:eastAsia="仿宋" w:cs="仿宋"/>
          <w:sz w:val="24"/>
          <w:szCs w:val="24"/>
        </w:rPr>
      </w:pPr>
    </w:p>
    <w:p w14:paraId="38DBFBAC">
      <w:pPr>
        <w:spacing w:line="340" w:lineRule="atLeast"/>
        <w:rPr>
          <w:rFonts w:hint="eastAsia" w:ascii="仿宋" w:hAnsi="仿宋" w:eastAsia="仿宋" w:cs="仿宋"/>
          <w:sz w:val="24"/>
          <w:szCs w:val="24"/>
        </w:rPr>
      </w:pPr>
    </w:p>
    <w:p w14:paraId="164D3385">
      <w:pPr>
        <w:spacing w:line="340" w:lineRule="atLeast"/>
        <w:rPr>
          <w:rFonts w:hint="eastAsia" w:ascii="仿宋" w:hAnsi="仿宋" w:eastAsia="仿宋" w:cs="仿宋"/>
          <w:sz w:val="24"/>
          <w:szCs w:val="24"/>
        </w:rPr>
      </w:pPr>
    </w:p>
    <w:p w14:paraId="4F81A053">
      <w:pPr>
        <w:spacing w:line="340" w:lineRule="atLeast"/>
        <w:rPr>
          <w:rFonts w:hint="eastAsia" w:ascii="仿宋" w:hAnsi="仿宋" w:eastAsia="仿宋" w:cs="仿宋"/>
          <w:sz w:val="24"/>
          <w:szCs w:val="24"/>
        </w:rPr>
      </w:pPr>
    </w:p>
    <w:p w14:paraId="4699C245">
      <w:pPr>
        <w:spacing w:line="340" w:lineRule="atLeast"/>
        <w:rPr>
          <w:rFonts w:hint="eastAsia" w:ascii="仿宋" w:hAnsi="仿宋" w:eastAsia="仿宋" w:cs="仿宋"/>
          <w:sz w:val="24"/>
          <w:szCs w:val="24"/>
        </w:rPr>
      </w:pPr>
    </w:p>
    <w:p w14:paraId="24295E9D">
      <w:pPr>
        <w:spacing w:line="340" w:lineRule="atLeast"/>
        <w:rPr>
          <w:rFonts w:hint="eastAsia" w:ascii="仿宋" w:hAnsi="仿宋" w:eastAsia="仿宋" w:cs="仿宋"/>
          <w:sz w:val="24"/>
          <w:szCs w:val="24"/>
        </w:rPr>
      </w:pPr>
    </w:p>
    <w:p w14:paraId="1D00D94B">
      <w:pPr>
        <w:spacing w:line="340" w:lineRule="atLeast"/>
        <w:rPr>
          <w:rFonts w:hint="eastAsia" w:ascii="仿宋" w:hAnsi="仿宋" w:eastAsia="仿宋" w:cs="仿宋"/>
          <w:sz w:val="24"/>
          <w:szCs w:val="24"/>
        </w:rPr>
      </w:pPr>
    </w:p>
    <w:p w14:paraId="512DD80E">
      <w:pPr>
        <w:spacing w:line="340" w:lineRule="atLeast"/>
        <w:rPr>
          <w:rFonts w:hint="eastAsia" w:ascii="仿宋" w:hAnsi="仿宋" w:eastAsia="仿宋" w:cs="仿宋"/>
          <w:sz w:val="24"/>
          <w:szCs w:val="24"/>
        </w:rPr>
      </w:pPr>
    </w:p>
    <w:p w14:paraId="103596A5">
      <w:pPr>
        <w:spacing w:line="340" w:lineRule="atLeast"/>
        <w:rPr>
          <w:rFonts w:hint="eastAsia" w:ascii="仿宋" w:hAnsi="仿宋" w:eastAsia="仿宋" w:cs="仿宋"/>
          <w:sz w:val="24"/>
          <w:szCs w:val="24"/>
        </w:rPr>
      </w:pPr>
    </w:p>
    <w:p w14:paraId="127FD1A6">
      <w:pPr>
        <w:spacing w:line="340" w:lineRule="atLeast"/>
        <w:rPr>
          <w:rFonts w:hint="eastAsia" w:ascii="仿宋" w:hAnsi="仿宋" w:eastAsia="仿宋" w:cs="仿宋"/>
          <w:sz w:val="24"/>
          <w:szCs w:val="24"/>
        </w:rPr>
      </w:pPr>
    </w:p>
    <w:p w14:paraId="04CC64AE">
      <w:pPr>
        <w:spacing w:line="340" w:lineRule="atLeast"/>
        <w:rPr>
          <w:rFonts w:hint="eastAsia" w:ascii="仿宋" w:hAnsi="仿宋" w:eastAsia="仿宋" w:cs="仿宋"/>
          <w:sz w:val="24"/>
          <w:szCs w:val="24"/>
        </w:rPr>
      </w:pPr>
    </w:p>
    <w:p w14:paraId="7D56DED2">
      <w:pPr>
        <w:spacing w:line="340" w:lineRule="atLeast"/>
        <w:rPr>
          <w:rFonts w:hint="eastAsia" w:ascii="仿宋" w:hAnsi="仿宋" w:eastAsia="仿宋" w:cs="仿宋"/>
          <w:sz w:val="24"/>
          <w:szCs w:val="24"/>
        </w:rPr>
      </w:pPr>
    </w:p>
    <w:p w14:paraId="04DC19C3">
      <w:pPr>
        <w:spacing w:line="340" w:lineRule="atLeast"/>
        <w:rPr>
          <w:rFonts w:hint="eastAsia" w:ascii="仿宋" w:hAnsi="仿宋" w:eastAsia="仿宋" w:cs="仿宋"/>
          <w:sz w:val="24"/>
          <w:szCs w:val="24"/>
        </w:rPr>
      </w:pPr>
    </w:p>
    <w:p w14:paraId="6E3BFE0B">
      <w:pPr>
        <w:spacing w:line="340" w:lineRule="atLeast"/>
        <w:rPr>
          <w:rFonts w:hint="eastAsia" w:ascii="仿宋" w:hAnsi="仿宋" w:eastAsia="仿宋" w:cs="仿宋"/>
          <w:sz w:val="24"/>
          <w:szCs w:val="24"/>
        </w:rPr>
      </w:pPr>
    </w:p>
    <w:p w14:paraId="15F63955">
      <w:pPr>
        <w:spacing w:line="340" w:lineRule="atLeast"/>
        <w:rPr>
          <w:rFonts w:hint="eastAsia" w:ascii="仿宋" w:hAnsi="仿宋" w:eastAsia="仿宋" w:cs="仿宋"/>
          <w:sz w:val="24"/>
          <w:szCs w:val="24"/>
        </w:rPr>
      </w:pPr>
    </w:p>
    <w:p w14:paraId="44A06616">
      <w:pPr>
        <w:spacing w:line="340" w:lineRule="atLeast"/>
        <w:rPr>
          <w:rFonts w:hint="eastAsia" w:ascii="仿宋" w:hAnsi="仿宋" w:eastAsia="仿宋" w:cs="仿宋"/>
          <w:sz w:val="24"/>
          <w:szCs w:val="24"/>
        </w:rPr>
      </w:pPr>
    </w:p>
    <w:p w14:paraId="260DDCC5">
      <w:pPr>
        <w:spacing w:line="340" w:lineRule="atLeast"/>
        <w:rPr>
          <w:rFonts w:hint="eastAsia" w:ascii="仿宋" w:hAnsi="仿宋" w:eastAsia="仿宋" w:cs="仿宋"/>
          <w:sz w:val="24"/>
          <w:szCs w:val="24"/>
        </w:rPr>
      </w:pPr>
    </w:p>
    <w:p w14:paraId="6360E428">
      <w:pPr>
        <w:spacing w:line="340" w:lineRule="atLeast"/>
        <w:rPr>
          <w:rFonts w:hint="eastAsia" w:ascii="仿宋" w:hAnsi="仿宋" w:eastAsia="仿宋" w:cs="仿宋"/>
          <w:sz w:val="24"/>
          <w:szCs w:val="24"/>
        </w:rPr>
      </w:pPr>
    </w:p>
    <w:p w14:paraId="175F998B">
      <w:pPr>
        <w:spacing w:line="340" w:lineRule="atLeast"/>
        <w:rPr>
          <w:rFonts w:hint="eastAsia" w:ascii="仿宋" w:hAnsi="仿宋" w:eastAsia="仿宋" w:cs="仿宋"/>
          <w:sz w:val="24"/>
          <w:szCs w:val="24"/>
        </w:rPr>
      </w:pPr>
    </w:p>
    <w:p w14:paraId="39786386">
      <w:pPr>
        <w:spacing w:line="340" w:lineRule="atLeast"/>
        <w:rPr>
          <w:rFonts w:hint="eastAsia" w:ascii="仿宋" w:hAnsi="仿宋" w:eastAsia="仿宋" w:cs="仿宋"/>
          <w:sz w:val="24"/>
          <w:szCs w:val="24"/>
        </w:rPr>
      </w:pPr>
    </w:p>
    <w:p w14:paraId="05236843">
      <w:pPr>
        <w:rPr>
          <w:rFonts w:hint="eastAsia" w:ascii="仿宋" w:hAnsi="仿宋" w:eastAsia="仿宋" w:cs="仿宋"/>
          <w:sz w:val="24"/>
          <w:szCs w:val="24"/>
          <w:lang w:bidi="zh-CN"/>
        </w:rPr>
      </w:pPr>
    </w:p>
    <w:p w14:paraId="5D3E509A">
      <w:pPr>
        <w:rPr>
          <w:rFonts w:hint="eastAsia" w:ascii="仿宋" w:hAnsi="仿宋" w:eastAsia="仿宋" w:cs="仿宋"/>
          <w:sz w:val="24"/>
          <w:szCs w:val="24"/>
          <w:lang w:bidi="zh-CN"/>
        </w:rPr>
      </w:pPr>
    </w:p>
    <w:p w14:paraId="19CF7CCA">
      <w:pPr>
        <w:rPr>
          <w:rFonts w:hint="eastAsia" w:ascii="仿宋" w:hAnsi="仿宋" w:eastAsia="仿宋" w:cs="仿宋"/>
          <w:sz w:val="24"/>
          <w:szCs w:val="24"/>
          <w:lang w:bidi="zh-CN"/>
        </w:rPr>
      </w:pPr>
    </w:p>
    <w:p w14:paraId="2DE8440F">
      <w:pPr>
        <w:rPr>
          <w:rFonts w:hint="eastAsia" w:ascii="仿宋" w:hAnsi="仿宋" w:eastAsia="仿宋" w:cs="仿宋"/>
          <w:sz w:val="24"/>
          <w:szCs w:val="24"/>
          <w:lang w:bidi="zh-CN"/>
        </w:rPr>
      </w:pPr>
    </w:p>
    <w:p w14:paraId="52652DAC">
      <w:pPr>
        <w:rPr>
          <w:rFonts w:hint="eastAsia" w:ascii="仿宋" w:hAnsi="仿宋" w:eastAsia="仿宋" w:cs="仿宋"/>
          <w:sz w:val="24"/>
          <w:szCs w:val="24"/>
          <w:lang w:bidi="zh-CN"/>
        </w:rPr>
      </w:pPr>
    </w:p>
    <w:p w14:paraId="02D3BC75">
      <w:pPr>
        <w:rPr>
          <w:rFonts w:hint="eastAsia" w:ascii="仿宋" w:hAnsi="仿宋" w:eastAsia="仿宋" w:cs="仿宋"/>
          <w:sz w:val="24"/>
          <w:szCs w:val="24"/>
          <w:lang w:bidi="zh-CN"/>
        </w:rPr>
      </w:pPr>
    </w:p>
    <w:p w14:paraId="755257EB">
      <w:pPr>
        <w:rPr>
          <w:rFonts w:hint="default" w:ascii="仿宋" w:hAnsi="仿宋" w:eastAsia="仿宋" w:cs="仿宋"/>
          <w:sz w:val="24"/>
          <w:szCs w:val="24"/>
          <w:lang w:val="en-US" w:bidi="zh-CN"/>
        </w:rPr>
      </w:pPr>
      <w:r>
        <w:rPr>
          <w:rFonts w:hint="eastAsia" w:ascii="仿宋" w:hAnsi="仿宋" w:eastAsia="仿宋" w:cs="仿宋"/>
          <w:sz w:val="24"/>
          <w:szCs w:val="24"/>
          <w:lang w:bidi="zh-CN"/>
        </w:rPr>
        <w:t>附件</w:t>
      </w:r>
      <w:r>
        <w:rPr>
          <w:rFonts w:hint="eastAsia" w:ascii="仿宋" w:hAnsi="仿宋" w:eastAsia="仿宋" w:cs="仿宋"/>
          <w:sz w:val="24"/>
          <w:szCs w:val="24"/>
          <w:lang w:val="en-US" w:bidi="zh-CN"/>
        </w:rPr>
        <w:t>11</w:t>
      </w:r>
    </w:p>
    <w:p w14:paraId="14476DD6">
      <w:pPr>
        <w:spacing w:line="580" w:lineRule="exact"/>
        <w:jc w:val="center"/>
        <w:rPr>
          <w:rFonts w:ascii="仿宋" w:hAnsi="仿宋" w:eastAsia="仿宋" w:cs="仿宋"/>
          <w:b/>
          <w:bCs/>
          <w:sz w:val="36"/>
          <w:szCs w:val="36"/>
        </w:rPr>
      </w:pPr>
      <w:r>
        <w:rPr>
          <w:rFonts w:hint="eastAsia" w:ascii="仿宋" w:hAnsi="仿宋" w:eastAsia="仿宋" w:cs="仿宋"/>
          <w:b/>
          <w:bCs/>
          <w:sz w:val="36"/>
          <w:szCs w:val="36"/>
        </w:rPr>
        <w:t>承</w:t>
      </w:r>
      <w:r>
        <w:rPr>
          <w:rFonts w:ascii="仿宋" w:hAnsi="仿宋" w:eastAsia="仿宋" w:cs="仿宋"/>
          <w:b/>
          <w:bCs/>
          <w:sz w:val="36"/>
          <w:szCs w:val="36"/>
        </w:rPr>
        <w:t xml:space="preserve"> </w:t>
      </w:r>
      <w:r>
        <w:rPr>
          <w:rFonts w:hint="eastAsia" w:ascii="仿宋" w:hAnsi="仿宋" w:eastAsia="仿宋" w:cs="仿宋"/>
          <w:b/>
          <w:bCs/>
          <w:sz w:val="36"/>
          <w:szCs w:val="36"/>
        </w:rPr>
        <w:t>诺</w:t>
      </w:r>
      <w:r>
        <w:rPr>
          <w:rFonts w:ascii="仿宋" w:hAnsi="仿宋" w:eastAsia="仿宋" w:cs="仿宋"/>
          <w:b/>
          <w:bCs/>
          <w:sz w:val="36"/>
          <w:szCs w:val="36"/>
        </w:rPr>
        <w:t xml:space="preserve"> </w:t>
      </w:r>
      <w:r>
        <w:rPr>
          <w:rFonts w:hint="eastAsia" w:ascii="仿宋" w:hAnsi="仿宋" w:eastAsia="仿宋" w:cs="仿宋"/>
          <w:b/>
          <w:bCs/>
          <w:sz w:val="36"/>
          <w:szCs w:val="36"/>
        </w:rPr>
        <w:t>书</w:t>
      </w:r>
    </w:p>
    <w:p w14:paraId="2FC4930D">
      <w:pPr>
        <w:spacing w:line="580" w:lineRule="exact"/>
        <w:jc w:val="center"/>
        <w:rPr>
          <w:rFonts w:ascii="Times New Roman" w:hAnsi="Times New Roman" w:eastAsia="仿宋" w:cs="Times New Roman"/>
          <w:sz w:val="32"/>
          <w:szCs w:val="32"/>
        </w:rPr>
      </w:pPr>
      <w:r>
        <w:rPr>
          <w:rFonts w:hint="eastAsia" w:ascii="Times New Roman" w:hAnsi="Times New Roman" w:eastAsia="楷体_GB2312" w:cs="Times New Roman"/>
          <w:sz w:val="32"/>
          <w:szCs w:val="32"/>
        </w:rPr>
        <w:t>（承包人）</w:t>
      </w:r>
    </w:p>
    <w:p w14:paraId="43600E6C">
      <w:pPr>
        <w:ind w:firstLine="640"/>
        <w:rPr>
          <w:rFonts w:ascii="Times New Roman" w:hAnsi="Times New Roman" w:eastAsia="仿宋" w:cs="Times New Roman"/>
          <w:sz w:val="32"/>
          <w:szCs w:val="32"/>
        </w:rPr>
      </w:pPr>
    </w:p>
    <w:p w14:paraId="766945B2">
      <w:pPr>
        <w:ind w:firstLine="480" w:firstLineChars="200"/>
        <w:rPr>
          <w:rFonts w:ascii="仿宋" w:hAnsi="仿宋" w:eastAsia="仿宋" w:cs="仿宋"/>
          <w:sz w:val="24"/>
          <w:szCs w:val="24"/>
        </w:rPr>
      </w:pPr>
      <w:r>
        <w:rPr>
          <w:rFonts w:hint="eastAsia" w:ascii="仿宋" w:hAnsi="仿宋" w:eastAsia="仿宋" w:cs="仿宋"/>
          <w:sz w:val="24"/>
          <w:szCs w:val="24"/>
        </w:rPr>
        <w:t>本单位就</w:t>
      </w:r>
      <w:r>
        <w:rPr>
          <w:rFonts w:ascii="仿宋" w:hAnsi="仿宋" w:eastAsia="仿宋" w:cs="仿宋"/>
          <w:sz w:val="24"/>
          <w:szCs w:val="24"/>
        </w:rPr>
        <w:t>_______________________________</w:t>
      </w:r>
      <w:r>
        <w:rPr>
          <w:rFonts w:hint="eastAsia" w:ascii="仿宋" w:hAnsi="仿宋" w:eastAsia="仿宋" w:cs="仿宋"/>
          <w:sz w:val="24"/>
          <w:szCs w:val="24"/>
        </w:rPr>
        <w:t>（</w:t>
      </w:r>
      <w:bookmarkStart w:id="1491" w:name="_Hlk150284892"/>
      <w:r>
        <w:rPr>
          <w:rFonts w:hint="eastAsia" w:ascii="仿宋" w:hAnsi="仿宋" w:eastAsia="仿宋" w:cs="仿宋"/>
          <w:sz w:val="24"/>
          <w:szCs w:val="24"/>
        </w:rPr>
        <w:t>项目</w:t>
      </w:r>
      <w:bookmarkEnd w:id="1491"/>
      <w:r>
        <w:rPr>
          <w:rFonts w:hint="eastAsia" w:ascii="仿宋" w:hAnsi="仿宋" w:eastAsia="仿宋" w:cs="仿宋"/>
          <w:sz w:val="24"/>
          <w:szCs w:val="24"/>
        </w:rPr>
        <w:t>）的承包工作郑重承诺如下:</w:t>
      </w:r>
    </w:p>
    <w:p w14:paraId="6144732C">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本单位承诺无正当理由绝不拒绝履行合同、擅自终止合同，或不按照合同约定履行义务完成项目。</w:t>
      </w:r>
    </w:p>
    <w:p w14:paraId="03C572A7">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本单位承诺在合同未约定或者未经发包人同意，绝不将交易项目的部分非主体、非关键性工作分包给他人完成。</w:t>
      </w:r>
    </w:p>
    <w:p w14:paraId="14CC4EEE">
      <w:pPr>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本单位承诺项目管理人员严重违反交易文件、响应文件或合同约定的要求绝不到岗履职。</w:t>
      </w:r>
    </w:p>
    <w:p w14:paraId="0DEE96ED">
      <w:pPr>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本单位承诺绝不使用假冒伪劣产品或非合同约定的产品，出现严重质量问题的。</w:t>
      </w:r>
    </w:p>
    <w:p w14:paraId="1090DE10">
      <w:pPr>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本单位承诺坚决及时整改重大安全、质量隐患问题，发生质量安全事故的。</w:t>
      </w:r>
    </w:p>
    <w:p w14:paraId="1255D4C7">
      <w:pPr>
        <w:ind w:firstLine="480" w:firstLineChars="20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本单位承诺绝不弄虚作假、以次充好，验收达不到合同要求。</w:t>
      </w:r>
    </w:p>
    <w:p w14:paraId="1A8F843A">
      <w:pPr>
        <w:ind w:firstLine="480" w:firstLineChars="20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本单位承诺绝不通过挂靠承揽业务。</w:t>
      </w:r>
    </w:p>
    <w:p w14:paraId="5041D636">
      <w:pPr>
        <w:ind w:firstLine="480" w:firstLineChars="20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本单位承诺绝不恶意拖欠农民工工资。</w:t>
      </w:r>
    </w:p>
    <w:p w14:paraId="3F46B376">
      <w:pPr>
        <w:ind w:firstLine="480" w:firstLineChars="200"/>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本单位承诺项目履约过程中自愿接受其他违法违规行为受到行政处罚。</w:t>
      </w:r>
    </w:p>
    <w:p w14:paraId="6C264BB5">
      <w:pPr>
        <w:ind w:firstLine="0" w:firstLineChars="0"/>
        <w:rPr>
          <w:rFonts w:ascii="仿宋" w:hAnsi="仿宋" w:eastAsia="仿宋" w:cs="仿宋"/>
          <w:sz w:val="24"/>
          <w:szCs w:val="24"/>
        </w:rPr>
      </w:pPr>
      <w:r>
        <w:rPr>
          <w:rFonts w:hint="eastAsia" w:ascii="仿宋" w:hAnsi="仿宋" w:eastAsia="仿宋" w:cs="仿宋"/>
          <w:sz w:val="24"/>
          <w:szCs w:val="24"/>
        </w:rPr>
        <w:t>若本单位发生违背上述《上城区小额交易活动负面清单》所列“禁止行为”的承诺，经查实后，我单位自愿接受相关处罚和处理，并承担由此造成的一切不良后果。</w:t>
      </w:r>
    </w:p>
    <w:p w14:paraId="3E63E329">
      <w:pPr>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特此承诺！</w:t>
      </w:r>
      <w:r>
        <w:rPr>
          <w:rFonts w:hint="cs" w:ascii="仿宋" w:hAnsi="仿宋" w:eastAsia="仿宋" w:cs="仿宋"/>
          <w:color w:val="auto"/>
          <w:sz w:val="24"/>
          <w:szCs w:val="24"/>
          <w:shd w:val="clear" w:color="auto" w:fill="auto"/>
        </w:rPr>
        <w:t> </w:t>
      </w:r>
    </w:p>
    <w:p w14:paraId="7A1EABBE">
      <w:pPr>
        <w:jc w:val="left"/>
        <w:rPr>
          <w:rFonts w:ascii="仿宋" w:hAnsi="仿宋" w:eastAsia="仿宋" w:cs="仿宋"/>
          <w:color w:val="auto"/>
          <w:sz w:val="24"/>
          <w:szCs w:val="24"/>
          <w:shd w:val="clear" w:color="auto" w:fill="auto"/>
        </w:rPr>
      </w:pPr>
    </w:p>
    <w:p w14:paraId="04168B01">
      <w:pPr>
        <w:jc w:val="left"/>
        <w:rPr>
          <w:rFonts w:ascii="仿宋" w:hAnsi="仿宋" w:eastAsia="仿宋" w:cs="仿宋"/>
          <w:sz w:val="24"/>
          <w:szCs w:val="24"/>
        </w:rPr>
      </w:pPr>
    </w:p>
    <w:p w14:paraId="5BA685BC">
      <w:pPr>
        <w:jc w:val="left"/>
        <w:rPr>
          <w:rFonts w:ascii="仿宋" w:hAnsi="仿宋" w:eastAsia="仿宋" w:cs="仿宋"/>
          <w:sz w:val="24"/>
          <w:szCs w:val="24"/>
        </w:rPr>
      </w:pPr>
    </w:p>
    <w:p w14:paraId="0EF9BDDF">
      <w:pPr>
        <w:jc w:val="left"/>
        <w:rPr>
          <w:rFonts w:ascii="仿宋" w:hAnsi="仿宋" w:eastAsia="仿宋" w:cs="仿宋"/>
          <w:color w:val="auto"/>
          <w:sz w:val="24"/>
          <w:szCs w:val="24"/>
          <w:shd w:val="clear" w:color="auto" w:fill="auto"/>
        </w:rPr>
      </w:pPr>
    </w:p>
    <w:p w14:paraId="79EC08ED">
      <w:pPr>
        <w:jc w:val="left"/>
        <w:rPr>
          <w:rFonts w:ascii="仿宋" w:hAnsi="仿宋" w:eastAsia="仿宋" w:cs="仿宋"/>
          <w:color w:val="auto"/>
          <w:sz w:val="24"/>
          <w:szCs w:val="24"/>
          <w:shd w:val="clear" w:color="auto" w:fill="auto"/>
        </w:rPr>
      </w:pPr>
    </w:p>
    <w:p w14:paraId="40A608B5">
      <w:pPr>
        <w:ind w:firstLine="3840" w:firstLineChars="1600"/>
        <w:jc w:val="lef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承诺单位名称：（单位公章）</w:t>
      </w:r>
    </w:p>
    <w:p w14:paraId="7A614820">
      <w:pPr>
        <w:jc w:val="left"/>
        <w:rPr>
          <w:rFonts w:ascii="仿宋" w:hAnsi="仿宋" w:eastAsia="仿宋" w:cs="仿宋"/>
          <w:color w:val="auto"/>
          <w:sz w:val="24"/>
          <w:szCs w:val="24"/>
          <w:shd w:val="clear" w:color="auto" w:fill="auto"/>
        </w:rPr>
      </w:pPr>
    </w:p>
    <w:p w14:paraId="09DA7BBC">
      <w:pPr>
        <w:ind w:firstLine="3840" w:firstLineChars="1600"/>
        <w:jc w:val="lef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法定代表人：（法人签字或印章）</w:t>
      </w:r>
    </w:p>
    <w:p w14:paraId="76F2C313">
      <w:pPr>
        <w:jc w:val="left"/>
        <w:rPr>
          <w:rFonts w:ascii="仿宋" w:hAnsi="仿宋" w:eastAsia="仿宋" w:cs="仿宋"/>
          <w:color w:val="auto"/>
          <w:sz w:val="24"/>
          <w:szCs w:val="24"/>
          <w:shd w:val="clear" w:color="auto" w:fill="auto"/>
        </w:rPr>
      </w:pPr>
    </w:p>
    <w:p w14:paraId="22095210">
      <w:pPr>
        <w:rPr>
          <w:rFonts w:ascii="仿宋" w:hAnsi="仿宋" w:eastAsia="仿宋" w:cs="仿宋"/>
          <w:sz w:val="24"/>
          <w:szCs w:val="24"/>
        </w:rPr>
      </w:pPr>
      <w:r>
        <w:rPr>
          <w:rFonts w:ascii="仿宋" w:hAnsi="仿宋" w:eastAsia="仿宋" w:cs="仿宋"/>
          <w:color w:val="000000"/>
          <w:sz w:val="24"/>
          <w:szCs w:val="24"/>
          <w:shd w:val="clear" w:color="auto" w:fill="FFFFFF"/>
        </w:rPr>
        <w:t xml:space="preserve">                           </w:t>
      </w:r>
      <w:r>
        <w:rPr>
          <w:rFonts w:hint="eastAsia" w:ascii="仿宋" w:hAnsi="仿宋" w:eastAsia="仿宋" w:cs="仿宋"/>
          <w:sz w:val="24"/>
          <w:szCs w:val="24"/>
        </w:rPr>
        <w:t xml:space="preserve">         </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承诺日期：</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年</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月</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日</w:t>
      </w:r>
    </w:p>
    <w:p w14:paraId="163644EB">
      <w:pPr>
        <w:rPr>
          <w:rFonts w:ascii="仿宋" w:hAnsi="仿宋" w:eastAsia="仿宋" w:cs="仿宋"/>
          <w:sz w:val="24"/>
          <w:szCs w:val="24"/>
        </w:rPr>
      </w:pPr>
    </w:p>
    <w:p w14:paraId="047C7688">
      <w:pPr>
        <w:rPr>
          <w:rFonts w:ascii="仿宋" w:hAnsi="仿宋" w:eastAsia="仿宋" w:cs="仿宋"/>
          <w:sz w:val="24"/>
          <w:szCs w:val="24"/>
        </w:rPr>
      </w:pPr>
    </w:p>
    <w:p w14:paraId="7C1FBF4A"/>
    <w:p w14:paraId="1833D82D">
      <w:pPr>
        <w:pStyle w:val="42"/>
        <w:rPr>
          <w:u w:val="single"/>
        </w:rPr>
      </w:pPr>
    </w:p>
    <w:p w14:paraId="18E867EB"/>
    <w:p w14:paraId="184714A4">
      <w:pPr>
        <w:pStyle w:val="42"/>
      </w:pPr>
    </w:p>
    <w:p w14:paraId="5FFA9356">
      <w:pPr>
        <w:pStyle w:val="42"/>
        <w:wordWrap w:val="0"/>
        <w:spacing w:after="0" w:line="240" w:lineRule="auto"/>
      </w:pPr>
    </w:p>
    <w:p w14:paraId="7B40E3A1">
      <w:pPr>
        <w:spacing w:line="340" w:lineRule="atLeast"/>
        <w:rPr>
          <w:rFonts w:hint="eastAsia" w:ascii="仿宋" w:hAnsi="仿宋" w:eastAsia="仿宋" w:cs="仿宋"/>
          <w:sz w:val="24"/>
          <w:szCs w:val="24"/>
        </w:rPr>
      </w:pPr>
    </w:p>
    <w:p w14:paraId="68B1B0EA">
      <w:pPr>
        <w:spacing w:line="340" w:lineRule="atLeast"/>
        <w:rPr>
          <w:rFonts w:hint="eastAsia" w:ascii="仿宋" w:hAnsi="仿宋" w:eastAsia="仿宋" w:cs="仿宋"/>
          <w:sz w:val="24"/>
          <w:szCs w:val="24"/>
        </w:rPr>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pPr>
    </w:p>
    <w:p w14:paraId="0F49BB22">
      <w:pPr>
        <w:spacing w:line="340" w:lineRule="atLeast"/>
        <w:rPr>
          <w:rFonts w:ascii="仿宋" w:hAnsi="仿宋" w:eastAsia="仿宋" w:cs="仿宋"/>
          <w:sz w:val="24"/>
          <w:szCs w:val="24"/>
        </w:rPr>
      </w:pPr>
      <w:r>
        <w:rPr>
          <w:rFonts w:hint="eastAsia" w:ascii="仿宋" w:hAnsi="仿宋" w:eastAsia="仿宋" w:cs="仿宋"/>
          <w:sz w:val="24"/>
          <w:szCs w:val="24"/>
        </w:rPr>
        <w:t>附件1</w:t>
      </w:r>
      <w:r>
        <w:rPr>
          <w:rFonts w:hint="eastAsia" w:ascii="仿宋" w:hAnsi="仿宋" w:eastAsia="仿宋" w:cs="仿宋"/>
          <w:sz w:val="24"/>
          <w:szCs w:val="24"/>
          <w:lang w:val="en-US" w:eastAsia="zh-CN"/>
        </w:rPr>
        <w:t>2</w:t>
      </w:r>
      <w:r>
        <w:rPr>
          <w:rFonts w:hint="eastAsia" w:ascii="仿宋" w:hAnsi="仿宋" w:eastAsia="仿宋" w:cs="仿宋"/>
          <w:sz w:val="24"/>
          <w:szCs w:val="24"/>
        </w:rPr>
        <w:t>：</w:t>
      </w:r>
    </w:p>
    <w:tbl>
      <w:tblPr>
        <w:tblStyle w:val="62"/>
        <w:tblW w:w="12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509"/>
        <w:gridCol w:w="1076"/>
        <w:gridCol w:w="860"/>
        <w:gridCol w:w="1302"/>
        <w:gridCol w:w="1652"/>
        <w:gridCol w:w="769"/>
        <w:gridCol w:w="464"/>
        <w:gridCol w:w="898"/>
        <w:gridCol w:w="690"/>
        <w:gridCol w:w="871"/>
        <w:gridCol w:w="889"/>
        <w:gridCol w:w="898"/>
        <w:gridCol w:w="745"/>
      </w:tblGrid>
      <w:tr w14:paraId="6D0A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87" w:type="dxa"/>
            <w:tcBorders>
              <w:top w:val="nil"/>
              <w:left w:val="nil"/>
              <w:bottom w:val="nil"/>
              <w:right w:val="nil"/>
            </w:tcBorders>
            <w:shd w:val="clear" w:color="auto" w:fill="auto"/>
            <w:noWrap/>
            <w:vAlign w:val="bottom"/>
          </w:tcPr>
          <w:p w14:paraId="2E35DB91">
            <w:pPr>
              <w:rPr>
                <w:rFonts w:hint="eastAsia" w:ascii="Arial" w:hAnsi="Arial" w:cs="Arial"/>
                <w:i w:val="0"/>
                <w:iCs w:val="0"/>
                <w:color w:val="000000"/>
                <w:sz w:val="22"/>
                <w:szCs w:val="22"/>
                <w:u w:val="none"/>
              </w:rPr>
            </w:pPr>
          </w:p>
        </w:tc>
        <w:tc>
          <w:tcPr>
            <w:tcW w:w="509" w:type="dxa"/>
            <w:tcBorders>
              <w:top w:val="nil"/>
              <w:left w:val="nil"/>
              <w:bottom w:val="nil"/>
              <w:right w:val="nil"/>
            </w:tcBorders>
            <w:shd w:val="clear" w:color="auto" w:fill="auto"/>
            <w:noWrap/>
            <w:vAlign w:val="bottom"/>
          </w:tcPr>
          <w:p w14:paraId="6D2D31F0">
            <w:pPr>
              <w:rPr>
                <w:rFonts w:hint="default" w:ascii="Arial" w:hAnsi="Arial" w:cs="Arial"/>
                <w:i w:val="0"/>
                <w:iCs w:val="0"/>
                <w:color w:val="000000"/>
                <w:sz w:val="22"/>
                <w:szCs w:val="22"/>
                <w:u w:val="none"/>
              </w:rPr>
            </w:pPr>
          </w:p>
        </w:tc>
        <w:tc>
          <w:tcPr>
            <w:tcW w:w="1076" w:type="dxa"/>
            <w:tcBorders>
              <w:top w:val="nil"/>
              <w:left w:val="nil"/>
              <w:bottom w:val="nil"/>
              <w:right w:val="nil"/>
            </w:tcBorders>
            <w:shd w:val="clear" w:color="auto" w:fill="auto"/>
            <w:noWrap/>
            <w:vAlign w:val="bottom"/>
          </w:tcPr>
          <w:p w14:paraId="4C4E3E5C">
            <w:pPr>
              <w:rPr>
                <w:rFonts w:hint="default" w:ascii="Arial" w:hAnsi="Arial" w:cs="Arial"/>
                <w:i w:val="0"/>
                <w:iCs w:val="0"/>
                <w:color w:val="000000"/>
                <w:sz w:val="22"/>
                <w:szCs w:val="22"/>
                <w:u w:val="none"/>
              </w:rPr>
            </w:pPr>
          </w:p>
        </w:tc>
        <w:tc>
          <w:tcPr>
            <w:tcW w:w="860" w:type="dxa"/>
            <w:tcBorders>
              <w:top w:val="nil"/>
              <w:left w:val="nil"/>
              <w:bottom w:val="nil"/>
              <w:right w:val="nil"/>
            </w:tcBorders>
            <w:shd w:val="clear" w:color="auto" w:fill="auto"/>
            <w:noWrap/>
            <w:vAlign w:val="bottom"/>
          </w:tcPr>
          <w:p w14:paraId="207EDFBA">
            <w:pPr>
              <w:rPr>
                <w:rFonts w:hint="default" w:ascii="Arial" w:hAnsi="Arial" w:cs="Arial"/>
                <w:i w:val="0"/>
                <w:iCs w:val="0"/>
                <w:color w:val="000000"/>
                <w:sz w:val="22"/>
                <w:szCs w:val="22"/>
                <w:u w:val="none"/>
              </w:rPr>
            </w:pPr>
          </w:p>
        </w:tc>
        <w:tc>
          <w:tcPr>
            <w:tcW w:w="1302" w:type="dxa"/>
            <w:tcBorders>
              <w:top w:val="nil"/>
              <w:left w:val="nil"/>
              <w:bottom w:val="nil"/>
              <w:right w:val="nil"/>
            </w:tcBorders>
            <w:shd w:val="clear" w:color="auto" w:fill="auto"/>
            <w:noWrap/>
            <w:vAlign w:val="bottom"/>
          </w:tcPr>
          <w:p w14:paraId="5AC3D1C9">
            <w:pPr>
              <w:rPr>
                <w:rFonts w:hint="default" w:ascii="Arial" w:hAnsi="Arial" w:cs="Arial"/>
                <w:i w:val="0"/>
                <w:iCs w:val="0"/>
                <w:color w:val="000000"/>
                <w:sz w:val="22"/>
                <w:szCs w:val="22"/>
                <w:u w:val="none"/>
              </w:rPr>
            </w:pPr>
          </w:p>
        </w:tc>
        <w:tc>
          <w:tcPr>
            <w:tcW w:w="7883" w:type="dxa"/>
            <w:gridSpan w:val="9"/>
            <w:tcBorders>
              <w:top w:val="nil"/>
              <w:left w:val="nil"/>
              <w:bottom w:val="nil"/>
              <w:right w:val="nil"/>
            </w:tcBorders>
            <w:shd w:val="clear" w:color="auto" w:fill="auto"/>
            <w:vAlign w:val="top"/>
          </w:tcPr>
          <w:p w14:paraId="6DA073C6">
            <w:pPr>
              <w:keepNext w:val="0"/>
              <w:keepLines w:val="0"/>
              <w:widowControl/>
              <w:suppressLineNumbers w:val="0"/>
              <w:ind w:firstLineChars="200"/>
              <w:jc w:val="left"/>
              <w:textAlignment w:val="top"/>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 xml:space="preserve"> 农民工工资发放花名册</w:t>
            </w:r>
          </w:p>
        </w:tc>
      </w:tr>
      <w:tr w14:paraId="68ED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jc w:val="center"/>
        </w:trPr>
        <w:tc>
          <w:tcPr>
            <w:tcW w:w="12217" w:type="dxa"/>
            <w:gridSpan w:val="14"/>
            <w:tcBorders>
              <w:top w:val="nil"/>
              <w:left w:val="nil"/>
              <w:bottom w:val="nil"/>
              <w:right w:val="nil"/>
            </w:tcBorders>
            <w:shd w:val="clear" w:color="auto" w:fill="auto"/>
            <w:vAlign w:val="top"/>
          </w:tcPr>
          <w:p w14:paraId="4D18C1B4">
            <w:pPr>
              <w:keepNext w:val="0"/>
              <w:keepLines w:val="0"/>
              <w:widowControl/>
              <w:suppressLineNumbers w:val="0"/>
              <w:jc w:val="left"/>
              <w:textAlignment w:val="top"/>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工程名称：                                                      班 ( 组 ) 名 称 ：                                   (     年   月   日 至     年    月 日 )                填报时间：    年    月    日</w:t>
            </w:r>
          </w:p>
        </w:tc>
      </w:tr>
      <w:tr w14:paraId="4ECF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DD5">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姓名</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560A">
            <w:pPr>
              <w:keepNext w:val="0"/>
              <w:keepLines w:val="0"/>
              <w:widowControl/>
              <w:suppressLineNumbers w:val="0"/>
              <w:jc w:val="left"/>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性别</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560">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身份证号码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CA9">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联系电话</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BC6C">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工资发放方式（现金/转账等）</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3A8C">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银行卡卡号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99D2">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标价</w:t>
            </w:r>
            <w:r>
              <w:rPr>
                <w:rFonts w:ascii="宋体" w:hAnsi="宋体" w:eastAsia="宋体" w:cs="宋体"/>
                <w:b/>
                <w:bCs/>
                <w:i w:val="0"/>
                <w:iCs w:val="0"/>
                <w:color w:val="000000"/>
                <w:kern w:val="0"/>
                <w:sz w:val="14"/>
                <w:szCs w:val="14"/>
                <w:u w:val="none"/>
                <w:lang w:val="en-US" w:eastAsia="zh-CN" w:bidi="ar"/>
              </w:rPr>
              <w:br w:type="textWrapping"/>
            </w:r>
            <w:r>
              <w:rPr>
                <w:rFonts w:ascii="宋体" w:hAnsi="宋体" w:eastAsia="宋体" w:cs="宋体"/>
                <w:b/>
                <w:bCs/>
                <w:i w:val="0"/>
                <w:iCs w:val="0"/>
                <w:color w:val="000000"/>
                <w:kern w:val="0"/>
                <w:sz w:val="14"/>
                <w:szCs w:val="14"/>
                <w:u w:val="none"/>
                <w:lang w:val="en-US" w:eastAsia="zh-CN" w:bidi="ar"/>
              </w:rPr>
              <w:t>(元/天)</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244">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出勤天数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2319">
            <w:pPr>
              <w:keepNext w:val="0"/>
              <w:keepLines w:val="0"/>
              <w:widowControl/>
              <w:suppressLineNumbers w:val="0"/>
              <w:jc w:val="left"/>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应发工资</w:t>
            </w:r>
            <w:r>
              <w:rPr>
                <w:rFonts w:ascii="宋体" w:hAnsi="宋体" w:eastAsia="宋体" w:cs="宋体"/>
                <w:b/>
                <w:bCs/>
                <w:i w:val="0"/>
                <w:iCs w:val="0"/>
                <w:color w:val="000000"/>
                <w:kern w:val="0"/>
                <w:sz w:val="14"/>
                <w:szCs w:val="14"/>
                <w:u w:val="none"/>
                <w:lang w:val="en-US" w:eastAsia="zh-CN" w:bidi="ar"/>
              </w:rPr>
              <w:br w:type="textWrapping"/>
            </w:r>
            <w:r>
              <w:rPr>
                <w:rFonts w:ascii="宋体" w:hAnsi="宋体" w:eastAsia="宋体" w:cs="宋体"/>
                <w:b/>
                <w:bCs/>
                <w:i w:val="0"/>
                <w:iCs w:val="0"/>
                <w:color w:val="000000"/>
                <w:kern w:val="0"/>
                <w:sz w:val="14"/>
                <w:szCs w:val="14"/>
                <w:u w:val="none"/>
                <w:lang w:val="en-US" w:eastAsia="zh-CN" w:bidi="ar"/>
              </w:rPr>
              <w:t xml:space="preserve">  (元)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6B8D">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借支</w:t>
            </w:r>
            <w:r>
              <w:rPr>
                <w:rFonts w:ascii="宋体" w:hAnsi="宋体" w:eastAsia="宋体" w:cs="宋体"/>
                <w:b/>
                <w:bCs/>
                <w:i w:val="0"/>
                <w:iCs w:val="0"/>
                <w:color w:val="000000"/>
                <w:kern w:val="0"/>
                <w:sz w:val="14"/>
                <w:szCs w:val="14"/>
                <w:u w:val="none"/>
                <w:lang w:val="en-US" w:eastAsia="zh-CN" w:bidi="ar"/>
              </w:rPr>
              <w:br w:type="textWrapping"/>
            </w:r>
            <w:r>
              <w:rPr>
                <w:rFonts w:ascii="宋体" w:hAnsi="宋体" w:eastAsia="宋体" w:cs="宋体"/>
                <w:b/>
                <w:bCs/>
                <w:i w:val="0"/>
                <w:iCs w:val="0"/>
                <w:color w:val="000000"/>
                <w:kern w:val="0"/>
                <w:sz w:val="14"/>
                <w:szCs w:val="14"/>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49D8">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实发工资</w:t>
            </w:r>
            <w:r>
              <w:rPr>
                <w:rFonts w:ascii="宋体" w:hAnsi="宋体" w:eastAsia="宋体" w:cs="宋体"/>
                <w:b/>
                <w:bCs/>
                <w:i w:val="0"/>
                <w:iCs w:val="0"/>
                <w:color w:val="000000"/>
                <w:kern w:val="0"/>
                <w:sz w:val="14"/>
                <w:szCs w:val="14"/>
                <w:u w:val="none"/>
                <w:lang w:val="en-US" w:eastAsia="zh-CN" w:bidi="ar"/>
              </w:rPr>
              <w:br w:type="textWrapping"/>
            </w:r>
            <w:r>
              <w:rPr>
                <w:rFonts w:ascii="宋体" w:hAnsi="宋体" w:eastAsia="宋体" w:cs="宋体"/>
                <w:b/>
                <w:bCs/>
                <w:i w:val="0"/>
                <w:iCs w:val="0"/>
                <w:color w:val="000000"/>
                <w:kern w:val="0"/>
                <w:sz w:val="14"/>
                <w:szCs w:val="14"/>
                <w:u w:val="none"/>
                <w:lang w:val="en-US" w:eastAsia="zh-CN" w:bidi="ar"/>
              </w:rPr>
              <w:t>(元)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A00">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个人确认</w:t>
            </w:r>
            <w:r>
              <w:rPr>
                <w:rFonts w:ascii="宋体" w:hAnsi="宋体" w:eastAsia="宋体" w:cs="宋体"/>
                <w:b/>
                <w:bCs/>
                <w:i w:val="0"/>
                <w:iCs w:val="0"/>
                <w:color w:val="000000"/>
                <w:kern w:val="0"/>
                <w:sz w:val="14"/>
                <w:szCs w:val="14"/>
                <w:u w:val="none"/>
                <w:lang w:val="en-US" w:eastAsia="zh-CN" w:bidi="ar"/>
              </w:rPr>
              <w:br w:type="textWrapping"/>
            </w:r>
            <w:r>
              <w:rPr>
                <w:rFonts w:ascii="宋体" w:hAnsi="宋体" w:eastAsia="宋体" w:cs="宋体"/>
                <w:b/>
                <w:bCs/>
                <w:i w:val="0"/>
                <w:iCs w:val="0"/>
                <w:color w:val="000000"/>
                <w:kern w:val="0"/>
                <w:sz w:val="14"/>
                <w:szCs w:val="14"/>
                <w:u w:val="none"/>
                <w:lang w:val="en-US" w:eastAsia="zh-CN" w:bidi="ar"/>
              </w:rPr>
              <w:t>签字</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B91">
            <w:pPr>
              <w:keepNext w:val="0"/>
              <w:keepLines w:val="0"/>
              <w:widowControl/>
              <w:suppressLineNumbers w:val="0"/>
              <w:jc w:val="left"/>
              <w:textAlignment w:val="center"/>
              <w:rPr>
                <w:rFonts w:hint="default" w:ascii="宋体" w:hAnsi="宋体" w:eastAsia="宋体" w:cs="宋体"/>
                <w:b/>
                <w:bCs/>
                <w:i w:val="0"/>
                <w:iCs w:val="0"/>
                <w:color w:val="000000"/>
                <w:sz w:val="14"/>
                <w:szCs w:val="14"/>
                <w:u w:val="none"/>
                <w:lang w:val="en-US"/>
              </w:rPr>
            </w:pPr>
            <w:r>
              <w:rPr>
                <w:rFonts w:ascii="宋体" w:hAnsi="宋体" w:eastAsia="宋体" w:cs="宋体"/>
                <w:b/>
                <w:bCs/>
                <w:i w:val="0"/>
                <w:iCs w:val="0"/>
                <w:color w:val="000000"/>
                <w:kern w:val="0"/>
                <w:sz w:val="14"/>
                <w:szCs w:val="14"/>
                <w:u w:val="none"/>
                <w:lang w:val="en-US" w:eastAsia="zh-CN" w:bidi="ar"/>
              </w:rPr>
              <w:t>领款签字</w:t>
            </w:r>
            <w:r>
              <w:rPr>
                <w:rFonts w:hint="eastAsia" w:ascii="宋体" w:hAnsi="宋体" w:eastAsia="宋体" w:cs="宋体"/>
                <w:b/>
                <w:bCs/>
                <w:i w:val="0"/>
                <w:iCs w:val="0"/>
                <w:color w:val="000000"/>
                <w:kern w:val="0"/>
                <w:sz w:val="14"/>
                <w:szCs w:val="14"/>
                <w:u w:val="none"/>
                <w:lang w:val="en-US" w:eastAsia="zh-CN" w:bidi="ar"/>
              </w:rPr>
              <w:t>及捺印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6C5">
            <w:pPr>
              <w:keepNext w:val="0"/>
              <w:keepLines w:val="0"/>
              <w:widowControl/>
              <w:suppressLineNumbers w:val="0"/>
              <w:jc w:val="center"/>
              <w:textAlignment w:val="center"/>
              <w:rPr>
                <w:rFonts w:ascii="宋体" w:hAnsi="宋体" w:eastAsia="宋体" w:cs="宋体"/>
                <w:b/>
                <w:bCs/>
                <w:i w:val="0"/>
                <w:iCs w:val="0"/>
                <w:color w:val="000000"/>
                <w:sz w:val="14"/>
                <w:szCs w:val="14"/>
                <w:u w:val="none"/>
              </w:rPr>
            </w:pPr>
            <w:r>
              <w:rPr>
                <w:rFonts w:ascii="宋体" w:hAnsi="宋体" w:eastAsia="宋体" w:cs="宋体"/>
                <w:b/>
                <w:bCs/>
                <w:i w:val="0"/>
                <w:iCs w:val="0"/>
                <w:color w:val="000000"/>
                <w:kern w:val="0"/>
                <w:sz w:val="14"/>
                <w:szCs w:val="14"/>
                <w:u w:val="none"/>
                <w:lang w:val="en-US" w:eastAsia="zh-CN" w:bidi="ar"/>
              </w:rPr>
              <w:t>备注</w:t>
            </w:r>
          </w:p>
        </w:tc>
      </w:tr>
      <w:tr w14:paraId="5251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52711AB9">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4F6AABDE">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4B56AF1B">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4FBC0">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42495EF4">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0C91">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64E01591">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44DAAFC">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6B9ADE1B">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7C59B">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5DAB8C53">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CCD72">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1997DA70">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73B57F">
            <w:pPr>
              <w:jc w:val="left"/>
              <w:rPr>
                <w:rFonts w:hint="default" w:ascii="Arial" w:hAnsi="Arial" w:cs="Arial"/>
                <w:i w:val="0"/>
                <w:iCs w:val="0"/>
                <w:color w:val="000000"/>
                <w:sz w:val="22"/>
                <w:szCs w:val="22"/>
                <w:u w:val="none"/>
              </w:rPr>
            </w:pPr>
          </w:p>
        </w:tc>
      </w:tr>
      <w:tr w14:paraId="658D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7502EB87">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537EB7FB">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3B7CCAA6">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781AB0CB">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556490EA">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164A44ED">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4B44E592">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EDA5E21">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3F1459D">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981242D">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1E42C66">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21746B0">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BC2EBD">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D8ACED">
            <w:pPr>
              <w:jc w:val="left"/>
              <w:rPr>
                <w:rFonts w:hint="default" w:ascii="Arial" w:hAnsi="Arial" w:cs="Arial"/>
                <w:i w:val="0"/>
                <w:iCs w:val="0"/>
                <w:color w:val="000000"/>
                <w:sz w:val="22"/>
                <w:szCs w:val="22"/>
                <w:u w:val="none"/>
              </w:rPr>
            </w:pPr>
          </w:p>
        </w:tc>
      </w:tr>
      <w:tr w14:paraId="3F48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23950C8A">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0B59A5D4">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605E7160">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20F2A43D">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42DE5815">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0C1A91B4">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4B8287EB">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E9D4F2B">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DDBD8C5">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2991208">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78998F">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7626871">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1A5A00BC">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0E146F7B">
            <w:pPr>
              <w:jc w:val="left"/>
              <w:rPr>
                <w:rFonts w:hint="default" w:ascii="Arial" w:hAnsi="Arial" w:cs="Arial"/>
                <w:i w:val="0"/>
                <w:iCs w:val="0"/>
                <w:color w:val="000000"/>
                <w:sz w:val="22"/>
                <w:szCs w:val="22"/>
                <w:u w:val="none"/>
              </w:rPr>
            </w:pPr>
          </w:p>
        </w:tc>
      </w:tr>
      <w:tr w14:paraId="7819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434CC1C5">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411D45E5">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536B5056">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2A044823">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1EC0B829">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2DB64FCD">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02969A38">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C4DFACE">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28004C29">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8E834E6">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CC1CC99">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1B75224">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40DEB9A">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5A691C86">
            <w:pPr>
              <w:jc w:val="left"/>
              <w:rPr>
                <w:rFonts w:hint="default" w:ascii="Arial" w:hAnsi="Arial" w:cs="Arial"/>
                <w:i w:val="0"/>
                <w:iCs w:val="0"/>
                <w:color w:val="000000"/>
                <w:sz w:val="22"/>
                <w:szCs w:val="22"/>
                <w:u w:val="none"/>
              </w:rPr>
            </w:pPr>
          </w:p>
        </w:tc>
      </w:tr>
      <w:tr w14:paraId="70A0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22FC7475">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58F509E5">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09ABC927">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1F05FF4D">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7740B766">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7B83F59E">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771D059A">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39F46586">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C645CAA">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C7B995E">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32E59509">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DFC2F">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9B0C203">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36C6443">
            <w:pPr>
              <w:jc w:val="left"/>
              <w:rPr>
                <w:rFonts w:hint="default" w:ascii="Arial" w:hAnsi="Arial" w:cs="Arial"/>
                <w:i w:val="0"/>
                <w:iCs w:val="0"/>
                <w:color w:val="000000"/>
                <w:sz w:val="22"/>
                <w:szCs w:val="22"/>
                <w:u w:val="none"/>
              </w:rPr>
            </w:pPr>
          </w:p>
        </w:tc>
      </w:tr>
      <w:tr w14:paraId="7F8C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1C87F9B4">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2B2D9AB6">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71425D33">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1E103E95">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94DE1F0">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59A348EF">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2230AD3D">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1623646">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65B7A222">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6FA49EAE">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051B08">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9EA25F">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F96CFA">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2C909582">
            <w:pPr>
              <w:jc w:val="left"/>
              <w:rPr>
                <w:rFonts w:hint="default" w:ascii="Arial" w:hAnsi="Arial" w:cs="Arial"/>
                <w:i w:val="0"/>
                <w:iCs w:val="0"/>
                <w:color w:val="000000"/>
                <w:sz w:val="22"/>
                <w:szCs w:val="22"/>
                <w:u w:val="none"/>
              </w:rPr>
            </w:pPr>
          </w:p>
        </w:tc>
      </w:tr>
      <w:tr w14:paraId="4A20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4EBB2C9C">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1B3A733F">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7C7BA3A3">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58AB97AD">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7B7AF5B">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17660DBE">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4FFF1B2A">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460C0C1">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004CF96E">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022A1F6">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BE26D91">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1BA0080">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2CE812DA">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74766E">
            <w:pPr>
              <w:jc w:val="left"/>
              <w:rPr>
                <w:rFonts w:hint="default" w:ascii="Arial" w:hAnsi="Arial" w:cs="Arial"/>
                <w:i w:val="0"/>
                <w:iCs w:val="0"/>
                <w:color w:val="000000"/>
                <w:sz w:val="22"/>
                <w:szCs w:val="22"/>
                <w:u w:val="none"/>
              </w:rPr>
            </w:pPr>
          </w:p>
        </w:tc>
      </w:tr>
      <w:tr w14:paraId="740D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54ED5B7A">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6A74FD1B">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6B12F0F8">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3A32CE">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5902">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0F37C993">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6EEF">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0ACEE96B">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98400F">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42953D4C">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1A847C">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80EE45D">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3EDD45">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256A01">
            <w:pPr>
              <w:jc w:val="left"/>
              <w:rPr>
                <w:rFonts w:hint="default" w:ascii="Arial" w:hAnsi="Arial" w:cs="Arial"/>
                <w:i w:val="0"/>
                <w:iCs w:val="0"/>
                <w:color w:val="000000"/>
                <w:sz w:val="22"/>
                <w:szCs w:val="22"/>
                <w:u w:val="none"/>
              </w:rPr>
            </w:pPr>
          </w:p>
        </w:tc>
      </w:tr>
      <w:tr w14:paraId="045C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55FBED6B">
            <w:pPr>
              <w:jc w:val="left"/>
              <w:rPr>
                <w:rFonts w:hint="default" w:ascii="Arial" w:hAnsi="Arial" w:cs="Arial"/>
                <w:i w:val="0"/>
                <w:iCs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709185A6">
            <w:pPr>
              <w:jc w:val="left"/>
              <w:rPr>
                <w:rFonts w:hint="default" w:ascii="Arial" w:hAnsi="Arial" w:cs="Arial"/>
                <w:i w:val="0"/>
                <w:iCs w:val="0"/>
                <w:color w:val="000000"/>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2B5B1957">
            <w:pPr>
              <w:jc w:val="left"/>
              <w:rPr>
                <w:rFonts w:hint="default" w:ascii="Arial" w:hAnsi="Arial" w:cs="Arial"/>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3319928E">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6A104A5B">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4B1A533F">
            <w:pPr>
              <w:jc w:val="left"/>
              <w:rPr>
                <w:rFonts w:hint="default" w:ascii="Arial" w:hAnsi="Arial" w:cs="Arial"/>
                <w:i w:val="0"/>
                <w:iCs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3FA1AC0C">
            <w:pPr>
              <w:jc w:val="left"/>
              <w:rPr>
                <w:rFonts w:hint="default" w:ascii="Arial" w:hAnsi="Arial" w:cs="Arial"/>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89394E0">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5ECEDEE2">
            <w:pPr>
              <w:jc w:val="left"/>
              <w:rPr>
                <w:rFonts w:hint="default" w:ascii="Arial" w:hAnsi="Arial" w:cs="Arial"/>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2D6E9ED">
            <w:pPr>
              <w:jc w:val="left"/>
              <w:rPr>
                <w:rFonts w:hint="default" w:ascii="Arial" w:hAnsi="Arial" w:cs="Arial"/>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3D5B30D">
            <w:pPr>
              <w:jc w:val="left"/>
              <w:rPr>
                <w:rFonts w:hint="default" w:ascii="Arial" w:hAnsi="Arial" w:cs="Arial"/>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9EA8430">
            <w:pPr>
              <w:jc w:val="left"/>
              <w:rPr>
                <w:rFonts w:hint="default" w:ascii="Arial" w:hAnsi="Arial" w:cs="Arial"/>
                <w:i w:val="0"/>
                <w:iCs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45A6B">
            <w:pPr>
              <w:jc w:val="left"/>
              <w:rPr>
                <w:rFonts w:hint="default" w:ascii="Arial" w:hAnsi="Arial" w:cs="Arial"/>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496BC37">
            <w:pPr>
              <w:jc w:val="left"/>
              <w:rPr>
                <w:rFonts w:hint="default" w:ascii="Arial" w:hAnsi="Arial" w:cs="Arial"/>
                <w:i w:val="0"/>
                <w:iCs w:val="0"/>
                <w:color w:val="000000"/>
                <w:sz w:val="22"/>
                <w:szCs w:val="22"/>
                <w:u w:val="none"/>
              </w:rPr>
            </w:pPr>
          </w:p>
        </w:tc>
      </w:tr>
      <w:tr w14:paraId="310D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F303">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206"/>
                <w:lang w:val="en-US" w:eastAsia="zh-CN" w:bidi="ar"/>
              </w:rPr>
              <w:t>班(组)负责</w:t>
            </w:r>
            <w:r>
              <w:rPr>
                <w:rStyle w:val="206"/>
                <w:lang w:val="en-US" w:eastAsia="zh-CN" w:bidi="ar"/>
              </w:rPr>
              <w:br w:type="textWrapping"/>
            </w:r>
            <w:r>
              <w:rPr>
                <w:rStyle w:val="206"/>
                <w:lang w:val="en-US" w:eastAsia="zh-CN" w:bidi="ar"/>
              </w:rPr>
              <w:t>人签字(或盖</w:t>
            </w:r>
            <w:r>
              <w:rPr>
                <w:rStyle w:val="206"/>
                <w:lang w:val="en-US" w:eastAsia="zh-CN" w:bidi="ar"/>
              </w:rPr>
              <w:br w:type="textWrapping"/>
            </w:r>
            <w:r>
              <w:rPr>
                <w:rStyle w:val="206"/>
                <w:lang w:val="en-US" w:eastAsia="zh-CN" w:bidi="ar"/>
              </w:rPr>
              <w:t>章 )</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2C3147">
            <w:pPr>
              <w:jc w:val="left"/>
              <w:rPr>
                <w:rFonts w:hint="default" w:ascii="Arial" w:hAnsi="Arial" w:cs="Arial"/>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11A2E495">
            <w:pPr>
              <w:jc w:val="left"/>
              <w:rPr>
                <w:rFonts w:hint="default" w:ascii="Arial" w:hAnsi="Arial" w:cs="Arial"/>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FA6">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206"/>
                <w:lang w:val="en-US" w:eastAsia="zh-CN" w:bidi="ar"/>
              </w:rPr>
              <w:t>专业建筑企业(或劳</w:t>
            </w:r>
            <w:r>
              <w:rPr>
                <w:rStyle w:val="206"/>
                <w:lang w:val="en-US" w:eastAsia="zh-CN" w:bidi="ar"/>
              </w:rPr>
              <w:br w:type="textWrapping"/>
            </w:r>
            <w:r>
              <w:rPr>
                <w:rStyle w:val="206"/>
                <w:lang w:val="en-US" w:eastAsia="zh-CN" w:bidi="ar"/>
              </w:rPr>
              <w:t>务公司)审核签字并</w:t>
            </w:r>
            <w:r>
              <w:rPr>
                <w:rStyle w:val="206"/>
                <w:lang w:val="en-US" w:eastAsia="zh-CN" w:bidi="ar"/>
              </w:rPr>
              <w:br w:type="textWrapping"/>
            </w:r>
            <w:r>
              <w:rPr>
                <w:rStyle w:val="206"/>
                <w:lang w:val="en-US" w:eastAsia="zh-CN" w:bidi="ar"/>
              </w:rPr>
              <w:t>盖章</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7C23C1">
            <w:pPr>
              <w:jc w:val="left"/>
              <w:rPr>
                <w:rFonts w:hint="default" w:ascii="Arial" w:hAnsi="Arial" w:cs="Arial"/>
                <w:i w:val="0"/>
                <w:iCs w:val="0"/>
                <w:color w:val="000000"/>
                <w:sz w:val="22"/>
                <w:szCs w:val="22"/>
                <w:u w:val="none"/>
              </w:rPr>
            </w:pPr>
          </w:p>
        </w:tc>
        <w:tc>
          <w:tcPr>
            <w:tcW w:w="2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4C10F">
            <w:pPr>
              <w:keepNext w:val="0"/>
              <w:keepLines w:val="0"/>
              <w:widowControl/>
              <w:suppressLineNumbers w:val="0"/>
              <w:jc w:val="left"/>
              <w:textAlignment w:val="center"/>
              <w:rPr>
                <w:rFonts w:ascii="宋体" w:hAnsi="宋体" w:eastAsia="宋体" w:cs="宋体"/>
                <w:i w:val="0"/>
                <w:iCs w:val="0"/>
                <w:color w:val="000000"/>
                <w:sz w:val="14"/>
                <w:szCs w:val="14"/>
                <w:u w:val="none"/>
              </w:rPr>
            </w:pPr>
            <w:r>
              <w:rPr>
                <w:rFonts w:ascii="宋体" w:hAnsi="宋体" w:eastAsia="宋体" w:cs="宋体"/>
                <w:i w:val="0"/>
                <w:iCs w:val="0"/>
                <w:color w:val="000000"/>
                <w:kern w:val="0"/>
                <w:sz w:val="14"/>
                <w:szCs w:val="14"/>
                <w:u w:val="none"/>
                <w:lang w:val="en-US" w:eastAsia="zh-CN" w:bidi="ar"/>
              </w:rPr>
              <w:t>总承包公司审核签字并盖章</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E038D7">
            <w:pPr>
              <w:jc w:val="left"/>
              <w:rPr>
                <w:rFonts w:hint="default" w:ascii="Arial" w:hAnsi="Arial" w:cs="Arial"/>
                <w:i w:val="0"/>
                <w:iCs w:val="0"/>
                <w:color w:val="000000"/>
                <w:sz w:val="22"/>
                <w:szCs w:val="22"/>
                <w:u w:val="none"/>
              </w:rPr>
            </w:pPr>
          </w:p>
        </w:tc>
      </w:tr>
      <w:tr w14:paraId="404B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217" w:type="dxa"/>
            <w:gridSpan w:val="14"/>
            <w:tcBorders>
              <w:top w:val="nil"/>
              <w:left w:val="nil"/>
              <w:bottom w:val="nil"/>
              <w:right w:val="nil"/>
            </w:tcBorders>
            <w:shd w:val="clear" w:color="auto" w:fill="auto"/>
            <w:vAlign w:val="top"/>
          </w:tcPr>
          <w:p w14:paraId="17F60355">
            <w:pPr>
              <w:keepNext w:val="0"/>
              <w:keepLines w:val="0"/>
              <w:widowControl/>
              <w:suppressLineNumbers w:val="0"/>
              <w:jc w:val="left"/>
              <w:textAlignment w:val="top"/>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 xml:space="preserve">    注：1.支付至工程合同价70%与80%时，需报送《农民工工资发放花名册》；2.报送之前须进行公示，经农民工本人审核确定并在个人确认签字栏签字按手印后送专业建筑企业(或劳务公司)审核签字并盖章，最后送总承包公司审核签字并盖章后，在请款时一并报送监理与建设单位；3.农民工工资实行按月支付：4.工期在3个月以上的须办理银行卡，委托银行发放，相反可实行现金发放，并在备注栏注明：5.工程竣工验收清场前，无条件足额支付完所有农民工工资。        </w:t>
            </w:r>
          </w:p>
        </w:tc>
      </w:tr>
    </w:tbl>
    <w:p w14:paraId="0B91EDA5">
      <w:pPr>
        <w:pStyle w:val="42"/>
        <w:sectPr>
          <w:pgSz w:w="16838" w:h="11906" w:orient="landscape"/>
          <w:pgMar w:top="1800" w:right="1440" w:bottom="1800" w:left="1440" w:header="851" w:footer="992" w:gutter="0"/>
          <w:pgNumType w:fmt="decimal"/>
          <w:cols w:space="425" w:num="1"/>
          <w:docGrid w:type="lines" w:linePitch="312" w:charSpace="0"/>
        </w:sectPr>
      </w:pPr>
    </w:p>
    <w:p w14:paraId="1942D093">
      <w:pPr>
        <w:spacing w:line="340" w:lineRule="atLeast"/>
        <w:rPr>
          <w:rFonts w:ascii="仿宋" w:hAnsi="仿宋" w:eastAsia="仿宋" w:cs="仿宋"/>
          <w:sz w:val="24"/>
          <w:szCs w:val="24"/>
        </w:rPr>
      </w:pPr>
      <w:r>
        <w:rPr>
          <w:rFonts w:hint="eastAsia" w:ascii="仿宋" w:hAnsi="仿宋" w:eastAsia="仿宋" w:cs="仿宋"/>
          <w:sz w:val="24"/>
          <w:szCs w:val="24"/>
        </w:rPr>
        <w:t>附件1</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14:paraId="100F0D59">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无拖欠农民工工资承诺书</w:t>
      </w:r>
    </w:p>
    <w:p w14:paraId="0191FE1E">
      <w:pPr>
        <w:rPr>
          <w:rFonts w:hint="eastAsia"/>
          <w:sz w:val="32"/>
          <w:szCs w:val="32"/>
          <w:lang w:val="en-US" w:eastAsia="zh-CN"/>
        </w:rPr>
      </w:pPr>
    </w:p>
    <w:p w14:paraId="36237D66">
      <w:pPr>
        <w:rPr>
          <w:rFonts w:hint="eastAsia"/>
          <w:sz w:val="32"/>
          <w:szCs w:val="32"/>
          <w:lang w:val="en-US" w:eastAsia="zh-CN"/>
        </w:rPr>
      </w:pPr>
      <w:r>
        <w:rPr>
          <w:rFonts w:hint="eastAsia"/>
          <w:sz w:val="32"/>
          <w:szCs w:val="32"/>
          <w:lang w:val="en-US" w:eastAsia="zh-CN"/>
        </w:rPr>
        <w:t>杭州市上城区基础设施改善中心：</w:t>
      </w:r>
    </w:p>
    <w:p w14:paraId="7FA3435D">
      <w:pPr>
        <w:ind w:firstLine="640" w:firstLineChars="200"/>
        <w:rPr>
          <w:rFonts w:hint="eastAsia"/>
          <w:sz w:val="32"/>
          <w:szCs w:val="32"/>
          <w:lang w:val="en-US" w:eastAsia="zh-CN"/>
        </w:rPr>
      </w:pPr>
      <w:r>
        <w:rPr>
          <w:rFonts w:hint="eastAsia"/>
          <w:sz w:val="32"/>
          <w:szCs w:val="32"/>
          <w:lang w:val="en-US" w:eastAsia="zh-CN"/>
        </w:rPr>
        <w:t>为切实维护建筑工程农民工的合法权益，确保社会和企业稳定，根据各级政府和相关部门要求，结合我单位承包工程的劳务施工实际情况，特作如下承诺：</w:t>
      </w:r>
    </w:p>
    <w:p w14:paraId="2ED2AEED">
      <w:pPr>
        <w:ind w:firstLine="560" w:firstLineChars="200"/>
        <w:rPr>
          <w:rFonts w:hint="default"/>
          <w:sz w:val="28"/>
          <w:szCs w:val="28"/>
          <w:u w:val="single"/>
          <w:lang w:val="en-US" w:eastAsia="zh-CN"/>
        </w:rPr>
      </w:pPr>
      <w:r>
        <w:rPr>
          <w:rFonts w:hint="eastAsia"/>
          <w:sz w:val="28"/>
          <w:szCs w:val="28"/>
          <w:lang w:val="en-US" w:eastAsia="zh-CN"/>
        </w:rPr>
        <w:t>工程名称：</w:t>
      </w:r>
      <w:r>
        <w:rPr>
          <w:rFonts w:hint="eastAsia"/>
          <w:sz w:val="28"/>
          <w:szCs w:val="28"/>
          <w:u w:val="single"/>
          <w:lang w:val="en-US" w:eastAsia="zh-CN"/>
        </w:rPr>
        <w:t xml:space="preserve">                              （以下简称本工程）</w:t>
      </w:r>
    </w:p>
    <w:p w14:paraId="414B57B7">
      <w:pPr>
        <w:numPr>
          <w:ilvl w:val="0"/>
          <w:numId w:val="0"/>
        </w:numPr>
        <w:ind w:firstLine="640" w:firstLineChars="200"/>
        <w:rPr>
          <w:rFonts w:hint="eastAsia"/>
          <w:sz w:val="32"/>
          <w:szCs w:val="32"/>
          <w:lang w:val="en-US" w:eastAsia="zh-CN"/>
        </w:rPr>
      </w:pPr>
      <w:r>
        <w:rPr>
          <w:rFonts w:hint="eastAsia"/>
          <w:sz w:val="32"/>
          <w:szCs w:val="32"/>
          <w:lang w:val="en-US" w:eastAsia="zh-CN"/>
        </w:rPr>
        <w:t>1、我司严格按照上级主管部门关于农民工工资发放的相关要求执行，目前本工程所有相关农民工工资均已结清，无拖欠情况（具体详见本工程农民工工资发放花名册及</w:t>
      </w:r>
      <w:r>
        <w:rPr>
          <w:rFonts w:hint="eastAsia"/>
          <w:sz w:val="32"/>
          <w:szCs w:val="32"/>
        </w:rPr>
        <w:t>农民工工资发放记录</w:t>
      </w:r>
      <w:r>
        <w:rPr>
          <w:rFonts w:hint="eastAsia"/>
          <w:sz w:val="32"/>
          <w:szCs w:val="32"/>
          <w:lang w:val="en-US" w:eastAsia="zh-CN"/>
        </w:rPr>
        <w:t>）。</w:t>
      </w:r>
    </w:p>
    <w:p w14:paraId="7BE2C513">
      <w:pPr>
        <w:numPr>
          <w:ilvl w:val="0"/>
          <w:numId w:val="0"/>
        </w:numPr>
        <w:ind w:firstLine="640" w:firstLineChars="200"/>
        <w:rPr>
          <w:rFonts w:hint="eastAsia"/>
          <w:sz w:val="32"/>
          <w:szCs w:val="32"/>
          <w:lang w:val="en-US" w:eastAsia="zh-CN"/>
        </w:rPr>
      </w:pPr>
      <w:r>
        <w:rPr>
          <w:rFonts w:hint="eastAsia"/>
          <w:sz w:val="32"/>
          <w:szCs w:val="32"/>
          <w:lang w:val="en-US" w:eastAsia="zh-CN"/>
        </w:rPr>
        <w:t>2、因我司原因导致农民工权益保障工作不到位，导致后续出现重大突发事件或造成不良影响的，我司承诺接收相关处罚，并承担全部责任。</w:t>
      </w:r>
    </w:p>
    <w:p w14:paraId="49ED9A8F">
      <w:pPr>
        <w:numPr>
          <w:ilvl w:val="0"/>
          <w:numId w:val="0"/>
        </w:numPr>
        <w:ind w:firstLine="640" w:firstLineChars="200"/>
        <w:rPr>
          <w:rFonts w:hint="eastAsia"/>
          <w:sz w:val="32"/>
          <w:szCs w:val="32"/>
          <w:lang w:val="en-US" w:eastAsia="zh-CN"/>
        </w:rPr>
      </w:pPr>
    </w:p>
    <w:p w14:paraId="06F0318B">
      <w:pPr>
        <w:numPr>
          <w:ilvl w:val="0"/>
          <w:numId w:val="0"/>
        </w:numPr>
        <w:ind w:firstLine="640" w:firstLineChars="200"/>
        <w:rPr>
          <w:rFonts w:hint="eastAsia"/>
          <w:sz w:val="32"/>
          <w:szCs w:val="32"/>
          <w:lang w:val="en-US" w:eastAsia="zh-CN"/>
        </w:rPr>
      </w:pPr>
      <w:r>
        <w:rPr>
          <w:rFonts w:hint="eastAsia"/>
          <w:sz w:val="32"/>
          <w:szCs w:val="32"/>
          <w:lang w:val="en-US" w:eastAsia="zh-CN"/>
        </w:rPr>
        <w:t>承诺单位（公章）：</w:t>
      </w:r>
    </w:p>
    <w:p w14:paraId="0BB4A307">
      <w:pPr>
        <w:numPr>
          <w:ilvl w:val="0"/>
          <w:numId w:val="0"/>
        </w:numPr>
        <w:ind w:firstLine="640" w:firstLineChars="200"/>
        <w:rPr>
          <w:rFonts w:hint="eastAsia"/>
          <w:sz w:val="32"/>
          <w:szCs w:val="32"/>
          <w:lang w:val="en-US" w:eastAsia="zh-CN"/>
        </w:rPr>
      </w:pPr>
    </w:p>
    <w:p w14:paraId="13F0FCDB">
      <w:pPr>
        <w:numPr>
          <w:ilvl w:val="0"/>
          <w:numId w:val="0"/>
        </w:numPr>
        <w:ind w:firstLine="640" w:firstLineChars="200"/>
        <w:rPr>
          <w:rFonts w:hint="default"/>
          <w:sz w:val="32"/>
          <w:szCs w:val="32"/>
          <w:lang w:val="en-US" w:eastAsia="zh-CN"/>
        </w:rPr>
      </w:pPr>
      <w:r>
        <w:rPr>
          <w:rFonts w:hint="eastAsia"/>
          <w:sz w:val="32"/>
          <w:szCs w:val="32"/>
          <w:lang w:val="en-US" w:eastAsia="zh-CN"/>
        </w:rPr>
        <w:t>法定代表人（签章）：</w:t>
      </w:r>
    </w:p>
    <w:p w14:paraId="3B20A020">
      <w:pPr>
        <w:numPr>
          <w:ilvl w:val="0"/>
          <w:numId w:val="0"/>
        </w:numPr>
        <w:ind w:firstLine="640" w:firstLineChars="200"/>
        <w:rPr>
          <w:rFonts w:hint="eastAsia"/>
          <w:sz w:val="32"/>
          <w:szCs w:val="32"/>
          <w:lang w:val="en-US" w:eastAsia="zh-CN"/>
        </w:rPr>
      </w:pPr>
    </w:p>
    <w:p w14:paraId="624547B7">
      <w:pPr>
        <w:numPr>
          <w:ilvl w:val="0"/>
          <w:numId w:val="0"/>
        </w:numPr>
        <w:ind w:firstLine="640" w:firstLineChars="200"/>
        <w:rPr>
          <w:rFonts w:hint="default"/>
          <w:sz w:val="32"/>
          <w:szCs w:val="32"/>
          <w:lang w:val="en-US" w:eastAsia="zh-CN"/>
        </w:rPr>
      </w:pPr>
      <w:r>
        <w:rPr>
          <w:rFonts w:hint="eastAsia"/>
          <w:sz w:val="32"/>
          <w:szCs w:val="32"/>
          <w:lang w:val="en-US" w:eastAsia="zh-CN"/>
        </w:rPr>
        <w:t>日期：     年   月    日</w:t>
      </w:r>
    </w:p>
    <w:p w14:paraId="19AAF7D8"/>
    <w:p w14:paraId="7A1E2C20"/>
    <w:p w14:paraId="6B112F96">
      <w:pPr>
        <w:spacing w:line="480" w:lineRule="auto"/>
        <w:jc w:val="both"/>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6B4E7708">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decimal"/>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79C65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3794106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10BBD43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F414F92">
      <w:pPr>
        <w:pStyle w:val="3"/>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D529245">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71EE2CCE">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3C2A16E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149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492"/>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26408DBD">
      <w:pPr>
        <w:ind w:firstLine="1911" w:firstLineChars="595"/>
        <w:rPr>
          <w:rFonts w:ascii="宋体" w:hAnsi="宋体" w:cs="宋体"/>
          <w:b/>
          <w:bCs/>
          <w:color w:val="auto"/>
          <w:sz w:val="32"/>
          <w:szCs w:val="32"/>
          <w:highlight w:val="none"/>
        </w:rPr>
        <w:sectPr>
          <w:footerReference r:id="rId23" w:type="first"/>
          <w:footerReference r:id="rId22" w:type="default"/>
          <w:pgSz w:w="11906" w:h="16838"/>
          <w:pgMar w:top="1440" w:right="1080" w:bottom="1440" w:left="1080" w:header="851" w:footer="992" w:gutter="0"/>
          <w:pgNumType w:fmt="decimal"/>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6C428C">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0AEA3F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6" w:type="first"/>
          <w:headerReference r:id="rId24" w:type="default"/>
          <w:footerReference r:id="rId25" w:type="default"/>
          <w:pgSz w:w="11906" w:h="16838"/>
          <w:pgMar w:top="1440" w:right="1080" w:bottom="1440" w:left="1080" w:header="851" w:footer="992" w:gutter="0"/>
          <w:pgNumType w:fmt="decimal"/>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0FBA42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1"/>
        <w:ind w:firstLine="480"/>
        <w:rPr>
          <w:rFonts w:cs="宋体"/>
          <w:color w:val="auto"/>
          <w:sz w:val="24"/>
          <w:highlight w:val="none"/>
        </w:rPr>
      </w:pPr>
    </w:p>
    <w:p w14:paraId="6C8D0CBB">
      <w:pPr>
        <w:pStyle w:val="61"/>
        <w:ind w:firstLine="480"/>
        <w:rPr>
          <w:rFonts w:cs="宋体"/>
          <w:color w:val="auto"/>
          <w:sz w:val="24"/>
          <w:highlight w:val="none"/>
        </w:rPr>
        <w:sectPr>
          <w:footerReference r:id="rId30" w:type="first"/>
          <w:headerReference r:id="rId27" w:type="default"/>
          <w:footerReference r:id="rId28" w:type="default"/>
          <w:footerReference r:id="rId29" w:type="even"/>
          <w:pgSz w:w="11906" w:h="16838"/>
          <w:pgMar w:top="1440" w:right="1080" w:bottom="1440" w:left="1080" w:header="851" w:footer="992" w:gutter="0"/>
          <w:pgNumType w:fmt="decimal"/>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493" w:name="_Hlk101259491"/>
      <w:r>
        <w:rPr>
          <w:rFonts w:hint="eastAsia" w:ascii="宋体" w:hAnsi="宋体" w:eastAsia="宋体" w:cs="宋体"/>
          <w:color w:val="auto"/>
          <w:sz w:val="32"/>
          <w:szCs w:val="32"/>
          <w:highlight w:val="none"/>
        </w:rPr>
        <w:t>（如果有）</w:t>
      </w:r>
      <w:bookmarkEnd w:id="1493"/>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494" w:name="_Toc465665161"/>
      <w:r>
        <w:rPr>
          <w:rFonts w:hint="eastAsia" w:ascii="宋体" w:hAnsi="宋体" w:cs="宋体"/>
          <w:color w:val="auto"/>
          <w:highlight w:val="none"/>
        </w:rPr>
        <w:t>附件</w:t>
      </w:r>
      <w:bookmarkEnd w:id="1494"/>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1495" w:name="OLE_LINK14"/>
      <w:bookmarkStart w:id="1496" w:name="OLE_LINK13"/>
      <w:r>
        <w:rPr>
          <w:rFonts w:hint="eastAsia" w:ascii="宋体" w:hAnsi="宋体" w:cs="宋体"/>
          <w:b/>
          <w:color w:val="auto"/>
          <w:spacing w:val="6"/>
          <w:sz w:val="32"/>
          <w:szCs w:val="32"/>
          <w:highlight w:val="none"/>
        </w:rPr>
        <w:t>残疾人福利性单位声明函</w:t>
      </w:r>
    </w:p>
    <w:bookmarkEnd w:id="1495"/>
    <w:bookmarkEnd w:id="1496"/>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116D9B3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14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97"/>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DBB40A">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98"/>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7CB2DE4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458DDA8F">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4"/>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
    <w:altName w:val="Cambria"/>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39"/>
      <w:framePr w:wrap="around" w:vAnchor="text" w:hAnchor="margin" w:xAlign="right" w:y="1"/>
      <w:rPr>
        <w:rStyle w:val="72"/>
      </w:rPr>
    </w:pPr>
    <w:r>
      <w:fldChar w:fldCharType="begin"/>
    </w:r>
    <w:r>
      <w:rPr>
        <w:rStyle w:val="72"/>
      </w:rPr>
      <w:instrText xml:space="preserve">PAGE  </w:instrText>
    </w:r>
    <w:r>
      <w:fldChar w:fldCharType="end"/>
    </w:r>
  </w:p>
  <w:p w14:paraId="7185516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A6BC">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46598">
                          <w:pPr>
                            <w:pStyle w:val="39"/>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8F46598">
                    <w:pPr>
                      <w:pStyle w:val="39"/>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857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D8AE9">
                          <w:pPr>
                            <w:pStyle w:val="39"/>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39D8AE9">
                    <w:pPr>
                      <w:pStyle w:val="39"/>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9F01">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237BF">
                          <w:pPr>
                            <w:pStyle w:val="39"/>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39237BF">
                    <w:pPr>
                      <w:pStyle w:val="39"/>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2388">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DDAEC">
                          <w:pPr>
                            <w:pStyle w:val="39"/>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1DDAEC">
                    <w:pPr>
                      <w:pStyle w:val="39"/>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7CF5">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AFBFE">
                          <w:pPr>
                            <w:pStyle w:val="39"/>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F8AFBFE">
                    <w:pPr>
                      <w:pStyle w:val="39"/>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CDD6">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7098E">
                          <w:pPr>
                            <w:pStyle w:val="39"/>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C7098E">
                    <w:pPr>
                      <w:pStyle w:val="39"/>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39"/>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1F10D">
                          <w:pPr>
                            <w:pStyle w:val="39"/>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D41F10D">
                    <w:pPr>
                      <w:pStyle w:val="39"/>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39"/>
      <w:framePr w:wrap="around" w:vAnchor="text" w:hAnchor="margin" w:xAlign="right" w:y="1"/>
      <w:rPr>
        <w:rStyle w:val="72"/>
      </w:rPr>
    </w:pPr>
    <w:r>
      <w:fldChar w:fldCharType="begin"/>
    </w:r>
    <w:r>
      <w:rPr>
        <w:rStyle w:val="72"/>
      </w:rPr>
      <w:instrText xml:space="preserve">PAGE  </w:instrText>
    </w:r>
    <w:r>
      <w:fldChar w:fldCharType="end"/>
    </w:r>
  </w:p>
  <w:p w14:paraId="5FE92C6F">
    <w:pPr>
      <w:pStyle w:val="39"/>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39"/>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D8BC5">
                          <w:pPr>
                            <w:pStyle w:val="39"/>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ECD8BC5">
                    <w:pPr>
                      <w:pStyle w:val="39"/>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B963">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4AC17">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84AC17">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7DB8">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D210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FCD210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E597">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353C8">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DA353C8">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A915">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5F20">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3A415">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93A415">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19D4">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00A2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5F00A2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458C">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4E5E">
                          <w:pPr>
                            <w:pStyle w:val="39"/>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7864E5E">
                    <w:pPr>
                      <w:pStyle w:val="39"/>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040B">
    <w:pPr>
      <w:pStyle w:val="3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93A42">
                          <w:pPr>
                            <w:pStyle w:val="39"/>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DA93A42">
                    <w:pPr>
                      <w:pStyle w:val="39"/>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0835">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48DA">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79DB">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E218"/>
  <w:p w14:paraId="5751108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908C">
    <w:pPr>
      <w:pStyle w:val="4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A54BF1B"/>
    <w:multiLevelType w:val="singleLevel"/>
    <w:tmpl w:val="9A54BF1B"/>
    <w:lvl w:ilvl="0" w:tentative="0">
      <w:start w:val="2"/>
      <w:numFmt w:val="decimal"/>
      <w:suff w:val="space"/>
      <w:lvlText w:val="%1."/>
      <w:lvlJc w:val="left"/>
    </w:lvl>
  </w:abstractNum>
  <w:abstractNum w:abstractNumId="2">
    <w:nsid w:val="A0812B16"/>
    <w:multiLevelType w:val="singleLevel"/>
    <w:tmpl w:val="A0812B16"/>
    <w:lvl w:ilvl="0" w:tentative="0">
      <w:start w:val="1"/>
      <w:numFmt w:val="decimal"/>
      <w:suff w:val="nothing"/>
      <w:lvlText w:val="%1、"/>
      <w:lvlJc w:val="left"/>
    </w:lvl>
  </w:abstractNum>
  <w:abstractNum w:abstractNumId="3">
    <w:nsid w:val="FEA6FA37"/>
    <w:multiLevelType w:val="singleLevel"/>
    <w:tmpl w:val="FEA6FA37"/>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38A1DF0F"/>
    <w:multiLevelType w:val="singleLevel"/>
    <w:tmpl w:val="38A1DF0F"/>
    <w:lvl w:ilvl="0" w:tentative="0">
      <w:start w:val="5"/>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694E76"/>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539A4"/>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E716B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610"/>
    <w:rsid w:val="1C7725CD"/>
    <w:rsid w:val="1C88086E"/>
    <w:rsid w:val="1D266CE1"/>
    <w:rsid w:val="1D3963AF"/>
    <w:rsid w:val="1D3D0FE5"/>
    <w:rsid w:val="1D6A673C"/>
    <w:rsid w:val="1D9247AE"/>
    <w:rsid w:val="1DB567EC"/>
    <w:rsid w:val="1DDE10AA"/>
    <w:rsid w:val="1DF51A98"/>
    <w:rsid w:val="1E3D060F"/>
    <w:rsid w:val="1E3F7D2E"/>
    <w:rsid w:val="1E4134E4"/>
    <w:rsid w:val="1E5062B3"/>
    <w:rsid w:val="1E523514"/>
    <w:rsid w:val="1E554B1D"/>
    <w:rsid w:val="1E714A66"/>
    <w:rsid w:val="1E802593"/>
    <w:rsid w:val="1E8B6156"/>
    <w:rsid w:val="1EA703CC"/>
    <w:rsid w:val="1EB7330C"/>
    <w:rsid w:val="1F0A0FF3"/>
    <w:rsid w:val="1F512337"/>
    <w:rsid w:val="1F5771FF"/>
    <w:rsid w:val="1F646BF6"/>
    <w:rsid w:val="1F904124"/>
    <w:rsid w:val="1FE868A9"/>
    <w:rsid w:val="20034907"/>
    <w:rsid w:val="20173E4B"/>
    <w:rsid w:val="204E48BC"/>
    <w:rsid w:val="208921B3"/>
    <w:rsid w:val="20973DEB"/>
    <w:rsid w:val="20B26522"/>
    <w:rsid w:val="20B44310"/>
    <w:rsid w:val="20FF0204"/>
    <w:rsid w:val="211116EB"/>
    <w:rsid w:val="216133FC"/>
    <w:rsid w:val="21D56769"/>
    <w:rsid w:val="21E52EF3"/>
    <w:rsid w:val="21FB5D7B"/>
    <w:rsid w:val="22015E94"/>
    <w:rsid w:val="220B1C3D"/>
    <w:rsid w:val="221D1D20"/>
    <w:rsid w:val="22334A87"/>
    <w:rsid w:val="22BE6801"/>
    <w:rsid w:val="22DE3ED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2E04"/>
    <w:rsid w:val="28DE40AA"/>
    <w:rsid w:val="291C55E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B4250F"/>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6E7CAB"/>
    <w:rsid w:val="34950E68"/>
    <w:rsid w:val="34986E94"/>
    <w:rsid w:val="34AF62C9"/>
    <w:rsid w:val="34CB4388"/>
    <w:rsid w:val="34FA6E12"/>
    <w:rsid w:val="354D7158"/>
    <w:rsid w:val="358D5588"/>
    <w:rsid w:val="363A3B40"/>
    <w:rsid w:val="36401AD9"/>
    <w:rsid w:val="365302AE"/>
    <w:rsid w:val="36607A0A"/>
    <w:rsid w:val="366E227C"/>
    <w:rsid w:val="366F2E0D"/>
    <w:rsid w:val="367B6A5C"/>
    <w:rsid w:val="36A74ADA"/>
    <w:rsid w:val="36AD60D5"/>
    <w:rsid w:val="36B224F9"/>
    <w:rsid w:val="36EC0CC9"/>
    <w:rsid w:val="373F410B"/>
    <w:rsid w:val="37EE7094"/>
    <w:rsid w:val="38296C89"/>
    <w:rsid w:val="383002EB"/>
    <w:rsid w:val="383F5162"/>
    <w:rsid w:val="38586797"/>
    <w:rsid w:val="38BC0149"/>
    <w:rsid w:val="38D87D1C"/>
    <w:rsid w:val="39636459"/>
    <w:rsid w:val="396B7F6C"/>
    <w:rsid w:val="39B417A9"/>
    <w:rsid w:val="39FC5695"/>
    <w:rsid w:val="3A006D8E"/>
    <w:rsid w:val="3A0A2E64"/>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37FBC"/>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3C5345"/>
    <w:rsid w:val="495F5B3E"/>
    <w:rsid w:val="496F77D7"/>
    <w:rsid w:val="497654FD"/>
    <w:rsid w:val="49B64211"/>
    <w:rsid w:val="49D41AAC"/>
    <w:rsid w:val="49F6167F"/>
    <w:rsid w:val="4A064FA0"/>
    <w:rsid w:val="4A16615C"/>
    <w:rsid w:val="4A4424D7"/>
    <w:rsid w:val="4A7638C4"/>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42565"/>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3D8D"/>
    <w:rsid w:val="52D94AA4"/>
    <w:rsid w:val="52EA3A62"/>
    <w:rsid w:val="52F50BB8"/>
    <w:rsid w:val="53097272"/>
    <w:rsid w:val="534C1537"/>
    <w:rsid w:val="53544462"/>
    <w:rsid w:val="5397158E"/>
    <w:rsid w:val="53E325D5"/>
    <w:rsid w:val="54013861"/>
    <w:rsid w:val="541D0C3B"/>
    <w:rsid w:val="54487265"/>
    <w:rsid w:val="544D6070"/>
    <w:rsid w:val="54605E1E"/>
    <w:rsid w:val="54B3506A"/>
    <w:rsid w:val="54CA0D16"/>
    <w:rsid w:val="54DD4057"/>
    <w:rsid w:val="54E7490F"/>
    <w:rsid w:val="550764A4"/>
    <w:rsid w:val="550B2BF6"/>
    <w:rsid w:val="55214EB5"/>
    <w:rsid w:val="55364EFD"/>
    <w:rsid w:val="55437F0A"/>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57DE"/>
    <w:rsid w:val="58917D2F"/>
    <w:rsid w:val="5894085C"/>
    <w:rsid w:val="58AE4F0C"/>
    <w:rsid w:val="58B85899"/>
    <w:rsid w:val="58E363A9"/>
    <w:rsid w:val="58FD63A7"/>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5248"/>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0434C"/>
    <w:rsid w:val="668B6A45"/>
    <w:rsid w:val="67112C4A"/>
    <w:rsid w:val="672F3F24"/>
    <w:rsid w:val="673E055F"/>
    <w:rsid w:val="67551CE3"/>
    <w:rsid w:val="675B290B"/>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E0466"/>
    <w:rsid w:val="689F444F"/>
    <w:rsid w:val="68B96DBB"/>
    <w:rsid w:val="68CA2805"/>
    <w:rsid w:val="68E937A3"/>
    <w:rsid w:val="68FB149A"/>
    <w:rsid w:val="693E15D3"/>
    <w:rsid w:val="69627681"/>
    <w:rsid w:val="6977531D"/>
    <w:rsid w:val="69CC2BFF"/>
    <w:rsid w:val="69FD55B8"/>
    <w:rsid w:val="6A0B1C62"/>
    <w:rsid w:val="6A2406C8"/>
    <w:rsid w:val="6A3B7666"/>
    <w:rsid w:val="6A9A1ADF"/>
    <w:rsid w:val="6ABC74AA"/>
    <w:rsid w:val="6ADE0BD1"/>
    <w:rsid w:val="6AE81378"/>
    <w:rsid w:val="6AE96859"/>
    <w:rsid w:val="6B147746"/>
    <w:rsid w:val="6B24787C"/>
    <w:rsid w:val="6B431148"/>
    <w:rsid w:val="6B573233"/>
    <w:rsid w:val="6B5B6274"/>
    <w:rsid w:val="6B935D53"/>
    <w:rsid w:val="6C1316F7"/>
    <w:rsid w:val="6C196F71"/>
    <w:rsid w:val="6C226FCB"/>
    <w:rsid w:val="6C31226F"/>
    <w:rsid w:val="6C517EC7"/>
    <w:rsid w:val="6C552F0B"/>
    <w:rsid w:val="6C8C67B7"/>
    <w:rsid w:val="6C9D744C"/>
    <w:rsid w:val="6CD632E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53C9E"/>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6DD4057"/>
    <w:rsid w:val="77052AA4"/>
    <w:rsid w:val="77136511"/>
    <w:rsid w:val="77340A39"/>
    <w:rsid w:val="77351FD0"/>
    <w:rsid w:val="77472422"/>
    <w:rsid w:val="777F31F2"/>
    <w:rsid w:val="77D1700D"/>
    <w:rsid w:val="77EC04CC"/>
    <w:rsid w:val="78775729"/>
    <w:rsid w:val="78A42DB0"/>
    <w:rsid w:val="78A656AB"/>
    <w:rsid w:val="78B2245C"/>
    <w:rsid w:val="78C72740"/>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next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2"/>
    <w:autoRedefine/>
    <w:qFormat/>
    <w:uiPriority w:val="0"/>
    <w:pPr>
      <w:adjustRightInd w:val="0"/>
      <w:snapToGrid w:val="0"/>
      <w:spacing w:line="400" w:lineRule="exact"/>
      <w:ind w:firstLine="200" w:firstLineChars="200"/>
    </w:pPr>
    <w:rPr>
      <w:rFonts w:ascii="Arial" w:hAnsi="Arial"/>
      <w:color w:val="000000"/>
    </w:rPr>
  </w:style>
  <w:style w:type="paragraph" w:styleId="968">
    <w:name w:val="List Paragraph"/>
    <w:basedOn w:val="1"/>
    <w:autoRedefine/>
    <w:qFormat/>
    <w:uiPriority w:val="99"/>
    <w:pPr>
      <w:ind w:firstLine="420" w:firstLineChars="200"/>
    </w:pPr>
    <w:rPr>
      <w:sz w:val="24"/>
      <w:szCs w:val="20"/>
    </w:rPr>
  </w:style>
  <w:style w:type="paragraph" w:customStyle="1" w:styleId="969">
    <w:name w:val="_Style 177"/>
    <w:basedOn w:val="1"/>
    <w:next w:val="1"/>
    <w:unhideWhenUsed/>
    <w:qFormat/>
    <w:uiPriority w:val="0"/>
    <w:pPr>
      <w:ind w:left="840" w:leftChars="4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5.wmf"/><Relationship Id="rId40" Type="http://schemas.openxmlformats.org/officeDocument/2006/relationships/oleObject" Target="embeddings/oleObject5.bin"/><Relationship Id="rId4" Type="http://schemas.openxmlformats.org/officeDocument/2006/relationships/header" Target="header2.xml"/><Relationship Id="rId39" Type="http://schemas.openxmlformats.org/officeDocument/2006/relationships/image" Target="media/image4.wmf"/><Relationship Id="rId38" Type="http://schemas.openxmlformats.org/officeDocument/2006/relationships/oleObject" Target="embeddings/oleObject4.bin"/><Relationship Id="rId37" Type="http://schemas.openxmlformats.org/officeDocument/2006/relationships/image" Target="media/image3.wmf"/><Relationship Id="rId36" Type="http://schemas.openxmlformats.org/officeDocument/2006/relationships/oleObject" Target="embeddings/oleObject3.bin"/><Relationship Id="rId35" Type="http://schemas.openxmlformats.org/officeDocument/2006/relationships/image" Target="media/image2.wmf"/><Relationship Id="rId34" Type="http://schemas.openxmlformats.org/officeDocument/2006/relationships/oleObject" Target="embeddings/oleObject2.bin"/><Relationship Id="rId33" Type="http://schemas.openxmlformats.org/officeDocument/2006/relationships/image" Target="media/image1.wmf"/><Relationship Id="rId32" Type="http://schemas.openxmlformats.org/officeDocument/2006/relationships/oleObject" Target="embeddings/oleObject1.bin"/><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175</Pages>
  <Words>19457</Words>
  <Characters>20960</Characters>
  <Lines>1</Lines>
  <Paragraphs>1</Paragraphs>
  <TotalTime>36</TotalTime>
  <ScaleCrop>false</ScaleCrop>
  <LinksUpToDate>false</LinksUpToDate>
  <CharactersWithSpaces>21294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比你酷一点儿</cp:lastModifiedBy>
  <cp:lastPrinted>2025-06-12T08:02:00Z</cp:lastPrinted>
  <dcterms:modified xsi:type="dcterms:W3CDTF">2025-06-24T04:50:30Z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eyJoZGlkIjoiZDk4MjY5ODUzZGU3YjFhNGQ2ZjliOGYwMDE1MGFhZjMiLCJ1c2VySWQiOiI0Mzc5ODY0MTkifQ==</vt:lpwstr>
  </property>
</Properties>
</file>