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55083">
      <w:pPr>
        <w:spacing w:line="360" w:lineRule="auto"/>
        <w:jc w:val="center"/>
        <w:rPr>
          <w:rFonts w:ascii="宋体" w:hAnsi="宋体" w:cs="宋体"/>
          <w:b/>
          <w:sz w:val="24"/>
        </w:rPr>
      </w:pPr>
    </w:p>
    <w:p w14:paraId="4A6CCDA7">
      <w:pPr>
        <w:spacing w:line="360" w:lineRule="auto"/>
        <w:jc w:val="center"/>
        <w:rPr>
          <w:rFonts w:ascii="宋体" w:hAnsi="宋体" w:cs="宋体"/>
          <w:b/>
          <w:sz w:val="24"/>
        </w:rPr>
      </w:pPr>
    </w:p>
    <w:p w14:paraId="67364379">
      <w:pPr>
        <w:adjustRightInd/>
        <w:spacing w:line="360" w:lineRule="auto"/>
        <w:jc w:val="center"/>
        <w:rPr>
          <w:rFonts w:ascii="宋体" w:hAnsi="宋体" w:cs="宋体"/>
          <w:b/>
          <w:sz w:val="48"/>
          <w:szCs w:val="48"/>
        </w:rPr>
      </w:pPr>
    </w:p>
    <w:p w14:paraId="3526250F">
      <w:pPr>
        <w:adjustRightInd/>
        <w:spacing w:line="360" w:lineRule="auto"/>
        <w:jc w:val="center"/>
        <w:rPr>
          <w:rFonts w:ascii="宋体" w:hAnsi="宋体" w:cs="宋体"/>
          <w:sz w:val="48"/>
          <w:szCs w:val="48"/>
        </w:rPr>
      </w:pPr>
      <w:r>
        <w:rPr>
          <w:rFonts w:hint="eastAsia" w:ascii="宋体" w:hAnsi="宋体" w:cs="宋体"/>
          <w:sz w:val="48"/>
          <w:szCs w:val="48"/>
          <w:lang w:eastAsia="zh-CN"/>
        </w:rPr>
        <w:t>上城区城市管理智治平台改造项目（信创）</w:t>
      </w:r>
      <w:r>
        <w:rPr>
          <w:rFonts w:hint="eastAsia" w:ascii="宋体" w:hAnsi="宋体" w:cs="宋体"/>
          <w:sz w:val="48"/>
          <w:szCs w:val="48"/>
        </w:rPr>
        <w:t xml:space="preserve"> </w:t>
      </w:r>
    </w:p>
    <w:p w14:paraId="4FC69766">
      <w:pPr>
        <w:pStyle w:val="4"/>
        <w:rPr>
          <w:rFonts w:ascii="宋体" w:hAnsi="宋体" w:cs="宋体"/>
          <w:sz w:val="48"/>
          <w:szCs w:val="48"/>
        </w:rPr>
      </w:pPr>
    </w:p>
    <w:p w14:paraId="1931CA2C"/>
    <w:p w14:paraId="59ED846C">
      <w:pPr>
        <w:rPr>
          <w:sz w:val="36"/>
          <w:szCs w:val="44"/>
        </w:rPr>
      </w:pPr>
    </w:p>
    <w:p w14:paraId="2F1FE0D2">
      <w:pPr>
        <w:adjustRightInd/>
        <w:spacing w:line="360" w:lineRule="auto"/>
        <w:jc w:val="center"/>
        <w:rPr>
          <w:rFonts w:hint="eastAsia" w:ascii="宋体" w:hAnsi="宋体" w:cs="宋体"/>
          <w:sz w:val="56"/>
          <w:szCs w:val="56"/>
        </w:rPr>
      </w:pPr>
      <w:r>
        <w:rPr>
          <w:rFonts w:hint="eastAsia" w:ascii="宋体" w:hAnsi="宋体" w:cs="宋体"/>
          <w:sz w:val="56"/>
          <w:szCs w:val="56"/>
        </w:rPr>
        <w:t xml:space="preserve">招标文件 </w:t>
      </w:r>
    </w:p>
    <w:p w14:paraId="014D8F57">
      <w:pPr>
        <w:pStyle w:val="79"/>
      </w:pPr>
    </w:p>
    <w:p w14:paraId="0A3FF3D2">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28B344C6">
      <w:pPr>
        <w:snapToGrid w:val="0"/>
        <w:spacing w:line="360" w:lineRule="auto"/>
        <w:jc w:val="center"/>
        <w:rPr>
          <w:rFonts w:hint="eastAsia" w:ascii="宋体" w:hAnsi="宋体" w:eastAsia="宋体" w:cs="宋体"/>
          <w:sz w:val="30"/>
          <w:szCs w:val="30"/>
          <w:u w:val="none"/>
          <w:lang w:eastAsia="zh-CN"/>
        </w:rPr>
      </w:pPr>
      <w:r>
        <w:rPr>
          <w:rFonts w:hint="eastAsia" w:ascii="宋体" w:hAnsi="宋体" w:cs="宋体"/>
          <w:sz w:val="30"/>
          <w:szCs w:val="30"/>
          <w:lang w:val="en-US" w:eastAsia="zh-CN"/>
        </w:rPr>
        <w:t>项目</w:t>
      </w:r>
      <w:r>
        <w:rPr>
          <w:rFonts w:hint="eastAsia" w:ascii="宋体" w:hAnsi="宋体" w:cs="宋体"/>
          <w:sz w:val="30"/>
          <w:szCs w:val="30"/>
        </w:rPr>
        <w:t>编号:</w:t>
      </w:r>
      <w:r>
        <w:rPr>
          <w:rFonts w:hint="eastAsia" w:ascii="宋体" w:hAnsi="宋体" w:cs="宋体"/>
          <w:sz w:val="30"/>
          <w:szCs w:val="30"/>
          <w:u w:val="single"/>
          <w:lang w:eastAsia="zh-CN"/>
        </w:rPr>
        <w:t>HJZX-GKCG-F202514</w:t>
      </w:r>
    </w:p>
    <w:p w14:paraId="1FF81D0E">
      <w:pPr>
        <w:adjustRightInd/>
        <w:spacing w:line="360" w:lineRule="auto"/>
        <w:rPr>
          <w:rFonts w:ascii="宋体" w:hAnsi="宋体" w:cs="宋体"/>
          <w:sz w:val="28"/>
          <w:szCs w:val="20"/>
        </w:rPr>
      </w:pPr>
    </w:p>
    <w:p w14:paraId="797E3716">
      <w:pPr>
        <w:spacing w:line="360" w:lineRule="auto"/>
        <w:jc w:val="center"/>
        <w:rPr>
          <w:rFonts w:ascii="宋体" w:hAnsi="宋体" w:cs="宋体"/>
          <w:b/>
          <w:sz w:val="44"/>
          <w:szCs w:val="44"/>
        </w:rPr>
      </w:pPr>
      <w:r>
        <w:rPr>
          <w:rFonts w:hint="eastAsia" w:ascii="宋体" w:hAnsi="宋体" w:cs="宋体"/>
          <w:b/>
          <w:sz w:val="44"/>
          <w:szCs w:val="44"/>
        </w:rPr>
        <w:t xml:space="preserve"> </w:t>
      </w:r>
    </w:p>
    <w:p w14:paraId="670DA510">
      <w:pPr>
        <w:spacing w:line="360" w:lineRule="auto"/>
        <w:jc w:val="center"/>
        <w:rPr>
          <w:rFonts w:ascii="宋体" w:hAnsi="宋体" w:cs="宋体"/>
          <w:b/>
          <w:sz w:val="44"/>
          <w:szCs w:val="44"/>
        </w:rPr>
      </w:pPr>
    </w:p>
    <w:p w14:paraId="4EA1D647">
      <w:pPr>
        <w:spacing w:line="360" w:lineRule="auto"/>
        <w:jc w:val="center"/>
        <w:rPr>
          <w:rFonts w:ascii="宋体" w:hAnsi="宋体" w:cs="宋体"/>
          <w:sz w:val="24"/>
        </w:rPr>
      </w:pPr>
    </w:p>
    <w:p w14:paraId="5E6610C5">
      <w:pPr>
        <w:pStyle w:val="2"/>
        <w:rPr>
          <w:sz w:val="28"/>
          <w:szCs w:val="22"/>
        </w:rPr>
      </w:pPr>
    </w:p>
    <w:p w14:paraId="44101CA7">
      <w:pPr>
        <w:spacing w:line="360" w:lineRule="auto"/>
        <w:jc w:val="center"/>
        <w:rPr>
          <w:rFonts w:hint="eastAsia" w:ascii="宋体" w:hAnsi="宋体" w:eastAsia="宋体" w:cs="宋体"/>
          <w:sz w:val="36"/>
          <w:szCs w:val="36"/>
          <w:lang w:eastAsia="zh-CN"/>
        </w:rPr>
      </w:pPr>
      <w:r>
        <w:rPr>
          <w:rFonts w:hint="eastAsia" w:ascii="宋体" w:hAnsi="宋体" w:cs="宋体"/>
          <w:sz w:val="36"/>
          <w:szCs w:val="36"/>
          <w:lang w:eastAsia="zh-CN"/>
        </w:rPr>
        <w:t>杭州市上城区综合行政执法局</w:t>
      </w:r>
    </w:p>
    <w:p w14:paraId="369C5D23">
      <w:pPr>
        <w:spacing w:line="360" w:lineRule="auto"/>
        <w:jc w:val="center"/>
        <w:rPr>
          <w:rFonts w:hint="eastAsia" w:ascii="宋体" w:hAnsi="宋体" w:eastAsia="宋体" w:cs="宋体"/>
          <w:bCs/>
          <w:sz w:val="36"/>
          <w:szCs w:val="36"/>
        </w:rPr>
      </w:pPr>
      <w:r>
        <w:rPr>
          <w:rFonts w:hint="eastAsia" w:ascii="宋体" w:hAnsi="宋体" w:eastAsia="宋体" w:cs="宋体"/>
          <w:bCs/>
          <w:sz w:val="36"/>
          <w:szCs w:val="36"/>
        </w:rPr>
        <w:t>杭州建设工程造价咨询有限公司</w:t>
      </w:r>
    </w:p>
    <w:p w14:paraId="21E94700">
      <w:pPr>
        <w:snapToGrid w:val="0"/>
        <w:spacing w:line="360" w:lineRule="auto"/>
        <w:jc w:val="center"/>
        <w:rPr>
          <w:rFonts w:hint="eastAsia" w:ascii="宋体" w:hAnsi="宋体" w:eastAsia="宋体" w:cs="宋体"/>
          <w:bCs/>
          <w:sz w:val="36"/>
          <w:szCs w:val="36"/>
        </w:rPr>
      </w:pPr>
      <w:r>
        <w:rPr>
          <w:rFonts w:hint="eastAsia" w:ascii="宋体" w:hAnsi="宋体" w:eastAsia="宋体" w:cs="宋体"/>
          <w:bCs/>
          <w:sz w:val="36"/>
          <w:szCs w:val="36"/>
        </w:rPr>
        <w:t>二〇二五年</w:t>
      </w:r>
      <w:r>
        <w:rPr>
          <w:rFonts w:hint="eastAsia" w:ascii="宋体" w:hAnsi="宋体" w:cs="宋体"/>
          <w:bCs/>
          <w:sz w:val="36"/>
          <w:szCs w:val="36"/>
          <w:lang w:val="en-US" w:eastAsia="zh-CN"/>
        </w:rPr>
        <w:t>七</w:t>
      </w:r>
      <w:r>
        <w:rPr>
          <w:rFonts w:hint="eastAsia" w:ascii="宋体" w:hAnsi="宋体" w:eastAsia="宋体" w:cs="宋体"/>
          <w:bCs/>
          <w:sz w:val="36"/>
          <w:szCs w:val="36"/>
        </w:rPr>
        <w:t>月</w:t>
      </w:r>
      <w:r>
        <w:rPr>
          <w:rFonts w:hint="eastAsia" w:ascii="宋体" w:hAnsi="宋体" w:cs="宋体"/>
          <w:bCs/>
          <w:sz w:val="36"/>
          <w:szCs w:val="36"/>
          <w:lang w:val="en-US" w:eastAsia="zh-CN"/>
        </w:rPr>
        <w:t>九</w:t>
      </w:r>
      <w:r>
        <w:rPr>
          <w:rFonts w:hint="eastAsia" w:ascii="宋体" w:hAnsi="宋体" w:eastAsia="宋体" w:cs="宋体"/>
          <w:bCs/>
          <w:sz w:val="36"/>
          <w:szCs w:val="36"/>
        </w:rPr>
        <w:t>日</w:t>
      </w:r>
    </w:p>
    <w:p w14:paraId="6FDC1CE1">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54AA2690">
      <w:pPr>
        <w:pStyle w:val="638"/>
      </w:pPr>
    </w:p>
    <w:p w14:paraId="3D3D9912">
      <w:pPr>
        <w:spacing w:line="360" w:lineRule="auto"/>
        <w:jc w:val="center"/>
        <w:rPr>
          <w:rFonts w:ascii="宋体" w:hAnsi="宋体" w:cs="宋体"/>
          <w:b/>
          <w:sz w:val="48"/>
          <w:szCs w:val="48"/>
        </w:rPr>
      </w:pPr>
      <w:r>
        <w:rPr>
          <w:rFonts w:hint="eastAsia" w:ascii="宋体" w:hAnsi="宋体" w:cs="宋体"/>
          <w:b/>
          <w:sz w:val="48"/>
          <w:szCs w:val="48"/>
        </w:rPr>
        <w:t>目  录</w:t>
      </w:r>
    </w:p>
    <w:p w14:paraId="34C7EF2C">
      <w:pPr>
        <w:spacing w:line="360" w:lineRule="auto"/>
        <w:rPr>
          <w:rFonts w:ascii="宋体" w:hAnsi="宋体" w:cs="宋体"/>
          <w:sz w:val="32"/>
          <w:szCs w:val="32"/>
        </w:rPr>
      </w:pPr>
    </w:p>
    <w:p w14:paraId="53CC84B0">
      <w:pPr>
        <w:spacing w:line="360" w:lineRule="auto"/>
        <w:rPr>
          <w:rFonts w:ascii="宋体" w:hAnsi="宋体" w:cs="宋体"/>
          <w:sz w:val="32"/>
          <w:szCs w:val="32"/>
        </w:rPr>
      </w:pPr>
    </w:p>
    <w:p w14:paraId="1D454B75">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51152B9D">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E4236DD">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03727DE3">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29D9660">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83726A2">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6A3E603">
      <w:pPr>
        <w:spacing w:line="360" w:lineRule="auto"/>
        <w:ind w:firstLine="549" w:firstLineChars="229"/>
        <w:rPr>
          <w:rFonts w:ascii="宋体" w:hAnsi="宋体" w:cs="宋体"/>
          <w:sz w:val="24"/>
        </w:rPr>
      </w:pPr>
      <w:bookmarkStart w:id="1" w:name="_Hlt91233176"/>
      <w:bookmarkEnd w:id="1"/>
      <w:bookmarkStart w:id="2" w:name="_Toc91899869"/>
    </w:p>
    <w:p w14:paraId="3FF1219C">
      <w:pPr>
        <w:spacing w:line="360" w:lineRule="auto"/>
        <w:ind w:firstLine="549" w:firstLineChars="229"/>
        <w:rPr>
          <w:rFonts w:ascii="宋体" w:hAnsi="宋体" w:cs="宋体"/>
          <w:sz w:val="24"/>
        </w:rPr>
      </w:pPr>
    </w:p>
    <w:p w14:paraId="3319857C">
      <w:pPr>
        <w:spacing w:line="360" w:lineRule="auto"/>
        <w:ind w:firstLine="549" w:firstLineChars="229"/>
        <w:rPr>
          <w:rFonts w:ascii="宋体" w:hAnsi="宋体" w:cs="宋体"/>
          <w:sz w:val="24"/>
        </w:rPr>
      </w:pPr>
    </w:p>
    <w:p w14:paraId="254043E3">
      <w:pPr>
        <w:spacing w:line="360" w:lineRule="auto"/>
        <w:ind w:firstLine="549" w:firstLineChars="229"/>
        <w:rPr>
          <w:rFonts w:ascii="宋体" w:hAnsi="宋体" w:cs="宋体"/>
          <w:sz w:val="24"/>
        </w:rPr>
      </w:pPr>
    </w:p>
    <w:p w14:paraId="2DFD599E">
      <w:pPr>
        <w:spacing w:line="360" w:lineRule="auto"/>
        <w:ind w:firstLine="549" w:firstLineChars="229"/>
        <w:rPr>
          <w:rFonts w:ascii="宋体" w:hAnsi="宋体" w:cs="宋体"/>
          <w:sz w:val="24"/>
        </w:rPr>
      </w:pPr>
    </w:p>
    <w:p w14:paraId="49868345">
      <w:pPr>
        <w:spacing w:line="360" w:lineRule="auto"/>
        <w:ind w:firstLine="549" w:firstLineChars="229"/>
        <w:rPr>
          <w:rFonts w:ascii="宋体" w:hAnsi="宋体" w:cs="宋体"/>
          <w:sz w:val="24"/>
        </w:rPr>
      </w:pPr>
    </w:p>
    <w:p w14:paraId="584C8708">
      <w:pPr>
        <w:spacing w:line="360" w:lineRule="auto"/>
        <w:ind w:firstLine="549" w:firstLineChars="229"/>
        <w:rPr>
          <w:rFonts w:ascii="宋体" w:hAnsi="宋体" w:cs="宋体"/>
          <w:sz w:val="24"/>
        </w:rPr>
      </w:pPr>
    </w:p>
    <w:p w14:paraId="3C177686">
      <w:pPr>
        <w:spacing w:line="360" w:lineRule="auto"/>
        <w:ind w:firstLine="549" w:firstLineChars="229"/>
        <w:rPr>
          <w:rFonts w:ascii="宋体" w:hAnsi="宋体" w:cs="宋体"/>
          <w:sz w:val="24"/>
        </w:rPr>
      </w:pPr>
    </w:p>
    <w:p w14:paraId="6F01105A">
      <w:pPr>
        <w:spacing w:line="360" w:lineRule="auto"/>
        <w:ind w:firstLine="549" w:firstLineChars="229"/>
        <w:rPr>
          <w:rFonts w:ascii="宋体" w:hAnsi="宋体" w:cs="宋体"/>
          <w:sz w:val="24"/>
        </w:rPr>
      </w:pPr>
    </w:p>
    <w:p w14:paraId="2F306198">
      <w:pPr>
        <w:spacing w:line="360" w:lineRule="auto"/>
        <w:ind w:firstLine="549" w:firstLineChars="229"/>
        <w:rPr>
          <w:rFonts w:ascii="宋体" w:hAnsi="宋体" w:cs="宋体"/>
          <w:sz w:val="24"/>
        </w:rPr>
      </w:pPr>
    </w:p>
    <w:p w14:paraId="3889B179">
      <w:pPr>
        <w:spacing w:line="360" w:lineRule="auto"/>
        <w:ind w:firstLine="549" w:firstLineChars="229"/>
        <w:rPr>
          <w:rFonts w:ascii="宋体" w:hAnsi="宋体" w:cs="宋体"/>
          <w:sz w:val="24"/>
        </w:rPr>
      </w:pPr>
    </w:p>
    <w:p w14:paraId="3C9E36CF">
      <w:pPr>
        <w:spacing w:line="360" w:lineRule="auto"/>
        <w:ind w:firstLine="549" w:firstLineChars="229"/>
        <w:rPr>
          <w:rFonts w:ascii="宋体" w:hAnsi="宋体" w:cs="宋体"/>
          <w:sz w:val="24"/>
        </w:rPr>
      </w:pPr>
    </w:p>
    <w:p w14:paraId="1F9471AB">
      <w:pPr>
        <w:spacing w:line="360" w:lineRule="auto"/>
        <w:ind w:firstLine="549" w:firstLineChars="229"/>
        <w:rPr>
          <w:rFonts w:ascii="宋体" w:hAnsi="宋体" w:cs="宋体"/>
          <w:sz w:val="24"/>
        </w:rPr>
      </w:pPr>
    </w:p>
    <w:p w14:paraId="77203D8B">
      <w:pPr>
        <w:spacing w:line="360" w:lineRule="auto"/>
        <w:rPr>
          <w:rFonts w:ascii="宋体" w:hAnsi="宋体" w:cs="宋体"/>
          <w:sz w:val="24"/>
        </w:rPr>
      </w:pPr>
    </w:p>
    <w:p w14:paraId="4FB37F94">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BDAD79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5F3942A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上城区城市管理智治平台改造项目（信创）</w:t>
      </w:r>
      <w:r>
        <w:rPr>
          <w:rFonts w:hint="eastAsia" w:ascii="宋体" w:hAnsi="宋体" w:cs="宋体"/>
          <w:sz w:val="24"/>
          <w:u w:val="single"/>
        </w:rPr>
        <w:t xml:space="preserve"> </w:t>
      </w:r>
      <w:r>
        <w:rPr>
          <w:rFonts w:hint="eastAsia" w:ascii="宋体" w:hAnsi="宋体" w:cs="宋体"/>
          <w:sz w:val="24"/>
        </w:rPr>
        <w:t>招标项目的潜在投标人应在政采云平台（https://www.zcygov.cn/）获取（下载）招标文件，并于</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31</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00秒</w:t>
      </w:r>
      <w:r>
        <w:rPr>
          <w:rFonts w:hint="eastAsia" w:ascii="宋体" w:hAnsi="宋体" w:cs="宋体"/>
          <w:bCs/>
          <w:sz w:val="24"/>
        </w:rPr>
        <w:t>（北京时间）前</w:t>
      </w:r>
      <w:r>
        <w:rPr>
          <w:rFonts w:hint="eastAsia" w:ascii="宋体" w:hAnsi="宋体" w:cs="宋体"/>
          <w:sz w:val="24"/>
        </w:rPr>
        <w:t>递交（上传）投标文件。</w:t>
      </w:r>
    </w:p>
    <w:p w14:paraId="70EE430B">
      <w:pPr>
        <w:spacing w:line="360" w:lineRule="auto"/>
        <w:rPr>
          <w:rFonts w:ascii="宋体" w:hAnsi="宋体" w:cs="宋体"/>
          <w:b/>
          <w:sz w:val="24"/>
        </w:rPr>
      </w:pPr>
      <w:r>
        <w:rPr>
          <w:rFonts w:hint="eastAsia" w:ascii="宋体" w:hAnsi="宋体" w:cs="宋体"/>
          <w:b/>
          <w:sz w:val="24"/>
        </w:rPr>
        <w:t xml:space="preserve">一、项目基本情况                                            </w:t>
      </w:r>
    </w:p>
    <w:p w14:paraId="01975BE0">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HJZX-GKCG-F202514</w:t>
      </w:r>
    </w:p>
    <w:p w14:paraId="324312BB">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上城区城市管理智治平台改造项目（信创）</w:t>
      </w:r>
      <w:r>
        <w:rPr>
          <w:rFonts w:hint="eastAsia" w:ascii="宋体" w:hAnsi="宋体" w:cs="宋体"/>
          <w:sz w:val="24"/>
        </w:rPr>
        <w:t xml:space="preserve"> </w:t>
      </w:r>
    </w:p>
    <w:p w14:paraId="56378BCB">
      <w:pPr>
        <w:spacing w:line="360" w:lineRule="auto"/>
        <w:ind w:firstLine="480"/>
        <w:rPr>
          <w:rFonts w:hint="eastAsia" w:ascii="宋体" w:hAnsi="宋体" w:cs="宋体"/>
          <w:sz w:val="24"/>
        </w:rPr>
      </w:pPr>
      <w:r>
        <w:rPr>
          <w:rFonts w:hint="eastAsia" w:ascii="宋体" w:hAnsi="宋体" w:cs="宋体"/>
          <w:b/>
          <w:bCs/>
          <w:sz w:val="24"/>
        </w:rPr>
        <w:t>预算金额（元）：</w:t>
      </w:r>
      <w:r>
        <w:rPr>
          <w:rFonts w:hint="eastAsia" w:ascii="宋体" w:hAnsi="宋体" w:cs="宋体"/>
          <w:sz w:val="24"/>
          <w:lang w:val="en-US" w:eastAsia="zh-CN"/>
        </w:rPr>
        <w:t>2370000</w:t>
      </w:r>
      <w:r>
        <w:rPr>
          <w:rFonts w:hint="eastAsia" w:ascii="宋体" w:hAnsi="宋体" w:cs="宋体"/>
          <w:sz w:val="24"/>
        </w:rPr>
        <w:t>元</w:t>
      </w:r>
    </w:p>
    <w:p w14:paraId="55509A7C">
      <w:pPr>
        <w:spacing w:line="360" w:lineRule="auto"/>
        <w:ind w:firstLine="480"/>
        <w:rPr>
          <w:rFonts w:ascii="宋体" w:hAnsi="宋体" w:cs="宋体"/>
          <w:sz w:val="24"/>
        </w:rPr>
      </w:pPr>
      <w:r>
        <w:rPr>
          <w:rFonts w:hint="eastAsia" w:ascii="宋体" w:hAnsi="宋体" w:cs="宋体"/>
          <w:b/>
          <w:bCs/>
          <w:sz w:val="24"/>
        </w:rPr>
        <w:t>最高限价（元）：</w:t>
      </w:r>
      <w:r>
        <w:rPr>
          <w:rFonts w:hint="eastAsia" w:ascii="宋体" w:hAnsi="宋体" w:cs="宋体"/>
          <w:sz w:val="24"/>
          <w:lang w:val="en-US" w:eastAsia="zh-CN"/>
        </w:rPr>
        <w:t>2370000</w:t>
      </w:r>
      <w:r>
        <w:rPr>
          <w:rFonts w:hint="eastAsia" w:ascii="宋体" w:hAnsi="宋体" w:cs="宋体"/>
          <w:sz w:val="24"/>
        </w:rPr>
        <w:t>元</w:t>
      </w:r>
    </w:p>
    <w:p w14:paraId="52A3E9A7">
      <w:pPr>
        <w:pStyle w:val="79"/>
        <w:spacing w:line="360" w:lineRule="auto"/>
        <w:ind w:firstLine="480"/>
        <w:rPr>
          <w:rFonts w:hint="eastAsia" w:ascii="宋体" w:hAnsi="宋体" w:eastAsia="宋体" w:cs="Times New Roman"/>
          <w:color w:val="auto"/>
          <w:kern w:val="2"/>
          <w:sz w:val="24"/>
          <w:szCs w:val="24"/>
          <w:highlight w:val="none"/>
          <w:lang w:eastAsia="zh-CN"/>
        </w:rPr>
      </w:pPr>
      <w:r>
        <w:rPr>
          <w:rFonts w:hint="eastAsia" w:ascii="宋体" w:hAnsi="宋体" w:eastAsia="宋体" w:cs="宋体"/>
          <w:b/>
          <w:color w:val="auto"/>
          <w:sz w:val="24"/>
        </w:rPr>
        <w:t>采购需求</w:t>
      </w:r>
      <w:r>
        <w:rPr>
          <w:rFonts w:hint="eastAsia" w:hAnsi="宋体" w:cs="宋体"/>
          <w:b/>
          <w:color w:val="auto"/>
          <w:sz w:val="24"/>
        </w:rPr>
        <w:t>：</w:t>
      </w:r>
      <w:r>
        <w:rPr>
          <w:rFonts w:hint="eastAsia" w:ascii="宋体" w:hAnsi="宋体" w:eastAsia="宋体" w:cs="宋体"/>
          <w:sz w:val="24"/>
          <w:szCs w:val="24"/>
          <w:highlight w:val="none"/>
        </w:rPr>
        <w:t>本项目针对</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个计划内的应用通过采用国产化操作系统、数据库及中间件替换等技术手段进行适配改造，确保所有功能模块在国产化技术栈中保持可用性。</w:t>
      </w:r>
      <w:r>
        <w:rPr>
          <w:rFonts w:hint="eastAsia" w:ascii="宋体" w:hAnsi="宋体" w:eastAsia="宋体" w:cs="Times New Roman"/>
          <w:color w:val="auto"/>
          <w:kern w:val="2"/>
          <w:sz w:val="24"/>
          <w:szCs w:val="24"/>
          <w:highlight w:val="none"/>
        </w:rPr>
        <w:t>区综合行政执法局现有</w:t>
      </w:r>
      <w:r>
        <w:rPr>
          <w:rFonts w:hint="eastAsia" w:ascii="宋体" w:hAnsi="宋体" w:eastAsia="宋体" w:cs="Times New Roman"/>
          <w:color w:val="auto"/>
          <w:kern w:val="2"/>
          <w:sz w:val="24"/>
          <w:szCs w:val="24"/>
          <w:highlight w:val="none"/>
          <w:lang w:val="en-US" w:eastAsia="zh-CN"/>
        </w:rPr>
        <w:t>8个</w:t>
      </w:r>
      <w:r>
        <w:rPr>
          <w:rFonts w:hint="eastAsia" w:ascii="宋体" w:hAnsi="宋体" w:eastAsia="宋体" w:cs="Times New Roman"/>
          <w:color w:val="auto"/>
          <w:kern w:val="2"/>
          <w:sz w:val="24"/>
          <w:szCs w:val="24"/>
          <w:highlight w:val="none"/>
        </w:rPr>
        <w:t>系统</w:t>
      </w:r>
      <w:r>
        <w:rPr>
          <w:rFonts w:hint="eastAsia" w:ascii="宋体" w:hAnsi="宋体" w:eastAsia="宋体" w:cs="Times New Roman"/>
          <w:color w:val="auto"/>
          <w:kern w:val="2"/>
          <w:sz w:val="24"/>
          <w:szCs w:val="24"/>
          <w:highlight w:val="none"/>
          <w:lang w:val="en-US" w:eastAsia="zh-CN"/>
        </w:rPr>
        <w:t>分别为</w:t>
      </w:r>
      <w:r>
        <w:rPr>
          <w:rFonts w:hint="eastAsia" w:ascii="宋体" w:hAnsi="宋体" w:eastAsia="宋体" w:cs="Times New Roman"/>
          <w:color w:val="auto"/>
          <w:kern w:val="2"/>
          <w:sz w:val="24"/>
          <w:szCs w:val="24"/>
          <w:highlight w:val="none"/>
        </w:rPr>
        <w:t>清运管理系统、城管e考通系统、非接触性执法平台、云办公系统、可视化平台、智慧河道系统、合同支付系统、东站周边建筑亮化二级控制平台</w:t>
      </w:r>
      <w:r>
        <w:rPr>
          <w:rFonts w:hint="eastAsia" w:ascii="宋体" w:hAnsi="宋体" w:eastAsia="宋体" w:cs="Times New Roman"/>
          <w:color w:val="auto"/>
          <w:kern w:val="2"/>
          <w:sz w:val="24"/>
          <w:szCs w:val="24"/>
          <w:highlight w:val="none"/>
          <w:lang w:eastAsia="zh-CN"/>
        </w:rPr>
        <w:t>，</w:t>
      </w:r>
      <w:r>
        <w:rPr>
          <w:rFonts w:hint="eastAsia" w:ascii="宋体" w:hAnsi="宋体" w:eastAsia="宋体" w:cs="Times New Roman"/>
          <w:color w:val="auto"/>
          <w:kern w:val="2"/>
          <w:sz w:val="24"/>
          <w:szCs w:val="24"/>
          <w:highlight w:val="none"/>
          <w:lang w:val="en-US" w:eastAsia="zh-CN"/>
        </w:rPr>
        <w:t>通过</w:t>
      </w:r>
      <w:r>
        <w:rPr>
          <w:rFonts w:hint="eastAsia" w:ascii="宋体" w:hAnsi="宋体" w:eastAsia="宋体" w:cs="Times New Roman"/>
          <w:color w:val="auto"/>
          <w:kern w:val="2"/>
          <w:sz w:val="24"/>
          <w:szCs w:val="24"/>
          <w:highlight w:val="none"/>
        </w:rPr>
        <w:t>深度集成实现统一门户集成、统一用户管理、统一授权管理、统一安全防护、统一资源管理及基于浙政钉扫码登录的免登集成、系统业务整合与数据资源整合，推动系统集成、要素汇聚、场景应用，达成信息系统“好用、管用、想用、耐用”的目标，并进一步巩固深化“一单位一平台”国产化适配改造融合，深化国产操作系统及数据库兼容适配与性能调优，推进技术生态成熟化</w:t>
      </w:r>
      <w:r>
        <w:rPr>
          <w:rFonts w:hint="eastAsia" w:ascii="宋体" w:hAnsi="宋体" w:eastAsia="宋体" w:cs="Times New Roman"/>
          <w:color w:val="auto"/>
          <w:kern w:val="2"/>
          <w:sz w:val="24"/>
          <w:szCs w:val="24"/>
          <w:highlight w:val="none"/>
          <w:lang w:eastAsia="zh-CN"/>
        </w:rPr>
        <w:t>。</w:t>
      </w:r>
    </w:p>
    <w:p w14:paraId="40DFAF48">
      <w:pPr>
        <w:pStyle w:val="16"/>
        <w:spacing w:line="360" w:lineRule="auto"/>
        <w:ind w:firstLine="480"/>
        <w:rPr>
          <w:rFonts w:hAnsi="宋体" w:cs="宋体"/>
          <w:bCs/>
          <w:snapToGrid/>
          <w:color w:val="auto"/>
          <w:kern w:val="2"/>
          <w:sz w:val="24"/>
          <w:szCs w:val="24"/>
        </w:rPr>
      </w:pP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307FA9F4">
      <w:pPr>
        <w:pStyle w:val="131"/>
        <w:ind w:firstLine="482"/>
        <w:outlineLvl w:val="2"/>
        <w:rPr>
          <w:rFonts w:ascii="宋体" w:hAnsi="宋体" w:cs="宋体"/>
          <w:b w:val="0"/>
          <w:bCs/>
        </w:rPr>
      </w:pPr>
      <w:r>
        <w:rPr>
          <w:rFonts w:hint="eastAsia" w:ascii="宋体" w:hAnsi="宋体" w:cs="宋体"/>
          <w:b/>
        </w:rPr>
        <w:t>合同履约期限：</w:t>
      </w:r>
      <w:r>
        <w:rPr>
          <w:rFonts w:hint="eastAsia" w:ascii="宋体" w:hAnsi="宋体" w:cs="宋体"/>
          <w:b w:val="0"/>
          <w:bCs/>
        </w:rPr>
        <w:t>自签订服务合同后，2025年10月31日前完成项目总结及终验。</w:t>
      </w:r>
      <w:r>
        <w:rPr>
          <w:rFonts w:ascii="宋体" w:hAnsi="宋体" w:cs="宋体"/>
          <w:b w:val="0"/>
          <w:bCs/>
        </w:rPr>
        <w:t xml:space="preserve"> </w:t>
      </w:r>
    </w:p>
    <w:p w14:paraId="12C66F4E">
      <w:pPr>
        <w:pStyle w:val="16"/>
        <w:spacing w:line="360" w:lineRule="auto"/>
        <w:ind w:firstLine="480"/>
        <w:rPr>
          <w:rFonts w:hAnsi="宋体" w:cs="宋体"/>
          <w:b/>
          <w:color w:val="auto"/>
        </w:rPr>
      </w:pPr>
      <w:r>
        <w:rPr>
          <w:rFonts w:hint="eastAsia" w:hAnsi="宋体" w:cs="宋体"/>
          <w:b/>
          <w:color w:val="auto"/>
          <w:sz w:val="24"/>
        </w:rPr>
        <w:t>本项目接受联合体投标：</w:t>
      </w:r>
      <w:sdt>
        <w:sdtPr>
          <w:rPr>
            <w:rFonts w:hAnsi="宋体" w:cs="宋体"/>
            <w:color w:val="auto"/>
            <w:kern w:val="0"/>
            <w:sz w:val="24"/>
          </w:rPr>
          <w:id w:val="147470138"/>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47467778"/>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FE233D6">
      <w:pPr>
        <w:spacing w:line="360" w:lineRule="auto"/>
        <w:rPr>
          <w:rFonts w:ascii="宋体" w:hAnsi="宋体" w:cs="宋体"/>
          <w:b/>
          <w:sz w:val="24"/>
        </w:rPr>
      </w:pPr>
      <w:r>
        <w:rPr>
          <w:rFonts w:hint="eastAsia" w:ascii="宋体" w:hAnsi="宋体" w:cs="宋体"/>
          <w:b/>
          <w:sz w:val="24"/>
        </w:rPr>
        <w:t>二、申请人的资格要求：</w:t>
      </w:r>
    </w:p>
    <w:p w14:paraId="66D32D3C">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3D0E9B0">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062EF152">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395A67F3">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szCs w:val="24"/>
              <w:lang w:val="en-US" w:eastAsia="zh-CN" w:bidi="ar-SA"/>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07B22EF0">
      <w:pPr>
        <w:spacing w:line="360" w:lineRule="auto"/>
        <w:ind w:firstLine="480" w:firstLineChars="200"/>
        <w:rPr>
          <w:rFonts w:ascii="宋体" w:hAnsi="宋体" w:cs="宋体"/>
          <w:sz w:val="24"/>
        </w:rPr>
      </w:pPr>
      <w:sdt>
        <w:sdtPr>
          <w:rPr>
            <w:rFonts w:hint="eastAsia" w:ascii="宋体" w:hAnsi="宋体" w:cs="宋体"/>
            <w:kern w:val="0"/>
            <w:sz w:val="24"/>
          </w:rPr>
          <w:id w:val="14745508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专</w:t>
      </w:r>
      <w:r>
        <w:rPr>
          <w:rFonts w:hint="eastAsia" w:ascii="宋体" w:hAnsi="宋体" w:cs="宋体"/>
          <w:sz w:val="24"/>
        </w:rPr>
        <w:t>门面向中小企业</w:t>
      </w:r>
    </w:p>
    <w:p w14:paraId="3059BCCB">
      <w:pPr>
        <w:spacing w:line="360" w:lineRule="auto"/>
        <w:ind w:firstLine="897" w:firstLineChars="374"/>
        <w:rPr>
          <w:rFonts w:ascii="宋体" w:hAnsi="宋体" w:cs="宋体"/>
          <w:sz w:val="24"/>
        </w:rPr>
      </w:pPr>
      <w:sdt>
        <w:sdtPr>
          <w:rPr>
            <w:rFonts w:hint="eastAsia" w:ascii="宋体" w:hAnsi="宋体" w:cs="宋体"/>
            <w:kern w:val="0"/>
            <w:sz w:val="24"/>
          </w:rPr>
          <w:id w:val="14746945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sz w:val="24"/>
        </w:rPr>
        <w:t>服务全部由符合政策要求的中小微企业承接，按要求提供中小企业声明函；</w:t>
      </w:r>
    </w:p>
    <w:p w14:paraId="319873B9">
      <w:pPr>
        <w:spacing w:line="360" w:lineRule="auto"/>
        <w:ind w:firstLine="897" w:firstLineChars="374"/>
        <w:rPr>
          <w:rFonts w:ascii="宋体" w:hAnsi="宋体" w:cs="宋体"/>
          <w:sz w:val="24"/>
        </w:rPr>
      </w:pPr>
      <w:sdt>
        <w:sdtPr>
          <w:rPr>
            <w:rFonts w:hint="eastAsia" w:ascii="宋体" w:hAnsi="宋体" w:cs="宋体"/>
            <w:kern w:val="0"/>
            <w:sz w:val="24"/>
          </w:rPr>
          <w:id w:val="1474741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服务全部由符合政策要求的小微企业承接，按要求提供中小企业声明函；</w:t>
      </w:r>
    </w:p>
    <w:p w14:paraId="4D0AAAE1">
      <w:pPr>
        <w:rPr>
          <w:rFonts w:ascii="宋体" w:hAnsi="宋体" w:cs="宋体"/>
        </w:rPr>
      </w:pPr>
    </w:p>
    <w:p w14:paraId="23938B86">
      <w:pPr>
        <w:spacing w:line="360" w:lineRule="auto"/>
        <w:ind w:firstLine="480" w:firstLineChars="200"/>
        <w:rPr>
          <w:rFonts w:ascii="宋体" w:hAnsi="宋体" w:cs="宋体"/>
          <w:sz w:val="24"/>
        </w:rPr>
      </w:pPr>
      <w:sdt>
        <w:sdtPr>
          <w:rPr>
            <w:rFonts w:hint="eastAsia" w:ascii="宋体" w:hAnsi="宋体" w:cs="宋体"/>
            <w:kern w:val="0"/>
            <w:sz w:val="24"/>
          </w:rPr>
          <w:id w:val="14746872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供应商应以联合体形式参加，并按要求提供联合协议和中小企业声明函，联合协议中，小微企业合同金额应当达到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如果供应商提供的所有标的均由小微企业制造、承建或承接，并相应达到了前述比例要求，无需再与其他小微企业组成联合体参加政府采购活动，</w:t>
      </w:r>
      <w:r>
        <w:rPr>
          <w:rFonts w:hint="eastAsia" w:ascii="宋体" w:hAnsi="宋体" w:cs="宋体"/>
          <w:sz w:val="24"/>
        </w:rPr>
        <w:t>按要求提供中小企业声明函；</w:t>
      </w:r>
    </w:p>
    <w:p w14:paraId="58132516">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供应商应合同分包形式参加，并按要求提供分包意向协议和中小企业声明函，分包意向协议中，中小企业合同金额应当达到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如果供应商提供的所有标的均由中小企业制造、承建或承接，并相应达到了前述比例要求，无需再向中小企业分包，</w:t>
      </w:r>
      <w:r>
        <w:rPr>
          <w:rFonts w:hint="eastAsia" w:ascii="宋体" w:hAnsi="宋体" w:cs="宋体"/>
          <w:sz w:val="24"/>
        </w:rPr>
        <w:t>按要求提供中小企业声明函；</w:t>
      </w:r>
    </w:p>
    <w:p w14:paraId="22C5CEC5">
      <w:pPr>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14:paraId="20E19DC1">
      <w:pPr>
        <w:snapToGrid w:val="0"/>
        <w:spacing w:line="360" w:lineRule="auto"/>
        <w:ind w:firstLine="480" w:firstLineChars="200"/>
        <w:rPr>
          <w:rFonts w:ascii="宋体" w:hAnsi="宋体" w:cs="宋体"/>
          <w:sz w:val="24"/>
        </w:rPr>
      </w:pPr>
      <w:sdt>
        <w:sdtPr>
          <w:rPr>
            <w:rFonts w:hint="eastAsia" w:ascii="宋体" w:hAnsi="宋体" w:cs="宋体"/>
            <w:kern w:val="0"/>
            <w:sz w:val="24"/>
          </w:rPr>
          <w:id w:val="14747840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宋体" w:cs="宋体"/>
              <w:kern w:val="0"/>
              <w:sz w:val="24"/>
              <w:szCs w:val="24"/>
              <w:lang w:val="en-US" w:eastAsia="zh-CN" w:bidi="ar-SA"/>
            </w:rPr>
            <w:t>þ</w:t>
          </w:r>
        </w:sdtContent>
      </w:sdt>
      <w:r>
        <w:rPr>
          <w:rFonts w:hint="eastAsia" w:ascii="宋体" w:hAnsi="宋体" w:cs="宋体"/>
          <w:sz w:val="24"/>
        </w:rPr>
        <w:t>无。</w:t>
      </w:r>
    </w:p>
    <w:p w14:paraId="78855613">
      <w:pPr>
        <w:numPr>
          <w:ilvl w:val="0"/>
          <w:numId w:val="1"/>
        </w:numPr>
        <w:snapToGrid w:val="0"/>
        <w:spacing w:line="360" w:lineRule="auto"/>
        <w:rPr>
          <w:rFonts w:ascii="宋体" w:hAnsi="宋体" w:cs="宋体"/>
          <w:sz w:val="24"/>
        </w:rPr>
      </w:pPr>
      <w:sdt>
        <w:sdtPr>
          <w:rPr>
            <w:rFonts w:hint="eastAsia" w:ascii="宋体" w:hAnsi="宋体" w:cs="宋体"/>
            <w:kern w:val="0"/>
            <w:sz w:val="24"/>
          </w:rPr>
          <w:id w:val="1474602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sz w:val="24"/>
        </w:rPr>
        <w:t>有特定资格要求：</w:t>
      </w:r>
      <w:r>
        <w:rPr>
          <w:rFonts w:hint="eastAsia" w:ascii="宋体" w:hAnsi="宋体" w:cs="宋体"/>
          <w:sz w:val="24"/>
          <w:u w:val="single"/>
          <w:lang w:val="en-US" w:eastAsia="zh-CN"/>
        </w:rPr>
        <w:t xml:space="preserve">  /  </w:t>
      </w:r>
      <w:r>
        <w:rPr>
          <w:rFonts w:hint="eastAsia" w:ascii="宋体" w:hAnsi="宋体" w:cs="宋体"/>
          <w:sz w:val="24"/>
        </w:rPr>
        <w:t>。</w:t>
      </w:r>
    </w:p>
    <w:p w14:paraId="75BFDC5D">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53143EB">
      <w:pPr>
        <w:spacing w:line="360" w:lineRule="auto"/>
        <w:rPr>
          <w:rFonts w:ascii="宋体" w:hAnsi="宋体" w:cs="宋体"/>
          <w:b/>
          <w:sz w:val="24"/>
        </w:rPr>
      </w:pPr>
      <w:r>
        <w:rPr>
          <w:rFonts w:hint="eastAsia" w:ascii="宋体" w:hAnsi="宋体" w:cs="宋体"/>
          <w:b/>
          <w:sz w:val="24"/>
        </w:rPr>
        <w:t xml:space="preserve">三、获取招标文件 </w:t>
      </w:r>
    </w:p>
    <w:p w14:paraId="0F7DC906">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/至2</w:t>
      </w:r>
      <w:r>
        <w:rPr>
          <w:rFonts w:hint="eastAsia" w:ascii="宋体" w:hAnsi="宋体" w:cs="宋体"/>
          <w:sz w:val="24"/>
          <w:u w:val="single"/>
        </w:rPr>
        <w:t>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31</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7384C2FC">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7C84E15">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774FF3CF">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064EAA40">
      <w:pPr>
        <w:spacing w:line="360" w:lineRule="auto"/>
        <w:rPr>
          <w:rFonts w:ascii="宋体" w:hAnsi="宋体" w:cs="宋体"/>
          <w:b/>
          <w:sz w:val="24"/>
        </w:rPr>
      </w:pPr>
      <w:r>
        <w:rPr>
          <w:rFonts w:hint="eastAsia" w:ascii="宋体" w:hAnsi="宋体" w:cs="宋体"/>
          <w:b/>
          <w:sz w:val="24"/>
        </w:rPr>
        <w:t>四、提交投标文件截止时间、开标时间和地点</w:t>
      </w:r>
    </w:p>
    <w:p w14:paraId="79B7D6B5">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31</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lang w:val="en-US" w:eastAsia="zh-CN"/>
        </w:rPr>
        <w:t>00</w:t>
      </w:r>
      <w:r>
        <w:rPr>
          <w:rFonts w:hint="eastAsia" w:ascii="宋体" w:hAnsi="宋体" w:cs="宋体"/>
          <w:bCs/>
          <w:sz w:val="24"/>
          <w:u w:val="single"/>
        </w:rPr>
        <w:t>秒</w:t>
      </w:r>
      <w:r>
        <w:rPr>
          <w:rFonts w:hint="eastAsia" w:ascii="宋体" w:hAnsi="宋体" w:cs="宋体"/>
          <w:sz w:val="24"/>
        </w:rPr>
        <w:t>（北京时间）</w:t>
      </w:r>
    </w:p>
    <w:p w14:paraId="4C26A311">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1E3D2AAA">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31</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lang w:val="en-US" w:eastAsia="zh-CN"/>
        </w:rPr>
        <w:t>00</w:t>
      </w:r>
      <w:r>
        <w:rPr>
          <w:rFonts w:hint="eastAsia" w:ascii="宋体" w:hAnsi="宋体" w:cs="宋体"/>
          <w:bCs/>
          <w:sz w:val="24"/>
          <w:u w:val="single"/>
        </w:rPr>
        <w:t>秒</w:t>
      </w:r>
      <w:r>
        <w:rPr>
          <w:rFonts w:hint="eastAsia" w:ascii="宋体" w:hAnsi="宋体" w:cs="宋体"/>
          <w:sz w:val="24"/>
        </w:rPr>
        <w:t>（北京时间）</w:t>
      </w:r>
    </w:p>
    <w:p w14:paraId="7B50874B">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267B0019">
      <w:pPr>
        <w:spacing w:line="360" w:lineRule="auto"/>
        <w:rPr>
          <w:rFonts w:ascii="宋体" w:hAnsi="宋体" w:cs="宋体"/>
          <w:sz w:val="24"/>
        </w:rPr>
      </w:pPr>
      <w:r>
        <w:rPr>
          <w:rFonts w:hint="eastAsia" w:ascii="宋体" w:hAnsi="宋体" w:cs="宋体"/>
          <w:b/>
          <w:sz w:val="24"/>
        </w:rPr>
        <w:t xml:space="preserve">五、公告期限 </w:t>
      </w:r>
    </w:p>
    <w:p w14:paraId="39B44092">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69879074">
      <w:pPr>
        <w:spacing w:line="360" w:lineRule="auto"/>
        <w:rPr>
          <w:rFonts w:ascii="宋体" w:hAnsi="宋体" w:cs="宋体"/>
          <w:b/>
          <w:sz w:val="24"/>
        </w:rPr>
      </w:pPr>
      <w:r>
        <w:rPr>
          <w:rFonts w:hint="eastAsia" w:ascii="宋体" w:hAnsi="宋体" w:cs="宋体"/>
          <w:b/>
          <w:sz w:val="24"/>
        </w:rPr>
        <w:t>六、其他补充事宜</w:t>
      </w:r>
    </w:p>
    <w:p w14:paraId="7D496BFA">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1E8B09C">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700A7EF">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2956976">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BFAD6D1">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2D630232">
      <w:pPr>
        <w:spacing w:line="360" w:lineRule="auto"/>
        <w:rPr>
          <w:rFonts w:ascii="宋体" w:hAnsi="宋体" w:cs="宋体"/>
          <w:sz w:val="24"/>
        </w:rPr>
      </w:pPr>
      <w:r>
        <w:rPr>
          <w:rFonts w:hint="eastAsia" w:ascii="宋体" w:hAnsi="宋体" w:cs="宋体"/>
          <w:sz w:val="24"/>
        </w:rPr>
        <w:t xml:space="preserve">    1.采购人信息</w:t>
      </w:r>
    </w:p>
    <w:p w14:paraId="6DAB00A7">
      <w:pPr>
        <w:spacing w:line="360" w:lineRule="auto"/>
        <w:rPr>
          <w:rFonts w:ascii="宋体" w:hAnsi="宋体" w:cs="宋体"/>
          <w:sz w:val="24"/>
        </w:rPr>
      </w:pPr>
      <w:r>
        <w:rPr>
          <w:rFonts w:hint="eastAsia" w:ascii="宋体" w:hAnsi="宋体" w:cs="宋体"/>
          <w:sz w:val="24"/>
        </w:rPr>
        <w:t xml:space="preserve">    名    称：</w:t>
      </w:r>
      <w:r>
        <w:rPr>
          <w:rFonts w:hint="eastAsia" w:ascii="宋体" w:hAnsi="宋体" w:cs="宋体"/>
          <w:sz w:val="24"/>
          <w:lang w:eastAsia="zh-CN"/>
        </w:rPr>
        <w:t>杭州市上城区综合行政执法局</w:t>
      </w:r>
      <w:r>
        <w:rPr>
          <w:rFonts w:hint="eastAsia" w:ascii="宋体" w:hAnsi="宋体" w:cs="宋体"/>
          <w:sz w:val="24"/>
        </w:rPr>
        <w:t xml:space="preserve"> </w:t>
      </w:r>
    </w:p>
    <w:p w14:paraId="512BAB75">
      <w:pPr>
        <w:spacing w:line="360" w:lineRule="auto"/>
        <w:rPr>
          <w:rFonts w:ascii="宋体" w:hAnsi="宋体" w:cs="宋体"/>
          <w:sz w:val="24"/>
        </w:rPr>
      </w:pPr>
      <w:r>
        <w:rPr>
          <w:rFonts w:hint="eastAsia" w:ascii="宋体" w:hAnsi="宋体" w:cs="宋体"/>
          <w:sz w:val="24"/>
        </w:rPr>
        <w:t xml:space="preserve">    地    址：杭州市上城区彭埠街道环站东路358号邻居中心B座  </w:t>
      </w:r>
    </w:p>
    <w:p w14:paraId="202DEBEA">
      <w:pPr>
        <w:spacing w:line="360" w:lineRule="auto"/>
        <w:ind w:firstLine="480"/>
        <w:rPr>
          <w:rFonts w:ascii="宋体" w:hAnsi="宋体" w:cs="宋体"/>
          <w:sz w:val="24"/>
        </w:rPr>
      </w:pPr>
      <w:r>
        <w:rPr>
          <w:rFonts w:hint="eastAsia" w:ascii="宋体" w:hAnsi="宋体" w:cs="宋体"/>
          <w:sz w:val="24"/>
        </w:rPr>
        <w:t>传    真： /</w:t>
      </w:r>
    </w:p>
    <w:p w14:paraId="153B2764">
      <w:pPr>
        <w:spacing w:line="360" w:lineRule="auto"/>
        <w:ind w:firstLine="480"/>
        <w:rPr>
          <w:rFonts w:hint="default" w:ascii="宋体" w:hAnsi="宋体" w:cs="宋体"/>
          <w:sz w:val="24"/>
          <w:highlight w:val="none"/>
        </w:rPr>
      </w:pPr>
      <w:r>
        <w:rPr>
          <w:rFonts w:hint="eastAsia" w:ascii="宋体" w:hAnsi="宋体" w:cs="宋体"/>
          <w:sz w:val="24"/>
          <w:highlight w:val="none"/>
        </w:rPr>
        <w:t>项目联系人（询问）：王</w:t>
      </w:r>
      <w:r>
        <w:rPr>
          <w:rFonts w:hint="default" w:ascii="宋体" w:hAnsi="宋体" w:cs="宋体"/>
          <w:sz w:val="24"/>
          <w:highlight w:val="none"/>
        </w:rPr>
        <w:t>工</w:t>
      </w:r>
    </w:p>
    <w:p w14:paraId="27D9F21E">
      <w:pPr>
        <w:spacing w:line="360" w:lineRule="auto"/>
        <w:rPr>
          <w:rFonts w:ascii="宋体" w:hAnsi="宋体" w:cs="宋体"/>
          <w:sz w:val="24"/>
          <w:highlight w:val="none"/>
        </w:rPr>
      </w:pPr>
      <w:r>
        <w:rPr>
          <w:rFonts w:hint="eastAsia" w:ascii="宋体" w:hAnsi="宋体" w:cs="宋体"/>
          <w:sz w:val="24"/>
          <w:highlight w:val="none"/>
        </w:rPr>
        <w:t xml:space="preserve">    项目联系方式（询问）：0571-86550131</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w:t>
      </w:r>
    </w:p>
    <w:p w14:paraId="75E66E90">
      <w:pPr>
        <w:spacing w:line="360" w:lineRule="auto"/>
        <w:rPr>
          <w:rFonts w:ascii="宋体" w:hAnsi="宋体" w:cs="宋体"/>
          <w:sz w:val="24"/>
          <w:highlight w:val="none"/>
        </w:rPr>
      </w:pPr>
      <w:r>
        <w:rPr>
          <w:rFonts w:hint="eastAsia" w:ascii="宋体" w:hAnsi="宋体" w:cs="宋体"/>
          <w:sz w:val="24"/>
          <w:highlight w:val="none"/>
        </w:rPr>
        <w:t xml:space="preserve">    质疑联系人：蒋</w:t>
      </w:r>
      <w:r>
        <w:rPr>
          <w:rFonts w:hint="default" w:ascii="宋体" w:hAnsi="宋体" w:cs="宋体"/>
          <w:sz w:val="24"/>
          <w:highlight w:val="none"/>
        </w:rPr>
        <w:t>工</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w:t>
      </w:r>
    </w:p>
    <w:p w14:paraId="4FC75453">
      <w:pPr>
        <w:spacing w:line="360" w:lineRule="auto"/>
        <w:rPr>
          <w:rFonts w:ascii="宋体" w:hAnsi="宋体" w:cs="宋体"/>
          <w:sz w:val="24"/>
          <w:highlight w:val="none"/>
        </w:rPr>
      </w:pPr>
      <w:r>
        <w:rPr>
          <w:rFonts w:hint="eastAsia" w:ascii="宋体" w:hAnsi="宋体" w:cs="宋体"/>
          <w:sz w:val="24"/>
          <w:highlight w:val="none"/>
        </w:rPr>
        <w:t xml:space="preserve">    质疑联系方式：0571-86550287（请通过以下路径在线提起质疑：政采云-项目采购-询问质疑投诉-质疑列表）</w:t>
      </w:r>
    </w:p>
    <w:p w14:paraId="004E135A">
      <w:pPr>
        <w:spacing w:line="360" w:lineRule="auto"/>
        <w:rPr>
          <w:rFonts w:ascii="宋体" w:hAnsi="宋体" w:cs="宋体"/>
          <w:sz w:val="24"/>
        </w:rPr>
      </w:pPr>
      <w:r>
        <w:rPr>
          <w:rFonts w:hint="eastAsia" w:ascii="宋体" w:hAnsi="宋体" w:cs="宋体"/>
          <w:sz w:val="24"/>
        </w:rPr>
        <w:t xml:space="preserve">    2.采购代理机构信息 </w:t>
      </w:r>
    </w:p>
    <w:p w14:paraId="19222D6D">
      <w:pPr>
        <w:spacing w:line="360" w:lineRule="auto"/>
        <w:ind w:firstLine="480"/>
        <w:rPr>
          <w:rFonts w:ascii="宋体" w:hAnsi="宋体" w:cs="宋体"/>
          <w:sz w:val="24"/>
        </w:rPr>
      </w:pPr>
      <w:r>
        <w:rPr>
          <w:rFonts w:hint="eastAsia" w:ascii="宋体" w:hAnsi="宋体" w:cs="宋体"/>
          <w:sz w:val="24"/>
        </w:rPr>
        <w:t>名    称：杭州建设工程造价咨询有限公司</w:t>
      </w:r>
    </w:p>
    <w:p w14:paraId="04D60F01">
      <w:pPr>
        <w:spacing w:line="360" w:lineRule="auto"/>
        <w:ind w:firstLine="480"/>
        <w:rPr>
          <w:rFonts w:ascii="宋体" w:hAnsi="宋体" w:cs="宋体"/>
          <w:sz w:val="24"/>
        </w:rPr>
      </w:pPr>
      <w:r>
        <w:rPr>
          <w:rFonts w:hint="eastAsia" w:ascii="宋体" w:hAnsi="宋体" w:cs="宋体"/>
          <w:sz w:val="24"/>
        </w:rPr>
        <w:t xml:space="preserve">地    址：杭州市萧山区联合中心D座4楼 </w:t>
      </w:r>
    </w:p>
    <w:p w14:paraId="4991D408">
      <w:pPr>
        <w:spacing w:line="360" w:lineRule="auto"/>
        <w:rPr>
          <w:rFonts w:ascii="宋体" w:hAnsi="宋体" w:cs="宋体"/>
          <w:sz w:val="24"/>
        </w:rPr>
      </w:pPr>
      <w:r>
        <w:rPr>
          <w:rFonts w:hint="eastAsia" w:ascii="宋体" w:hAnsi="宋体" w:cs="宋体"/>
          <w:sz w:val="24"/>
        </w:rPr>
        <w:t xml:space="preserve">    传    真： /</w:t>
      </w:r>
    </w:p>
    <w:p w14:paraId="31CAA364">
      <w:pPr>
        <w:spacing w:line="360" w:lineRule="auto"/>
        <w:rPr>
          <w:rFonts w:ascii="宋体" w:hAnsi="宋体" w:cs="宋体"/>
          <w:sz w:val="24"/>
        </w:rPr>
      </w:pPr>
      <w:r>
        <w:rPr>
          <w:rFonts w:hint="eastAsia" w:ascii="宋体" w:hAnsi="宋体" w:cs="宋体"/>
          <w:sz w:val="24"/>
        </w:rPr>
        <w:t xml:space="preserve">    项目联系人（询问）：冯伟东  </w:t>
      </w:r>
    </w:p>
    <w:p w14:paraId="3595D29D">
      <w:pPr>
        <w:spacing w:line="360" w:lineRule="auto"/>
        <w:rPr>
          <w:rFonts w:ascii="宋体" w:hAnsi="宋体" w:cs="宋体"/>
          <w:sz w:val="24"/>
        </w:rPr>
      </w:pPr>
      <w:r>
        <w:rPr>
          <w:rFonts w:hint="eastAsia" w:ascii="宋体" w:hAnsi="宋体" w:cs="宋体"/>
          <w:sz w:val="24"/>
        </w:rPr>
        <w:t xml:space="preserve">    项目联系方式（询问）：15167157276 </w:t>
      </w:r>
    </w:p>
    <w:p w14:paraId="163BF579">
      <w:pPr>
        <w:spacing w:line="360" w:lineRule="auto"/>
        <w:rPr>
          <w:rFonts w:ascii="宋体" w:hAnsi="宋体" w:cs="宋体"/>
          <w:sz w:val="24"/>
        </w:rPr>
      </w:pPr>
      <w:r>
        <w:rPr>
          <w:rFonts w:hint="eastAsia" w:ascii="宋体" w:hAnsi="宋体" w:cs="宋体"/>
          <w:sz w:val="24"/>
        </w:rPr>
        <w:t xml:space="preserve">    质疑联系人：周晓斌  </w:t>
      </w:r>
    </w:p>
    <w:p w14:paraId="72BC3998">
      <w:pPr>
        <w:spacing w:line="360" w:lineRule="auto"/>
        <w:rPr>
          <w:rFonts w:ascii="宋体" w:hAnsi="宋体" w:cs="宋体"/>
          <w:sz w:val="24"/>
        </w:rPr>
      </w:pPr>
      <w:r>
        <w:rPr>
          <w:rFonts w:hint="eastAsia" w:ascii="宋体" w:hAnsi="宋体" w:cs="宋体"/>
          <w:sz w:val="24"/>
        </w:rPr>
        <w:t xml:space="preserve">    质疑联系方式：0571-87831856（请通过以下路径在线提起质疑：政采云-项目采购-询问质疑投诉-质疑列表）</w:t>
      </w:r>
    </w:p>
    <w:p w14:paraId="6677484A">
      <w:pPr>
        <w:spacing w:line="360" w:lineRule="auto"/>
        <w:rPr>
          <w:rFonts w:ascii="宋体" w:hAnsi="宋体" w:cs="宋体"/>
          <w:sz w:val="24"/>
        </w:rPr>
      </w:pPr>
      <w:r>
        <w:rPr>
          <w:rFonts w:hint="eastAsia" w:ascii="宋体" w:hAnsi="宋体" w:cs="宋体"/>
          <w:sz w:val="24"/>
        </w:rPr>
        <w:t xml:space="preserve">    3.同级政府采购监督管理部门 </w:t>
      </w:r>
    </w:p>
    <w:p w14:paraId="21C07959">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26F3AAC3">
      <w:pPr>
        <w:spacing w:line="360" w:lineRule="auto"/>
        <w:rPr>
          <w:rFonts w:ascii="宋体" w:hAnsi="宋体" w:cs="宋体"/>
          <w:sz w:val="24"/>
        </w:rPr>
      </w:pPr>
      <w:r>
        <w:rPr>
          <w:rFonts w:hint="eastAsia" w:ascii="宋体" w:hAnsi="宋体" w:cs="宋体"/>
          <w:sz w:val="24"/>
        </w:rPr>
        <w:t xml:space="preserve">    地    址：杭州市上城区清泰街549号城建综合大楼11楼（快递仅限ems或顺丰） </w:t>
      </w:r>
    </w:p>
    <w:p w14:paraId="7285E19D">
      <w:pPr>
        <w:spacing w:line="360" w:lineRule="auto"/>
        <w:rPr>
          <w:rFonts w:ascii="宋体" w:hAnsi="宋体" w:cs="宋体"/>
          <w:sz w:val="24"/>
        </w:rPr>
      </w:pPr>
      <w:r>
        <w:rPr>
          <w:rFonts w:hint="eastAsia" w:ascii="宋体" w:hAnsi="宋体" w:cs="宋体"/>
          <w:sz w:val="24"/>
        </w:rPr>
        <w:t xml:space="preserve">    传    真： /</w:t>
      </w:r>
    </w:p>
    <w:p w14:paraId="70E45D39">
      <w:pPr>
        <w:spacing w:line="360" w:lineRule="auto"/>
        <w:rPr>
          <w:rFonts w:ascii="宋体" w:hAnsi="宋体" w:cs="宋体"/>
          <w:sz w:val="24"/>
        </w:rPr>
      </w:pPr>
      <w:r>
        <w:rPr>
          <w:rFonts w:hint="eastAsia" w:ascii="宋体" w:hAnsi="宋体" w:cs="宋体"/>
          <w:sz w:val="24"/>
        </w:rPr>
        <w:t xml:space="preserve">    联系人 ：朱女士、王女士</w:t>
      </w:r>
    </w:p>
    <w:p w14:paraId="4E7B1C1F">
      <w:pPr>
        <w:spacing w:line="360" w:lineRule="auto"/>
        <w:ind w:firstLine="480"/>
        <w:rPr>
          <w:rFonts w:ascii="宋体" w:hAnsi="宋体" w:cs="宋体"/>
          <w:sz w:val="24"/>
        </w:rPr>
      </w:pPr>
      <w:r>
        <w:rPr>
          <w:rFonts w:hint="eastAsia" w:ascii="宋体" w:hAnsi="宋体" w:cs="宋体"/>
          <w:sz w:val="24"/>
        </w:rPr>
        <w:t xml:space="preserve">监督投诉电话： 0571-87227671,0571-87800218   </w:t>
      </w:r>
    </w:p>
    <w:p w14:paraId="36843A17">
      <w:pPr>
        <w:spacing w:line="360" w:lineRule="auto"/>
        <w:ind w:firstLine="480"/>
        <w:rPr>
          <w:rFonts w:ascii="宋体" w:hAnsi="宋体" w:cs="宋体"/>
          <w:sz w:val="24"/>
        </w:rPr>
      </w:pPr>
      <w:r>
        <w:rPr>
          <w:rFonts w:hint="eastAsia" w:ascii="宋体" w:hAnsi="宋体" w:cs="宋体"/>
          <w:sz w:val="24"/>
        </w:rPr>
        <w:t>政策咨询：沈先生、陈先生，0571-89580457、89580460</w:t>
      </w:r>
    </w:p>
    <w:p w14:paraId="6DC77404">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szCs w:val="21"/>
          <w:shd w:val="clear" w:color="auto" w:fill="FFFFFF"/>
        </w:rPr>
        <w:t>95763</w:t>
      </w:r>
      <w:r>
        <w:rPr>
          <w:rFonts w:hint="eastAsia" w:ascii="宋体" w:hAnsi="宋体" w:cs="宋体"/>
          <w:sz w:val="24"/>
        </w:rPr>
        <w:t>获取热线服务帮助。</w:t>
      </w:r>
    </w:p>
    <w:p w14:paraId="3526082D">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407567E5">
      <w:pPr>
        <w:widowControl/>
        <w:adjustRightInd/>
        <w:jc w:val="left"/>
        <w:rPr>
          <w:rFonts w:ascii="宋体" w:hAnsi="宋体" w:cs="宋体"/>
          <w:b/>
          <w:sz w:val="36"/>
          <w:szCs w:val="20"/>
        </w:rPr>
      </w:pPr>
      <w:r>
        <w:rPr>
          <w:rFonts w:ascii="宋体" w:hAnsi="宋体" w:cs="宋体"/>
          <w:b/>
          <w:sz w:val="36"/>
          <w:szCs w:val="20"/>
        </w:rPr>
        <w:br w:type="page"/>
      </w:r>
    </w:p>
    <w:p w14:paraId="5AE598C0">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0F9F01B2">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90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65"/>
        <w:gridCol w:w="1949"/>
        <w:gridCol w:w="6445"/>
      </w:tblGrid>
      <w:tr w14:paraId="0A988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5" w:hRule="atLeast"/>
          <w:tblHeader/>
        </w:trPr>
        <w:tc>
          <w:tcPr>
            <w:tcW w:w="665" w:type="dxa"/>
            <w:tcBorders>
              <w:top w:val="single" w:color="auto" w:sz="4" w:space="0"/>
              <w:left w:val="single" w:color="auto" w:sz="4" w:space="0"/>
              <w:bottom w:val="single" w:color="auto" w:sz="4" w:space="0"/>
              <w:right w:val="single" w:color="auto" w:sz="4" w:space="0"/>
            </w:tcBorders>
            <w:vAlign w:val="center"/>
          </w:tcPr>
          <w:p w14:paraId="2FB629E8">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序号</w:t>
            </w:r>
          </w:p>
        </w:tc>
        <w:tc>
          <w:tcPr>
            <w:tcW w:w="1949" w:type="dxa"/>
            <w:tcBorders>
              <w:top w:val="single" w:color="000000" w:sz="8" w:space="0"/>
              <w:left w:val="single" w:color="auto" w:sz="4" w:space="0"/>
              <w:bottom w:val="single" w:color="000000" w:sz="8" w:space="0"/>
              <w:right w:val="single" w:color="000000" w:sz="8" w:space="0"/>
            </w:tcBorders>
            <w:vAlign w:val="center"/>
          </w:tcPr>
          <w:p w14:paraId="34036899">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事项</w:t>
            </w:r>
          </w:p>
        </w:tc>
        <w:tc>
          <w:tcPr>
            <w:tcW w:w="6445" w:type="dxa"/>
            <w:tcBorders>
              <w:top w:val="single" w:color="000000" w:sz="8" w:space="0"/>
              <w:left w:val="single" w:color="000000" w:sz="2" w:space="0"/>
              <w:bottom w:val="single" w:color="000000" w:sz="8" w:space="0"/>
              <w:right w:val="single" w:color="000000" w:sz="8" w:space="0"/>
            </w:tcBorders>
            <w:vAlign w:val="center"/>
          </w:tcPr>
          <w:p w14:paraId="7CCBA527">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本项目的特别规定</w:t>
            </w:r>
          </w:p>
        </w:tc>
      </w:tr>
      <w:tr w14:paraId="0217D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1" w:hRule="atLeast"/>
          <w:tblHeader/>
        </w:trPr>
        <w:tc>
          <w:tcPr>
            <w:tcW w:w="665" w:type="dxa"/>
            <w:tcBorders>
              <w:top w:val="single" w:color="auto" w:sz="4" w:space="0"/>
              <w:left w:val="single" w:color="auto" w:sz="4" w:space="0"/>
              <w:bottom w:val="single" w:color="auto" w:sz="4" w:space="0"/>
              <w:right w:val="single" w:color="auto" w:sz="4" w:space="0"/>
            </w:tcBorders>
            <w:vAlign w:val="center"/>
          </w:tcPr>
          <w:p w14:paraId="0F04009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w:t>
            </w:r>
          </w:p>
        </w:tc>
        <w:tc>
          <w:tcPr>
            <w:tcW w:w="1949" w:type="dxa"/>
            <w:tcBorders>
              <w:top w:val="single" w:color="000000" w:sz="8" w:space="0"/>
              <w:left w:val="single" w:color="auto" w:sz="4" w:space="0"/>
              <w:bottom w:val="single" w:color="000000" w:sz="8" w:space="0"/>
              <w:right w:val="single" w:color="000000" w:sz="8" w:space="0"/>
            </w:tcBorders>
            <w:vAlign w:val="center"/>
          </w:tcPr>
          <w:p w14:paraId="1DE0D339">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项目属性</w:t>
            </w:r>
          </w:p>
        </w:tc>
        <w:tc>
          <w:tcPr>
            <w:tcW w:w="6445" w:type="dxa"/>
            <w:tcBorders>
              <w:top w:val="single" w:color="000000" w:sz="8" w:space="0"/>
              <w:left w:val="single" w:color="000000" w:sz="2" w:space="0"/>
              <w:bottom w:val="single" w:color="000000" w:sz="8" w:space="0"/>
              <w:right w:val="single" w:color="000000" w:sz="8" w:space="0"/>
            </w:tcBorders>
            <w:vAlign w:val="center"/>
          </w:tcPr>
          <w:p w14:paraId="77D69003">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服务类。</w:t>
            </w:r>
          </w:p>
        </w:tc>
      </w:tr>
      <w:tr w14:paraId="19BF4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1" w:hRule="atLeast"/>
          <w:tblHeader/>
        </w:trPr>
        <w:tc>
          <w:tcPr>
            <w:tcW w:w="665" w:type="dxa"/>
            <w:tcBorders>
              <w:top w:val="single" w:color="auto" w:sz="4" w:space="0"/>
              <w:left w:val="single" w:color="auto" w:sz="4" w:space="0"/>
              <w:bottom w:val="single" w:color="auto" w:sz="4" w:space="0"/>
              <w:right w:val="single" w:color="auto" w:sz="4" w:space="0"/>
            </w:tcBorders>
            <w:vAlign w:val="center"/>
          </w:tcPr>
          <w:p w14:paraId="20A586F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2</w:t>
            </w:r>
          </w:p>
        </w:tc>
        <w:tc>
          <w:tcPr>
            <w:tcW w:w="1949" w:type="dxa"/>
            <w:tcBorders>
              <w:top w:val="single" w:color="000000" w:sz="8" w:space="0"/>
              <w:left w:val="single" w:color="auto" w:sz="4" w:space="0"/>
              <w:bottom w:val="single" w:color="000000" w:sz="8" w:space="0"/>
              <w:right w:val="single" w:color="000000" w:sz="8" w:space="0"/>
            </w:tcBorders>
            <w:vAlign w:val="center"/>
          </w:tcPr>
          <w:p w14:paraId="7A2FA22E">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采购标的及其对应的中小企业划分标准所属行业</w:t>
            </w:r>
          </w:p>
        </w:tc>
        <w:tc>
          <w:tcPr>
            <w:tcW w:w="6445" w:type="dxa"/>
            <w:tcBorders>
              <w:top w:val="single" w:color="000000" w:sz="8" w:space="0"/>
              <w:left w:val="single" w:color="000000" w:sz="2" w:space="0"/>
              <w:bottom w:val="single" w:color="000000" w:sz="8" w:space="0"/>
              <w:right w:val="single" w:color="000000" w:sz="8" w:space="0"/>
            </w:tcBorders>
            <w:vAlign w:val="center"/>
          </w:tcPr>
          <w:p w14:paraId="729A2D1B">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kern w:val="0"/>
                <w:sz w:val="24"/>
              </w:rPr>
              <w:t>（1）标的：</w:t>
            </w:r>
            <w:r>
              <w:rPr>
                <w:rFonts w:hint="eastAsia" w:ascii="宋体" w:hAnsi="宋体" w:cs="宋体"/>
                <w:kern w:val="0"/>
                <w:sz w:val="24"/>
                <w:u w:val="single"/>
              </w:rPr>
              <w:t xml:space="preserve"> </w:t>
            </w:r>
            <w:r>
              <w:rPr>
                <w:rFonts w:hint="eastAsia" w:ascii="宋体" w:hAnsi="宋体" w:cs="宋体"/>
                <w:kern w:val="0"/>
                <w:sz w:val="24"/>
                <w:u w:val="single"/>
                <w:lang w:eastAsia="zh-CN"/>
              </w:rPr>
              <w:t>上城区城市管理智治平台改造项目（信创）</w:t>
            </w:r>
            <w:r>
              <w:rPr>
                <w:rFonts w:hint="eastAsia" w:ascii="宋体" w:hAnsi="宋体" w:cs="宋体"/>
                <w:kern w:val="0"/>
                <w:sz w:val="24"/>
                <w:u w:val="single"/>
                <w:lang w:val="en-US" w:eastAsia="zh-CN"/>
              </w:rPr>
              <w:t>,</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软件和信息技术服务业 </w:t>
            </w:r>
            <w:r>
              <w:rPr>
                <w:rFonts w:hint="eastAsia" w:ascii="宋体" w:hAnsi="宋体" w:cs="宋体"/>
                <w:color w:val="auto"/>
                <w:kern w:val="0"/>
                <w:sz w:val="24"/>
                <w:highlight w:val="none"/>
              </w:rPr>
              <w:t>行业；</w:t>
            </w:r>
          </w:p>
          <w:p w14:paraId="7F7FECF5">
            <w:pPr>
              <w:keepNext w:val="0"/>
              <w:keepLines w:val="0"/>
              <w:suppressLineNumbers w:val="0"/>
              <w:spacing w:before="0" w:beforeAutospacing="0" w:after="0" w:afterAutospacing="0"/>
              <w:ind w:left="0" w:right="0"/>
              <w:rPr>
                <w:rFonts w:hint="default"/>
              </w:rPr>
            </w:pPr>
            <w:r>
              <w:rPr>
                <w:rFonts w:hint="eastAsia" w:ascii="宋体" w:hAnsi="宋体" w:cs="宋体"/>
                <w:color w:val="auto"/>
                <w:kern w:val="0"/>
                <w:sz w:val="24"/>
                <w:highlight w:val="none"/>
              </w:rPr>
              <w:t>根据《关于印发中小企业划型标准规定的通知》（工信部联企业〔2011〕300号）第四条规定：软件和信息技术服务业中，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48E192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1" w:hRule="atLeast"/>
          <w:tblHeader/>
        </w:trPr>
        <w:tc>
          <w:tcPr>
            <w:tcW w:w="665" w:type="dxa"/>
            <w:tcBorders>
              <w:top w:val="single" w:color="auto" w:sz="4" w:space="0"/>
              <w:left w:val="single" w:color="auto" w:sz="4" w:space="0"/>
              <w:bottom w:val="single" w:color="auto" w:sz="4" w:space="0"/>
              <w:right w:val="single" w:color="auto" w:sz="4" w:space="0"/>
            </w:tcBorders>
            <w:vAlign w:val="center"/>
          </w:tcPr>
          <w:p w14:paraId="616E131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3</w:t>
            </w:r>
          </w:p>
        </w:tc>
        <w:tc>
          <w:tcPr>
            <w:tcW w:w="1949" w:type="dxa"/>
            <w:tcBorders>
              <w:top w:val="single" w:color="000000" w:sz="8" w:space="0"/>
              <w:left w:val="single" w:color="auto" w:sz="4" w:space="0"/>
              <w:bottom w:val="single" w:color="000000" w:sz="8" w:space="0"/>
              <w:right w:val="single" w:color="000000" w:sz="8" w:space="0"/>
            </w:tcBorders>
            <w:vAlign w:val="center"/>
          </w:tcPr>
          <w:p w14:paraId="1F5A5045">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是否允许采购进口产品</w:t>
            </w:r>
          </w:p>
        </w:tc>
        <w:tc>
          <w:tcPr>
            <w:tcW w:w="6445" w:type="dxa"/>
            <w:tcBorders>
              <w:top w:val="single" w:color="000000" w:sz="8" w:space="0"/>
              <w:left w:val="single" w:color="000000" w:sz="2" w:space="0"/>
              <w:bottom w:val="single" w:color="000000" w:sz="8" w:space="0"/>
              <w:right w:val="single" w:color="000000" w:sz="8" w:space="0"/>
            </w:tcBorders>
            <w:vAlign w:val="center"/>
          </w:tcPr>
          <w:p w14:paraId="29162243">
            <w:pPr>
              <w:keepNext w:val="0"/>
              <w:keepLines w:val="0"/>
              <w:suppressLineNumbers w:val="0"/>
              <w:spacing w:before="0" w:beforeAutospacing="0" w:after="0" w:afterAutospacing="0" w:line="360" w:lineRule="auto"/>
              <w:ind w:left="0" w:right="0"/>
              <w:rPr>
                <w:rFonts w:hint="default" w:ascii="宋体" w:hAnsi="宋体" w:cs="宋体"/>
                <w:kern w:val="0"/>
                <w:sz w:val="24"/>
              </w:rPr>
            </w:pPr>
            <w:sdt>
              <w:sdtPr>
                <w:rPr>
                  <w:rFonts w:hint="eastAsia" w:ascii="宋体" w:hAnsi="宋体" w:cs="宋体"/>
                  <w:kern w:val="0"/>
                  <w:sz w:val="24"/>
                </w:rPr>
                <w:id w:val="14745891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05F39FB9">
            <w:pPr>
              <w:keepNext w:val="0"/>
              <w:keepLines w:val="0"/>
              <w:suppressLineNumbers w:val="0"/>
              <w:spacing w:before="0" w:beforeAutospacing="0" w:after="0" w:afterAutospacing="0" w:line="360" w:lineRule="auto"/>
              <w:ind w:left="0" w:right="0"/>
              <w:rPr>
                <w:rFonts w:hint="default" w:ascii="宋体" w:hAnsi="宋体" w:cs="宋体"/>
              </w:rPr>
            </w:pPr>
            <w:sdt>
              <w:sdtPr>
                <w:rPr>
                  <w:rFonts w:hint="eastAsia" w:ascii="宋体" w:hAnsi="宋体" w:cs="宋体"/>
                  <w:kern w:val="0"/>
                  <w:sz w:val="24"/>
                </w:rPr>
                <w:id w:val="14745376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采购进口产品。优先采购向我国企业转让技术、与我国企业签订消化吸收再创新方案的供应商的进口产品，详见</w:t>
            </w:r>
            <w:r>
              <w:rPr>
                <w:rFonts w:hint="eastAsia" w:ascii="宋体" w:hAnsi="宋体" w:cs="宋体"/>
                <w:kern w:val="0"/>
                <w:sz w:val="24"/>
                <w:u w:val="single"/>
              </w:rPr>
              <w:t>评分标准</w:t>
            </w:r>
            <w:r>
              <w:rPr>
                <w:rFonts w:hint="eastAsia" w:ascii="宋体" w:hAnsi="宋体" w:cs="宋体"/>
                <w:kern w:val="0"/>
                <w:sz w:val="24"/>
              </w:rPr>
              <w:t>。</w:t>
            </w:r>
          </w:p>
        </w:tc>
      </w:tr>
      <w:tr w14:paraId="0B7B0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1" w:hRule="atLeast"/>
          <w:tblHeader/>
        </w:trPr>
        <w:tc>
          <w:tcPr>
            <w:tcW w:w="665" w:type="dxa"/>
            <w:tcBorders>
              <w:top w:val="single" w:color="auto" w:sz="4" w:space="0"/>
              <w:left w:val="single" w:color="auto" w:sz="4" w:space="0"/>
              <w:bottom w:val="single" w:color="auto" w:sz="4" w:space="0"/>
              <w:right w:val="single" w:color="auto" w:sz="4" w:space="0"/>
            </w:tcBorders>
            <w:vAlign w:val="center"/>
          </w:tcPr>
          <w:p w14:paraId="154A7B9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4</w:t>
            </w:r>
          </w:p>
        </w:tc>
        <w:tc>
          <w:tcPr>
            <w:tcW w:w="1949" w:type="dxa"/>
            <w:tcBorders>
              <w:top w:val="single" w:color="000000" w:sz="8" w:space="0"/>
              <w:left w:val="single" w:color="auto" w:sz="4" w:space="0"/>
              <w:bottom w:val="single" w:color="000000" w:sz="8" w:space="0"/>
              <w:right w:val="single" w:color="000000" w:sz="8" w:space="0"/>
            </w:tcBorders>
            <w:vAlign w:val="center"/>
          </w:tcPr>
          <w:p w14:paraId="6C752778">
            <w:pPr>
              <w:keepNext w:val="0"/>
              <w:keepLines w:val="0"/>
              <w:suppressLineNumbers w:val="0"/>
              <w:snapToGrid w:val="0"/>
              <w:spacing w:before="0" w:beforeAutospacing="0" w:after="0" w:afterAutospacing="0" w:line="360" w:lineRule="auto"/>
              <w:ind w:left="0" w:right="0" w:firstLine="482" w:firstLineChars="200"/>
              <w:rPr>
                <w:rFonts w:hint="default" w:ascii="宋体" w:hAnsi="宋体" w:cs="宋体"/>
                <w:b/>
                <w:sz w:val="24"/>
              </w:rPr>
            </w:pPr>
            <w:r>
              <w:rPr>
                <w:rFonts w:hint="eastAsia" w:ascii="宋体" w:hAnsi="宋体" w:cs="宋体"/>
                <w:b/>
                <w:sz w:val="24"/>
              </w:rPr>
              <w:t>分包</w:t>
            </w:r>
          </w:p>
        </w:tc>
        <w:tc>
          <w:tcPr>
            <w:tcW w:w="6445" w:type="dxa"/>
            <w:tcBorders>
              <w:top w:val="single" w:color="000000" w:sz="8" w:space="0"/>
              <w:left w:val="single" w:color="000000" w:sz="2" w:space="0"/>
              <w:bottom w:val="single" w:color="000000" w:sz="8" w:space="0"/>
              <w:right w:val="single" w:color="000000" w:sz="8" w:space="0"/>
            </w:tcBorders>
            <w:vAlign w:val="center"/>
          </w:tcPr>
          <w:p w14:paraId="6E2EA598">
            <w:pPr>
              <w:keepNext w:val="0"/>
              <w:keepLines w:val="0"/>
              <w:suppressLineNumbers w:val="0"/>
              <w:spacing w:before="0" w:beforeAutospacing="0" w:after="0" w:afterAutospacing="0" w:line="360" w:lineRule="auto"/>
              <w:ind w:left="0" w:right="0"/>
              <w:rPr>
                <w:rFonts w:hint="default" w:ascii="宋体" w:hAnsi="宋体" w:cs="宋体"/>
                <w:sz w:val="24"/>
              </w:rPr>
            </w:pPr>
            <w:sdt>
              <w:sdtPr>
                <w:rPr>
                  <w:rFonts w:hint="eastAsia" w:ascii="宋体" w:hAnsi="宋体" w:cs="宋体"/>
                  <w:kern w:val="0"/>
                  <w:sz w:val="24"/>
                </w:rPr>
                <w:id w:val="147452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default"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u w:val="single"/>
                <w:lang w:val="en-US" w:eastAsia="zh-CN"/>
              </w:rPr>
              <w:t>劳务</w:t>
            </w:r>
            <w:r>
              <w:rPr>
                <w:rFonts w:hint="eastAsia" w:ascii="宋体" w:hAnsi="宋体" w:cs="宋体"/>
                <w:sz w:val="24"/>
                <w:u w:val="single"/>
              </w:rPr>
              <w:t xml:space="preserve">  </w:t>
            </w:r>
            <w:r>
              <w:rPr>
                <w:rFonts w:hint="eastAsia" w:ascii="宋体" w:hAnsi="宋体" w:cs="宋体"/>
                <w:sz w:val="24"/>
              </w:rPr>
              <w:t>工作分包。</w:t>
            </w:r>
          </w:p>
          <w:p w14:paraId="58DB1D41">
            <w:pPr>
              <w:keepNext w:val="0"/>
              <w:keepLines w:val="0"/>
              <w:suppressLineNumbers w:val="0"/>
              <w:spacing w:before="0" w:beforeAutospacing="0" w:after="0" w:afterAutospacing="0" w:line="360" w:lineRule="auto"/>
              <w:ind w:left="0" w:right="0"/>
              <w:rPr>
                <w:rFonts w:hint="default" w:ascii="宋体" w:hAnsi="宋体" w:cs="宋体"/>
                <w:sz w:val="24"/>
              </w:rPr>
            </w:pPr>
            <w:sdt>
              <w:sdtPr>
                <w:rPr>
                  <w:rFonts w:hint="eastAsia" w:ascii="宋体" w:hAnsi="宋体" w:cs="宋体"/>
                  <w:kern w:val="0"/>
                  <w:sz w:val="24"/>
                </w:rPr>
                <w:id w:val="14745661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default"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14:paraId="38794447">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注：不得限制大中型企业向小微企业合理分包。</w:t>
            </w:r>
          </w:p>
        </w:tc>
      </w:tr>
      <w:tr w14:paraId="539F0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31" w:hRule="atLeast"/>
          <w:tblHeader/>
        </w:trPr>
        <w:tc>
          <w:tcPr>
            <w:tcW w:w="665" w:type="dxa"/>
            <w:tcBorders>
              <w:top w:val="single" w:color="auto" w:sz="4" w:space="0"/>
              <w:left w:val="single" w:color="auto" w:sz="4" w:space="0"/>
              <w:bottom w:val="single" w:color="auto" w:sz="4" w:space="0"/>
              <w:right w:val="single" w:color="auto" w:sz="4" w:space="0"/>
            </w:tcBorders>
            <w:vAlign w:val="center"/>
          </w:tcPr>
          <w:p w14:paraId="3CE64E6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5</w:t>
            </w:r>
          </w:p>
        </w:tc>
        <w:tc>
          <w:tcPr>
            <w:tcW w:w="1949" w:type="dxa"/>
            <w:tcBorders>
              <w:top w:val="single" w:color="000000" w:sz="8" w:space="0"/>
              <w:left w:val="single" w:color="auto" w:sz="4" w:space="0"/>
              <w:bottom w:val="single" w:color="000000" w:sz="8" w:space="0"/>
              <w:right w:val="single" w:color="000000" w:sz="8" w:space="0"/>
            </w:tcBorders>
            <w:vAlign w:val="center"/>
          </w:tcPr>
          <w:p w14:paraId="4A4F0BFA">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开标前答疑会或现场考察</w:t>
            </w:r>
          </w:p>
        </w:tc>
        <w:tc>
          <w:tcPr>
            <w:tcW w:w="6445" w:type="dxa"/>
            <w:tcBorders>
              <w:top w:val="single" w:color="000000" w:sz="8" w:space="0"/>
              <w:left w:val="single" w:color="000000" w:sz="2" w:space="0"/>
              <w:bottom w:val="single" w:color="000000" w:sz="8" w:space="0"/>
              <w:right w:val="single" w:color="000000" w:sz="8" w:space="0"/>
            </w:tcBorders>
            <w:vAlign w:val="center"/>
          </w:tcPr>
          <w:p w14:paraId="26EFF495">
            <w:pPr>
              <w:keepNext w:val="0"/>
              <w:keepLines w:val="0"/>
              <w:suppressLineNumbers w:val="0"/>
              <w:spacing w:before="0" w:beforeAutospacing="0" w:after="0" w:afterAutospacing="0" w:line="360" w:lineRule="auto"/>
              <w:ind w:left="0" w:right="0"/>
              <w:rPr>
                <w:rFonts w:hint="default" w:ascii="宋体" w:hAnsi="宋体" w:cs="宋体"/>
                <w:sz w:val="24"/>
              </w:rPr>
            </w:pPr>
            <w:sdt>
              <w:sdtPr>
                <w:rPr>
                  <w:rFonts w:hint="eastAsia" w:ascii="宋体" w:hAnsi="宋体" w:cs="宋体"/>
                  <w:kern w:val="0"/>
                  <w:sz w:val="24"/>
                </w:rPr>
                <w:id w:val="14747284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default"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26E92961">
            <w:pPr>
              <w:keepNext w:val="0"/>
              <w:keepLines w:val="0"/>
              <w:suppressLineNumbers w:val="0"/>
              <w:spacing w:before="0" w:beforeAutospacing="0" w:after="0" w:afterAutospacing="0" w:line="360" w:lineRule="auto"/>
              <w:ind w:left="0" w:right="0"/>
              <w:rPr>
                <w:rFonts w:hint="default" w:ascii="宋体" w:hAnsi="宋体" w:cs="宋体"/>
                <w:sz w:val="24"/>
                <w:szCs w:val="20"/>
              </w:rPr>
            </w:pPr>
            <w:sdt>
              <w:sdtPr>
                <w:rPr>
                  <w:rFonts w:hint="eastAsia" w:ascii="宋体" w:hAnsi="宋体" w:cs="宋体"/>
                  <w:kern w:val="0"/>
                  <w:sz w:val="24"/>
                </w:rPr>
                <w:id w:val="14746284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p w14:paraId="48DB8609">
            <w:pPr>
              <w:keepNext w:val="0"/>
              <w:keepLines w:val="0"/>
              <w:suppressLineNumbers w:val="0"/>
              <w:spacing w:before="0" w:beforeAutospacing="0" w:after="0" w:afterAutospacing="0" w:line="360" w:lineRule="auto"/>
              <w:ind w:left="0" w:right="0"/>
              <w:rPr>
                <w:rFonts w:hint="default"/>
              </w:rPr>
            </w:pPr>
            <w:sdt>
              <w:sdtPr>
                <w:rPr>
                  <w:rFonts w:hint="eastAsia" w:ascii="宋体" w:hAnsi="宋体" w:cs="宋体"/>
                  <w:kern w:val="0"/>
                  <w:sz w:val="24"/>
                </w:rPr>
                <w:id w:val="14746049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C不统一组织，供应商在获取采购文件后，自行至项目现场考察。地点：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rPr>
              <w:t>。</w:t>
            </w:r>
          </w:p>
        </w:tc>
      </w:tr>
      <w:tr w14:paraId="38CCD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37" w:hRule="atLeast"/>
          <w:tblHeader/>
        </w:trPr>
        <w:tc>
          <w:tcPr>
            <w:tcW w:w="665" w:type="dxa"/>
            <w:tcBorders>
              <w:top w:val="single" w:color="auto" w:sz="4" w:space="0"/>
              <w:left w:val="single" w:color="auto" w:sz="4" w:space="0"/>
              <w:bottom w:val="single" w:color="auto" w:sz="4" w:space="0"/>
              <w:right w:val="single" w:color="auto" w:sz="4" w:space="0"/>
            </w:tcBorders>
            <w:vAlign w:val="center"/>
          </w:tcPr>
          <w:p w14:paraId="0959836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6</w:t>
            </w:r>
          </w:p>
        </w:tc>
        <w:tc>
          <w:tcPr>
            <w:tcW w:w="1949" w:type="dxa"/>
            <w:tcBorders>
              <w:top w:val="single" w:color="000000" w:sz="8" w:space="0"/>
              <w:left w:val="single" w:color="auto" w:sz="4" w:space="0"/>
              <w:bottom w:val="single" w:color="000000" w:sz="8" w:space="0"/>
              <w:right w:val="single" w:color="000000" w:sz="8" w:space="0"/>
            </w:tcBorders>
            <w:vAlign w:val="center"/>
          </w:tcPr>
          <w:p w14:paraId="681411C4">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样品提供</w:t>
            </w:r>
          </w:p>
        </w:tc>
        <w:tc>
          <w:tcPr>
            <w:tcW w:w="6445" w:type="dxa"/>
            <w:tcBorders>
              <w:top w:val="single" w:color="000000" w:sz="8" w:space="0"/>
              <w:left w:val="single" w:color="000000" w:sz="2" w:space="0"/>
              <w:bottom w:val="single" w:color="000000" w:sz="8" w:space="0"/>
              <w:right w:val="single" w:color="000000" w:sz="8" w:space="0"/>
            </w:tcBorders>
            <w:vAlign w:val="center"/>
          </w:tcPr>
          <w:p w14:paraId="1D875D92">
            <w:pPr>
              <w:keepNext w:val="0"/>
              <w:keepLines w:val="0"/>
              <w:suppressLineNumbers w:val="0"/>
              <w:spacing w:before="0" w:beforeAutospacing="0" w:after="0" w:afterAutospacing="0" w:line="360" w:lineRule="auto"/>
              <w:ind w:left="0" w:right="0"/>
              <w:rPr>
                <w:rFonts w:hint="default" w:ascii="宋体" w:hAnsi="宋体" w:cs="宋体"/>
                <w:sz w:val="24"/>
              </w:rPr>
            </w:pPr>
            <w:sdt>
              <w:sdtPr>
                <w:rPr>
                  <w:rFonts w:hint="eastAsia" w:ascii="宋体" w:hAnsi="宋体" w:cs="宋体"/>
                  <w:kern w:val="0"/>
                  <w:sz w:val="24"/>
                </w:rPr>
                <w:id w:val="14745387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default"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588ED8D7">
            <w:pPr>
              <w:keepNext w:val="0"/>
              <w:keepLines w:val="0"/>
              <w:suppressLineNumbers w:val="0"/>
              <w:spacing w:before="0" w:beforeAutospacing="0" w:after="0" w:afterAutospacing="0" w:line="360" w:lineRule="auto"/>
              <w:ind w:left="0" w:right="0"/>
              <w:rPr>
                <w:rFonts w:hint="default"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B要求提供（未提供样品或提供样品不满足采购需求实质性条件的供应商，投标无效）：</w:t>
            </w:r>
          </w:p>
          <w:p w14:paraId="1F202A85">
            <w:pPr>
              <w:keepNext w:val="0"/>
              <w:keepLines w:val="0"/>
              <w:suppressLineNumbers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5469082E">
            <w:pPr>
              <w:keepNext w:val="0"/>
              <w:keepLines w:val="0"/>
              <w:suppressLineNumbers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35D10C1D">
            <w:pPr>
              <w:keepNext w:val="0"/>
              <w:keepLines w:val="0"/>
              <w:suppressLineNumbers w:val="0"/>
              <w:spacing w:before="0" w:beforeAutospacing="0" w:after="0" w:afterAutospacing="0" w:line="360" w:lineRule="auto"/>
              <w:ind w:left="0" w:right="0"/>
              <w:rPr>
                <w:rFonts w:hint="default" w:ascii="宋体" w:hAnsi="宋体" w:cs="宋体"/>
                <w:snapToGrid w:val="0"/>
                <w:kern w:val="28"/>
                <w:sz w:val="24"/>
              </w:rPr>
            </w:pPr>
            <w:r>
              <w:rPr>
                <w:rFonts w:hint="eastAsia" w:ascii="宋体" w:hAnsi="宋体" w:cs="宋体"/>
                <w:kern w:val="0"/>
                <w:sz w:val="24"/>
              </w:rPr>
              <w:t>（3）样品的评审方法以及评审标准</w:t>
            </w:r>
            <w:r>
              <w:rPr>
                <w:rFonts w:hint="eastAsia" w:ascii="宋体" w:hAnsi="宋体" w:cs="宋体"/>
                <w:snapToGrid w:val="0"/>
                <w:kern w:val="28"/>
                <w:sz w:val="24"/>
              </w:rPr>
              <w:t>：</w:t>
            </w:r>
          </w:p>
          <w:p w14:paraId="2AAB18AA">
            <w:pPr>
              <w:keepNext w:val="0"/>
              <w:keepLines w:val="0"/>
              <w:suppressLineNumbers w:val="0"/>
              <w:spacing w:before="0" w:beforeAutospacing="0" w:after="0" w:afterAutospacing="0" w:line="360" w:lineRule="auto"/>
              <w:ind w:left="0" w:right="0" w:firstLine="240" w:firstLineChars="100"/>
              <w:rPr>
                <w:rFonts w:hint="default" w:ascii="宋体" w:hAnsi="宋体" w:cs="宋体"/>
                <w:sz w:val="24"/>
              </w:rPr>
            </w:pPr>
            <w:sdt>
              <w:sdtPr>
                <w:rPr>
                  <w:rFonts w:hint="eastAsia" w:ascii="宋体" w:hAnsi="宋体" w:cs="宋体"/>
                  <w:kern w:val="0"/>
                  <w:sz w:val="24"/>
                </w:rPr>
                <w:id w:val="14748096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样品分未超过价格分的50%；</w:t>
            </w:r>
          </w:p>
          <w:p w14:paraId="46AE7EA7">
            <w:pPr>
              <w:keepNext w:val="0"/>
              <w:keepLines w:val="0"/>
              <w:suppressLineNumbers w:val="0"/>
              <w:spacing w:before="0" w:beforeAutospacing="0" w:after="0" w:afterAutospacing="0" w:line="360" w:lineRule="auto"/>
              <w:ind w:left="0" w:right="0" w:firstLine="240" w:firstLineChars="100"/>
              <w:rPr>
                <w:rFonts w:hint="default" w:ascii="宋体" w:hAnsi="宋体" w:cs="宋体"/>
                <w:kern w:val="0"/>
                <w:sz w:val="24"/>
              </w:rPr>
            </w:pPr>
            <w:sdt>
              <w:sdtPr>
                <w:rPr>
                  <w:rFonts w:hint="eastAsia" w:ascii="宋体" w:hAnsi="宋体" w:cs="宋体"/>
                  <w:kern w:val="0"/>
                  <w:sz w:val="24"/>
                </w:rPr>
                <w:id w:val="14747083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样品分超过价格分的50%，理由</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w:t>
            </w:r>
          </w:p>
          <w:p w14:paraId="3E5B773E">
            <w:pPr>
              <w:keepNext w:val="0"/>
              <w:keepLines w:val="0"/>
              <w:suppressLineNumbers w:val="0"/>
              <w:spacing w:before="0" w:beforeAutospacing="0" w:after="0" w:afterAutospacing="0" w:line="360" w:lineRule="auto"/>
              <w:ind w:left="0" w:right="0" w:firstLine="240" w:firstLineChars="100"/>
              <w:rPr>
                <w:rFonts w:hint="default" w:ascii="宋体" w:hAnsi="宋体" w:cs="宋体"/>
                <w:kern w:val="0"/>
                <w:sz w:val="24"/>
              </w:rPr>
            </w:pPr>
            <w:r>
              <w:rPr>
                <w:rFonts w:hint="eastAsia" w:ascii="宋体" w:hAnsi="宋体" w:cs="宋体"/>
                <w:snapToGrid w:val="0"/>
                <w:kern w:val="28"/>
                <w:sz w:val="24"/>
              </w:rPr>
              <w:t>详见招标文件第四部分</w:t>
            </w:r>
            <w:r>
              <w:rPr>
                <w:rFonts w:hint="eastAsia" w:ascii="宋体" w:hAnsi="宋体" w:cs="宋体"/>
                <w:sz w:val="24"/>
                <w:u w:val="single"/>
              </w:rPr>
              <w:t>评标办法</w:t>
            </w:r>
            <w:r>
              <w:rPr>
                <w:rFonts w:hint="eastAsia" w:ascii="宋体" w:hAnsi="宋体" w:cs="宋体"/>
                <w:kern w:val="0"/>
                <w:sz w:val="24"/>
              </w:rPr>
              <w:t xml:space="preserve">。 </w:t>
            </w:r>
          </w:p>
          <w:p w14:paraId="40713EDE">
            <w:pPr>
              <w:keepNext w:val="0"/>
              <w:keepLines w:val="0"/>
              <w:suppressLineNumbers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0DD44F35">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（工作时间内）</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16855BBA">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4DF4B3F6">
            <w:pPr>
              <w:keepNext w:val="0"/>
              <w:keepLines w:val="0"/>
              <w:suppressLineNumbers w:val="0"/>
              <w:spacing w:before="0" w:beforeAutospacing="0" w:after="0" w:afterAutospacing="0" w:line="360" w:lineRule="auto"/>
              <w:ind w:left="0" w:right="0"/>
              <w:rPr>
                <w:rFonts w:hint="default" w:ascii="宋体" w:hAnsi="宋体" w:cs="宋体"/>
                <w:b/>
                <w:sz w:val="24"/>
              </w:rPr>
            </w:pPr>
            <w:r>
              <w:rPr>
                <w:rFonts w:hint="eastAsia" w:ascii="宋体" w:hAnsi="宋体" w:cs="宋体"/>
                <w:sz w:val="24"/>
              </w:rPr>
              <w:t>（7）制作、运输、安装和保管样品所发生的一切费用由投标人自理。</w:t>
            </w:r>
          </w:p>
        </w:tc>
      </w:tr>
      <w:tr w14:paraId="4DF01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0" w:hRule="atLeast"/>
          <w:tblHeader/>
        </w:trPr>
        <w:tc>
          <w:tcPr>
            <w:tcW w:w="665" w:type="dxa"/>
            <w:tcBorders>
              <w:top w:val="single" w:color="auto" w:sz="4" w:space="0"/>
              <w:left w:val="single" w:color="auto" w:sz="4" w:space="0"/>
              <w:bottom w:val="single" w:color="auto" w:sz="4" w:space="0"/>
              <w:right w:val="single" w:color="auto" w:sz="4" w:space="0"/>
            </w:tcBorders>
            <w:vAlign w:val="center"/>
          </w:tcPr>
          <w:p w14:paraId="760584C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7</w:t>
            </w:r>
          </w:p>
        </w:tc>
        <w:tc>
          <w:tcPr>
            <w:tcW w:w="1949" w:type="dxa"/>
            <w:tcBorders>
              <w:top w:val="single" w:color="000000" w:sz="8" w:space="0"/>
              <w:left w:val="single" w:color="auto" w:sz="4" w:space="0"/>
              <w:bottom w:val="single" w:color="000000" w:sz="8" w:space="0"/>
              <w:right w:val="single" w:color="000000" w:sz="8" w:space="0"/>
            </w:tcBorders>
            <w:vAlign w:val="center"/>
          </w:tcPr>
          <w:p w14:paraId="3ED20EB5">
            <w:pPr>
              <w:keepNext w:val="0"/>
              <w:keepLines w:val="0"/>
              <w:suppressLineNumbers w:val="0"/>
              <w:snapToGrid w:val="0"/>
              <w:spacing w:before="0" w:beforeAutospacing="0" w:after="0" w:afterAutospacing="0" w:line="360" w:lineRule="auto"/>
              <w:ind w:left="0" w:right="0"/>
              <w:jc w:val="center"/>
              <w:rPr>
                <w:rFonts w:hint="default" w:ascii="宋体" w:hAnsi="宋体" w:cs="宋体"/>
                <w:bCs/>
                <w:sz w:val="24"/>
              </w:rPr>
            </w:pPr>
            <w:r>
              <w:rPr>
                <w:rFonts w:hint="eastAsia" w:ascii="宋体" w:hAnsi="宋体" w:cs="宋体"/>
                <w:b/>
                <w:sz w:val="24"/>
              </w:rPr>
              <w:t>方案讲解演示</w:t>
            </w:r>
          </w:p>
        </w:tc>
        <w:tc>
          <w:tcPr>
            <w:tcW w:w="6445" w:type="dxa"/>
            <w:tcBorders>
              <w:top w:val="single" w:color="000000" w:sz="8" w:space="0"/>
              <w:left w:val="single" w:color="000000" w:sz="2" w:space="0"/>
              <w:bottom w:val="single" w:color="000000" w:sz="8" w:space="0"/>
              <w:right w:val="single" w:color="000000" w:sz="8" w:space="0"/>
            </w:tcBorders>
            <w:vAlign w:val="center"/>
          </w:tcPr>
          <w:p w14:paraId="573D090B">
            <w:pPr>
              <w:keepNext w:val="0"/>
              <w:keepLines w:val="0"/>
              <w:suppressLineNumbers w:val="0"/>
              <w:spacing w:before="0" w:beforeAutospacing="0" w:after="0" w:afterAutospacing="0" w:line="360" w:lineRule="auto"/>
              <w:ind w:left="0" w:right="0"/>
              <w:rPr>
                <w:rFonts w:hint="default" w:ascii="宋体" w:hAnsi="宋体" w:cs="宋体"/>
                <w:sz w:val="24"/>
              </w:rPr>
            </w:pPr>
            <w:sdt>
              <w:sdtPr>
                <w:rPr>
                  <w:rFonts w:hint="eastAsia" w:ascii="宋体" w:hAnsi="宋体" w:cs="宋体"/>
                  <w:kern w:val="0"/>
                  <w:sz w:val="24"/>
                </w:rPr>
                <w:id w:val="14748248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default"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01943ED5">
            <w:pPr>
              <w:keepNext w:val="0"/>
              <w:keepLines w:val="0"/>
              <w:suppressLineNumbers w:val="0"/>
              <w:spacing w:before="0" w:beforeAutospacing="0" w:after="0" w:afterAutospacing="0" w:line="360" w:lineRule="auto"/>
              <w:ind w:left="0" w:right="0"/>
              <w:rPr>
                <w:rFonts w:hint="default"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267DC930">
            <w:pPr>
              <w:keepNext w:val="0"/>
              <w:keepLines w:val="0"/>
              <w:suppressLineNumbers w:val="0"/>
              <w:snapToGrid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45A1FF55">
            <w:pPr>
              <w:keepNext w:val="0"/>
              <w:keepLines w:val="0"/>
              <w:suppressLineNumbers w:val="0"/>
              <w:snapToGrid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（2）方案讲解演示可选择以下其中一种方式：</w:t>
            </w:r>
          </w:p>
          <w:p w14:paraId="6163A1E8">
            <w:pPr>
              <w:keepNext w:val="0"/>
              <w:keepLines w:val="0"/>
              <w:suppressLineNumbers w:val="0"/>
              <w:snapToGrid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643F569A">
            <w:pPr>
              <w:keepNext w:val="0"/>
              <w:keepLines w:val="0"/>
              <w:suppressLineNumbers w:val="0"/>
              <w:snapToGrid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kern w:val="0"/>
                <w:sz w:val="24"/>
                <w:u w:val="single"/>
              </w:rPr>
              <w:t xml:space="preserve"> /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7089231E">
            <w:pPr>
              <w:keepNext w:val="0"/>
              <w:keepLines w:val="0"/>
              <w:suppressLineNumbers w:val="0"/>
              <w:snapToGrid w:val="0"/>
              <w:spacing w:before="0" w:beforeAutospacing="0" w:after="0" w:afterAutospacing="0" w:line="360" w:lineRule="auto"/>
              <w:ind w:left="0" w:right="0"/>
              <w:rPr>
                <w:rFonts w:hint="default"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57F5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trPr>
        <w:tc>
          <w:tcPr>
            <w:tcW w:w="665" w:type="dxa"/>
            <w:vMerge w:val="restart"/>
            <w:tcBorders>
              <w:top w:val="single" w:color="auto" w:sz="4" w:space="0"/>
              <w:left w:val="single" w:color="auto" w:sz="4" w:space="0"/>
              <w:right w:val="single" w:color="auto" w:sz="4" w:space="0"/>
            </w:tcBorders>
            <w:vAlign w:val="center"/>
          </w:tcPr>
          <w:p w14:paraId="6A09E81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8</w:t>
            </w:r>
          </w:p>
        </w:tc>
        <w:tc>
          <w:tcPr>
            <w:tcW w:w="1949" w:type="dxa"/>
            <w:vMerge w:val="restart"/>
            <w:tcBorders>
              <w:top w:val="single" w:color="000000" w:sz="8" w:space="0"/>
              <w:left w:val="single" w:color="auto" w:sz="4" w:space="0"/>
              <w:right w:val="single" w:color="000000" w:sz="8" w:space="0"/>
            </w:tcBorders>
            <w:vAlign w:val="center"/>
          </w:tcPr>
          <w:p w14:paraId="1547A34F">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投标人应当提供的资格、资信证明文件</w:t>
            </w:r>
          </w:p>
        </w:tc>
        <w:tc>
          <w:tcPr>
            <w:tcW w:w="6445" w:type="dxa"/>
            <w:tcBorders>
              <w:top w:val="single" w:color="000000" w:sz="8" w:space="0"/>
              <w:left w:val="single" w:color="000000" w:sz="2" w:space="0"/>
              <w:bottom w:val="single" w:color="auto" w:sz="4" w:space="0"/>
              <w:right w:val="single" w:color="000000" w:sz="8" w:space="0"/>
            </w:tcBorders>
            <w:vAlign w:val="center"/>
          </w:tcPr>
          <w:p w14:paraId="687D78DE">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（1）资格证明文件：见招标文件第二部分11.1。</w:t>
            </w:r>
          </w:p>
          <w:p w14:paraId="1F17316C">
            <w:pPr>
              <w:keepNext w:val="0"/>
              <w:keepLines w:val="0"/>
              <w:suppressLineNumbers w:val="0"/>
              <w:spacing w:before="0" w:beforeAutospacing="0" w:after="0" w:afterAutospacing="0" w:line="360" w:lineRule="auto"/>
              <w:ind w:left="0" w:right="0"/>
              <w:rPr>
                <w:rFonts w:hint="default"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F83A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4" w:hRule="atLeast"/>
          <w:tblHeader/>
        </w:trPr>
        <w:tc>
          <w:tcPr>
            <w:tcW w:w="665" w:type="dxa"/>
            <w:vMerge w:val="continue"/>
            <w:tcBorders>
              <w:left w:val="single" w:color="auto" w:sz="4" w:space="0"/>
              <w:bottom w:val="single" w:color="auto" w:sz="4" w:space="0"/>
              <w:right w:val="single" w:color="auto" w:sz="4" w:space="0"/>
            </w:tcBorders>
            <w:vAlign w:val="center"/>
          </w:tcPr>
          <w:p w14:paraId="7B4F9693">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949" w:type="dxa"/>
            <w:vMerge w:val="continue"/>
            <w:tcBorders>
              <w:left w:val="single" w:color="auto" w:sz="4" w:space="0"/>
              <w:bottom w:val="single" w:color="000000" w:sz="8" w:space="0"/>
              <w:right w:val="single" w:color="000000" w:sz="8" w:space="0"/>
            </w:tcBorders>
            <w:vAlign w:val="center"/>
          </w:tcPr>
          <w:p w14:paraId="61C2E48A">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p>
        </w:tc>
        <w:tc>
          <w:tcPr>
            <w:tcW w:w="6445" w:type="dxa"/>
            <w:tcBorders>
              <w:top w:val="single" w:color="auto" w:sz="4" w:space="0"/>
              <w:left w:val="single" w:color="000000" w:sz="2" w:space="0"/>
              <w:bottom w:val="single" w:color="000000" w:sz="8" w:space="0"/>
              <w:right w:val="single" w:color="000000" w:sz="8" w:space="0"/>
            </w:tcBorders>
            <w:vAlign w:val="center"/>
          </w:tcPr>
          <w:p w14:paraId="24989DA5">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（2）资信证明文件：根据招标文件第四部分评标标准提供有效的资信证明文件。</w:t>
            </w:r>
          </w:p>
        </w:tc>
      </w:tr>
      <w:tr w14:paraId="285FB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57" w:hRule="atLeast"/>
          <w:tblHeader/>
        </w:trPr>
        <w:tc>
          <w:tcPr>
            <w:tcW w:w="665" w:type="dxa"/>
            <w:tcBorders>
              <w:left w:val="single" w:color="auto" w:sz="4" w:space="0"/>
              <w:bottom w:val="single" w:color="auto" w:sz="4" w:space="0"/>
              <w:right w:val="single" w:color="auto" w:sz="4" w:space="0"/>
            </w:tcBorders>
            <w:vAlign w:val="center"/>
          </w:tcPr>
          <w:p w14:paraId="06B1BA1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9</w:t>
            </w:r>
          </w:p>
        </w:tc>
        <w:tc>
          <w:tcPr>
            <w:tcW w:w="1949" w:type="dxa"/>
            <w:tcBorders>
              <w:left w:val="single" w:color="auto" w:sz="4" w:space="0"/>
              <w:bottom w:val="single" w:color="000000" w:sz="8" w:space="0"/>
              <w:right w:val="single" w:color="000000" w:sz="8" w:space="0"/>
            </w:tcBorders>
            <w:vAlign w:val="center"/>
          </w:tcPr>
          <w:p w14:paraId="0B00D317">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节能产品、环境标志产品政府优先采购或强制采购</w:t>
            </w:r>
          </w:p>
        </w:tc>
        <w:tc>
          <w:tcPr>
            <w:tcW w:w="6445" w:type="dxa"/>
            <w:tcBorders>
              <w:top w:val="single" w:color="auto" w:sz="4" w:space="0"/>
              <w:left w:val="single" w:color="000000" w:sz="2" w:space="0"/>
              <w:bottom w:val="single" w:color="000000" w:sz="8" w:space="0"/>
              <w:right w:val="single" w:color="000000" w:sz="8" w:space="0"/>
            </w:tcBorders>
            <w:vAlign w:val="center"/>
          </w:tcPr>
          <w:p w14:paraId="3FD0B91F">
            <w:pPr>
              <w:pStyle w:val="79"/>
              <w:keepNext w:val="0"/>
              <w:keepLines w:val="0"/>
              <w:widowControl/>
              <w:suppressLineNumbers w:val="0"/>
              <w:snapToGrid w:val="0"/>
              <w:spacing w:before="0" w:beforeAutospacing="0" w:after="0" w:afterAutospacing="0" w:line="360" w:lineRule="auto"/>
              <w:ind w:left="0" w:right="0" w:firstLine="0" w:firstLineChars="0"/>
              <w:rPr>
                <w:rFonts w:hint="default" w:ascii="宋体" w:hAnsi="宋体" w:eastAsia="宋体" w:cs="宋体"/>
                <w:kern w:val="2"/>
                <w:sz w:val="24"/>
                <w:szCs w:val="24"/>
              </w:rPr>
            </w:pPr>
            <w:r>
              <w:rPr>
                <w:rFonts w:hint="eastAsia" w:ascii="宋体" w:hAnsi="宋体" w:eastAsia="宋体" w:cs="宋体"/>
                <w:kern w:val="2"/>
                <w:sz w:val="24"/>
                <w:szCs w:val="24"/>
              </w:rPr>
              <w:t>采购人拟采购的产品属于品目清单范围的，采购人将依据国家确定的认证机构出具的、处于有效期之内的节能产品、环境标志产品认证证书，对获得证书的产品实施政府优先采购或强制采购。</w:t>
            </w:r>
          </w:p>
          <w:p w14:paraId="30388D06">
            <w:pPr>
              <w:pStyle w:val="79"/>
              <w:keepNext w:val="0"/>
              <w:keepLines w:val="0"/>
              <w:widowControl/>
              <w:suppressLineNumbers w:val="0"/>
              <w:spacing w:before="0" w:beforeAutospacing="0" w:after="0" w:afterAutospacing="0" w:line="360" w:lineRule="auto"/>
              <w:ind w:left="0" w:right="0" w:firstLine="480"/>
              <w:jc w:val="both"/>
              <w:rPr>
                <w:rFonts w:hint="default" w:ascii="宋体" w:hAnsi="宋体" w:cs="宋体"/>
                <w:sz w:val="24"/>
                <w:lang w:val="zh-CN"/>
              </w:rPr>
            </w:pPr>
            <w:sdt>
              <w:sdtPr>
                <w:rPr>
                  <w:rFonts w:hint="eastAsia" w:ascii="宋体" w:hAnsi="宋体" w:eastAsia="宋体" w:cs="宋体"/>
                  <w:kern w:val="2"/>
                  <w:sz w:val="24"/>
                  <w:szCs w:val="24"/>
                </w:rPr>
                <w:id w:val="147478306"/>
                <w14:checkbox>
                  <w14:checked w14:val="0"/>
                  <w14:checkedState w14:val="00FE" w14:font="Wingdings"/>
                  <w14:uncheckedState w14:val="2610" w14:font="MS Gothic"/>
                </w14:checkbox>
              </w:sdtPr>
              <w:sdtEndPr>
                <w:rPr>
                  <w:rFonts w:hint="eastAsia" w:ascii="宋体" w:hAnsi="宋体" w:eastAsia="宋体" w:cs="宋体"/>
                  <w:kern w:val="2"/>
                  <w:sz w:val="24"/>
                  <w:szCs w:val="24"/>
                </w:rPr>
              </w:sdtEndPr>
              <w:sdtContent>
                <w:r>
                  <w:rPr>
                    <w:rFonts w:hint="eastAsia" w:ascii="宋体" w:hAnsi="宋体" w:eastAsia="宋体" w:cs="宋体"/>
                    <w:kern w:val="2"/>
                    <w:sz w:val="24"/>
                    <w:szCs w:val="24"/>
                  </w:rPr>
                  <w:t>☐</w:t>
                </w:r>
              </w:sdtContent>
            </w:sdt>
            <w:r>
              <w:rPr>
                <w:rFonts w:hint="eastAsia" w:ascii="宋体" w:hAnsi="宋体" w:eastAsia="宋体" w:cs="宋体"/>
                <w:kern w:val="2"/>
                <w:sz w:val="24"/>
                <w:szCs w:val="24"/>
              </w:rPr>
              <w:t>强制采购。产品：</w:t>
            </w:r>
            <w:r>
              <w:rPr>
                <w:rFonts w:hint="eastAsia" w:ascii="宋体" w:hAnsi="宋体" w:eastAsia="宋体" w:cs="宋体"/>
                <w:kern w:val="2"/>
                <w:sz w:val="24"/>
                <w:szCs w:val="24"/>
                <w:u w:val="single"/>
                <w:shd w:val="clear" w:color="FFFFFF" w:fill="D9D9D9"/>
              </w:rPr>
              <w:t xml:space="preserve">        。</w:t>
            </w:r>
            <w:r>
              <w:rPr>
                <w:rFonts w:hint="eastAsia" w:ascii="宋体" w:hAnsi="宋体" w:cs="宋体"/>
                <w:sz w:val="24"/>
              </w:rPr>
              <w:t>▲</w:t>
            </w:r>
            <w:r>
              <w:rPr>
                <w:rFonts w:hint="eastAsia" w:ascii="宋体" w:hAnsi="宋体" w:cs="宋体"/>
                <w:sz w:val="24"/>
                <w:lang w:val="zh-CN"/>
              </w:rPr>
              <w:t>对实施政府强制采购，</w:t>
            </w:r>
            <w:r>
              <w:rPr>
                <w:rFonts w:hint="eastAsia" w:ascii="宋体" w:hAnsi="宋体" w:cs="宋体"/>
                <w:b/>
                <w:bCs/>
                <w:sz w:val="24"/>
                <w:lang w:val="zh-CN"/>
              </w:rPr>
              <w:t>投标人</w:t>
            </w:r>
            <w:r>
              <w:rPr>
                <w:rFonts w:hint="eastAsia" w:ascii="宋体" w:hAnsi="宋体" w:cs="宋体"/>
                <w:b/>
                <w:bCs/>
                <w:sz w:val="24"/>
              </w:rPr>
              <w:t>就</w:t>
            </w:r>
            <w:r>
              <w:rPr>
                <w:rFonts w:hint="eastAsia" w:ascii="宋体" w:hAnsi="宋体" w:cs="宋体"/>
                <w:b/>
                <w:bCs/>
                <w:sz w:val="24"/>
                <w:lang w:val="zh-CN"/>
              </w:rPr>
              <w:t>相应的投标产品未</w:t>
            </w:r>
            <w:r>
              <w:rPr>
                <w:rFonts w:hint="eastAsia" w:ascii="宋体" w:hAnsi="宋体" w:cs="宋体"/>
                <w:b/>
                <w:bCs/>
                <w:sz w:val="24"/>
              </w:rPr>
              <w:t>提供</w:t>
            </w:r>
            <w:r>
              <w:rPr>
                <w:rFonts w:hint="eastAsia" w:ascii="宋体" w:hAnsi="宋体" w:cs="宋体"/>
                <w:b/>
                <w:bCs/>
                <w:sz w:val="24"/>
                <w:lang w:val="zh-CN"/>
              </w:rPr>
              <w:t>国家确定的认证机构出具的、处于有效期之内的节能产品认证证书的，投标无效</w:t>
            </w:r>
            <w:r>
              <w:rPr>
                <w:rFonts w:hint="eastAsia" w:ascii="宋体" w:hAnsi="宋体" w:cs="宋体"/>
                <w:sz w:val="24"/>
                <w:lang w:val="zh-CN"/>
              </w:rPr>
              <w:t>。</w:t>
            </w:r>
          </w:p>
          <w:p w14:paraId="05235B43">
            <w:pPr>
              <w:pStyle w:val="79"/>
              <w:keepNext w:val="0"/>
              <w:keepLines w:val="0"/>
              <w:widowControl/>
              <w:suppressLineNumbers w:val="0"/>
              <w:spacing w:before="0" w:beforeAutospacing="0" w:after="0" w:afterAutospacing="0" w:line="360" w:lineRule="auto"/>
              <w:ind w:left="0" w:right="0" w:firstLine="480"/>
              <w:jc w:val="both"/>
              <w:rPr>
                <w:rFonts w:hint="default" w:ascii="宋体" w:hAnsi="宋体" w:eastAsia="宋体" w:cs="宋体"/>
                <w:kern w:val="2"/>
                <w:sz w:val="24"/>
                <w:szCs w:val="24"/>
                <w:u w:val="single"/>
                <w:shd w:val="clear" w:color="FFFFFF" w:fill="D9D9D9"/>
              </w:rPr>
            </w:pPr>
            <w:r>
              <w:rPr>
                <w:rFonts w:hint="eastAsia" w:ascii="宋体" w:hAnsi="宋体" w:eastAsia="宋体" w:cs="宋体"/>
                <w:kern w:val="2"/>
                <w:sz w:val="24"/>
                <w:szCs w:val="24"/>
              </w:rPr>
              <w:t>□优先采购节能产品。产品：</w:t>
            </w:r>
            <w:r>
              <w:rPr>
                <w:rFonts w:hint="eastAsia" w:ascii="宋体" w:hAnsi="宋体" w:eastAsia="宋体" w:cs="宋体"/>
                <w:kern w:val="2"/>
                <w:sz w:val="24"/>
                <w:szCs w:val="24"/>
                <w:u w:val="single"/>
                <w:shd w:val="clear" w:color="FFFFFF" w:fill="D9D9D9"/>
              </w:rPr>
              <w:t xml:space="preserve">        </w:t>
            </w:r>
          </w:p>
          <w:p w14:paraId="5B3BD1C5">
            <w:pPr>
              <w:pStyle w:val="79"/>
              <w:keepNext w:val="0"/>
              <w:keepLines w:val="0"/>
              <w:widowControl/>
              <w:suppressLineNumbers w:val="0"/>
              <w:spacing w:before="0" w:beforeAutospacing="0" w:after="0" w:afterAutospacing="0" w:line="360" w:lineRule="auto"/>
              <w:ind w:left="0" w:right="0" w:firstLine="480"/>
              <w:jc w:val="both"/>
              <w:rPr>
                <w:rFonts w:hint="default" w:ascii="宋体" w:hAnsi="宋体" w:eastAsia="宋体" w:cs="宋体"/>
                <w:kern w:val="2"/>
                <w:sz w:val="24"/>
                <w:szCs w:val="24"/>
                <w:u w:val="single"/>
                <w:shd w:val="clear" w:color="FFFFFF" w:fill="D9D9D9"/>
              </w:rPr>
            </w:pPr>
            <w:r>
              <w:rPr>
                <w:rFonts w:hint="eastAsia" w:ascii="宋体" w:hAnsi="宋体" w:eastAsia="宋体" w:cs="宋体"/>
                <w:kern w:val="2"/>
                <w:sz w:val="24"/>
                <w:szCs w:val="24"/>
              </w:rPr>
              <w:t>□优先采购环保产品。产品：</w:t>
            </w:r>
            <w:r>
              <w:rPr>
                <w:rFonts w:hint="eastAsia" w:ascii="宋体" w:hAnsi="宋体" w:eastAsia="宋体" w:cs="宋体"/>
                <w:kern w:val="2"/>
                <w:sz w:val="24"/>
                <w:szCs w:val="24"/>
                <w:u w:val="single"/>
                <w:shd w:val="clear" w:color="FFFFFF" w:fill="D9D9D9"/>
              </w:rPr>
              <w:t xml:space="preserve">        </w:t>
            </w:r>
          </w:p>
          <w:p w14:paraId="56C86B64">
            <w:pPr>
              <w:keepNext w:val="0"/>
              <w:keepLines w:val="0"/>
              <w:suppressLineNumbers w:val="0"/>
              <w:spacing w:before="0" w:beforeAutospacing="0" w:after="0" w:afterAutospacing="0" w:line="360" w:lineRule="auto"/>
              <w:ind w:left="0" w:right="0" w:firstLine="480" w:firstLineChars="200"/>
              <w:rPr>
                <w:rFonts w:hint="default" w:ascii="宋体" w:hAnsi="宋体" w:cs="宋体"/>
                <w:sz w:val="24"/>
              </w:rPr>
            </w:pPr>
            <w:r>
              <w:rPr>
                <w:rFonts w:hint="eastAsia" w:ascii="宋体" w:hAnsi="宋体" w:cs="宋体"/>
                <w:sz w:val="24"/>
              </w:rPr>
              <w:sym w:font="Wingdings 2" w:char="0052"/>
            </w:r>
            <w:r>
              <w:rPr>
                <w:rFonts w:hint="eastAsia" w:ascii="宋体" w:hAnsi="宋体" w:cs="宋体"/>
                <w:sz w:val="24"/>
              </w:rPr>
              <w:t>无。</w:t>
            </w:r>
          </w:p>
        </w:tc>
      </w:tr>
      <w:tr w14:paraId="6AFBC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53" w:hRule="atLeast"/>
          <w:tblHeader/>
        </w:trPr>
        <w:tc>
          <w:tcPr>
            <w:tcW w:w="665" w:type="dxa"/>
            <w:tcBorders>
              <w:top w:val="single" w:color="auto" w:sz="4" w:space="0"/>
              <w:left w:val="single" w:color="000000" w:sz="8" w:space="0"/>
              <w:bottom w:val="single" w:color="auto" w:sz="4" w:space="0"/>
              <w:right w:val="single" w:color="000000" w:sz="2" w:space="0"/>
            </w:tcBorders>
            <w:vAlign w:val="center"/>
          </w:tcPr>
          <w:p w14:paraId="683364E3">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10</w:t>
            </w:r>
          </w:p>
        </w:tc>
        <w:tc>
          <w:tcPr>
            <w:tcW w:w="1949" w:type="dxa"/>
            <w:tcBorders>
              <w:top w:val="single" w:color="000000" w:sz="8" w:space="0"/>
              <w:left w:val="single" w:color="000000" w:sz="2" w:space="0"/>
              <w:bottom w:val="single" w:color="000000" w:sz="8" w:space="0"/>
              <w:right w:val="single" w:color="000000" w:sz="8" w:space="0"/>
            </w:tcBorders>
            <w:vAlign w:val="center"/>
          </w:tcPr>
          <w:p w14:paraId="3CD6F135">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报价要求</w:t>
            </w:r>
          </w:p>
        </w:tc>
        <w:tc>
          <w:tcPr>
            <w:tcW w:w="6445" w:type="dxa"/>
            <w:tcBorders>
              <w:top w:val="single" w:color="000000" w:sz="8" w:space="0"/>
              <w:left w:val="single" w:color="000000" w:sz="2" w:space="0"/>
              <w:bottom w:val="single" w:color="000000" w:sz="8" w:space="0"/>
              <w:right w:val="single" w:color="000000" w:sz="8" w:space="0"/>
            </w:tcBorders>
            <w:vAlign w:val="center"/>
          </w:tcPr>
          <w:p w14:paraId="0AA4C524">
            <w:pPr>
              <w:keepNext w:val="0"/>
              <w:keepLines w:val="0"/>
              <w:suppressLineNumbers w:val="0"/>
              <w:snapToGrid w:val="0"/>
              <w:spacing w:before="0" w:beforeAutospacing="0" w:after="0" w:afterAutospacing="0" w:line="360" w:lineRule="auto"/>
              <w:ind w:left="0" w:right="0"/>
              <w:jc w:val="left"/>
              <w:rPr>
                <w:rFonts w:hint="default"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5DAC2036">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b/>
                <w:kern w:val="0"/>
                <w:sz w:val="24"/>
                <w:lang w:val="zh-CN"/>
              </w:rPr>
            </w:pPr>
            <w:r>
              <w:rPr>
                <w:rFonts w:hint="eastAsia" w:ascii="宋体" w:hAnsi="宋体" w:cs="宋体"/>
                <w:b/>
                <w:kern w:val="0"/>
                <w:sz w:val="24"/>
                <w:lang w:val="zh-CN"/>
              </w:rPr>
              <w:t>投标报价出现下列情形的，投标无效：</w:t>
            </w:r>
          </w:p>
          <w:p w14:paraId="29813F4D">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F0CF445">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1EF8FB5">
            <w:pPr>
              <w:keepNext w:val="0"/>
              <w:keepLines w:val="0"/>
              <w:suppressLineNumbers w:val="0"/>
              <w:spacing w:before="0" w:beforeAutospacing="0" w:after="0" w:afterAutospacing="0" w:line="360" w:lineRule="auto"/>
              <w:ind w:left="0" w:right="0" w:firstLine="241" w:firstLineChars="100"/>
              <w:rPr>
                <w:rFonts w:hint="default"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ABC73B2">
            <w:pPr>
              <w:keepNext w:val="0"/>
              <w:keepLines w:val="0"/>
              <w:suppressLineNumbers w:val="0"/>
              <w:spacing w:before="0" w:beforeAutospacing="0" w:after="0" w:afterAutospacing="0" w:line="360" w:lineRule="auto"/>
              <w:ind w:left="0" w:right="0" w:firstLine="241" w:firstLineChars="100"/>
              <w:rPr>
                <w:rFonts w:hint="default"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427A3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7" w:hRule="atLeast"/>
          <w:tblHeader/>
        </w:trPr>
        <w:tc>
          <w:tcPr>
            <w:tcW w:w="665" w:type="dxa"/>
            <w:tcBorders>
              <w:top w:val="single" w:color="auto" w:sz="4" w:space="0"/>
              <w:left w:val="single" w:color="000000" w:sz="8" w:space="0"/>
              <w:right w:val="single" w:color="000000" w:sz="2" w:space="0"/>
            </w:tcBorders>
            <w:vAlign w:val="center"/>
          </w:tcPr>
          <w:p w14:paraId="70CDB10E">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11</w:t>
            </w:r>
          </w:p>
        </w:tc>
        <w:tc>
          <w:tcPr>
            <w:tcW w:w="1949" w:type="dxa"/>
            <w:tcBorders>
              <w:top w:val="single" w:color="000000" w:sz="8" w:space="0"/>
              <w:left w:val="single" w:color="000000" w:sz="2" w:space="0"/>
              <w:right w:val="single" w:color="000000" w:sz="8" w:space="0"/>
            </w:tcBorders>
            <w:vAlign w:val="center"/>
          </w:tcPr>
          <w:p w14:paraId="77B00919">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中小企业信用融资</w:t>
            </w:r>
          </w:p>
        </w:tc>
        <w:tc>
          <w:tcPr>
            <w:tcW w:w="6445" w:type="dxa"/>
            <w:tcBorders>
              <w:top w:val="single" w:color="000000" w:sz="8" w:space="0"/>
              <w:left w:val="single" w:color="000000" w:sz="2" w:space="0"/>
              <w:right w:val="single" w:color="000000" w:sz="8" w:space="0"/>
            </w:tcBorders>
            <w:vAlign w:val="center"/>
          </w:tcPr>
          <w:p w14:paraId="7A7BAEE7">
            <w:pPr>
              <w:keepNext w:val="0"/>
              <w:keepLines w:val="0"/>
              <w:suppressLineNumbers w:val="0"/>
              <w:spacing w:before="0" w:beforeAutospacing="0" w:after="0" w:afterAutospacing="0" w:line="360" w:lineRule="auto"/>
              <w:ind w:left="0" w:right="0" w:firstLine="480" w:firstLineChars="200"/>
              <w:rPr>
                <w:rFonts w:hint="default"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3278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2" w:hRule="atLeast"/>
          <w:tblHeader/>
        </w:trPr>
        <w:tc>
          <w:tcPr>
            <w:tcW w:w="665" w:type="dxa"/>
            <w:tcBorders>
              <w:top w:val="single" w:color="auto" w:sz="4" w:space="0"/>
              <w:left w:val="single" w:color="000000" w:sz="8" w:space="0"/>
              <w:bottom w:val="single" w:color="auto" w:sz="4" w:space="0"/>
              <w:right w:val="single" w:color="000000" w:sz="2" w:space="0"/>
            </w:tcBorders>
            <w:vAlign w:val="center"/>
          </w:tcPr>
          <w:p w14:paraId="6C2FB8B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12</w:t>
            </w:r>
          </w:p>
        </w:tc>
        <w:tc>
          <w:tcPr>
            <w:tcW w:w="1949" w:type="dxa"/>
            <w:tcBorders>
              <w:top w:val="single" w:color="000000" w:sz="8" w:space="0"/>
              <w:left w:val="single" w:color="000000" w:sz="2" w:space="0"/>
              <w:bottom w:val="single" w:color="000000" w:sz="8" w:space="0"/>
              <w:right w:val="single" w:color="000000" w:sz="8" w:space="0"/>
            </w:tcBorders>
            <w:vAlign w:val="center"/>
          </w:tcPr>
          <w:p w14:paraId="7C42D7FB">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 xml:space="preserve">备份投标文件送达地点和签收人员 </w:t>
            </w:r>
          </w:p>
        </w:tc>
        <w:tc>
          <w:tcPr>
            <w:tcW w:w="6445" w:type="dxa"/>
            <w:tcBorders>
              <w:top w:val="single" w:color="000000" w:sz="8" w:space="0"/>
              <w:left w:val="single" w:color="000000" w:sz="2" w:space="0"/>
              <w:bottom w:val="single" w:color="000000" w:sz="8" w:space="0"/>
              <w:right w:val="single" w:color="000000" w:sz="8" w:space="0"/>
            </w:tcBorders>
            <w:vAlign w:val="center"/>
          </w:tcPr>
          <w:p w14:paraId="471E02AF">
            <w:pPr>
              <w:pStyle w:val="32"/>
              <w:keepNext w:val="0"/>
              <w:keepLines w:val="0"/>
              <w:suppressLineNumbers w:val="0"/>
              <w:spacing w:before="0" w:beforeAutospacing="0" w:after="0" w:afterAutospacing="0" w:line="360" w:lineRule="auto"/>
              <w:ind w:left="0" w:right="0"/>
              <w:rPr>
                <w:rFonts w:hint="default" w:hAnsi="宋体" w:cs="宋体"/>
                <w:kern w:val="28"/>
                <w:sz w:val="24"/>
              </w:rPr>
            </w:pPr>
            <w:r>
              <w:rPr>
                <w:rFonts w:hint="eastAsia" w:hAnsi="宋体" w:cs="宋体"/>
                <w:kern w:val="28"/>
                <w:sz w:val="24"/>
                <w:szCs w:val="24"/>
              </w:rPr>
              <w:t>备份投标文件送达地点：</w:t>
            </w:r>
            <w:r>
              <w:rPr>
                <w:rFonts w:hint="eastAsia" w:hAnsi="宋体" w:cs="宋体"/>
                <w:sz w:val="24"/>
                <w:szCs w:val="24"/>
                <w:u w:val="single"/>
              </w:rPr>
              <w:t>杭州市萧山区民和路联合中心D座4楼代理部</w:t>
            </w:r>
            <w:r>
              <w:rPr>
                <w:rFonts w:hint="eastAsia" w:hAnsi="宋体" w:cs="宋体"/>
                <w:kern w:val="28"/>
                <w:sz w:val="24"/>
                <w:szCs w:val="24"/>
              </w:rPr>
              <w:t>；备份投标文件签收人员联系电话：</w:t>
            </w:r>
            <w:r>
              <w:rPr>
                <w:rFonts w:hint="eastAsia" w:hAnsi="宋体" w:cs="宋体"/>
                <w:kern w:val="28"/>
                <w:sz w:val="24"/>
                <w:szCs w:val="24"/>
                <w:u w:val="single"/>
              </w:rPr>
              <w:t>冯伟东</w:t>
            </w:r>
            <w:r>
              <w:rPr>
                <w:rFonts w:hint="eastAsia" w:hAnsi="宋体" w:cs="宋体"/>
                <w:sz w:val="24"/>
                <w:szCs w:val="24"/>
                <w:u w:val="single"/>
              </w:rPr>
              <w:t>15167157276</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14:paraId="3CE7F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2" w:hRule="atLeast"/>
          <w:tblHeader/>
        </w:trPr>
        <w:tc>
          <w:tcPr>
            <w:tcW w:w="665" w:type="dxa"/>
            <w:vMerge w:val="restart"/>
            <w:tcBorders>
              <w:top w:val="single" w:color="auto" w:sz="4" w:space="0"/>
              <w:left w:val="single" w:color="000000" w:sz="8" w:space="0"/>
              <w:right w:val="single" w:color="000000" w:sz="2" w:space="0"/>
            </w:tcBorders>
            <w:vAlign w:val="center"/>
          </w:tcPr>
          <w:p w14:paraId="4238E45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lang w:val="en"/>
              </w:rPr>
            </w:pPr>
            <w:r>
              <w:rPr>
                <w:rFonts w:hint="eastAsia" w:ascii="宋体" w:hAnsi="宋体" w:cs="宋体"/>
                <w:sz w:val="24"/>
              </w:rPr>
              <w:t>1</w:t>
            </w:r>
            <w:r>
              <w:rPr>
                <w:rFonts w:hint="default" w:ascii="宋体" w:hAnsi="宋体" w:cs="宋体"/>
                <w:sz w:val="24"/>
                <w:lang w:val="en"/>
              </w:rPr>
              <w:t>3</w:t>
            </w:r>
          </w:p>
        </w:tc>
        <w:tc>
          <w:tcPr>
            <w:tcW w:w="1949" w:type="dxa"/>
            <w:vMerge w:val="restart"/>
            <w:tcBorders>
              <w:top w:val="single" w:color="000000" w:sz="8" w:space="0"/>
              <w:left w:val="single" w:color="000000" w:sz="2" w:space="0"/>
              <w:right w:val="single" w:color="000000" w:sz="8" w:space="0"/>
            </w:tcBorders>
            <w:vAlign w:val="center"/>
          </w:tcPr>
          <w:p w14:paraId="34205788">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cs="仿宋_GB2312" w:asciiTheme="minorEastAsia" w:hAnsiTheme="minorEastAsia" w:eastAsiaTheme="minorEastAsia"/>
                <w:b/>
                <w:sz w:val="24"/>
              </w:rPr>
              <w:t>特别说明</w:t>
            </w:r>
          </w:p>
        </w:tc>
        <w:tc>
          <w:tcPr>
            <w:tcW w:w="6445" w:type="dxa"/>
            <w:tcBorders>
              <w:top w:val="single" w:color="000000" w:sz="8" w:space="0"/>
              <w:left w:val="single" w:color="000000" w:sz="2" w:space="0"/>
              <w:bottom w:val="single" w:color="000000" w:sz="8" w:space="0"/>
              <w:right w:val="single" w:color="000000" w:sz="8" w:space="0"/>
            </w:tcBorders>
            <w:vAlign w:val="center"/>
          </w:tcPr>
          <w:p w14:paraId="22FC857B">
            <w:pPr>
              <w:keepNext w:val="0"/>
              <w:keepLines w:val="0"/>
              <w:suppressLineNumbers w:val="0"/>
              <w:spacing w:before="0" w:beforeAutospacing="0" w:after="0" w:afterAutospacing="0" w:line="360" w:lineRule="auto"/>
              <w:ind w:left="0" w:right="0"/>
              <w:rPr>
                <w:rFonts w:hint="default"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14:paraId="19D12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00" w:hRule="atLeast"/>
          <w:tblHeader/>
        </w:trPr>
        <w:tc>
          <w:tcPr>
            <w:tcW w:w="665" w:type="dxa"/>
            <w:vMerge w:val="continue"/>
            <w:tcBorders>
              <w:left w:val="single" w:color="000000" w:sz="8" w:space="0"/>
              <w:right w:val="single" w:color="000000" w:sz="2" w:space="0"/>
            </w:tcBorders>
            <w:vAlign w:val="center"/>
          </w:tcPr>
          <w:p w14:paraId="622B69D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949" w:type="dxa"/>
            <w:vMerge w:val="continue"/>
            <w:tcBorders>
              <w:left w:val="single" w:color="000000" w:sz="2" w:space="0"/>
              <w:right w:val="single" w:color="000000" w:sz="8" w:space="0"/>
            </w:tcBorders>
            <w:vAlign w:val="center"/>
          </w:tcPr>
          <w:p w14:paraId="2DA53556">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p>
        </w:tc>
        <w:tc>
          <w:tcPr>
            <w:tcW w:w="6445" w:type="dxa"/>
            <w:tcBorders>
              <w:top w:val="single" w:color="000000" w:sz="8" w:space="0"/>
              <w:left w:val="single" w:color="000000" w:sz="2" w:space="0"/>
              <w:bottom w:val="single" w:color="000000" w:sz="8" w:space="0"/>
              <w:right w:val="single" w:color="000000" w:sz="8" w:space="0"/>
            </w:tcBorders>
            <w:vAlign w:val="center"/>
          </w:tcPr>
          <w:p w14:paraId="6E4EB145">
            <w:pPr>
              <w:keepNext w:val="0"/>
              <w:keepLines w:val="0"/>
              <w:suppressLineNumbers w:val="0"/>
              <w:spacing w:before="0" w:beforeAutospacing="0" w:after="0" w:afterAutospacing="0" w:line="360" w:lineRule="auto"/>
              <w:ind w:left="0" w:right="0"/>
              <w:rPr>
                <w:rFonts w:hint="default" w:ascii="宋体" w:hAnsi="宋体" w:cs="宋体"/>
                <w:snapToGrid w:val="0"/>
                <w:kern w:val="28"/>
                <w:sz w:val="24"/>
              </w:rPr>
            </w:pPr>
            <w:sdt>
              <w:sdtPr>
                <w:rPr>
                  <w:rFonts w:hint="eastAsia" w:cs="Arial" w:asciiTheme="minorEastAsia" w:hAnsiTheme="minorEastAsia" w:eastAsiaTheme="minorEastAsia"/>
                  <w:kern w:val="0"/>
                  <w:sz w:val="24"/>
                </w:rPr>
                <w:id w:val="14747166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联合体投标的，联合体各方均需按招标文件第四部分评标标准要求提供资信证明文件，否则视为不符合相关要求。招标文件第四部分评分标准有其他规定的，从其规定。</w:t>
            </w:r>
          </w:p>
          <w:p w14:paraId="7A5B8B26">
            <w:pPr>
              <w:keepNext w:val="0"/>
              <w:keepLines w:val="0"/>
              <w:suppressLineNumbers w:val="0"/>
              <w:spacing w:before="0" w:beforeAutospacing="0" w:after="0" w:afterAutospacing="0" w:line="360" w:lineRule="auto"/>
              <w:ind w:left="0" w:right="0"/>
              <w:rPr>
                <w:rFonts w:hint="default" w:ascii="宋体" w:hAnsi="宋体" w:cs="宋体"/>
                <w:snapToGrid w:val="0"/>
                <w:kern w:val="28"/>
                <w:sz w:val="24"/>
              </w:rPr>
            </w:pPr>
            <w:sdt>
              <w:sdtPr>
                <w:rPr>
                  <w:rFonts w:hint="eastAsia" w:cs="Arial" w:asciiTheme="minorEastAsia" w:hAnsiTheme="minorEastAsia" w:eastAsiaTheme="minorEastAsia"/>
                  <w:kern w:val="0"/>
                  <w:sz w:val="24"/>
                </w:rPr>
                <w:id w:val="147474478"/>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14:paraId="5CA41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6" w:hRule="atLeast"/>
          <w:tblHeader/>
        </w:trPr>
        <w:tc>
          <w:tcPr>
            <w:tcW w:w="665" w:type="dxa"/>
            <w:vMerge w:val="continue"/>
            <w:tcBorders>
              <w:left w:val="single" w:color="000000" w:sz="8" w:space="0"/>
              <w:right w:val="single" w:color="000000" w:sz="2" w:space="0"/>
            </w:tcBorders>
            <w:vAlign w:val="center"/>
          </w:tcPr>
          <w:p w14:paraId="2CDA25D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949" w:type="dxa"/>
            <w:vMerge w:val="continue"/>
            <w:tcBorders>
              <w:left w:val="single" w:color="000000" w:sz="2" w:space="0"/>
              <w:right w:val="single" w:color="000000" w:sz="8" w:space="0"/>
            </w:tcBorders>
            <w:vAlign w:val="center"/>
          </w:tcPr>
          <w:p w14:paraId="7F2A00DB">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p>
        </w:tc>
        <w:tc>
          <w:tcPr>
            <w:tcW w:w="6445" w:type="dxa"/>
            <w:tcBorders>
              <w:top w:val="single" w:color="000000" w:sz="8" w:space="0"/>
              <w:left w:val="single" w:color="000000" w:sz="2" w:space="0"/>
              <w:bottom w:val="single" w:color="000000" w:sz="8" w:space="0"/>
              <w:right w:val="single" w:color="000000" w:sz="8" w:space="0"/>
            </w:tcBorders>
            <w:vAlign w:val="center"/>
          </w:tcPr>
          <w:p w14:paraId="05D3C093">
            <w:pPr>
              <w:keepNext w:val="0"/>
              <w:keepLines w:val="0"/>
              <w:suppressLineNumbers w:val="0"/>
              <w:spacing w:before="0" w:beforeAutospacing="0" w:after="0" w:afterAutospacing="0" w:line="360" w:lineRule="auto"/>
              <w:ind w:left="0" w:right="0"/>
              <w:rPr>
                <w:rFonts w:hint="default" w:cs="Arial" w:asciiTheme="minorEastAsia" w:hAnsiTheme="minorEastAsia" w:eastAsiaTheme="minorEastAsia"/>
                <w:kern w:val="0"/>
                <w:sz w:val="24"/>
              </w:rPr>
            </w:pPr>
            <w:r>
              <w:rPr>
                <w:rFonts w:hint="eastAsia" w:ascii="宋体" w:hAnsi="宋体" w:cs="Arial"/>
                <w:kern w:val="0"/>
                <w:sz w:val="24"/>
              </w:rPr>
              <w:t>招标文件第四部分</w:t>
            </w:r>
            <w:r>
              <w:rPr>
                <w:rFonts w:hint="eastAsia" w:cs="Arial" w:asciiTheme="minorEastAsia" w:hAnsiTheme="minorEastAsia" w:eastAsiaTheme="minorEastAsia"/>
                <w:kern w:val="0"/>
                <w:sz w:val="24"/>
              </w:rPr>
              <w:t>评审因素对应的要求</w:t>
            </w:r>
            <w:r>
              <w:rPr>
                <w:rFonts w:hint="eastAsia" w:ascii="宋体" w:hAnsi="宋体" w:cs="Arial"/>
                <w:kern w:val="0"/>
                <w:sz w:val="24"/>
              </w:rPr>
              <w:t>及第五部分采购合同的内容</w:t>
            </w:r>
            <w:r>
              <w:rPr>
                <w:rFonts w:hint="eastAsia" w:cs="Arial" w:asciiTheme="minorEastAsia" w:hAnsiTheme="minorEastAsia" w:eastAsiaTheme="minorEastAsia"/>
                <w:kern w:val="0"/>
                <w:sz w:val="24"/>
              </w:rPr>
              <w:t>视为采购需求的一部分。</w:t>
            </w:r>
          </w:p>
        </w:tc>
      </w:tr>
      <w:tr w14:paraId="57BF8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 w:hRule="atLeast"/>
          <w:tblHeader/>
        </w:trPr>
        <w:tc>
          <w:tcPr>
            <w:tcW w:w="665" w:type="dxa"/>
            <w:tcBorders>
              <w:top w:val="single" w:color="auto" w:sz="4" w:space="0"/>
              <w:left w:val="single" w:color="000000" w:sz="8" w:space="0"/>
              <w:bottom w:val="single" w:color="auto" w:sz="4" w:space="0"/>
              <w:right w:val="single" w:color="000000" w:sz="2" w:space="0"/>
            </w:tcBorders>
            <w:vAlign w:val="center"/>
          </w:tcPr>
          <w:p w14:paraId="69CBC3EE">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14</w:t>
            </w:r>
          </w:p>
        </w:tc>
        <w:tc>
          <w:tcPr>
            <w:tcW w:w="1949" w:type="dxa"/>
            <w:tcBorders>
              <w:top w:val="single" w:color="auto" w:sz="4" w:space="0"/>
              <w:left w:val="single" w:color="000000" w:sz="2" w:space="0"/>
              <w:bottom w:val="single" w:color="auto" w:sz="4" w:space="0"/>
              <w:right w:val="single" w:color="000000" w:sz="8" w:space="0"/>
            </w:tcBorders>
            <w:vAlign w:val="center"/>
          </w:tcPr>
          <w:p w14:paraId="4F36D669">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cs="仿宋_GB2312" w:asciiTheme="minorEastAsia" w:hAnsiTheme="minorEastAsia" w:eastAsiaTheme="minorEastAsia"/>
                <w:b/>
                <w:sz w:val="24"/>
                <w:lang w:val="en"/>
              </w:rPr>
              <w:t>中标候选人数量</w:t>
            </w:r>
          </w:p>
        </w:tc>
        <w:tc>
          <w:tcPr>
            <w:tcW w:w="6445" w:type="dxa"/>
            <w:tcBorders>
              <w:top w:val="single" w:color="000000" w:sz="8" w:space="0"/>
              <w:left w:val="single" w:color="000000" w:sz="2" w:space="0"/>
              <w:bottom w:val="single" w:color="000000" w:sz="8" w:space="0"/>
              <w:right w:val="single" w:color="000000" w:sz="8" w:space="0"/>
            </w:tcBorders>
            <w:vAlign w:val="center"/>
          </w:tcPr>
          <w:p w14:paraId="53FA2813">
            <w:pPr>
              <w:keepNext w:val="0"/>
              <w:keepLines w:val="0"/>
              <w:suppressLineNumbers w:val="0"/>
              <w:spacing w:before="0" w:beforeAutospacing="0" w:after="0" w:afterAutospacing="0" w:line="360" w:lineRule="auto"/>
              <w:ind w:left="0" w:right="0"/>
              <w:jc w:val="left"/>
              <w:rPr>
                <w:rFonts w:hint="default" w:ascii="宋体" w:hAnsi="宋体" w:cs="Arial"/>
                <w:kern w:val="0"/>
                <w:sz w:val="24"/>
                <w:lang w:val="en"/>
              </w:rPr>
            </w:pPr>
            <w:r>
              <w:rPr>
                <w:rFonts w:hint="eastAsia" w:ascii="宋体" w:hAnsi="宋体" w:cs="Arial"/>
                <w:kern w:val="0"/>
                <w:sz w:val="24"/>
                <w:lang w:val="en"/>
              </w:rPr>
              <w:t>本项目推荐的中标候选人数：</w:t>
            </w:r>
            <w:r>
              <w:rPr>
                <w:rFonts w:hint="eastAsia" w:ascii="宋体" w:hAnsi="宋体" w:cs="Arial"/>
                <w:kern w:val="0"/>
                <w:sz w:val="24"/>
                <w:u w:val="single"/>
              </w:rPr>
              <w:t xml:space="preserve">    1   </w:t>
            </w:r>
            <w:r>
              <w:rPr>
                <w:rFonts w:hint="eastAsia" w:ascii="宋体" w:hAnsi="宋体" w:cs="Arial"/>
                <w:kern w:val="0"/>
                <w:sz w:val="24"/>
                <w:lang w:val="en"/>
              </w:rPr>
              <w:t>。</w:t>
            </w:r>
          </w:p>
        </w:tc>
      </w:tr>
      <w:tr w14:paraId="4A9B4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53" w:hRule="atLeast"/>
          <w:tblHeader/>
        </w:trPr>
        <w:tc>
          <w:tcPr>
            <w:tcW w:w="665" w:type="dxa"/>
            <w:tcBorders>
              <w:top w:val="single" w:color="auto" w:sz="4" w:space="0"/>
              <w:left w:val="single" w:color="000000" w:sz="8" w:space="0"/>
              <w:bottom w:val="single" w:color="auto" w:sz="4" w:space="0"/>
              <w:right w:val="single" w:color="000000" w:sz="2" w:space="0"/>
            </w:tcBorders>
            <w:vAlign w:val="center"/>
          </w:tcPr>
          <w:p w14:paraId="2118946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15</w:t>
            </w:r>
          </w:p>
        </w:tc>
        <w:tc>
          <w:tcPr>
            <w:tcW w:w="1949" w:type="dxa"/>
            <w:tcBorders>
              <w:top w:val="single" w:color="auto" w:sz="4" w:space="0"/>
              <w:left w:val="single" w:color="000000" w:sz="2" w:space="0"/>
              <w:bottom w:val="single" w:color="000000" w:sz="8" w:space="0"/>
              <w:right w:val="single" w:color="000000" w:sz="8" w:space="0"/>
            </w:tcBorders>
            <w:vAlign w:val="center"/>
          </w:tcPr>
          <w:p w14:paraId="385D6088">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b/>
                <w:sz w:val="24"/>
                <w:lang w:val="en"/>
              </w:rPr>
            </w:pPr>
            <w:r>
              <w:rPr>
                <w:rFonts w:hint="eastAsia" w:cs="仿宋_GB2312" w:asciiTheme="minorEastAsia" w:hAnsiTheme="minorEastAsia" w:eastAsiaTheme="minorEastAsia"/>
                <w:b/>
                <w:sz w:val="24"/>
                <w:lang w:val="en"/>
              </w:rPr>
              <w:t>代理费用收取方式及标准</w:t>
            </w:r>
          </w:p>
        </w:tc>
        <w:tc>
          <w:tcPr>
            <w:tcW w:w="6445" w:type="dxa"/>
            <w:tcBorders>
              <w:top w:val="single" w:color="000000" w:sz="8" w:space="0"/>
              <w:left w:val="single" w:color="000000" w:sz="2" w:space="0"/>
              <w:bottom w:val="single" w:color="000000" w:sz="8" w:space="0"/>
              <w:right w:val="single" w:color="000000" w:sz="8" w:space="0"/>
            </w:tcBorders>
            <w:vAlign w:val="center"/>
          </w:tcPr>
          <w:p w14:paraId="5BF67150">
            <w:pPr>
              <w:keepNext w:val="0"/>
              <w:keepLines w:val="0"/>
              <w:suppressLineNumbers w:val="0"/>
              <w:snapToGrid w:val="0"/>
              <w:spacing w:before="0" w:beforeAutospacing="0" w:after="0" w:afterAutospacing="0" w:line="360" w:lineRule="auto"/>
              <w:ind w:left="0" w:right="0"/>
              <w:jc w:val="left"/>
              <w:rPr>
                <w:rFonts w:hint="default" w:ascii="宋体" w:hAnsi="宋体" w:cs="宋体"/>
                <w:sz w:val="24"/>
              </w:rPr>
            </w:pPr>
            <w:r>
              <w:rPr>
                <w:rFonts w:hint="eastAsia" w:ascii="宋体" w:hAnsi="宋体" w:cs="宋体"/>
                <w:sz w:val="24"/>
              </w:rPr>
              <w:t>（1）本次招标代理服务费由中标人支付，以中标价为基数，</w:t>
            </w:r>
            <w:r>
              <w:rPr>
                <w:rFonts w:hint="eastAsia" w:ascii="宋体" w:hAnsi="宋体" w:cs="宋体"/>
                <w:sz w:val="24"/>
                <w:lang w:val="en-US" w:eastAsia="zh-CN"/>
              </w:rPr>
              <w:t>参照</w:t>
            </w:r>
            <w:r>
              <w:rPr>
                <w:rFonts w:hint="eastAsia" w:ascii="宋体" w:hAnsi="宋体" w:cs="宋体"/>
                <w:sz w:val="24"/>
              </w:rPr>
              <w:t>计价格［2002］1980号《招标代理服务收费管理暂行办法》</w:t>
            </w:r>
            <w:r>
              <w:rPr>
                <w:rFonts w:hint="eastAsia" w:ascii="宋体" w:hAnsi="宋体" w:cs="宋体"/>
                <w:sz w:val="24"/>
                <w:lang w:val="en-US" w:eastAsia="zh-CN"/>
              </w:rPr>
              <w:t>文件</w:t>
            </w:r>
            <w:r>
              <w:rPr>
                <w:rFonts w:hint="eastAsia" w:ascii="宋体" w:hAnsi="宋体" w:cs="宋体"/>
                <w:sz w:val="24"/>
              </w:rPr>
              <w:t>服务类</w:t>
            </w:r>
            <w:r>
              <w:rPr>
                <w:rFonts w:hint="eastAsia" w:ascii="宋体" w:hAnsi="宋体" w:cs="宋体"/>
                <w:sz w:val="24"/>
                <w:lang w:val="en-US" w:eastAsia="zh-CN"/>
              </w:rPr>
              <w:t>5折</w:t>
            </w:r>
            <w:r>
              <w:rPr>
                <w:rFonts w:hint="eastAsia" w:ascii="宋体" w:hAnsi="宋体" w:cs="宋体"/>
                <w:sz w:val="24"/>
              </w:rPr>
              <w:t>收取，不足6000元按6000元收取。</w:t>
            </w:r>
          </w:p>
          <w:p w14:paraId="041E3065">
            <w:pPr>
              <w:keepNext w:val="0"/>
              <w:keepLines w:val="0"/>
              <w:suppressLineNumbers w:val="0"/>
              <w:snapToGrid w:val="0"/>
              <w:spacing w:before="0" w:beforeAutospacing="0" w:after="0" w:afterAutospacing="0" w:line="360" w:lineRule="auto"/>
              <w:ind w:left="0" w:right="0"/>
              <w:jc w:val="left"/>
              <w:rPr>
                <w:rFonts w:hint="default" w:ascii="宋体" w:hAnsi="宋体" w:cs="宋体"/>
                <w:sz w:val="24"/>
              </w:rPr>
            </w:pPr>
            <w:r>
              <w:rPr>
                <w:rFonts w:hint="eastAsia" w:ascii="宋体" w:hAnsi="宋体" w:cs="宋体"/>
                <w:sz w:val="24"/>
              </w:rPr>
              <w:t>（2）结算方式及时间：在领取中标通知书时由中标供应商一次性向采购代理机构付清。</w:t>
            </w:r>
          </w:p>
          <w:p w14:paraId="202793B8">
            <w:pPr>
              <w:keepNext w:val="0"/>
              <w:keepLines w:val="0"/>
              <w:suppressLineNumbers w:val="0"/>
              <w:snapToGrid w:val="0"/>
              <w:spacing w:before="0" w:beforeAutospacing="0" w:after="0" w:afterAutospacing="0" w:line="360" w:lineRule="auto"/>
              <w:ind w:left="0" w:right="0"/>
              <w:jc w:val="left"/>
              <w:rPr>
                <w:rFonts w:hint="default" w:ascii="宋体" w:hAnsi="宋体" w:cs="宋体"/>
                <w:sz w:val="24"/>
              </w:rPr>
            </w:pPr>
            <w:r>
              <w:rPr>
                <w:rFonts w:hint="default" w:ascii="宋体" w:hAnsi="宋体" w:cs="宋体"/>
                <w:sz w:val="24"/>
              </w:rPr>
              <w:t>（</w:t>
            </w:r>
            <w:r>
              <w:rPr>
                <w:rFonts w:hint="eastAsia" w:ascii="宋体" w:hAnsi="宋体" w:cs="宋体"/>
                <w:sz w:val="24"/>
              </w:rPr>
              <w:t>3</w:t>
            </w:r>
            <w:r>
              <w:rPr>
                <w:rFonts w:hint="default" w:ascii="宋体" w:hAnsi="宋体" w:cs="宋体"/>
                <w:sz w:val="24"/>
              </w:rPr>
              <w:t>）账号信息：</w:t>
            </w:r>
          </w:p>
          <w:p w14:paraId="27715578">
            <w:pPr>
              <w:keepNext w:val="0"/>
              <w:keepLines w:val="0"/>
              <w:suppressLineNumbers w:val="0"/>
              <w:spacing w:before="0" w:beforeAutospacing="0" w:after="0" w:afterAutospacing="0" w:line="360" w:lineRule="auto"/>
              <w:ind w:left="0" w:right="0"/>
              <w:rPr>
                <w:rFonts w:hint="default" w:ascii="宋体" w:hAnsi="宋体" w:cs="Arial"/>
                <w:kern w:val="0"/>
                <w:sz w:val="24"/>
              </w:rPr>
            </w:pPr>
            <w:r>
              <w:rPr>
                <w:rFonts w:hint="eastAsia" w:ascii="宋体" w:hAnsi="宋体" w:cs="Arial"/>
                <w:kern w:val="0"/>
                <w:sz w:val="24"/>
              </w:rPr>
              <w:t>收款单位（户名）：杭州建设工程造价咨询有限公司</w:t>
            </w:r>
          </w:p>
          <w:p w14:paraId="7D0A62A8">
            <w:pPr>
              <w:keepNext w:val="0"/>
              <w:keepLines w:val="0"/>
              <w:suppressLineNumbers w:val="0"/>
              <w:spacing w:before="0" w:beforeAutospacing="0" w:after="0" w:afterAutospacing="0" w:line="360" w:lineRule="auto"/>
              <w:ind w:left="0" w:right="0"/>
              <w:rPr>
                <w:rFonts w:hint="default" w:ascii="宋体" w:hAnsi="宋体" w:cs="Arial"/>
                <w:kern w:val="0"/>
                <w:sz w:val="24"/>
              </w:rPr>
            </w:pPr>
            <w:r>
              <w:rPr>
                <w:rFonts w:hint="eastAsia" w:ascii="宋体" w:hAnsi="宋体" w:cs="Arial"/>
                <w:kern w:val="0"/>
                <w:sz w:val="24"/>
              </w:rPr>
              <w:t xml:space="preserve">开户银行：杭州联合农村商业银行股份有限公司 </w:t>
            </w:r>
          </w:p>
          <w:p w14:paraId="0095ABDE">
            <w:pPr>
              <w:keepNext w:val="0"/>
              <w:keepLines w:val="0"/>
              <w:suppressLineNumbers w:val="0"/>
              <w:spacing w:before="0" w:beforeAutospacing="0" w:after="0" w:afterAutospacing="0" w:line="360" w:lineRule="auto"/>
              <w:ind w:left="0" w:right="0"/>
              <w:jc w:val="left"/>
              <w:rPr>
                <w:rFonts w:hint="default" w:ascii="宋体" w:hAnsi="宋体" w:cs="Arial"/>
                <w:kern w:val="0"/>
                <w:sz w:val="24"/>
              </w:rPr>
            </w:pPr>
            <w:r>
              <w:rPr>
                <w:rFonts w:hint="eastAsia" w:ascii="宋体" w:hAnsi="宋体" w:cs="Arial"/>
                <w:kern w:val="0"/>
                <w:sz w:val="24"/>
              </w:rPr>
              <w:t xml:space="preserve">银行账号：201000248104378 </w:t>
            </w:r>
          </w:p>
        </w:tc>
      </w:tr>
    </w:tbl>
    <w:p w14:paraId="11ED7141">
      <w:pPr>
        <w:snapToGrid w:val="0"/>
        <w:spacing w:line="360" w:lineRule="auto"/>
        <w:jc w:val="center"/>
        <w:rPr>
          <w:rFonts w:ascii="宋体" w:hAnsi="宋体" w:cs="宋体"/>
          <w:b/>
          <w:sz w:val="32"/>
          <w:szCs w:val="20"/>
        </w:rPr>
      </w:pPr>
    </w:p>
    <w:p w14:paraId="01BDF6B0">
      <w:pPr>
        <w:pStyle w:val="4"/>
      </w:pPr>
    </w:p>
    <w:bookmarkEnd w:id="10"/>
    <w:p w14:paraId="65739970">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36F5981">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750163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EF8F6C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DE5C8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A872E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F40FD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64082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13A9C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412AD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659B03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14747455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1474662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B2BA5E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429530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AE3A95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A5DEEC1">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2A980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19F891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ED5D465">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6E7D67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9D981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A2A09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7EAE7D3">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1946A0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533A8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3.3.4符合《关于促进残疾人就业政府采购政策的通知》（财库〔2017〕141号）规定的条件并提供《残疾人福利性单位声明函》（附件1）的残疾人福利性单位视同小型、微型企业；</w:t>
      </w:r>
    </w:p>
    <w:p w14:paraId="6A31B9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C39A6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7216DC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8DF917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F31529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1E52BCC">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4239F0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2728586">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50E7F3B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D5918E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C53254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461797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6C5B8CF">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80E31D8">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415060A">
      <w:pPr>
        <w:pStyle w:val="1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248569B">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9745CF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E1AD0BD">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0CB6AE0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42E36E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14D7FE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9B7F29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37CF3BE">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2F42A4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BF8508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DC8790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468EF8C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0A1F4111">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FDF3905">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71D8348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77648DC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D5EF43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E6B898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30998BB1">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1AB59E01">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08D74C2D">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34641AFF">
      <w:pPr>
        <w:pStyle w:val="131"/>
        <w:snapToGrid w:val="0"/>
        <w:spacing w:before="0"/>
        <w:ind w:firstLine="360"/>
        <w:rPr>
          <w:rFonts w:ascii="宋体" w:hAnsi="宋体" w:cs="宋体"/>
          <w:sz w:val="18"/>
          <w:szCs w:val="18"/>
        </w:rPr>
      </w:pPr>
    </w:p>
    <w:p w14:paraId="146FFF58">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37D1F4BC">
      <w:pPr>
        <w:pStyle w:val="32"/>
        <w:spacing w:line="360" w:lineRule="auto"/>
        <w:rPr>
          <w:rFonts w:hAnsi="宋体" w:cs="宋体"/>
          <w:b/>
          <w:sz w:val="24"/>
          <w:szCs w:val="24"/>
        </w:rPr>
      </w:pPr>
      <w:r>
        <w:rPr>
          <w:rFonts w:hint="eastAsia" w:hAnsi="宋体" w:cs="宋体"/>
          <w:b/>
          <w:sz w:val="24"/>
          <w:szCs w:val="24"/>
        </w:rPr>
        <w:t>5．招标文件的构成</w:t>
      </w:r>
    </w:p>
    <w:p w14:paraId="25A5CD55">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C94A33C">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137C1BAC">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55B5C068">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0A4913D">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BA84DD9">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6941169">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7EB400A">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1D6BDA91">
      <w:pPr>
        <w:pStyle w:val="32"/>
        <w:spacing w:line="360" w:lineRule="auto"/>
        <w:rPr>
          <w:rFonts w:hAnsi="宋体" w:cs="宋体"/>
          <w:b/>
          <w:sz w:val="24"/>
          <w:szCs w:val="24"/>
        </w:rPr>
      </w:pPr>
      <w:r>
        <w:rPr>
          <w:rFonts w:hint="eastAsia" w:hAnsi="宋体" w:cs="宋体"/>
          <w:b/>
          <w:sz w:val="24"/>
          <w:szCs w:val="24"/>
        </w:rPr>
        <w:t>6. 招标文件的澄清、修改</w:t>
      </w:r>
    </w:p>
    <w:p w14:paraId="5A949646">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624969CB">
      <w:pPr>
        <w:pStyle w:val="131"/>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67A6CD9">
      <w:pPr>
        <w:pStyle w:val="2"/>
        <w:rPr>
          <w:rFonts w:hAnsi="宋体" w:cs="宋体"/>
          <w:sz w:val="18"/>
          <w:szCs w:val="18"/>
          <w:lang w:val="en-US"/>
        </w:rPr>
      </w:pPr>
      <w:r>
        <w:rPr>
          <w:rFonts w:hint="eastAsia" w:hAnsi="宋体" w:cs="宋体"/>
          <w:szCs w:val="24"/>
          <w:lang w:val="en-US"/>
        </w:rPr>
        <w:t xml:space="preserve">    </w:t>
      </w:r>
    </w:p>
    <w:p w14:paraId="614F72BA">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3F975143">
      <w:pPr>
        <w:pStyle w:val="32"/>
        <w:spacing w:line="360" w:lineRule="auto"/>
        <w:rPr>
          <w:rFonts w:hAnsi="宋体" w:cs="宋体"/>
          <w:b/>
          <w:sz w:val="24"/>
          <w:szCs w:val="24"/>
        </w:rPr>
      </w:pPr>
      <w:r>
        <w:rPr>
          <w:rFonts w:hint="eastAsia" w:hAnsi="宋体" w:cs="宋体"/>
          <w:b/>
          <w:sz w:val="24"/>
          <w:szCs w:val="24"/>
        </w:rPr>
        <w:t>7. 招标文件的获取</w:t>
      </w:r>
    </w:p>
    <w:p w14:paraId="6398A448">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BA82221">
      <w:pPr>
        <w:pStyle w:val="32"/>
        <w:spacing w:line="360" w:lineRule="auto"/>
        <w:rPr>
          <w:rFonts w:hAnsi="宋体" w:cs="宋体"/>
          <w:b/>
          <w:sz w:val="24"/>
          <w:szCs w:val="24"/>
        </w:rPr>
      </w:pPr>
      <w:r>
        <w:rPr>
          <w:rFonts w:hint="eastAsia" w:hAnsi="宋体" w:cs="宋体"/>
          <w:b/>
          <w:sz w:val="24"/>
          <w:szCs w:val="24"/>
        </w:rPr>
        <w:t>8.开标前答疑会或现场考察</w:t>
      </w:r>
    </w:p>
    <w:p w14:paraId="41BF8F98">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934AD3F">
      <w:pPr>
        <w:pStyle w:val="32"/>
        <w:spacing w:line="360" w:lineRule="auto"/>
        <w:rPr>
          <w:rFonts w:hAnsi="宋体" w:cs="宋体"/>
          <w:b/>
          <w:szCs w:val="24"/>
        </w:rPr>
      </w:pPr>
      <w:r>
        <w:rPr>
          <w:rFonts w:hint="eastAsia" w:hAnsi="宋体" w:cs="宋体"/>
          <w:b/>
          <w:kern w:val="28"/>
          <w:sz w:val="24"/>
          <w:szCs w:val="24"/>
        </w:rPr>
        <w:t>9.投标保证金</w:t>
      </w:r>
    </w:p>
    <w:p w14:paraId="7F790889">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4331928">
      <w:pPr>
        <w:pStyle w:val="32"/>
        <w:spacing w:line="360" w:lineRule="auto"/>
        <w:rPr>
          <w:rFonts w:hAnsi="宋体" w:cs="宋体"/>
          <w:b/>
          <w:sz w:val="24"/>
          <w:szCs w:val="24"/>
        </w:rPr>
      </w:pPr>
      <w:r>
        <w:rPr>
          <w:rFonts w:hint="eastAsia" w:hAnsi="宋体" w:cs="宋体"/>
          <w:b/>
          <w:sz w:val="24"/>
          <w:szCs w:val="24"/>
        </w:rPr>
        <w:t>10. 投标文件的语言</w:t>
      </w:r>
    </w:p>
    <w:p w14:paraId="20C7DEF5">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5C5FB8A">
      <w:pPr>
        <w:pStyle w:val="32"/>
        <w:spacing w:line="360" w:lineRule="auto"/>
        <w:rPr>
          <w:rFonts w:hAnsi="宋体" w:cs="宋体"/>
          <w:b/>
          <w:sz w:val="24"/>
          <w:szCs w:val="24"/>
        </w:rPr>
      </w:pPr>
      <w:r>
        <w:rPr>
          <w:rFonts w:hint="eastAsia" w:hAnsi="宋体" w:cs="宋体"/>
          <w:b/>
          <w:sz w:val="24"/>
          <w:szCs w:val="24"/>
        </w:rPr>
        <w:t>11. 投标文件的组成</w:t>
      </w:r>
    </w:p>
    <w:p w14:paraId="6C51464A">
      <w:pPr>
        <w:snapToGrid w:val="0"/>
        <w:spacing w:line="360" w:lineRule="auto"/>
        <w:ind w:firstLine="482" w:firstLineChars="200"/>
        <w:rPr>
          <w:rFonts w:ascii="宋体" w:hAnsi="宋体" w:cs="宋体"/>
          <w:b/>
          <w:snapToGrid w:val="0"/>
          <w:sz w:val="24"/>
        </w:rPr>
      </w:pPr>
      <w:r>
        <w:rPr>
          <w:rFonts w:hint="eastAsia" w:ascii="宋体" w:hAnsi="宋体" w:cs="宋体"/>
          <w:b/>
          <w:snapToGrid w:val="0"/>
          <w:sz w:val="24"/>
        </w:rPr>
        <w:t>▲投标文件至少应包括以下文件。</w:t>
      </w:r>
    </w:p>
    <w:p w14:paraId="733F8C32">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5F881B3">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167DEC84">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25C8BD42">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72B64C89">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15B698FA">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2BFCCEA">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70F5906B">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7188377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0D425B4E">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327592A8">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43FB7AA0">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4A77425">
      <w:pPr>
        <w:snapToGrid w:val="0"/>
        <w:spacing w:line="360" w:lineRule="auto"/>
        <w:ind w:firstLine="960" w:firstLineChars="400"/>
        <w:rPr>
          <w:rFonts w:ascii="宋体" w:hAnsi="宋体" w:cs="宋体"/>
          <w:sz w:val="24"/>
        </w:rPr>
      </w:pPr>
      <w:r>
        <w:rPr>
          <w:rFonts w:hint="eastAsia" w:ascii="宋体" w:hAnsi="宋体" w:cs="宋体"/>
          <w:sz w:val="24"/>
        </w:rPr>
        <w:t>11.2.7人员配置清单；</w:t>
      </w:r>
    </w:p>
    <w:p w14:paraId="0DD5FA5F">
      <w:pPr>
        <w:snapToGrid w:val="0"/>
        <w:spacing w:line="360" w:lineRule="auto"/>
        <w:ind w:firstLine="960" w:firstLineChars="400"/>
        <w:rPr>
          <w:rFonts w:ascii="宋体" w:hAnsi="宋体" w:cs="宋体"/>
          <w:sz w:val="24"/>
        </w:rPr>
      </w:pPr>
      <w:r>
        <w:rPr>
          <w:rFonts w:hint="eastAsia" w:ascii="宋体" w:hAnsi="宋体" w:cs="宋体"/>
          <w:sz w:val="24"/>
        </w:rPr>
        <w:t>11.2.8商务技术偏离表；</w:t>
      </w:r>
    </w:p>
    <w:p w14:paraId="17A88C34">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p>
    <w:p w14:paraId="38761C43">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31A7EBC">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0EF7FD80">
      <w:pPr>
        <w:snapToGrid w:val="0"/>
        <w:spacing w:line="360" w:lineRule="auto"/>
        <w:ind w:firstLine="960" w:firstLineChars="400"/>
        <w:rPr>
          <w:rFonts w:ascii="宋体" w:hAnsi="宋体" w:cs="宋体"/>
          <w:sz w:val="24"/>
        </w:rPr>
      </w:pPr>
      <w:r>
        <w:rPr>
          <w:rFonts w:hint="eastAsia" w:ascii="宋体" w:hAnsi="宋体" w:cs="宋体"/>
          <w:sz w:val="24"/>
        </w:rPr>
        <w:t>11.3.2 报价情况说明（如供应商报价低于项目预算50%的，应当提交本文档，详细阐述不影响产品质量或者诚信履约的具体原因）；</w:t>
      </w:r>
    </w:p>
    <w:p w14:paraId="3B144B0A">
      <w:pPr>
        <w:snapToGrid w:val="0"/>
        <w:spacing w:line="360" w:lineRule="auto"/>
        <w:ind w:firstLine="960" w:firstLineChars="400"/>
        <w:rPr>
          <w:rFonts w:ascii="宋体" w:hAnsi="宋体" w:cs="宋体"/>
          <w:sz w:val="24"/>
        </w:rPr>
      </w:pPr>
      <w:r>
        <w:rPr>
          <w:rFonts w:hint="eastAsia" w:ascii="宋体" w:hAnsi="宋体" w:cs="宋体"/>
          <w:sz w:val="24"/>
        </w:rPr>
        <w:t>11.3.3中小企业声明函（如果有）。</w:t>
      </w:r>
    </w:p>
    <w:p w14:paraId="2CC84FFD">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10ABD15D">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14:paraId="2BE63F8D">
      <w:pPr>
        <w:spacing w:line="360" w:lineRule="auto"/>
        <w:ind w:firstLine="723" w:firstLineChars="300"/>
      </w:pPr>
      <w:r>
        <w:rPr>
          <w:rFonts w:hint="eastAsia"/>
          <w:b/>
          <w:bCs/>
          <w:sz w:val="24"/>
          <w:shd w:val="clear" w:color="auto" w:fill="FFFFFF"/>
        </w:rPr>
        <w:t>投标人应对投标文件中材料的真实性、合法性负责。</w:t>
      </w:r>
      <w:r>
        <w:rPr>
          <w:rFonts w:hint="eastAsia"/>
          <w:sz w:val="24"/>
          <w:shd w:val="clear" w:color="auto" w:fill="FFFFFF"/>
        </w:rPr>
        <w:t>投标人可事先在公开官网查询、核对相关证书和报告内容，确保投标文件资料准确无误。</w:t>
      </w:r>
    </w:p>
    <w:p w14:paraId="2C4CCAF6">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47F2CB38">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7F70FB6E">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EDAA4F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905951F">
      <w:pPr>
        <w:snapToGrid w:val="0"/>
        <w:spacing w:line="360" w:lineRule="auto"/>
        <w:rPr>
          <w:rFonts w:ascii="宋体" w:hAnsi="宋体" w:cs="宋体"/>
          <w:b/>
          <w:sz w:val="24"/>
        </w:rPr>
      </w:pPr>
      <w:r>
        <w:rPr>
          <w:rFonts w:hint="eastAsia" w:ascii="宋体" w:hAnsi="宋体" w:cs="宋体"/>
          <w:b/>
          <w:sz w:val="24"/>
        </w:rPr>
        <w:t>13.投标文件的签署、盖章</w:t>
      </w:r>
    </w:p>
    <w:p w14:paraId="75F0712D">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596C679A">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DE8CADA">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69F3C98">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E8297F4">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3D60D12">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4D6243A">
      <w:pPr>
        <w:pStyle w:val="131"/>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6DD10658">
      <w:pPr>
        <w:pStyle w:val="32"/>
        <w:spacing w:line="360" w:lineRule="auto"/>
        <w:rPr>
          <w:rFonts w:hAnsi="宋体" w:cs="宋体"/>
          <w:b/>
          <w:sz w:val="24"/>
          <w:szCs w:val="24"/>
        </w:rPr>
      </w:pPr>
      <w:r>
        <w:rPr>
          <w:rFonts w:hint="eastAsia" w:hAnsi="宋体" w:cs="宋体"/>
          <w:b/>
          <w:sz w:val="24"/>
          <w:szCs w:val="24"/>
        </w:rPr>
        <w:t>15.备份投标文件</w:t>
      </w:r>
    </w:p>
    <w:p w14:paraId="43F10087">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0C11F97C">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6ADD212">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109E93A2">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14:paraId="7E683075">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1C27AFDC">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58155F69">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51767ECE">
      <w:pPr>
        <w:pStyle w:val="131"/>
        <w:spacing w:before="0"/>
        <w:ind w:firstLine="0" w:firstLineChars="0"/>
        <w:rPr>
          <w:rFonts w:ascii="宋体" w:hAnsi="宋体" w:cs="宋体"/>
          <w:b/>
          <w:szCs w:val="24"/>
        </w:rPr>
      </w:pPr>
      <w:r>
        <w:rPr>
          <w:rFonts w:hint="eastAsia" w:ascii="宋体" w:hAnsi="宋体" w:cs="宋体"/>
          <w:b/>
          <w:szCs w:val="24"/>
        </w:rPr>
        <w:t>17.投标有效期</w:t>
      </w:r>
    </w:p>
    <w:p w14:paraId="1EF6E4E2">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5060DD8">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4B28A835">
      <w:pPr>
        <w:pStyle w:val="131"/>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5194BEE8">
      <w:pPr>
        <w:pStyle w:val="131"/>
        <w:spacing w:before="0"/>
        <w:ind w:firstLine="480"/>
        <w:rPr>
          <w:rFonts w:ascii="宋体" w:hAnsi="宋体" w:cs="宋体"/>
        </w:rPr>
      </w:pPr>
      <w:r>
        <w:rPr>
          <w:rFonts w:hint="eastAsia" w:ascii="宋体" w:hAnsi="宋体" w:cs="宋体"/>
        </w:rPr>
        <w:t>17.4在投标截止时间起至投标有效期届满，供应商投标文件不可撤销。</w:t>
      </w:r>
    </w:p>
    <w:p w14:paraId="5F17344D">
      <w:pPr>
        <w:pStyle w:val="131"/>
        <w:spacing w:before="0"/>
        <w:ind w:firstLine="643"/>
        <w:rPr>
          <w:rFonts w:ascii="宋体" w:hAnsi="宋体" w:cs="宋体"/>
          <w:b/>
          <w:sz w:val="32"/>
        </w:rPr>
      </w:pPr>
    </w:p>
    <w:p w14:paraId="5DBC4A99">
      <w:pPr>
        <w:pStyle w:val="131"/>
        <w:spacing w:before="0"/>
        <w:ind w:firstLine="0" w:firstLineChars="0"/>
        <w:jc w:val="center"/>
        <w:rPr>
          <w:rFonts w:ascii="宋体" w:hAnsi="宋体" w:cs="宋体"/>
          <w:b/>
          <w:sz w:val="32"/>
        </w:rPr>
      </w:pPr>
      <w:r>
        <w:rPr>
          <w:rFonts w:hint="eastAsia" w:ascii="宋体" w:hAnsi="宋体" w:cs="宋体"/>
          <w:b/>
          <w:sz w:val="32"/>
        </w:rPr>
        <w:t>四、开标</w:t>
      </w:r>
    </w:p>
    <w:p w14:paraId="044420B0">
      <w:pPr>
        <w:pStyle w:val="558"/>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A75E8B9">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563AA8F4">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55CB4A98">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5B6009AA">
      <w:pPr>
        <w:widowControl/>
        <w:spacing w:before="100" w:beforeAutospacing="1" w:after="240" w:line="360" w:lineRule="auto"/>
        <w:jc w:val="center"/>
        <w:rPr>
          <w:rFonts w:ascii="宋体" w:hAnsi="宋体" w:cs="宋体"/>
          <w:b/>
          <w:sz w:val="32"/>
        </w:rPr>
      </w:pPr>
      <w:r>
        <w:rPr>
          <w:rFonts w:hint="eastAsia" w:ascii="宋体" w:hAnsi="宋体" w:cs="宋体"/>
          <w:b/>
          <w:sz w:val="36"/>
          <w:szCs w:val="36"/>
        </w:rPr>
        <w:t>五、资格审查</w:t>
      </w:r>
    </w:p>
    <w:p w14:paraId="628DBF8D">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19</w:t>
      </w:r>
      <w:r>
        <w:rPr>
          <w:rFonts w:hint="eastAsia" w:ascii="宋体" w:hAnsi="宋体" w:cs="宋体"/>
          <w:b/>
          <w:sz w:val="24"/>
          <w:szCs w:val="20"/>
          <w:lang w:val="en-US" w:eastAsia="zh-CN"/>
        </w:rPr>
        <w:t>.</w:t>
      </w:r>
      <w:r>
        <w:rPr>
          <w:rFonts w:hint="eastAsia" w:ascii="宋体" w:hAnsi="宋体" w:cs="宋体"/>
          <w:b/>
          <w:sz w:val="24"/>
          <w:szCs w:val="20"/>
        </w:rPr>
        <w:t>资格审查</w:t>
      </w:r>
    </w:p>
    <w:p w14:paraId="1FC8ABFF">
      <w:pPr>
        <w:pStyle w:val="131"/>
        <w:spacing w:before="0"/>
        <w:ind w:firstLine="480"/>
        <w:rPr>
          <w:rFonts w:ascii="宋体" w:hAnsi="宋体" w:cs="宋体"/>
          <w:kern w:val="0"/>
          <w:szCs w:val="24"/>
        </w:rPr>
      </w:pPr>
      <w:r>
        <w:rPr>
          <w:rFonts w:hint="eastAsia" w:ascii="宋体" w:hAnsi="宋体" w:cs="宋体"/>
          <w:kern w:val="0"/>
          <w:szCs w:val="24"/>
        </w:rPr>
        <w:t>19.1开标后，采购人将依据法律法规和招标文件的规定，对投标人的资格进行审查。</w:t>
      </w:r>
    </w:p>
    <w:p w14:paraId="6D9E6A1A">
      <w:pPr>
        <w:pStyle w:val="131"/>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D5B56FA">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3对未通过资格审查的投标人，告知其未通过的原因。</w:t>
      </w:r>
    </w:p>
    <w:p w14:paraId="69A63A2C">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A6130DB">
      <w:pPr>
        <w:pStyle w:val="131"/>
        <w:spacing w:before="0"/>
        <w:ind w:firstLine="0" w:firstLineChars="0"/>
        <w:rPr>
          <w:rFonts w:ascii="宋体" w:hAnsi="宋体" w:cs="宋体"/>
          <w:b/>
        </w:rPr>
      </w:pPr>
      <w:r>
        <w:rPr>
          <w:rFonts w:hint="eastAsia" w:ascii="宋体" w:hAnsi="宋体" w:cs="宋体"/>
          <w:b/>
        </w:rPr>
        <w:t>20</w:t>
      </w:r>
      <w:r>
        <w:rPr>
          <w:rFonts w:hint="eastAsia" w:ascii="宋体" w:hAnsi="宋体" w:cs="宋体"/>
          <w:b/>
          <w:lang w:val="en-US" w:eastAsia="zh-CN"/>
        </w:rPr>
        <w:t>.</w:t>
      </w:r>
      <w:r>
        <w:rPr>
          <w:rFonts w:hint="eastAsia" w:ascii="宋体" w:hAnsi="宋体" w:cs="宋体"/>
          <w:b/>
        </w:rPr>
        <w:t>信用信息查询</w:t>
      </w:r>
    </w:p>
    <w:p w14:paraId="06C727B1">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20.1信用信息查询渠道及截止时间：采购人将在资格审查时通过“信用中国”网站(www.creditchina.gov.cn)、中国政府采购网(www.ccgp.gov.cn)渠道查询投标人接受资格审查时的信用记录。</w:t>
      </w:r>
    </w:p>
    <w:p w14:paraId="60F877E1">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539D2A9">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DB0E3FE">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6E6B067">
      <w:pPr>
        <w:pStyle w:val="131"/>
        <w:spacing w:before="0"/>
        <w:ind w:firstLine="0" w:firstLineChars="0"/>
        <w:rPr>
          <w:rFonts w:ascii="宋体" w:hAnsi="宋体" w:cs="宋体"/>
          <w:kern w:val="0"/>
          <w:szCs w:val="24"/>
        </w:rPr>
      </w:pPr>
    </w:p>
    <w:p w14:paraId="0D291B89">
      <w:pPr>
        <w:snapToGrid w:val="0"/>
        <w:spacing w:line="360" w:lineRule="auto"/>
        <w:jc w:val="center"/>
        <w:outlineLvl w:val="0"/>
        <w:rPr>
          <w:rFonts w:ascii="宋体" w:hAnsi="宋体" w:cs="宋体"/>
          <w:b/>
          <w:sz w:val="36"/>
          <w:szCs w:val="36"/>
        </w:rPr>
      </w:pPr>
      <w:r>
        <w:rPr>
          <w:rFonts w:hint="eastAsia" w:ascii="宋体" w:hAnsi="宋体" w:cs="宋体"/>
          <w:b/>
          <w:sz w:val="36"/>
          <w:szCs w:val="36"/>
        </w:rPr>
        <w:t>六、评标</w:t>
      </w:r>
    </w:p>
    <w:p w14:paraId="430442A3">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4F91A00">
      <w:pPr>
        <w:spacing w:line="360" w:lineRule="auto"/>
        <w:rPr>
          <w:rFonts w:ascii="宋体" w:hAnsi="宋体" w:cs="宋体"/>
          <w:b/>
          <w:sz w:val="24"/>
        </w:rPr>
      </w:pPr>
    </w:p>
    <w:p w14:paraId="5AD25FE6">
      <w:pPr>
        <w:snapToGrid w:val="0"/>
        <w:spacing w:line="360" w:lineRule="auto"/>
        <w:jc w:val="center"/>
        <w:outlineLvl w:val="0"/>
        <w:rPr>
          <w:rFonts w:ascii="宋体" w:hAnsi="宋体" w:cs="宋体"/>
          <w:b/>
          <w:sz w:val="36"/>
          <w:szCs w:val="36"/>
        </w:rPr>
      </w:pPr>
      <w:r>
        <w:rPr>
          <w:rFonts w:hint="eastAsia" w:ascii="宋体" w:hAnsi="宋体" w:cs="宋体"/>
          <w:b/>
          <w:sz w:val="36"/>
          <w:szCs w:val="36"/>
        </w:rPr>
        <w:t>七、定 标</w:t>
      </w:r>
    </w:p>
    <w:p w14:paraId="184BE688">
      <w:pPr>
        <w:pStyle w:val="24"/>
        <w:spacing w:line="360" w:lineRule="auto"/>
        <w:ind w:left="479" w:hanging="479" w:hangingChars="199"/>
        <w:rPr>
          <w:rFonts w:cs="宋体"/>
          <w:b/>
        </w:rPr>
      </w:pPr>
      <w:r>
        <w:rPr>
          <w:rFonts w:hint="eastAsia" w:cs="宋体"/>
          <w:b/>
        </w:rPr>
        <w:t>22. 确定中标供应商</w:t>
      </w:r>
    </w:p>
    <w:p w14:paraId="6255DA39">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74C6600">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0E2B7FF0">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215EC62C">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0416C634">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6FF8BB74">
      <w:pPr>
        <w:pStyle w:val="79"/>
        <w:spacing w:line="360" w:lineRule="auto"/>
        <w:ind w:firstLine="0" w:firstLineChars="0"/>
        <w:rPr>
          <w:rFonts w:hint="eastAsia" w:ascii="宋体" w:hAnsi="宋体" w:eastAsia="宋体" w:cs="宋体"/>
          <w:b/>
          <w:kern w:val="2"/>
          <w:sz w:val="24"/>
          <w:szCs w:val="24"/>
        </w:rPr>
      </w:pPr>
      <w:r>
        <w:rPr>
          <w:rFonts w:hint="eastAsia" w:ascii="宋体" w:hAnsi="宋体" w:eastAsia="宋体" w:cs="宋体"/>
          <w:b/>
          <w:bCs/>
          <w:kern w:val="2"/>
          <w:sz w:val="24"/>
          <w:szCs w:val="24"/>
        </w:rPr>
        <w:t>24.</w:t>
      </w:r>
      <w:r>
        <w:rPr>
          <w:rFonts w:hint="eastAsia" w:ascii="宋体" w:hAnsi="宋体" w:eastAsia="宋体" w:cs="宋体"/>
          <w:b/>
          <w:kern w:val="2"/>
          <w:sz w:val="24"/>
          <w:szCs w:val="24"/>
        </w:rPr>
        <w:t>及时复核供应商材料。</w:t>
      </w:r>
    </w:p>
    <w:p w14:paraId="422C977F">
      <w:pPr>
        <w:pStyle w:val="79"/>
        <w:spacing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5FCC933C">
      <w:pPr>
        <w:snapToGrid w:val="0"/>
        <w:spacing w:line="360" w:lineRule="auto"/>
        <w:ind w:left="120" w:leftChars="57" w:firstLine="482" w:firstLineChars="150"/>
        <w:jc w:val="center"/>
        <w:rPr>
          <w:rFonts w:ascii="宋体" w:hAnsi="宋体" w:cs="宋体"/>
          <w:b/>
          <w:sz w:val="32"/>
        </w:rPr>
      </w:pPr>
    </w:p>
    <w:p w14:paraId="730116B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八、合同授予</w:t>
      </w:r>
    </w:p>
    <w:p w14:paraId="7DD2FBFD">
      <w:pPr>
        <w:pStyle w:val="24"/>
        <w:spacing w:line="360" w:lineRule="auto"/>
        <w:ind w:left="479" w:hanging="479" w:hangingChars="199"/>
        <w:rPr>
          <w:rFonts w:cs="宋体"/>
          <w:b/>
        </w:rPr>
      </w:pPr>
      <w:r>
        <w:rPr>
          <w:rFonts w:hint="eastAsia" w:cs="宋体"/>
          <w:b/>
        </w:rPr>
        <w:t xml:space="preserve">25. </w:t>
      </w:r>
      <w:r>
        <w:rPr>
          <w:rFonts w:hint="eastAsia" w:cs="宋体"/>
        </w:rPr>
        <w:t>合同主要条款详见第五部分拟签订的合同文本。</w:t>
      </w:r>
    </w:p>
    <w:p w14:paraId="7DBB53F7">
      <w:pPr>
        <w:pStyle w:val="24"/>
        <w:spacing w:line="360" w:lineRule="auto"/>
        <w:ind w:left="479" w:hanging="479" w:hangingChars="199"/>
        <w:rPr>
          <w:rFonts w:cs="宋体"/>
          <w:b/>
        </w:rPr>
      </w:pPr>
      <w:r>
        <w:rPr>
          <w:rFonts w:hint="eastAsia" w:cs="宋体"/>
          <w:b/>
        </w:rPr>
        <w:t>26. 合同的签订</w:t>
      </w:r>
    </w:p>
    <w:p w14:paraId="4FD8AB6F">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26.1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7E74FE9">
      <w:pPr>
        <w:pStyle w:val="131"/>
        <w:snapToGrid w:val="0"/>
        <w:spacing w:before="0"/>
        <w:ind w:firstLine="480"/>
        <w:rPr>
          <w:rFonts w:ascii="宋体" w:hAnsi="宋体" w:cs="宋体"/>
          <w:kern w:val="0"/>
        </w:rPr>
      </w:pPr>
      <w:r>
        <w:rPr>
          <w:rFonts w:hint="eastAsia" w:ascii="宋体" w:hAnsi="宋体" w:cs="宋体"/>
          <w:kern w:val="0"/>
          <w:lang w:val="zh-CN"/>
        </w:rPr>
        <w:t>2</w:t>
      </w:r>
      <w:r>
        <w:rPr>
          <w:rFonts w:hint="eastAsia" w:ascii="宋体" w:hAnsi="宋体" w:cs="宋体"/>
          <w:kern w:val="0"/>
        </w:rPr>
        <w:t>6</w:t>
      </w:r>
      <w:r>
        <w:rPr>
          <w:rFonts w:hint="eastAsia" w:ascii="宋体" w:hAnsi="宋体" w:cs="宋体"/>
          <w:kern w:val="0"/>
          <w:lang w:val="zh-CN"/>
        </w:rPr>
        <w:t>.2中标人按规定的日期、时间、地点，由法定代表人或其授权代表与采购人代表签订合同。如中标人为联合体的，由联合体成员各方法定代表人或其授权代表与采购人代表签订合同。</w:t>
      </w:r>
    </w:p>
    <w:p w14:paraId="5BDA7A2F">
      <w:pPr>
        <w:pStyle w:val="131"/>
        <w:snapToGrid w:val="0"/>
        <w:spacing w:before="0"/>
        <w:ind w:firstLine="480"/>
        <w:rPr>
          <w:rFonts w:ascii="宋体" w:hAnsi="宋体" w:cs="宋体"/>
        </w:rPr>
      </w:pPr>
      <w:r>
        <w:rPr>
          <w:rFonts w:hint="eastAsia" w:ascii="宋体" w:hAnsi="宋体" w:cs="宋体"/>
        </w:rPr>
        <w:t>26.3如签订合同并生效后，供应商无故拒绝或延期，除按照合同条款处理外，列入不良行为记录一次，并给予通报。</w:t>
      </w:r>
    </w:p>
    <w:p w14:paraId="14EBD3A2">
      <w:pPr>
        <w:pStyle w:val="131"/>
        <w:snapToGrid w:val="0"/>
        <w:spacing w:before="0"/>
        <w:ind w:firstLine="480"/>
        <w:rPr>
          <w:rFonts w:ascii="宋体" w:hAnsi="宋体" w:cs="宋体"/>
        </w:rPr>
      </w:pPr>
      <w:r>
        <w:rPr>
          <w:rFonts w:hint="eastAsia" w:ascii="宋体" w:hAnsi="宋体" w:cs="宋体"/>
        </w:rPr>
        <w:t>26.4中标供应商拒绝与采购人签订合同的，采购人可以按照评审报告推荐的中标或者成交候选人名单排序，确定下一候选人为中标供应商，也可以重新开展政府采购活动。</w:t>
      </w:r>
    </w:p>
    <w:p w14:paraId="28523014">
      <w:pPr>
        <w:pStyle w:val="131"/>
        <w:snapToGrid w:val="0"/>
        <w:spacing w:before="0" w:after="120"/>
        <w:ind w:firstLine="480"/>
        <w:rPr>
          <w:rFonts w:ascii="宋体" w:hAnsi="宋体" w:cs="宋体"/>
        </w:rPr>
      </w:pPr>
      <w:r>
        <w:rPr>
          <w:rFonts w:hint="eastAsia" w:ascii="宋体" w:hAnsi="宋体" w:cs="宋体"/>
        </w:rPr>
        <w:t>26.5采购合同由采购人与中标供应商根据招标文件、投标文件等内容通过政府采购电子交易平台在线签订，自动备案。</w:t>
      </w:r>
    </w:p>
    <w:p w14:paraId="2604CEC4">
      <w:pPr>
        <w:pStyle w:val="24"/>
        <w:spacing w:line="360" w:lineRule="auto"/>
        <w:ind w:left="479" w:hanging="479" w:hangingChars="199"/>
        <w:rPr>
          <w:rFonts w:cs="宋体"/>
          <w:b/>
        </w:rPr>
      </w:pPr>
      <w:r>
        <w:rPr>
          <w:rFonts w:hint="eastAsia" w:cs="宋体"/>
          <w:b/>
        </w:rPr>
        <w:t>27. 履约保证金</w:t>
      </w:r>
    </w:p>
    <w:p w14:paraId="04376F01">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545C00D9">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rPr>
        <w:t>95763</w:t>
      </w:r>
      <w:r>
        <w:rPr>
          <w:rFonts w:hint="eastAsia" w:ascii="宋体" w:hAnsi="宋体" w:eastAsia="宋体" w:cs="宋体"/>
          <w:b w:val="0"/>
          <w:bCs w:val="0"/>
          <w:snapToGrid w:val="0"/>
          <w:kern w:val="28"/>
          <w:sz w:val="24"/>
        </w:rPr>
        <w:t>。</w:t>
      </w:r>
    </w:p>
    <w:p w14:paraId="2237CEB0">
      <w:pPr>
        <w:pStyle w:val="4"/>
      </w:pPr>
      <w:r>
        <w:rPr>
          <w:rFonts w:ascii="宋体" w:hAnsi="宋体" w:eastAsia="宋体"/>
          <w:sz w:val="24"/>
          <w:lang w:val="en-US"/>
        </w:rPr>
        <w:t>2</w:t>
      </w:r>
      <w:r>
        <w:rPr>
          <w:rFonts w:hint="eastAsia" w:ascii="宋体" w:hAnsi="宋体" w:eastAsia="宋体"/>
          <w:sz w:val="24"/>
          <w:lang w:val="en-US"/>
        </w:rPr>
        <w:t>8</w:t>
      </w:r>
      <w:r>
        <w:rPr>
          <w:rFonts w:ascii="宋体" w:hAnsi="宋体" w:eastAsia="宋体"/>
          <w:sz w:val="24"/>
          <w:lang w:val="en-US"/>
        </w:rPr>
        <w:t>.预付款</w:t>
      </w:r>
    </w:p>
    <w:p w14:paraId="19C19767">
      <w:pPr>
        <w:tabs>
          <w:tab w:val="left" w:pos="0"/>
        </w:tabs>
        <w:spacing w:line="360" w:lineRule="auto"/>
        <w:ind w:firstLine="482"/>
        <w:rPr>
          <w:rFonts w:ascii="宋体" w:hAnsi="宋体" w:cs="宋体"/>
          <w:kern w:val="0"/>
          <w:sz w:val="24"/>
        </w:rPr>
      </w:pPr>
      <w:r>
        <w:rPr>
          <w:rFonts w:hint="eastAsia" w:ascii="宋体" w:hAnsi="宋体" w:cs="宋体"/>
          <w:kern w:val="0"/>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cs="宋体"/>
          <w:snapToGrid w:val="0"/>
          <w:kern w:val="28"/>
          <w:sz w:val="24"/>
        </w:rPr>
        <w:t>95763</w:t>
      </w:r>
      <w:r>
        <w:rPr>
          <w:rFonts w:hint="eastAsia" w:ascii="宋体" w:hAnsi="宋体" w:cs="宋体"/>
          <w:kern w:val="0"/>
          <w:sz w:val="24"/>
        </w:rPr>
        <w:t>。</w:t>
      </w:r>
    </w:p>
    <w:p w14:paraId="631016B7">
      <w:pPr>
        <w:snapToGrid w:val="0"/>
        <w:spacing w:line="360" w:lineRule="auto"/>
        <w:ind w:firstLine="3357" w:firstLineChars="1045"/>
        <w:rPr>
          <w:rFonts w:ascii="宋体" w:hAnsi="宋体" w:cs="宋体"/>
          <w:b/>
          <w:sz w:val="32"/>
        </w:rPr>
      </w:pPr>
    </w:p>
    <w:p w14:paraId="54EC9DE3">
      <w:pPr>
        <w:snapToGrid w:val="0"/>
        <w:spacing w:line="360" w:lineRule="auto"/>
        <w:ind w:firstLine="3357" w:firstLineChars="1045"/>
        <w:rPr>
          <w:rFonts w:ascii="宋体" w:hAnsi="宋体" w:cs="宋体"/>
          <w:b/>
          <w:sz w:val="24"/>
        </w:rPr>
      </w:pPr>
      <w:r>
        <w:rPr>
          <w:rFonts w:hint="eastAsia" w:ascii="宋体" w:hAnsi="宋体" w:cs="宋体"/>
          <w:b/>
          <w:sz w:val="32"/>
        </w:rPr>
        <w:t>九、电子交易活动的中止</w:t>
      </w:r>
    </w:p>
    <w:p w14:paraId="09044588">
      <w:pPr>
        <w:pStyle w:val="131"/>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9.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17FFBEA6">
      <w:pPr>
        <w:pStyle w:val="131"/>
        <w:snapToGrid w:val="0"/>
        <w:spacing w:before="0"/>
        <w:ind w:firstLine="480"/>
        <w:rPr>
          <w:rFonts w:ascii="宋体" w:hAnsi="宋体" w:cs="宋体"/>
        </w:rPr>
      </w:pPr>
      <w:r>
        <w:rPr>
          <w:rFonts w:hint="eastAsia" w:ascii="宋体" w:hAnsi="宋体" w:cs="宋体"/>
        </w:rPr>
        <w:t xml:space="preserve">29.1电子交易平台发生故障而无法登录访问的； </w:t>
      </w:r>
    </w:p>
    <w:p w14:paraId="0A782AC5">
      <w:pPr>
        <w:pStyle w:val="131"/>
        <w:snapToGrid w:val="0"/>
        <w:spacing w:before="0"/>
        <w:ind w:firstLine="480"/>
        <w:rPr>
          <w:rFonts w:ascii="宋体" w:hAnsi="宋体" w:cs="宋体"/>
        </w:rPr>
      </w:pPr>
      <w:r>
        <w:rPr>
          <w:rFonts w:hint="eastAsia" w:ascii="宋体" w:hAnsi="宋体" w:cs="宋体"/>
        </w:rPr>
        <w:t>29.2电子交易平台应用或数据库出现错误，不能进行正常操作的；</w:t>
      </w:r>
    </w:p>
    <w:p w14:paraId="3692CD8F">
      <w:pPr>
        <w:pStyle w:val="131"/>
        <w:snapToGrid w:val="0"/>
        <w:spacing w:before="0"/>
        <w:ind w:firstLine="480"/>
        <w:rPr>
          <w:rFonts w:ascii="宋体" w:hAnsi="宋体" w:cs="宋体"/>
        </w:rPr>
      </w:pPr>
      <w:r>
        <w:rPr>
          <w:rFonts w:hint="eastAsia" w:ascii="宋体" w:hAnsi="宋体" w:cs="宋体"/>
        </w:rPr>
        <w:t>29.3电子交易平台发现严重安全漏洞，有潜在泄密危险的；</w:t>
      </w:r>
    </w:p>
    <w:p w14:paraId="580E07DF">
      <w:pPr>
        <w:pStyle w:val="131"/>
        <w:snapToGrid w:val="0"/>
        <w:spacing w:before="0"/>
        <w:ind w:firstLine="480"/>
        <w:rPr>
          <w:rFonts w:ascii="宋体" w:hAnsi="宋体" w:cs="宋体"/>
        </w:rPr>
      </w:pPr>
      <w:r>
        <w:rPr>
          <w:rFonts w:hint="eastAsia" w:ascii="宋体" w:hAnsi="宋体" w:cs="宋体"/>
        </w:rPr>
        <w:t xml:space="preserve">29.4病毒发作导致不能进行正常操作的； </w:t>
      </w:r>
    </w:p>
    <w:p w14:paraId="47B32B70">
      <w:pPr>
        <w:pStyle w:val="131"/>
        <w:snapToGrid w:val="0"/>
        <w:spacing w:before="0"/>
        <w:ind w:firstLine="480"/>
        <w:rPr>
          <w:rFonts w:ascii="宋体" w:hAnsi="宋体" w:cs="宋体"/>
        </w:rPr>
      </w:pPr>
      <w:r>
        <w:rPr>
          <w:rFonts w:hint="eastAsia" w:ascii="宋体" w:hAnsi="宋体" w:cs="宋体"/>
        </w:rPr>
        <w:t>29.5其他无法保证电子交易的公平、公正和安全的情况。</w:t>
      </w:r>
    </w:p>
    <w:p w14:paraId="34CF76F7">
      <w:pPr>
        <w:pStyle w:val="131"/>
        <w:snapToGrid w:val="0"/>
        <w:spacing w:before="0"/>
        <w:ind w:firstLine="0" w:firstLineChars="0"/>
        <w:rPr>
          <w:rFonts w:ascii="宋体" w:hAnsi="宋体" w:cs="宋体"/>
        </w:rPr>
      </w:pPr>
      <w:r>
        <w:rPr>
          <w:rFonts w:hint="eastAsia" w:ascii="宋体" w:hAnsi="宋体" w:cs="宋体"/>
        </w:rPr>
        <w:t xml:space="preserve"> 30.出现以上情形，不影响采购公平、公正性的，采购组织机构可以待上述情形消除后继续组织电子交易活动，也可以决定某些环节以纸质形式进行；影响或可能影响采购公平、公正性的，应当重新采购。</w:t>
      </w:r>
    </w:p>
    <w:p w14:paraId="16BA3214">
      <w:pPr>
        <w:tabs>
          <w:tab w:val="left" w:pos="0"/>
        </w:tabs>
        <w:spacing w:line="360" w:lineRule="auto"/>
        <w:ind w:firstLine="480"/>
        <w:rPr>
          <w:rFonts w:ascii="宋体" w:hAnsi="宋体" w:cs="宋体"/>
          <w:sz w:val="24"/>
        </w:rPr>
      </w:pPr>
    </w:p>
    <w:p w14:paraId="044F913F">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十、验收</w:t>
      </w:r>
    </w:p>
    <w:p w14:paraId="3338DD77">
      <w:pPr>
        <w:pStyle w:val="24"/>
        <w:spacing w:line="360" w:lineRule="auto"/>
        <w:ind w:firstLine="0" w:firstLineChars="0"/>
        <w:rPr>
          <w:rFonts w:cs="宋体"/>
          <w:b/>
        </w:rPr>
      </w:pPr>
      <w:r>
        <w:rPr>
          <w:rFonts w:hint="eastAsia" w:cs="宋体"/>
          <w:b/>
        </w:rPr>
        <w:t>31.验收</w:t>
      </w:r>
    </w:p>
    <w:p w14:paraId="17D04DA1">
      <w:pPr>
        <w:tabs>
          <w:tab w:val="left" w:pos="0"/>
        </w:tabs>
        <w:spacing w:line="360" w:lineRule="auto"/>
        <w:ind w:firstLine="480"/>
        <w:rPr>
          <w:rFonts w:ascii="宋体" w:hAnsi="宋体" w:cs="宋体"/>
          <w:kern w:val="0"/>
          <w:sz w:val="24"/>
        </w:rPr>
      </w:pPr>
      <w:r>
        <w:rPr>
          <w:rFonts w:hint="eastAsia" w:ascii="宋体" w:hAnsi="宋体" w:cs="宋体"/>
          <w:kern w:val="0"/>
          <w:sz w:val="24"/>
        </w:rPr>
        <w:t>31.1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1D24284">
      <w:pPr>
        <w:tabs>
          <w:tab w:val="left" w:pos="0"/>
        </w:tabs>
        <w:spacing w:line="360" w:lineRule="auto"/>
        <w:ind w:firstLine="480"/>
        <w:rPr>
          <w:rFonts w:ascii="宋体" w:hAnsi="宋体" w:cs="宋体"/>
          <w:kern w:val="0"/>
          <w:sz w:val="24"/>
        </w:rPr>
      </w:pPr>
      <w:r>
        <w:rPr>
          <w:rFonts w:hint="eastAsia" w:ascii="宋体" w:hAnsi="宋体" w:cs="宋体"/>
          <w:kern w:val="0"/>
          <w:sz w:val="24"/>
        </w:rPr>
        <w:t>31.2采购人可以邀请参加本项目的其他投标人或者第三方机构参与验收。参与验收的投标人或者第三方机构的意见作为验收书的参考资料一并存档。</w:t>
      </w:r>
    </w:p>
    <w:p w14:paraId="393F0235">
      <w:pPr>
        <w:tabs>
          <w:tab w:val="left" w:pos="0"/>
        </w:tabs>
        <w:spacing w:line="360" w:lineRule="auto"/>
        <w:ind w:firstLine="480"/>
        <w:rPr>
          <w:rFonts w:ascii="宋体" w:hAnsi="宋体" w:cs="宋体"/>
          <w:kern w:val="0"/>
          <w:sz w:val="24"/>
        </w:rPr>
      </w:pPr>
      <w:r>
        <w:rPr>
          <w:rFonts w:hint="eastAsia" w:ascii="宋体" w:hAnsi="宋体" w:cs="宋体"/>
          <w:kern w:val="0"/>
          <w:sz w:val="24"/>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98C7416">
      <w:pPr>
        <w:tabs>
          <w:tab w:val="left" w:pos="0"/>
        </w:tabs>
        <w:spacing w:line="360" w:lineRule="auto"/>
        <w:ind w:firstLine="480"/>
        <w:rPr>
          <w:rFonts w:ascii="宋体" w:hAnsi="宋体" w:cs="宋体"/>
          <w:kern w:val="0"/>
          <w:sz w:val="24"/>
        </w:rPr>
      </w:pPr>
      <w:r>
        <w:rPr>
          <w:rFonts w:hint="eastAsia" w:ascii="宋体" w:hAnsi="宋体" w:cs="宋体"/>
          <w:kern w:val="0"/>
          <w:sz w:val="24"/>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93A7623">
      <w:pPr>
        <w:pStyle w:val="80"/>
        <w:ind w:firstLine="480"/>
      </w:pPr>
      <w:r>
        <w:rPr>
          <w:rFonts w:hint="eastAsia" w:ascii="宋体" w:hAnsi="宋体" w:eastAsia="宋体" w:cs="宋体"/>
          <w:kern w:val="0"/>
          <w:sz w:val="24"/>
          <w:szCs w:val="24"/>
          <w:lang w:val="en-US"/>
        </w:rPr>
        <w:t>31.5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3"/>
    <w:p w14:paraId="52EFA0CB">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68072990"/>
      <w:bookmarkEnd w:id="16"/>
      <w:bookmarkStart w:id="17" w:name="_Hlt75236011"/>
      <w:bookmarkEnd w:id="17"/>
      <w:bookmarkStart w:id="18" w:name="_Hlt68403820"/>
      <w:bookmarkEnd w:id="18"/>
      <w:bookmarkStart w:id="19" w:name="_Hlt68073093"/>
      <w:bookmarkEnd w:id="19"/>
      <w:bookmarkStart w:id="20" w:name="_Hlt74707468"/>
      <w:bookmarkEnd w:id="20"/>
      <w:bookmarkStart w:id="21" w:name="_Hlt74714665"/>
      <w:bookmarkEnd w:id="21"/>
      <w:bookmarkStart w:id="22" w:name="_Hlt74730295"/>
      <w:bookmarkEnd w:id="22"/>
      <w:bookmarkStart w:id="23" w:name="_Hlt75236290"/>
      <w:bookmarkEnd w:id="23"/>
      <w:bookmarkStart w:id="24" w:name="_Hlt74729768"/>
      <w:bookmarkEnd w:id="24"/>
      <w:bookmarkStart w:id="25" w:name="_Hlt68057669"/>
      <w:bookmarkEnd w:id="25"/>
      <w:bookmarkStart w:id="26" w:name="_Hlt68072998"/>
      <w:bookmarkEnd w:id="26"/>
    </w:p>
    <w:bookmarkEnd w:id="11"/>
    <w:bookmarkEnd w:id="12"/>
    <w:p w14:paraId="55BFABC5">
      <w:pPr>
        <w:numPr>
          <w:ilvl w:val="0"/>
          <w:numId w:val="2"/>
        </w:numPr>
        <w:spacing w:line="360" w:lineRule="auto"/>
        <w:jc w:val="center"/>
        <w:outlineLvl w:val="0"/>
        <w:rPr>
          <w:rFonts w:hint="eastAsia" w:ascii="宋体" w:hAnsi="宋体" w:cs="宋体"/>
          <w:b/>
          <w:sz w:val="36"/>
          <w:szCs w:val="36"/>
          <w:highlight w:val="none"/>
        </w:rPr>
      </w:pPr>
      <w:bookmarkStart w:id="27" w:name="第四部分"/>
      <w:r>
        <w:rPr>
          <w:rFonts w:hint="eastAsia" w:ascii="宋体" w:hAnsi="宋体" w:cs="宋体"/>
          <w:b/>
          <w:sz w:val="36"/>
          <w:szCs w:val="36"/>
          <w:highlight w:val="none"/>
        </w:rPr>
        <w:t xml:space="preserve">  采购需求</w:t>
      </w:r>
    </w:p>
    <w:p w14:paraId="412F6124">
      <w:pPr>
        <w:spacing w:line="360" w:lineRule="auto"/>
        <w:ind w:left="0" w:firstLine="0" w:firstLineChars="0"/>
        <w:outlineLvl w:val="0"/>
        <w:rPr>
          <w:rFonts w:hint="eastAsia" w:ascii="宋体" w:hAnsi="宋体" w:cs="宋体"/>
          <w:b/>
          <w:bCs/>
          <w:color w:val="auto"/>
          <w:sz w:val="20"/>
          <w:szCs w:val="20"/>
          <w:highlight w:val="none"/>
        </w:rPr>
      </w:pPr>
      <w:r>
        <w:rPr>
          <w:rFonts w:hint="eastAsia" w:ascii="宋体" w:hAnsi="宋体" w:cs="宋体"/>
          <w:b/>
          <w:bCs/>
          <w:color w:val="auto"/>
          <w:sz w:val="20"/>
          <w:szCs w:val="20"/>
          <w:highlight w:val="none"/>
        </w:rPr>
        <w:t>属于实质性要求条款的，已用符号“▲”标明，否则属于非实质性要求；标记符号“</w:t>
      </w:r>
      <w:r>
        <w:rPr>
          <w:rFonts w:hint="eastAsia" w:ascii="宋体" w:hAnsi="宋体" w:cs="宋体"/>
          <w:b/>
          <w:bCs/>
          <w:color w:val="auto"/>
          <w:sz w:val="20"/>
          <w:szCs w:val="20"/>
          <w:highlight w:val="none"/>
          <w:lang w:bidi="ar"/>
        </w:rPr>
        <w:t>★</w:t>
      </w:r>
      <w:r>
        <w:rPr>
          <w:rFonts w:hint="eastAsia" w:ascii="宋体" w:hAnsi="宋体" w:cs="宋体"/>
          <w:b/>
          <w:bCs/>
          <w:color w:val="auto"/>
          <w:sz w:val="20"/>
          <w:szCs w:val="20"/>
          <w:highlight w:val="none"/>
        </w:rPr>
        <w:t>”的为项目采购产品的重要技术指标。</w:t>
      </w:r>
    </w:p>
    <w:p w14:paraId="037C3F5D">
      <w:pPr>
        <w:spacing w:line="360" w:lineRule="auto"/>
        <w:ind w:left="420" w:firstLine="402" w:firstLineChars="200"/>
        <w:outlineLvl w:val="0"/>
        <w:rPr>
          <w:rFonts w:hint="eastAsia" w:ascii="宋体" w:hAnsi="宋体" w:eastAsia="宋体" w:cs="宋体"/>
          <w:color w:val="auto"/>
          <w:kern w:val="2"/>
          <w:sz w:val="20"/>
          <w:szCs w:val="20"/>
          <w:highlight w:val="none"/>
        </w:rPr>
      </w:pPr>
      <w:bookmarkStart w:id="28" w:name="_Hlk166695287"/>
      <w:bookmarkStart w:id="29" w:name="_Hlk102914293"/>
      <w:r>
        <w:rPr>
          <w:rFonts w:hint="eastAsia" w:ascii="宋体" w:hAnsi="宋体" w:cs="宋体"/>
          <w:b/>
          <w:bCs/>
          <w:color w:val="auto"/>
          <w:sz w:val="20"/>
          <w:szCs w:val="20"/>
          <w:highlight w:val="none"/>
        </w:rPr>
        <w:t>一、建设目标</w:t>
      </w:r>
    </w:p>
    <w:p w14:paraId="33A236E3">
      <w:pPr>
        <w:pStyle w:val="79"/>
        <w:spacing w:line="360" w:lineRule="auto"/>
        <w:ind w:firstLine="480"/>
        <w:rPr>
          <w:rFonts w:hint="eastAsia" w:ascii="宋体" w:hAnsi="宋体" w:eastAsia="宋体" w:cs="宋体"/>
          <w:color w:val="auto"/>
          <w:kern w:val="2"/>
          <w:sz w:val="20"/>
          <w:szCs w:val="20"/>
          <w:highlight w:val="none"/>
          <w:lang w:eastAsia="zh-CN"/>
        </w:rPr>
      </w:pPr>
      <w:r>
        <w:rPr>
          <w:rFonts w:hint="eastAsia" w:ascii="宋体" w:hAnsi="宋体" w:eastAsia="宋体" w:cs="宋体"/>
          <w:sz w:val="20"/>
          <w:szCs w:val="20"/>
          <w:highlight w:val="none"/>
        </w:rPr>
        <w:t>本项目针对</w:t>
      </w:r>
      <w:r>
        <w:rPr>
          <w:rFonts w:hint="eastAsia" w:ascii="宋体" w:hAnsi="宋体" w:eastAsia="宋体" w:cs="宋体"/>
          <w:sz w:val="20"/>
          <w:szCs w:val="20"/>
          <w:highlight w:val="none"/>
          <w:lang w:val="en-US" w:eastAsia="zh-CN"/>
        </w:rPr>
        <w:t>8</w:t>
      </w:r>
      <w:r>
        <w:rPr>
          <w:rFonts w:hint="eastAsia" w:ascii="宋体" w:hAnsi="宋体" w:eastAsia="宋体" w:cs="宋体"/>
          <w:sz w:val="20"/>
          <w:szCs w:val="20"/>
          <w:highlight w:val="none"/>
        </w:rPr>
        <w:t>个信创改造计划内的应用通过采用国产化操作系统、数据库及中间件替换等技术手段进行信创适配改造，确保所有功能模块在国产化技术栈中保持可用性。</w:t>
      </w:r>
      <w:r>
        <w:rPr>
          <w:rFonts w:hint="eastAsia" w:ascii="宋体" w:hAnsi="宋体" w:eastAsia="宋体" w:cs="宋体"/>
          <w:color w:val="auto"/>
          <w:kern w:val="2"/>
          <w:sz w:val="20"/>
          <w:szCs w:val="20"/>
          <w:highlight w:val="none"/>
        </w:rPr>
        <w:t>区综合行政执法局现有</w:t>
      </w:r>
      <w:r>
        <w:rPr>
          <w:rFonts w:hint="eastAsia" w:ascii="宋体" w:hAnsi="宋体" w:eastAsia="宋体" w:cs="宋体"/>
          <w:color w:val="auto"/>
          <w:kern w:val="2"/>
          <w:sz w:val="20"/>
          <w:szCs w:val="20"/>
          <w:highlight w:val="none"/>
          <w:lang w:val="en-US" w:eastAsia="zh-CN"/>
        </w:rPr>
        <w:t>8个</w:t>
      </w:r>
      <w:r>
        <w:rPr>
          <w:rFonts w:hint="eastAsia" w:ascii="宋体" w:hAnsi="宋体" w:eastAsia="宋体" w:cs="宋体"/>
          <w:color w:val="auto"/>
          <w:kern w:val="2"/>
          <w:sz w:val="20"/>
          <w:szCs w:val="20"/>
          <w:highlight w:val="none"/>
        </w:rPr>
        <w:t>系统</w:t>
      </w:r>
      <w:r>
        <w:rPr>
          <w:rFonts w:hint="eastAsia" w:ascii="宋体" w:hAnsi="宋体" w:eastAsia="宋体" w:cs="宋体"/>
          <w:color w:val="auto"/>
          <w:kern w:val="2"/>
          <w:sz w:val="20"/>
          <w:szCs w:val="20"/>
          <w:highlight w:val="none"/>
          <w:lang w:val="en-US" w:eastAsia="zh-CN"/>
        </w:rPr>
        <w:t>分别为</w:t>
      </w:r>
      <w:r>
        <w:rPr>
          <w:rFonts w:hint="eastAsia" w:ascii="宋体" w:hAnsi="宋体" w:eastAsia="宋体" w:cs="宋体"/>
          <w:color w:val="auto"/>
          <w:kern w:val="2"/>
          <w:sz w:val="20"/>
          <w:szCs w:val="20"/>
          <w:highlight w:val="none"/>
        </w:rPr>
        <w:t>清运管理系统、城管e考通系统、非接触性执法平台、云办公系统、可视化平台、智慧河道系统、合同支付系统、东站周边建筑亮化二级控制平台</w:t>
      </w:r>
      <w:r>
        <w:rPr>
          <w:rFonts w:hint="eastAsia" w:ascii="宋体" w:hAnsi="宋体" w:eastAsia="宋体" w:cs="宋体"/>
          <w:color w:val="auto"/>
          <w:kern w:val="2"/>
          <w:sz w:val="20"/>
          <w:szCs w:val="20"/>
          <w:highlight w:val="none"/>
          <w:lang w:eastAsia="zh-CN"/>
        </w:rPr>
        <w:t>，</w:t>
      </w:r>
      <w:r>
        <w:rPr>
          <w:rFonts w:hint="eastAsia" w:ascii="宋体" w:hAnsi="宋体" w:eastAsia="宋体" w:cs="宋体"/>
          <w:color w:val="auto"/>
          <w:kern w:val="2"/>
          <w:sz w:val="20"/>
          <w:szCs w:val="20"/>
          <w:highlight w:val="none"/>
          <w:lang w:val="en-US" w:eastAsia="zh-CN"/>
        </w:rPr>
        <w:t>通过</w:t>
      </w:r>
      <w:r>
        <w:rPr>
          <w:rFonts w:hint="eastAsia" w:ascii="宋体" w:hAnsi="宋体" w:eastAsia="宋体" w:cs="宋体"/>
          <w:color w:val="auto"/>
          <w:kern w:val="2"/>
          <w:sz w:val="20"/>
          <w:szCs w:val="20"/>
          <w:highlight w:val="none"/>
        </w:rPr>
        <w:t>深度集成实现统一门户集成、统一用户管理、统一授权管理、统一安全防护、统一资源管理及基于浙政钉扫码登录的免登集成、系统业务整合与数据资源整合，推动系统集成、要素汇聚、场景应用，达成信息系统“好用、管用、想用、耐用”的目标，并进一步巩固深化“一单位一平台”国产化信创适配改造融合，深化国产操作系统及数据库兼容适配与性能调优，推进技术生态成熟化</w:t>
      </w:r>
      <w:r>
        <w:rPr>
          <w:rFonts w:hint="eastAsia" w:ascii="宋体" w:hAnsi="宋体" w:eastAsia="宋体" w:cs="宋体"/>
          <w:color w:val="auto"/>
          <w:kern w:val="2"/>
          <w:sz w:val="20"/>
          <w:szCs w:val="20"/>
          <w:highlight w:val="none"/>
          <w:lang w:eastAsia="zh-CN"/>
        </w:rPr>
        <w:t>。</w:t>
      </w:r>
    </w:p>
    <w:p w14:paraId="1C6BC490">
      <w:pPr>
        <w:numPr>
          <w:ilvl w:val="0"/>
          <w:numId w:val="3"/>
        </w:numPr>
        <w:snapToGrid/>
        <w:spacing w:line="360" w:lineRule="auto"/>
        <w:ind w:left="420" w:leftChars="0" w:firstLine="402" w:firstLineChars="200"/>
        <w:contextualSpacing w:val="0"/>
        <w:outlineLvl w:val="0"/>
        <w:rPr>
          <w:rFonts w:hint="eastAsia" w:ascii="宋体" w:hAnsi="宋体" w:cs="宋体"/>
          <w:color w:val="auto"/>
          <w:sz w:val="20"/>
          <w:szCs w:val="20"/>
          <w:highlight w:val="none"/>
        </w:rPr>
      </w:pPr>
      <w:r>
        <w:rPr>
          <w:rFonts w:hint="eastAsia" w:ascii="宋体" w:hAnsi="宋体" w:cs="宋体"/>
          <w:b/>
          <w:bCs/>
          <w:color w:val="auto"/>
          <w:sz w:val="20"/>
          <w:szCs w:val="20"/>
          <w:highlight w:val="none"/>
        </w:rPr>
        <w:t>建设内容</w:t>
      </w:r>
    </w:p>
    <w:p w14:paraId="209E271F">
      <w:pPr>
        <w:widowControl/>
        <w:numPr>
          <w:ilvl w:val="0"/>
          <w:numId w:val="0"/>
        </w:numPr>
        <w:adjustRightInd/>
        <w:spacing w:line="360" w:lineRule="auto"/>
        <w:ind w:firstLine="400" w:firstLineChars="200"/>
        <w:jc w:val="left"/>
        <w:outlineLvl w:val="9"/>
        <w:rPr>
          <w:rFonts w:hint="default" w:ascii="宋体" w:hAnsi="宋体" w:cs="宋体"/>
          <w:b/>
          <w:bCs/>
          <w:color w:val="auto"/>
          <w:sz w:val="20"/>
          <w:szCs w:val="20"/>
          <w:highlight w:val="none"/>
        </w:rPr>
      </w:pPr>
      <w:r>
        <w:rPr>
          <w:rFonts w:hint="eastAsia" w:ascii="宋体" w:hAnsi="宋体" w:cs="宋体"/>
          <w:color w:val="auto"/>
          <w:sz w:val="20"/>
          <w:szCs w:val="20"/>
          <w:highlight w:val="none"/>
          <w:lang w:val="en-US" w:eastAsia="zh-CN"/>
        </w:rPr>
        <w:t>本</w:t>
      </w:r>
      <w:r>
        <w:rPr>
          <w:rFonts w:hint="eastAsia" w:ascii="宋体" w:hAnsi="宋体" w:cs="宋体"/>
          <w:color w:val="auto"/>
          <w:sz w:val="20"/>
          <w:szCs w:val="20"/>
          <w:highlight w:val="none"/>
        </w:rPr>
        <w:t>项目</w:t>
      </w:r>
      <w:r>
        <w:rPr>
          <w:rFonts w:hint="eastAsia" w:ascii="宋体" w:hAnsi="宋体" w:cs="宋体"/>
          <w:color w:val="auto"/>
          <w:sz w:val="20"/>
          <w:szCs w:val="20"/>
          <w:highlight w:val="none"/>
          <w:lang w:val="en-US" w:eastAsia="zh-CN"/>
        </w:rPr>
        <w:t>信创</w:t>
      </w:r>
      <w:r>
        <w:rPr>
          <w:rFonts w:hint="eastAsia" w:ascii="宋体" w:hAnsi="宋体" w:eastAsia="宋体" w:cs="宋体"/>
          <w:kern w:val="2"/>
          <w:sz w:val="20"/>
          <w:szCs w:val="20"/>
          <w:lang w:eastAsia="zh-CN" w:bidi="ar"/>
        </w:rPr>
        <w:t>改造</w:t>
      </w:r>
      <w:r>
        <w:rPr>
          <w:rFonts w:hint="eastAsia" w:ascii="宋体" w:hAnsi="宋体" w:eastAsia="宋体" w:cs="宋体"/>
          <w:kern w:val="2"/>
          <w:sz w:val="20"/>
          <w:szCs w:val="20"/>
          <w:lang w:val="en-US" w:eastAsia="zh-CN" w:bidi="ar"/>
        </w:rPr>
        <w:t>工作</w:t>
      </w:r>
      <w:r>
        <w:rPr>
          <w:rFonts w:hint="eastAsia" w:ascii="宋体" w:hAnsi="宋体" w:cs="宋体"/>
          <w:kern w:val="2"/>
          <w:sz w:val="20"/>
          <w:szCs w:val="20"/>
          <w:lang w:val="en-US" w:eastAsia="zh-CN" w:bidi="ar"/>
        </w:rPr>
        <w:t>中应</w:t>
      </w:r>
      <w:r>
        <w:rPr>
          <w:rFonts w:hint="eastAsia" w:ascii="宋体" w:hAnsi="宋体" w:cs="宋体"/>
          <w:color w:val="auto"/>
          <w:sz w:val="20"/>
          <w:szCs w:val="20"/>
          <w:highlight w:val="none"/>
        </w:rPr>
        <w:t>确保</w:t>
      </w:r>
      <w:r>
        <w:rPr>
          <w:rFonts w:hint="default" w:ascii="宋体" w:hAnsi="宋体" w:cs="宋体"/>
          <w:color w:val="auto"/>
          <w:sz w:val="20"/>
          <w:szCs w:val="20"/>
          <w:highlight w:val="none"/>
        </w:rPr>
        <w:t>改造前后</w:t>
      </w:r>
      <w:r>
        <w:rPr>
          <w:rFonts w:hint="eastAsia" w:ascii="宋体" w:hAnsi="宋体" w:cs="宋体"/>
          <w:color w:val="auto"/>
          <w:sz w:val="20"/>
          <w:szCs w:val="20"/>
          <w:highlight w:val="none"/>
        </w:rPr>
        <w:t>数据的完整性</w:t>
      </w: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rPr>
        <w:t>可用性</w:t>
      </w:r>
      <w:r>
        <w:rPr>
          <w:rFonts w:hint="eastAsia" w:ascii="宋体" w:hAnsi="宋体" w:cs="宋体"/>
          <w:color w:val="auto"/>
          <w:sz w:val="20"/>
          <w:szCs w:val="20"/>
          <w:highlight w:val="none"/>
          <w:lang w:val="en-US" w:eastAsia="zh-CN"/>
        </w:rPr>
        <w:t>及安全性，信创改造完成后，需确保系统功能</w:t>
      </w:r>
      <w:r>
        <w:rPr>
          <w:rFonts w:hint="default" w:ascii="宋体" w:hAnsi="宋体" w:cs="宋体"/>
          <w:color w:val="auto"/>
          <w:sz w:val="20"/>
          <w:szCs w:val="20"/>
          <w:highlight w:val="none"/>
          <w:lang w:eastAsia="zh-CN"/>
        </w:rPr>
        <w:t>与原来的功能保持一致</w:t>
      </w:r>
      <w:r>
        <w:rPr>
          <w:rFonts w:hint="eastAsia" w:ascii="宋体" w:hAnsi="宋体" w:cs="宋体"/>
          <w:color w:val="auto"/>
          <w:sz w:val="20"/>
          <w:szCs w:val="20"/>
          <w:highlight w:val="none"/>
          <w:lang w:val="en-US" w:eastAsia="zh-CN"/>
        </w:rPr>
        <w:t>，同时</w:t>
      </w:r>
      <w:r>
        <w:rPr>
          <w:rFonts w:hint="eastAsia" w:ascii="宋体" w:hAnsi="宋体" w:cs="宋体"/>
          <w:color w:val="auto"/>
          <w:sz w:val="20"/>
          <w:szCs w:val="20"/>
          <w:highlight w:val="none"/>
        </w:rPr>
        <w:t>系统</w:t>
      </w:r>
      <w:r>
        <w:rPr>
          <w:rFonts w:hint="eastAsia" w:ascii="宋体" w:hAnsi="宋体" w:cs="宋体"/>
          <w:color w:val="auto"/>
          <w:sz w:val="20"/>
          <w:szCs w:val="20"/>
          <w:highlight w:val="none"/>
          <w:lang w:val="en-US" w:eastAsia="zh-CN"/>
        </w:rPr>
        <w:t>应满足信息安全等级保护二级测评、信创适配、商用密码应用安全性评估、</w:t>
      </w:r>
      <w:r>
        <w:rPr>
          <w:rFonts w:hint="eastAsia" w:ascii="宋体" w:hAnsi="宋体" w:eastAsia="宋体" w:cs="宋体"/>
          <w:i w:val="0"/>
          <w:caps w:val="0"/>
          <w:color w:val="auto"/>
          <w:spacing w:val="0"/>
          <w:sz w:val="20"/>
          <w:szCs w:val="20"/>
          <w:highlight w:val="none"/>
          <w:shd w:val="clear" w:fill="auto"/>
        </w:rPr>
        <w:t>日志改造及绩效评价</w:t>
      </w:r>
      <w:r>
        <w:rPr>
          <w:rFonts w:hint="eastAsia" w:ascii="宋体" w:hAnsi="宋体" w:cs="宋体"/>
          <w:i w:val="0"/>
          <w:caps w:val="0"/>
          <w:color w:val="auto"/>
          <w:spacing w:val="0"/>
          <w:sz w:val="20"/>
          <w:szCs w:val="20"/>
          <w:highlight w:val="none"/>
          <w:shd w:val="clear" w:fill="auto"/>
          <w:lang w:eastAsia="zh-CN"/>
        </w:rPr>
        <w:t>、</w:t>
      </w:r>
      <w:r>
        <w:rPr>
          <w:rFonts w:hint="eastAsia" w:ascii="宋体" w:hAnsi="宋体" w:cs="宋体"/>
          <w:i w:val="0"/>
          <w:caps w:val="0"/>
          <w:color w:val="auto"/>
          <w:spacing w:val="0"/>
          <w:sz w:val="20"/>
          <w:szCs w:val="20"/>
          <w:highlight w:val="none"/>
          <w:shd w:val="clear" w:fill="auto"/>
          <w:lang w:val="en-US" w:eastAsia="zh-CN"/>
        </w:rPr>
        <w:t>渗透测试、</w:t>
      </w:r>
      <w:r>
        <w:rPr>
          <w:rFonts w:hint="eastAsia" w:ascii="宋体" w:hAnsi="宋体" w:eastAsia="宋体" w:cs="宋体"/>
          <w:color w:val="auto"/>
          <w:kern w:val="0"/>
          <w:sz w:val="20"/>
          <w:szCs w:val="20"/>
          <w:lang w:bidi="ar"/>
        </w:rPr>
        <w:t>信创测评</w:t>
      </w:r>
      <w:r>
        <w:rPr>
          <w:rFonts w:hint="eastAsia" w:ascii="宋体" w:hAnsi="宋体" w:cs="宋体"/>
          <w:color w:val="auto"/>
          <w:sz w:val="20"/>
          <w:szCs w:val="20"/>
          <w:highlight w:val="none"/>
          <w:lang w:val="en-US" w:eastAsia="zh-CN"/>
        </w:rPr>
        <w:t>等验收要求</w:t>
      </w:r>
      <w:r>
        <w:rPr>
          <w:rFonts w:hint="eastAsia" w:ascii="宋体" w:hAnsi="宋体" w:cs="宋体"/>
          <w:kern w:val="2"/>
          <w:sz w:val="20"/>
          <w:szCs w:val="20"/>
          <w:lang w:eastAsia="zh-CN" w:bidi="ar"/>
        </w:rPr>
        <w:t>。</w:t>
      </w:r>
    </w:p>
    <w:p w14:paraId="5C60338E">
      <w:pPr>
        <w:pageBreakBefore w:val="0"/>
        <w:numPr>
          <w:ilvl w:val="-1"/>
          <w:numId w:val="0"/>
        </w:numPr>
        <w:kinsoku/>
        <w:wordWrap/>
        <w:overflowPunct/>
        <w:topLinePunct w:val="0"/>
        <w:bidi w:val="0"/>
        <w:snapToGrid w:val="0"/>
        <w:spacing w:line="360" w:lineRule="auto"/>
        <w:ind w:left="0" w:firstLine="201" w:firstLineChars="100"/>
        <w:jc w:val="left"/>
        <w:outlineLvl w:val="1"/>
        <w:rPr>
          <w:rFonts w:hint="eastAsia" w:ascii="宋体" w:hAnsi="宋体" w:eastAsia="宋体" w:cs="宋体"/>
          <w:b/>
          <w:bCs/>
          <w:color w:val="auto"/>
          <w:sz w:val="20"/>
          <w:szCs w:val="20"/>
        </w:rPr>
      </w:pPr>
      <w:r>
        <w:rPr>
          <w:rFonts w:hint="eastAsia" w:ascii="宋体" w:hAnsi="宋体" w:cs="宋体"/>
          <w:b/>
          <w:bCs/>
          <w:color w:val="auto"/>
          <w:sz w:val="20"/>
          <w:szCs w:val="20"/>
          <w:lang w:val="en-US" w:eastAsia="zh-CN"/>
        </w:rPr>
        <w:t>2.1</w:t>
      </w:r>
      <w:r>
        <w:rPr>
          <w:rFonts w:hint="eastAsia" w:ascii="宋体" w:hAnsi="宋体" w:eastAsia="宋体" w:cs="宋体"/>
          <w:b/>
          <w:bCs/>
          <w:color w:val="auto"/>
          <w:sz w:val="20"/>
          <w:szCs w:val="20"/>
        </w:rPr>
        <w:t>项目清单</w:t>
      </w:r>
    </w:p>
    <w:tbl>
      <w:tblPr>
        <w:tblStyle w:val="62"/>
        <w:tblpPr w:leftFromText="180" w:rightFromText="180" w:vertAnchor="text" w:tblpXSpec="center" w:tblpY="1"/>
        <w:tblOverlap w:val="never"/>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3780"/>
        <w:gridCol w:w="1518"/>
        <w:gridCol w:w="1518"/>
      </w:tblGrid>
      <w:tr w14:paraId="111B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noWrap w:val="0"/>
            <w:vAlign w:val="center"/>
          </w:tcPr>
          <w:p w14:paraId="4F89C2D2">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序号</w:t>
            </w:r>
          </w:p>
        </w:tc>
        <w:tc>
          <w:tcPr>
            <w:tcW w:w="3780" w:type="dxa"/>
            <w:noWrap w:val="0"/>
            <w:vAlign w:val="center"/>
          </w:tcPr>
          <w:p w14:paraId="5E9EBDF7">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系统/</w:t>
            </w:r>
            <w:r>
              <w:rPr>
                <w:rFonts w:hint="default" w:ascii="宋体" w:hAnsi="宋体" w:cs="宋体"/>
                <w:b/>
                <w:bCs/>
                <w:color w:val="auto"/>
                <w:kern w:val="0"/>
                <w:sz w:val="20"/>
                <w:szCs w:val="20"/>
                <w:lang w:bidi="ar"/>
              </w:rPr>
              <w:t>服务</w:t>
            </w:r>
            <w:r>
              <w:rPr>
                <w:rFonts w:hint="eastAsia" w:ascii="宋体" w:hAnsi="宋体" w:eastAsia="宋体" w:cs="宋体"/>
                <w:b/>
                <w:bCs/>
                <w:color w:val="auto"/>
                <w:kern w:val="0"/>
                <w:sz w:val="20"/>
                <w:szCs w:val="20"/>
                <w:lang w:bidi="ar"/>
              </w:rPr>
              <w:t>名称</w:t>
            </w:r>
          </w:p>
        </w:tc>
        <w:tc>
          <w:tcPr>
            <w:tcW w:w="1518" w:type="dxa"/>
            <w:noWrap w:val="0"/>
            <w:vAlign w:val="center"/>
          </w:tcPr>
          <w:p w14:paraId="2EDF9A12">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数量</w:t>
            </w:r>
          </w:p>
        </w:tc>
        <w:tc>
          <w:tcPr>
            <w:tcW w:w="1518" w:type="dxa"/>
            <w:noWrap w:val="0"/>
            <w:vAlign w:val="center"/>
          </w:tcPr>
          <w:p w14:paraId="4DC76176">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单位</w:t>
            </w:r>
          </w:p>
        </w:tc>
      </w:tr>
      <w:tr w14:paraId="1B43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4" w:type="dxa"/>
            <w:gridSpan w:val="4"/>
            <w:noWrap w:val="0"/>
            <w:vAlign w:val="center"/>
          </w:tcPr>
          <w:p w14:paraId="0772CB89">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left"/>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一、</w:t>
            </w:r>
            <w:r>
              <w:rPr>
                <w:rFonts w:hint="eastAsia" w:ascii="宋体" w:hAnsi="宋体" w:cs="宋体"/>
                <w:b/>
                <w:bCs/>
                <w:color w:val="auto"/>
                <w:kern w:val="0"/>
                <w:sz w:val="20"/>
                <w:szCs w:val="20"/>
                <w:lang w:val="en-US" w:eastAsia="zh-CN" w:bidi="ar"/>
              </w:rPr>
              <w:t>待</w:t>
            </w:r>
            <w:r>
              <w:rPr>
                <w:rFonts w:hint="eastAsia" w:ascii="宋体" w:hAnsi="宋体" w:cs="宋体"/>
                <w:b/>
                <w:bCs/>
                <w:color w:val="auto"/>
                <w:kern w:val="0"/>
                <w:sz w:val="20"/>
                <w:szCs w:val="20"/>
                <w:lang w:bidi="ar"/>
              </w:rPr>
              <w:t>改造</w:t>
            </w:r>
            <w:r>
              <w:rPr>
                <w:rFonts w:hint="eastAsia" w:ascii="宋体" w:hAnsi="宋体" w:eastAsia="宋体" w:cs="宋体"/>
                <w:b/>
                <w:bCs/>
                <w:color w:val="auto"/>
                <w:kern w:val="0"/>
                <w:sz w:val="20"/>
                <w:szCs w:val="20"/>
                <w:lang w:bidi="ar"/>
              </w:rPr>
              <w:t>应用系统</w:t>
            </w:r>
          </w:p>
        </w:tc>
      </w:tr>
      <w:tr w14:paraId="74E6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noWrap w:val="0"/>
            <w:vAlign w:val="center"/>
          </w:tcPr>
          <w:p w14:paraId="417DF667">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3780" w:type="dxa"/>
            <w:noWrap w:val="0"/>
            <w:vAlign w:val="center"/>
          </w:tcPr>
          <w:p w14:paraId="42ECE1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rPr>
            </w:pPr>
            <w:r>
              <w:rPr>
                <w:rFonts w:hint="eastAsia" w:ascii="宋体" w:hAnsi="宋体" w:eastAsia="宋体" w:cs="宋体"/>
                <w:i w:val="0"/>
                <w:color w:val="000000"/>
                <w:kern w:val="0"/>
                <w:sz w:val="20"/>
                <w:szCs w:val="20"/>
                <w:u w:val="none"/>
                <w:lang w:val="en-US" w:eastAsia="zh-CN" w:bidi="ar"/>
              </w:rPr>
              <w:t>清运管理系统</w:t>
            </w:r>
          </w:p>
        </w:tc>
        <w:tc>
          <w:tcPr>
            <w:tcW w:w="1518" w:type="dxa"/>
            <w:noWrap w:val="0"/>
            <w:vAlign w:val="center"/>
          </w:tcPr>
          <w:p w14:paraId="64A1DD5A">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c>
          <w:tcPr>
            <w:tcW w:w="1518" w:type="dxa"/>
            <w:noWrap w:val="0"/>
            <w:vAlign w:val="center"/>
          </w:tcPr>
          <w:p w14:paraId="1A79199F">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default" w:ascii="宋体" w:hAnsi="宋体" w:eastAsia="宋体" w:cs="宋体"/>
                <w:color w:val="auto"/>
                <w:sz w:val="20"/>
                <w:szCs w:val="20"/>
              </w:rPr>
            </w:pPr>
            <w:r>
              <w:rPr>
                <w:rFonts w:hint="default" w:ascii="宋体" w:hAnsi="宋体" w:cs="宋体"/>
                <w:color w:val="auto"/>
                <w:sz w:val="20"/>
                <w:szCs w:val="20"/>
              </w:rPr>
              <w:t>项</w:t>
            </w:r>
          </w:p>
        </w:tc>
      </w:tr>
      <w:tr w14:paraId="3AA9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noWrap w:val="0"/>
            <w:vAlign w:val="center"/>
          </w:tcPr>
          <w:p w14:paraId="6A577169">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2</w:t>
            </w:r>
          </w:p>
        </w:tc>
        <w:tc>
          <w:tcPr>
            <w:tcW w:w="3780" w:type="dxa"/>
            <w:noWrap w:val="0"/>
            <w:vAlign w:val="center"/>
          </w:tcPr>
          <w:p w14:paraId="00D8C4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rPr>
            </w:pPr>
            <w:r>
              <w:rPr>
                <w:rFonts w:hint="eastAsia" w:ascii="宋体" w:hAnsi="宋体" w:cs="宋体"/>
                <w:color w:val="auto"/>
                <w:sz w:val="20"/>
                <w:szCs w:val="20"/>
                <w:highlight w:val="none"/>
                <w:lang w:val="en-US" w:eastAsia="zh-CN"/>
              </w:rPr>
              <w:t>城管e考通系统</w:t>
            </w:r>
          </w:p>
        </w:tc>
        <w:tc>
          <w:tcPr>
            <w:tcW w:w="1518" w:type="dxa"/>
            <w:noWrap w:val="0"/>
            <w:vAlign w:val="center"/>
          </w:tcPr>
          <w:p w14:paraId="3CCDBD14">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w:t>
            </w:r>
          </w:p>
        </w:tc>
        <w:tc>
          <w:tcPr>
            <w:tcW w:w="1518" w:type="dxa"/>
            <w:noWrap w:val="0"/>
            <w:vAlign w:val="center"/>
          </w:tcPr>
          <w:p w14:paraId="069951DC">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default" w:ascii="宋体" w:hAnsi="宋体" w:eastAsia="宋体" w:cs="宋体"/>
                <w:color w:val="auto"/>
                <w:kern w:val="0"/>
                <w:sz w:val="20"/>
                <w:szCs w:val="20"/>
                <w:lang w:bidi="ar"/>
              </w:rPr>
            </w:pPr>
            <w:r>
              <w:rPr>
                <w:rFonts w:hint="default" w:ascii="宋体" w:hAnsi="宋体" w:cs="宋体"/>
                <w:color w:val="auto"/>
                <w:kern w:val="0"/>
                <w:sz w:val="20"/>
                <w:szCs w:val="20"/>
                <w:lang w:bidi="ar"/>
              </w:rPr>
              <w:t>项</w:t>
            </w:r>
          </w:p>
        </w:tc>
      </w:tr>
      <w:tr w14:paraId="626A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noWrap w:val="0"/>
            <w:vAlign w:val="center"/>
          </w:tcPr>
          <w:p w14:paraId="366BB7CF">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3</w:t>
            </w:r>
          </w:p>
        </w:tc>
        <w:tc>
          <w:tcPr>
            <w:tcW w:w="3780" w:type="dxa"/>
            <w:noWrap w:val="0"/>
            <w:vAlign w:val="center"/>
          </w:tcPr>
          <w:p w14:paraId="539BE3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rPr>
            </w:pPr>
            <w:r>
              <w:rPr>
                <w:rFonts w:hint="eastAsia" w:ascii="宋体" w:hAnsi="宋体" w:eastAsia="宋体" w:cs="宋体"/>
                <w:i w:val="0"/>
                <w:color w:val="000000"/>
                <w:kern w:val="0"/>
                <w:sz w:val="20"/>
                <w:szCs w:val="20"/>
                <w:u w:val="none"/>
                <w:lang w:val="en-US" w:eastAsia="zh-CN" w:bidi="ar"/>
              </w:rPr>
              <w:t>非接触性执法平台</w:t>
            </w:r>
          </w:p>
        </w:tc>
        <w:tc>
          <w:tcPr>
            <w:tcW w:w="1518" w:type="dxa"/>
            <w:noWrap w:val="0"/>
            <w:vAlign w:val="center"/>
          </w:tcPr>
          <w:p w14:paraId="65B0802A">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w:t>
            </w:r>
          </w:p>
        </w:tc>
        <w:tc>
          <w:tcPr>
            <w:tcW w:w="1518" w:type="dxa"/>
            <w:noWrap w:val="0"/>
            <w:vAlign w:val="center"/>
          </w:tcPr>
          <w:p w14:paraId="7A8D688B">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default" w:ascii="宋体" w:hAnsi="宋体" w:eastAsia="宋体" w:cs="宋体"/>
                <w:color w:val="auto"/>
                <w:kern w:val="0"/>
                <w:sz w:val="20"/>
                <w:szCs w:val="20"/>
                <w:lang w:bidi="ar"/>
              </w:rPr>
            </w:pPr>
            <w:r>
              <w:rPr>
                <w:rFonts w:hint="default" w:ascii="宋体" w:hAnsi="宋体" w:cs="宋体"/>
                <w:color w:val="auto"/>
                <w:kern w:val="0"/>
                <w:sz w:val="20"/>
                <w:szCs w:val="20"/>
                <w:lang w:bidi="ar"/>
              </w:rPr>
              <w:t>项</w:t>
            </w:r>
          </w:p>
        </w:tc>
      </w:tr>
      <w:tr w14:paraId="147A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noWrap w:val="0"/>
            <w:vAlign w:val="center"/>
          </w:tcPr>
          <w:p w14:paraId="44FB68B2">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w:t>
            </w:r>
          </w:p>
        </w:tc>
        <w:tc>
          <w:tcPr>
            <w:tcW w:w="3780" w:type="dxa"/>
            <w:noWrap w:val="0"/>
            <w:vAlign w:val="center"/>
          </w:tcPr>
          <w:p w14:paraId="755B10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rPr>
            </w:pPr>
            <w:r>
              <w:rPr>
                <w:rFonts w:hint="eastAsia" w:ascii="宋体" w:hAnsi="宋体" w:cs="宋体"/>
                <w:color w:val="auto"/>
                <w:sz w:val="20"/>
                <w:szCs w:val="20"/>
                <w:highlight w:val="none"/>
                <w:lang w:val="en-US" w:eastAsia="zh-CN"/>
              </w:rPr>
              <w:t>云办公系统</w:t>
            </w:r>
          </w:p>
        </w:tc>
        <w:tc>
          <w:tcPr>
            <w:tcW w:w="1518" w:type="dxa"/>
            <w:noWrap w:val="0"/>
            <w:vAlign w:val="center"/>
          </w:tcPr>
          <w:p w14:paraId="0B3AB6A3">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w:t>
            </w:r>
          </w:p>
        </w:tc>
        <w:tc>
          <w:tcPr>
            <w:tcW w:w="1518" w:type="dxa"/>
            <w:noWrap w:val="0"/>
            <w:vAlign w:val="center"/>
          </w:tcPr>
          <w:p w14:paraId="3E0E290A">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default" w:ascii="宋体" w:hAnsi="宋体" w:eastAsia="宋体" w:cs="宋体"/>
                <w:color w:val="auto"/>
                <w:kern w:val="0"/>
                <w:sz w:val="20"/>
                <w:szCs w:val="20"/>
                <w:lang w:bidi="ar"/>
              </w:rPr>
            </w:pPr>
            <w:r>
              <w:rPr>
                <w:rFonts w:hint="default" w:ascii="宋体" w:hAnsi="宋体" w:cs="宋体"/>
                <w:color w:val="auto"/>
                <w:kern w:val="0"/>
                <w:sz w:val="20"/>
                <w:szCs w:val="20"/>
                <w:lang w:bidi="ar"/>
              </w:rPr>
              <w:t>项</w:t>
            </w:r>
          </w:p>
        </w:tc>
      </w:tr>
      <w:tr w14:paraId="145C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noWrap w:val="0"/>
            <w:vAlign w:val="center"/>
          </w:tcPr>
          <w:p w14:paraId="10C6E468">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w:t>
            </w:r>
          </w:p>
        </w:tc>
        <w:tc>
          <w:tcPr>
            <w:tcW w:w="3780" w:type="dxa"/>
            <w:noWrap w:val="0"/>
            <w:vAlign w:val="center"/>
          </w:tcPr>
          <w:p w14:paraId="48959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rPr>
            </w:pPr>
            <w:r>
              <w:rPr>
                <w:rFonts w:hint="eastAsia" w:ascii="宋体" w:hAnsi="宋体" w:cs="宋体"/>
                <w:color w:val="auto"/>
                <w:sz w:val="20"/>
                <w:szCs w:val="20"/>
                <w:highlight w:val="none"/>
                <w:lang w:val="en-US" w:eastAsia="zh-CN"/>
              </w:rPr>
              <w:t>可视化平台</w:t>
            </w:r>
          </w:p>
        </w:tc>
        <w:tc>
          <w:tcPr>
            <w:tcW w:w="1518" w:type="dxa"/>
            <w:noWrap w:val="0"/>
            <w:vAlign w:val="center"/>
          </w:tcPr>
          <w:p w14:paraId="1CBF1BAC">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w:t>
            </w:r>
          </w:p>
        </w:tc>
        <w:tc>
          <w:tcPr>
            <w:tcW w:w="1518" w:type="dxa"/>
            <w:noWrap w:val="0"/>
            <w:vAlign w:val="center"/>
          </w:tcPr>
          <w:p w14:paraId="3BDDA5F2">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default" w:ascii="宋体" w:hAnsi="宋体" w:eastAsia="宋体" w:cs="宋体"/>
                <w:color w:val="auto"/>
                <w:kern w:val="0"/>
                <w:sz w:val="20"/>
                <w:szCs w:val="20"/>
                <w:lang w:bidi="ar"/>
              </w:rPr>
            </w:pPr>
            <w:r>
              <w:rPr>
                <w:rFonts w:hint="default" w:ascii="宋体" w:hAnsi="宋体" w:cs="宋体"/>
                <w:color w:val="auto"/>
                <w:kern w:val="0"/>
                <w:sz w:val="20"/>
                <w:szCs w:val="20"/>
                <w:lang w:bidi="ar"/>
              </w:rPr>
              <w:t>项</w:t>
            </w:r>
          </w:p>
        </w:tc>
      </w:tr>
      <w:tr w14:paraId="20EA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noWrap w:val="0"/>
            <w:vAlign w:val="center"/>
          </w:tcPr>
          <w:p w14:paraId="70474DB0">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w:t>
            </w:r>
          </w:p>
        </w:tc>
        <w:tc>
          <w:tcPr>
            <w:tcW w:w="3780" w:type="dxa"/>
            <w:noWrap w:val="0"/>
            <w:vAlign w:val="center"/>
          </w:tcPr>
          <w:p w14:paraId="35C292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rPr>
            </w:pPr>
            <w:r>
              <w:rPr>
                <w:rFonts w:hint="eastAsia" w:ascii="宋体" w:hAnsi="宋体" w:cs="宋体"/>
                <w:color w:val="auto"/>
                <w:sz w:val="20"/>
                <w:szCs w:val="20"/>
                <w:highlight w:val="none"/>
                <w:lang w:val="en-US" w:eastAsia="zh-CN"/>
              </w:rPr>
              <w:t>智慧河道系统</w:t>
            </w:r>
          </w:p>
        </w:tc>
        <w:tc>
          <w:tcPr>
            <w:tcW w:w="1518" w:type="dxa"/>
            <w:noWrap w:val="0"/>
            <w:vAlign w:val="center"/>
          </w:tcPr>
          <w:p w14:paraId="55EC28F9">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w:t>
            </w:r>
          </w:p>
        </w:tc>
        <w:tc>
          <w:tcPr>
            <w:tcW w:w="1518" w:type="dxa"/>
            <w:noWrap w:val="0"/>
            <w:vAlign w:val="center"/>
          </w:tcPr>
          <w:p w14:paraId="6B1D23AA">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default" w:ascii="宋体" w:hAnsi="宋体" w:eastAsia="宋体" w:cs="宋体"/>
                <w:color w:val="auto"/>
                <w:kern w:val="0"/>
                <w:sz w:val="20"/>
                <w:szCs w:val="20"/>
                <w:lang w:bidi="ar"/>
              </w:rPr>
            </w:pPr>
            <w:r>
              <w:rPr>
                <w:rFonts w:hint="default" w:ascii="宋体" w:hAnsi="宋体" w:cs="宋体"/>
                <w:color w:val="auto"/>
                <w:kern w:val="0"/>
                <w:sz w:val="20"/>
                <w:szCs w:val="20"/>
                <w:lang w:bidi="ar"/>
              </w:rPr>
              <w:t>项</w:t>
            </w:r>
          </w:p>
        </w:tc>
      </w:tr>
      <w:tr w14:paraId="6713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noWrap w:val="0"/>
            <w:vAlign w:val="center"/>
          </w:tcPr>
          <w:p w14:paraId="1CCCF806">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w:t>
            </w:r>
          </w:p>
        </w:tc>
        <w:tc>
          <w:tcPr>
            <w:tcW w:w="3780" w:type="dxa"/>
            <w:noWrap w:val="0"/>
            <w:vAlign w:val="center"/>
          </w:tcPr>
          <w:p w14:paraId="0C9409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rPr>
            </w:pPr>
            <w:r>
              <w:rPr>
                <w:rFonts w:hint="eastAsia" w:ascii="宋体" w:hAnsi="宋体" w:eastAsia="宋体" w:cs="宋体"/>
                <w:i w:val="0"/>
                <w:color w:val="000000"/>
                <w:kern w:val="0"/>
                <w:sz w:val="20"/>
                <w:szCs w:val="20"/>
                <w:u w:val="none"/>
                <w:lang w:val="en-US" w:eastAsia="zh-CN" w:bidi="ar"/>
              </w:rPr>
              <w:t>合同支付系统</w:t>
            </w:r>
          </w:p>
        </w:tc>
        <w:tc>
          <w:tcPr>
            <w:tcW w:w="1518" w:type="dxa"/>
            <w:noWrap w:val="0"/>
            <w:vAlign w:val="center"/>
          </w:tcPr>
          <w:p w14:paraId="70B5D9F1">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w:t>
            </w:r>
          </w:p>
        </w:tc>
        <w:tc>
          <w:tcPr>
            <w:tcW w:w="1518" w:type="dxa"/>
            <w:noWrap w:val="0"/>
            <w:vAlign w:val="center"/>
          </w:tcPr>
          <w:p w14:paraId="3CCECFC7">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default" w:ascii="宋体" w:hAnsi="宋体" w:eastAsia="宋体" w:cs="宋体"/>
                <w:color w:val="auto"/>
                <w:kern w:val="0"/>
                <w:sz w:val="20"/>
                <w:szCs w:val="20"/>
                <w:lang w:bidi="ar"/>
              </w:rPr>
            </w:pPr>
            <w:r>
              <w:rPr>
                <w:rFonts w:hint="default" w:ascii="宋体" w:hAnsi="宋体" w:cs="宋体"/>
                <w:color w:val="auto"/>
                <w:kern w:val="0"/>
                <w:sz w:val="20"/>
                <w:szCs w:val="20"/>
                <w:lang w:bidi="ar"/>
              </w:rPr>
              <w:t>项</w:t>
            </w:r>
          </w:p>
        </w:tc>
      </w:tr>
      <w:tr w14:paraId="1F43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noWrap w:val="0"/>
            <w:vAlign w:val="center"/>
          </w:tcPr>
          <w:p w14:paraId="3B0B00FD">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w:t>
            </w:r>
          </w:p>
        </w:tc>
        <w:tc>
          <w:tcPr>
            <w:tcW w:w="3780" w:type="dxa"/>
            <w:noWrap w:val="0"/>
            <w:vAlign w:val="center"/>
          </w:tcPr>
          <w:p w14:paraId="124371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rPr>
            </w:pPr>
            <w:r>
              <w:rPr>
                <w:rFonts w:hint="eastAsia" w:ascii="宋体" w:hAnsi="宋体" w:eastAsia="宋体" w:cs="宋体"/>
                <w:i w:val="0"/>
                <w:color w:val="000000"/>
                <w:kern w:val="0"/>
                <w:sz w:val="20"/>
                <w:szCs w:val="20"/>
                <w:u w:val="none"/>
                <w:lang w:val="en-US" w:eastAsia="zh-CN" w:bidi="ar"/>
              </w:rPr>
              <w:t>东站周边建筑亮化二级</w:t>
            </w:r>
            <w:r>
              <w:rPr>
                <w:rFonts w:hint="eastAsia" w:ascii="宋体" w:hAnsi="宋体" w:cs="宋体"/>
                <w:i w:val="0"/>
                <w:color w:val="000000"/>
                <w:kern w:val="0"/>
                <w:sz w:val="20"/>
                <w:szCs w:val="20"/>
                <w:u w:val="none"/>
                <w:lang w:val="en-US" w:eastAsia="zh-CN" w:bidi="ar"/>
              </w:rPr>
              <w:t>控制平台</w:t>
            </w:r>
          </w:p>
        </w:tc>
        <w:tc>
          <w:tcPr>
            <w:tcW w:w="1518" w:type="dxa"/>
            <w:noWrap w:val="0"/>
            <w:vAlign w:val="center"/>
          </w:tcPr>
          <w:p w14:paraId="461D437E">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c>
          <w:tcPr>
            <w:tcW w:w="1518" w:type="dxa"/>
            <w:noWrap w:val="0"/>
            <w:vAlign w:val="center"/>
          </w:tcPr>
          <w:p w14:paraId="4F1D34AF">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default" w:ascii="宋体" w:hAnsi="宋体" w:eastAsia="宋体" w:cs="宋体"/>
                <w:color w:val="auto"/>
                <w:sz w:val="20"/>
                <w:szCs w:val="20"/>
              </w:rPr>
            </w:pPr>
            <w:r>
              <w:rPr>
                <w:rFonts w:hint="default" w:ascii="宋体" w:hAnsi="宋体" w:cs="宋体"/>
                <w:color w:val="auto"/>
                <w:sz w:val="20"/>
                <w:szCs w:val="20"/>
              </w:rPr>
              <w:t>项</w:t>
            </w:r>
          </w:p>
        </w:tc>
      </w:tr>
      <w:tr w14:paraId="2DAD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4" w:type="dxa"/>
            <w:gridSpan w:val="4"/>
            <w:noWrap w:val="0"/>
            <w:vAlign w:val="center"/>
          </w:tcPr>
          <w:p w14:paraId="2F8EA689">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left"/>
              <w:textAlignment w:val="center"/>
              <w:rPr>
                <w:rFonts w:hint="default" w:ascii="宋体" w:hAnsi="宋体" w:eastAsia="宋体" w:cs="宋体"/>
                <w:color w:val="auto"/>
                <w:kern w:val="0"/>
                <w:sz w:val="20"/>
                <w:szCs w:val="20"/>
                <w:lang w:val="en-US" w:bidi="ar"/>
              </w:rPr>
            </w:pPr>
            <w:r>
              <w:rPr>
                <w:rFonts w:hint="eastAsia" w:ascii="宋体" w:hAnsi="宋体" w:cs="宋体"/>
                <w:b/>
                <w:bCs/>
                <w:color w:val="auto"/>
                <w:kern w:val="0"/>
                <w:sz w:val="20"/>
                <w:szCs w:val="20"/>
                <w:lang w:val="en-US" w:eastAsia="zh-CN" w:bidi="ar"/>
              </w:rPr>
              <w:t>二</w:t>
            </w:r>
            <w:r>
              <w:rPr>
                <w:rFonts w:hint="eastAsia" w:ascii="宋体" w:hAnsi="宋体" w:eastAsia="宋体" w:cs="宋体"/>
                <w:b/>
                <w:bCs/>
                <w:color w:val="auto"/>
                <w:kern w:val="0"/>
                <w:sz w:val="20"/>
                <w:szCs w:val="20"/>
                <w:lang w:bidi="ar"/>
              </w:rPr>
              <w:t>、</w:t>
            </w:r>
            <w:r>
              <w:rPr>
                <w:rFonts w:hint="eastAsia" w:ascii="宋体" w:hAnsi="宋体" w:cs="宋体"/>
                <w:b/>
                <w:bCs/>
                <w:color w:val="auto"/>
                <w:kern w:val="0"/>
                <w:sz w:val="20"/>
                <w:szCs w:val="20"/>
                <w:lang w:val="en-US" w:eastAsia="zh-CN" w:bidi="ar"/>
              </w:rPr>
              <w:t>综合集成</w:t>
            </w:r>
          </w:p>
        </w:tc>
      </w:tr>
      <w:tr w14:paraId="5675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noWrap w:val="0"/>
            <w:vAlign w:val="center"/>
          </w:tcPr>
          <w:p w14:paraId="6E6DAE43">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1</w:t>
            </w:r>
          </w:p>
        </w:tc>
        <w:tc>
          <w:tcPr>
            <w:tcW w:w="3780" w:type="dxa"/>
            <w:noWrap w:val="0"/>
            <w:vAlign w:val="center"/>
          </w:tcPr>
          <w:p w14:paraId="2EC2ED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rPr>
            </w:pPr>
            <w:r>
              <w:rPr>
                <w:rFonts w:hint="eastAsia" w:ascii="宋体" w:hAnsi="宋体" w:eastAsia="宋体" w:cs="宋体"/>
                <w:i w:val="0"/>
                <w:color w:val="000000"/>
                <w:kern w:val="0"/>
                <w:sz w:val="20"/>
                <w:szCs w:val="20"/>
                <w:u w:val="none"/>
                <w:lang w:val="en-US" w:eastAsia="zh-CN" w:bidi="ar"/>
              </w:rPr>
              <w:t>一单位一平台</w:t>
            </w:r>
          </w:p>
        </w:tc>
        <w:tc>
          <w:tcPr>
            <w:tcW w:w="1518" w:type="dxa"/>
            <w:noWrap w:val="0"/>
            <w:vAlign w:val="center"/>
          </w:tcPr>
          <w:p w14:paraId="4A7F18FE">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c>
          <w:tcPr>
            <w:tcW w:w="1518" w:type="dxa"/>
            <w:noWrap w:val="0"/>
            <w:vAlign w:val="center"/>
          </w:tcPr>
          <w:p w14:paraId="01A79FC0">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default" w:ascii="宋体" w:hAnsi="宋体" w:eastAsia="宋体" w:cs="宋体"/>
                <w:color w:val="auto"/>
                <w:sz w:val="20"/>
                <w:szCs w:val="20"/>
              </w:rPr>
            </w:pPr>
            <w:r>
              <w:rPr>
                <w:rFonts w:hint="default" w:ascii="宋体" w:hAnsi="宋体" w:cs="宋体"/>
                <w:color w:val="auto"/>
                <w:sz w:val="20"/>
                <w:szCs w:val="20"/>
              </w:rPr>
              <w:t>项</w:t>
            </w:r>
          </w:p>
        </w:tc>
      </w:tr>
      <w:tr w14:paraId="6855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4" w:type="dxa"/>
            <w:gridSpan w:val="4"/>
            <w:noWrap w:val="0"/>
            <w:vAlign w:val="center"/>
          </w:tcPr>
          <w:p w14:paraId="0A4E5AC0">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left"/>
              <w:textAlignment w:val="center"/>
              <w:rPr>
                <w:rFonts w:hint="eastAsia" w:ascii="宋体" w:hAnsi="宋体" w:eastAsia="宋体" w:cs="宋体"/>
                <w:b/>
                <w:bCs/>
                <w:color w:val="auto"/>
                <w:sz w:val="20"/>
                <w:szCs w:val="20"/>
              </w:rPr>
            </w:pPr>
            <w:r>
              <w:rPr>
                <w:rFonts w:hint="eastAsia" w:ascii="宋体" w:hAnsi="宋体" w:cs="宋体"/>
                <w:b/>
                <w:bCs/>
                <w:color w:val="auto"/>
                <w:sz w:val="20"/>
                <w:szCs w:val="20"/>
                <w:lang w:val="en-US" w:eastAsia="zh-CN"/>
              </w:rPr>
              <w:t>三</w:t>
            </w:r>
            <w:r>
              <w:rPr>
                <w:rFonts w:hint="eastAsia" w:ascii="宋体" w:hAnsi="宋体" w:eastAsia="宋体" w:cs="宋体"/>
                <w:b/>
                <w:bCs/>
                <w:color w:val="auto"/>
                <w:sz w:val="20"/>
                <w:szCs w:val="20"/>
              </w:rPr>
              <w:t>、其他</w:t>
            </w:r>
          </w:p>
        </w:tc>
      </w:tr>
      <w:tr w14:paraId="4EAD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noWrap w:val="0"/>
            <w:vAlign w:val="center"/>
          </w:tcPr>
          <w:p w14:paraId="1636BF1A">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3780" w:type="dxa"/>
            <w:noWrap w:val="0"/>
            <w:vAlign w:val="center"/>
          </w:tcPr>
          <w:p w14:paraId="50822F7B">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信创测评</w:t>
            </w:r>
          </w:p>
        </w:tc>
        <w:tc>
          <w:tcPr>
            <w:tcW w:w="1518" w:type="dxa"/>
            <w:noWrap w:val="0"/>
            <w:vAlign w:val="center"/>
          </w:tcPr>
          <w:p w14:paraId="058F21B4">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0"/>
                <w:szCs w:val="20"/>
                <w:lang w:val="zh-CN"/>
              </w:rPr>
            </w:pPr>
            <w:r>
              <w:rPr>
                <w:rFonts w:hint="eastAsia" w:ascii="宋体" w:hAnsi="宋体" w:eastAsia="宋体" w:cs="宋体"/>
                <w:color w:val="auto"/>
                <w:kern w:val="0"/>
                <w:sz w:val="20"/>
                <w:szCs w:val="20"/>
                <w:lang w:bidi="ar"/>
              </w:rPr>
              <w:t>1</w:t>
            </w:r>
          </w:p>
        </w:tc>
        <w:tc>
          <w:tcPr>
            <w:tcW w:w="1518" w:type="dxa"/>
            <w:noWrap w:val="0"/>
            <w:vAlign w:val="center"/>
          </w:tcPr>
          <w:p w14:paraId="0305E2AC">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0"/>
                <w:szCs w:val="20"/>
                <w:lang w:val="zh-CN"/>
              </w:rPr>
            </w:pPr>
            <w:r>
              <w:rPr>
                <w:rFonts w:hint="eastAsia" w:ascii="宋体" w:hAnsi="宋体" w:eastAsia="宋体" w:cs="宋体"/>
                <w:color w:val="auto"/>
                <w:kern w:val="0"/>
                <w:sz w:val="20"/>
                <w:szCs w:val="20"/>
                <w:lang w:bidi="ar"/>
              </w:rPr>
              <w:t>项</w:t>
            </w:r>
          </w:p>
        </w:tc>
      </w:tr>
      <w:tr w14:paraId="3AC6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noWrap w:val="0"/>
            <w:vAlign w:val="center"/>
          </w:tcPr>
          <w:p w14:paraId="620C4272">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p>
        </w:tc>
        <w:tc>
          <w:tcPr>
            <w:tcW w:w="3780" w:type="dxa"/>
            <w:noWrap w:val="0"/>
            <w:vAlign w:val="center"/>
          </w:tcPr>
          <w:p w14:paraId="2BF9C978">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渗透测试</w:t>
            </w:r>
          </w:p>
        </w:tc>
        <w:tc>
          <w:tcPr>
            <w:tcW w:w="1518" w:type="dxa"/>
            <w:noWrap w:val="0"/>
            <w:vAlign w:val="center"/>
          </w:tcPr>
          <w:p w14:paraId="2289725B">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0"/>
                <w:szCs w:val="20"/>
                <w:lang w:val="zh-CN"/>
              </w:rPr>
            </w:pPr>
            <w:r>
              <w:rPr>
                <w:rFonts w:hint="eastAsia" w:ascii="宋体" w:hAnsi="宋体" w:eastAsia="宋体" w:cs="宋体"/>
                <w:color w:val="auto"/>
                <w:kern w:val="0"/>
                <w:sz w:val="20"/>
                <w:szCs w:val="20"/>
                <w:lang w:bidi="ar"/>
              </w:rPr>
              <w:t>1</w:t>
            </w:r>
          </w:p>
        </w:tc>
        <w:tc>
          <w:tcPr>
            <w:tcW w:w="1518" w:type="dxa"/>
            <w:noWrap w:val="0"/>
            <w:vAlign w:val="center"/>
          </w:tcPr>
          <w:p w14:paraId="5F8022EE">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0"/>
                <w:szCs w:val="20"/>
                <w:lang w:val="zh-CN"/>
              </w:rPr>
            </w:pPr>
            <w:r>
              <w:rPr>
                <w:rFonts w:hint="eastAsia" w:ascii="宋体" w:hAnsi="宋体" w:eastAsia="宋体" w:cs="宋体"/>
                <w:color w:val="auto"/>
                <w:kern w:val="0"/>
                <w:sz w:val="20"/>
                <w:szCs w:val="20"/>
                <w:lang w:bidi="ar"/>
              </w:rPr>
              <w:t>项</w:t>
            </w:r>
          </w:p>
        </w:tc>
      </w:tr>
      <w:tr w14:paraId="3F0F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noWrap w:val="0"/>
            <w:vAlign w:val="center"/>
          </w:tcPr>
          <w:p w14:paraId="0A6A84CD">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3</w:t>
            </w:r>
          </w:p>
        </w:tc>
        <w:tc>
          <w:tcPr>
            <w:tcW w:w="3780" w:type="dxa"/>
            <w:noWrap w:val="0"/>
            <w:vAlign w:val="center"/>
          </w:tcPr>
          <w:p w14:paraId="65F02831">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kern w:val="0"/>
                <w:sz w:val="20"/>
                <w:szCs w:val="20"/>
                <w:lang w:bidi="ar"/>
              </w:rPr>
            </w:pPr>
            <w:r>
              <w:rPr>
                <w:rFonts w:hint="eastAsia" w:ascii="宋体" w:hAnsi="宋体" w:cs="宋体"/>
                <w:color w:val="auto"/>
                <w:kern w:val="0"/>
                <w:sz w:val="20"/>
                <w:szCs w:val="20"/>
                <w:lang w:bidi="ar"/>
              </w:rPr>
              <w:t>维护</w:t>
            </w:r>
            <w:r>
              <w:rPr>
                <w:rFonts w:hint="eastAsia" w:ascii="宋体" w:hAnsi="宋体" w:eastAsia="宋体" w:cs="宋体"/>
                <w:color w:val="auto"/>
                <w:kern w:val="0"/>
                <w:sz w:val="20"/>
                <w:szCs w:val="20"/>
                <w:lang w:bidi="ar"/>
              </w:rPr>
              <w:t>服务</w:t>
            </w:r>
          </w:p>
        </w:tc>
        <w:tc>
          <w:tcPr>
            <w:tcW w:w="1518" w:type="dxa"/>
            <w:noWrap w:val="0"/>
            <w:vAlign w:val="center"/>
          </w:tcPr>
          <w:p w14:paraId="41933E31">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0"/>
                <w:szCs w:val="20"/>
                <w:lang w:val="zh-CN"/>
              </w:rPr>
            </w:pPr>
            <w:r>
              <w:rPr>
                <w:rFonts w:hint="eastAsia" w:ascii="宋体" w:hAnsi="宋体" w:eastAsia="宋体" w:cs="宋体"/>
                <w:color w:val="auto"/>
                <w:kern w:val="0"/>
                <w:sz w:val="20"/>
                <w:szCs w:val="20"/>
                <w:lang w:bidi="ar"/>
              </w:rPr>
              <w:t>1</w:t>
            </w:r>
          </w:p>
        </w:tc>
        <w:tc>
          <w:tcPr>
            <w:tcW w:w="1518" w:type="dxa"/>
            <w:noWrap w:val="0"/>
            <w:vAlign w:val="center"/>
          </w:tcPr>
          <w:p w14:paraId="35400D84">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0"/>
                <w:szCs w:val="20"/>
                <w:lang w:val="zh-CN"/>
              </w:rPr>
            </w:pPr>
            <w:r>
              <w:rPr>
                <w:rFonts w:hint="eastAsia" w:ascii="宋体" w:hAnsi="宋体" w:eastAsia="宋体" w:cs="宋体"/>
                <w:color w:val="auto"/>
                <w:kern w:val="0"/>
                <w:sz w:val="20"/>
                <w:szCs w:val="20"/>
                <w:lang w:bidi="ar"/>
              </w:rPr>
              <w:t>项</w:t>
            </w:r>
          </w:p>
        </w:tc>
      </w:tr>
    </w:tbl>
    <w:p w14:paraId="1FFC2ADD">
      <w:pPr>
        <w:numPr>
          <w:ilvl w:val="0"/>
          <w:numId w:val="0"/>
        </w:numPr>
        <w:snapToGrid w:val="0"/>
        <w:spacing w:line="360" w:lineRule="auto"/>
        <w:ind w:left="0" w:firstLine="201" w:firstLineChars="100"/>
        <w:jc w:val="left"/>
        <w:outlineLvl w:val="1"/>
        <w:rPr>
          <w:rFonts w:hint="eastAsia" w:ascii="宋体" w:hAnsi="宋体" w:eastAsia="宋体" w:cs="宋体"/>
          <w:b/>
          <w:bCs/>
          <w:color w:val="auto"/>
          <w:sz w:val="20"/>
          <w:szCs w:val="20"/>
          <w:highlight w:val="none"/>
          <w:lang w:val="en-US" w:eastAsia="zh-CN"/>
        </w:rPr>
      </w:pPr>
      <w:r>
        <w:rPr>
          <w:rFonts w:hint="eastAsia" w:ascii="宋体" w:hAnsi="宋体" w:cs="宋体"/>
          <w:b/>
          <w:bCs/>
          <w:color w:val="auto"/>
          <w:sz w:val="20"/>
          <w:szCs w:val="20"/>
          <w:highlight w:val="none"/>
          <w:lang w:val="en-US" w:eastAsia="zh-CN"/>
        </w:rPr>
        <w:t>2.2</w:t>
      </w:r>
      <w:r>
        <w:rPr>
          <w:rFonts w:hint="eastAsia" w:ascii="宋体" w:hAnsi="宋体" w:cs="宋体"/>
          <w:b/>
          <w:bCs/>
          <w:color w:val="auto"/>
          <w:kern w:val="0"/>
          <w:sz w:val="20"/>
          <w:szCs w:val="20"/>
          <w:lang w:val="en-US" w:eastAsia="zh-CN" w:bidi="ar"/>
        </w:rPr>
        <w:t>待</w:t>
      </w:r>
      <w:r>
        <w:rPr>
          <w:rFonts w:hint="eastAsia" w:ascii="宋体" w:hAnsi="宋体" w:cs="宋体"/>
          <w:b/>
          <w:bCs/>
          <w:color w:val="auto"/>
          <w:kern w:val="0"/>
          <w:sz w:val="20"/>
          <w:szCs w:val="20"/>
          <w:lang w:bidi="ar"/>
        </w:rPr>
        <w:t>改造</w:t>
      </w:r>
      <w:r>
        <w:rPr>
          <w:rFonts w:hint="eastAsia" w:ascii="宋体" w:hAnsi="宋体" w:cs="宋体"/>
          <w:b/>
          <w:bCs/>
          <w:color w:val="auto"/>
          <w:sz w:val="20"/>
          <w:szCs w:val="20"/>
          <w:highlight w:val="none"/>
          <w:lang w:val="en-US" w:eastAsia="zh-CN"/>
        </w:rPr>
        <w:t>应用系统介绍</w:t>
      </w:r>
    </w:p>
    <w:p w14:paraId="52FCBDD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textAlignment w:val="auto"/>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清运管理系统：</w:t>
      </w:r>
      <w:r>
        <w:rPr>
          <w:rFonts w:hint="eastAsia" w:ascii="宋体" w:hAnsi="宋体" w:eastAsia="宋体" w:cs="宋体"/>
          <w:i w:val="0"/>
          <w:caps w:val="0"/>
          <w:spacing w:val="0"/>
          <w:sz w:val="20"/>
          <w:szCs w:val="20"/>
          <w:shd w:val="clear" w:fill="FFFFFF"/>
        </w:rPr>
        <w:t>致力于构建智能化垃圾清运监管体系，以达成生活垃圾日产日清的目标，同时对分类正确率进行实时监控，动态优化回收利用率。借助数据驱动的方式，提升资源调配效率，确保城市环境卫生达到标准要求。</w:t>
      </w:r>
      <w:r>
        <w:rPr>
          <w:rFonts w:hint="eastAsia" w:ascii="宋体" w:hAnsi="宋体" w:cs="宋体"/>
          <w:color w:val="auto"/>
          <w:sz w:val="20"/>
          <w:szCs w:val="20"/>
          <w:highlight w:val="none"/>
          <w:lang w:val="en-US" w:eastAsia="zh-CN"/>
        </w:rPr>
        <w:t>通过安装物联感知设备，将100辆垃圾</w:t>
      </w:r>
      <w:r>
        <w:rPr>
          <w:rFonts w:hint="default" w:hAnsi="宋体" w:cs="宋体"/>
          <w:color w:val="auto"/>
          <w:sz w:val="20"/>
          <w:szCs w:val="20"/>
          <w:highlight w:val="none"/>
          <w:lang w:eastAsia="zh-CN"/>
        </w:rPr>
        <w:t>清运</w:t>
      </w:r>
      <w:r>
        <w:rPr>
          <w:rFonts w:hint="eastAsia" w:ascii="宋体" w:hAnsi="宋体" w:cs="宋体"/>
          <w:color w:val="auto"/>
          <w:sz w:val="20"/>
          <w:szCs w:val="20"/>
          <w:highlight w:val="none"/>
          <w:lang w:val="en-US" w:eastAsia="zh-CN"/>
        </w:rPr>
        <w:t>车</w:t>
      </w:r>
      <w:r>
        <w:rPr>
          <w:rFonts w:hint="default" w:hAnsi="宋体" w:cs="宋体"/>
          <w:color w:val="auto"/>
          <w:sz w:val="20"/>
          <w:szCs w:val="20"/>
          <w:highlight w:val="none"/>
          <w:lang w:eastAsia="zh-CN"/>
        </w:rPr>
        <w:t>清运的垃圾</w:t>
      </w:r>
      <w:r>
        <w:rPr>
          <w:rFonts w:hint="eastAsia" w:ascii="宋体" w:hAnsi="宋体" w:cs="宋体"/>
          <w:color w:val="auto"/>
          <w:sz w:val="20"/>
          <w:szCs w:val="20"/>
          <w:highlight w:val="none"/>
          <w:lang w:val="en-US" w:eastAsia="zh-CN"/>
        </w:rPr>
        <w:t>重量、车辆地磅数据实时接入，通过图像智能分析系统将分析数据接入城市大脑等。</w:t>
      </w:r>
    </w:p>
    <w:p w14:paraId="2FB4D233">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城管e考通系统：实现量化考核，把原来孤立、分散考核数据进行数字化聚集，通过数字化系统形成规范化、标准化的长效考核机制和体系，以“一次录入、限期填报、上下协同、统一考核”为目标，体现考评、考核工作的整体性、时效性、协同性，提升考核考评组织工作的统筹力、执行力和影响力。</w:t>
      </w:r>
    </w:p>
    <w:p w14:paraId="671EDEE3">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非接触性执法平台：通过互联网和物联网技术，以现有的智能管控及网格化管理指挥平台为基础，不断完善智慧城管运行机制，有序接入全区城市管理事件数据，通过大数据分析整合，形成“非接触性”执法基础数据库，通过指挥中心驾驶舱和非接触性执法平台实现“非接触性”执法无缝管理。</w:t>
      </w:r>
    </w:p>
    <w:p w14:paraId="275A92D8">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云办公系统：打造多端协同、安全可控的云端办公环境，支持网页实时共享、移动端无缝接入及数据加密管理，优化跨部门协作流程，降低行政成本。主要包含请假管理、重大事项管理、装备管理、执法人员管理以及系统管理等。</w:t>
      </w:r>
    </w:p>
    <w:p w14:paraId="532E358C">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可视化平台：通过物联网感知技术，将5G执法执法记录仪和坐席摄像头等设备的数据进行电子化记录存档，并实现远程执法指导。执法案卷、查封扣押物品、执法装备实现线上管理，并全面呈现行政执法各项数据。</w:t>
      </w:r>
    </w:p>
    <w:p w14:paraId="4F2CE63B">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智慧河道系统：通过视频智能监控系统、闸门泵站监测系统、管网监测监控系统，构建一个全方位、多层次的河道水生态、水环境、水安全、设备设施监控网络，客观反映全区重要河道的基本状况。</w:t>
      </w:r>
    </w:p>
    <w:p w14:paraId="5F4F9D6F">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合同支付系统：对</w:t>
      </w:r>
      <w:r>
        <w:rPr>
          <w:rFonts w:hint="default" w:ascii="宋体" w:hAnsi="宋体" w:cs="宋体"/>
          <w:color w:val="auto"/>
          <w:sz w:val="20"/>
          <w:szCs w:val="20"/>
          <w:highlight w:val="none"/>
          <w:lang w:eastAsia="zh-CN"/>
        </w:rPr>
        <w:t>局系统</w:t>
      </w:r>
      <w:r>
        <w:rPr>
          <w:rFonts w:hint="eastAsia" w:ascii="宋体" w:hAnsi="宋体" w:cs="宋体"/>
          <w:color w:val="auto"/>
          <w:sz w:val="20"/>
          <w:szCs w:val="20"/>
          <w:highlight w:val="none"/>
          <w:lang w:val="en-US" w:eastAsia="zh-CN"/>
        </w:rPr>
        <w:t>合同会签与支付进行全流程管理，主要功能包括合同审批单录入、合同信息录入管理、合同支付管理、合同查询等。</w:t>
      </w:r>
    </w:p>
    <w:p w14:paraId="1334B0F8">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东站周边建筑亮化二级控制平台：通过无线通信技术连接东站周边的各个灯光控制终端设备，实现对灯光的自动调节、远程控制、数据交换和实时监控。对夜景照明资源进行整体统筹，实行集中控制策略。</w:t>
      </w:r>
    </w:p>
    <w:p w14:paraId="20D4289F">
      <w:pPr>
        <w:spacing w:line="360" w:lineRule="auto"/>
        <w:ind w:firstLine="400" w:firstLineChars="200"/>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eastAsia="zh-CN"/>
        </w:rPr>
        <w:t>“</w:t>
      </w:r>
      <w:r>
        <w:rPr>
          <w:rFonts w:hint="eastAsia" w:ascii="宋体" w:hAnsi="宋体" w:eastAsia="宋体" w:cs="宋体"/>
          <w:i w:val="0"/>
          <w:color w:val="000000"/>
          <w:kern w:val="0"/>
          <w:sz w:val="20"/>
          <w:szCs w:val="20"/>
          <w:u w:val="none"/>
          <w:lang w:val="en-US" w:eastAsia="zh-CN" w:bidi="ar"/>
        </w:rPr>
        <w:t>一单位一平台</w:t>
      </w:r>
      <w:r>
        <w:rPr>
          <w:rFonts w:hint="eastAsia" w:ascii="宋体" w:hAnsi="宋体" w:cs="宋体"/>
          <w:color w:val="auto"/>
          <w:sz w:val="20"/>
          <w:szCs w:val="20"/>
          <w:highlight w:val="none"/>
          <w:lang w:eastAsia="zh-CN"/>
        </w:rPr>
        <w:t>”</w:t>
      </w:r>
      <w:r>
        <w:rPr>
          <w:rFonts w:hint="default" w:ascii="宋体" w:hAnsi="宋体" w:cs="宋体"/>
          <w:color w:val="auto"/>
          <w:sz w:val="20"/>
          <w:szCs w:val="20"/>
          <w:highlight w:val="none"/>
          <w:lang w:eastAsia="zh-CN"/>
        </w:rPr>
        <w:t>综合集成</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lang w:val="en-US" w:eastAsia="zh-CN"/>
        </w:rPr>
        <w:t>实现</w:t>
      </w:r>
      <w:r>
        <w:rPr>
          <w:rFonts w:hint="eastAsia" w:ascii="宋体" w:hAnsi="宋体" w:cs="宋体"/>
          <w:color w:val="auto"/>
          <w:sz w:val="20"/>
          <w:szCs w:val="20"/>
          <w:highlight w:val="none"/>
          <w:lang w:val="en-US" w:eastAsia="zh-CN"/>
        </w:rPr>
        <w:t>清运管理系统、城管e考通系统、非接触性执法平台、云办公系统、可视化平台、智慧河道系统、合同支付系统、东站周边建筑亮化二级控制平台</w:t>
      </w:r>
      <w:r>
        <w:rPr>
          <w:rFonts w:hint="eastAsia" w:ascii="宋体" w:hAnsi="宋体" w:eastAsia="宋体" w:cs="宋体"/>
          <w:color w:val="auto"/>
          <w:sz w:val="20"/>
          <w:szCs w:val="20"/>
          <w:highlight w:val="none"/>
          <w:lang w:val="en-US" w:eastAsia="zh-CN"/>
        </w:rPr>
        <w:t>的门户集成，实现统一用户、权限、接口及接入管理。</w:t>
      </w:r>
    </w:p>
    <w:p w14:paraId="75771143">
      <w:pPr>
        <w:numPr>
          <w:ilvl w:val="0"/>
          <w:numId w:val="0"/>
        </w:numPr>
        <w:snapToGrid w:val="0"/>
        <w:ind w:left="142" w:firstLine="201" w:firstLineChars="100"/>
        <w:jc w:val="left"/>
        <w:outlineLvl w:val="1"/>
        <w:rPr>
          <w:rFonts w:hint="eastAsia" w:ascii="宋体" w:hAnsi="宋体" w:cs="宋体"/>
          <w:b/>
          <w:bCs/>
          <w:color w:val="auto"/>
          <w:sz w:val="20"/>
          <w:szCs w:val="20"/>
          <w:lang w:val="en-US" w:eastAsia="zh-CN"/>
        </w:rPr>
      </w:pPr>
      <w:r>
        <w:rPr>
          <w:rFonts w:hint="eastAsia" w:ascii="宋体" w:hAnsi="宋体" w:cs="宋体"/>
          <w:b/>
          <w:bCs/>
          <w:color w:val="auto"/>
          <w:sz w:val="20"/>
          <w:szCs w:val="20"/>
          <w:highlight w:val="none"/>
          <w:lang w:val="en-US" w:eastAsia="zh-CN"/>
        </w:rPr>
        <w:t>2.3</w:t>
      </w:r>
      <w:r>
        <w:rPr>
          <w:rFonts w:hint="eastAsia" w:ascii="宋体" w:hAnsi="宋体" w:cs="宋体"/>
          <w:b/>
          <w:bCs/>
          <w:color w:val="auto"/>
          <w:sz w:val="20"/>
          <w:szCs w:val="20"/>
          <w:lang w:val="en-US" w:eastAsia="zh-CN"/>
        </w:rPr>
        <w:t>系统</w:t>
      </w:r>
      <w:r>
        <w:rPr>
          <w:rFonts w:hint="eastAsia" w:ascii="宋体" w:hAnsi="宋体" w:cs="宋体"/>
          <w:b/>
          <w:bCs/>
          <w:color w:val="auto"/>
          <w:sz w:val="20"/>
          <w:szCs w:val="20"/>
          <w:highlight w:val="none"/>
          <w:lang w:val="en-US" w:eastAsia="zh-CN"/>
        </w:rPr>
        <w:t>改造内容</w:t>
      </w:r>
      <w:r>
        <w:rPr>
          <w:rFonts w:hint="eastAsia" w:ascii="宋体" w:hAnsi="宋体" w:cs="宋体"/>
          <w:b/>
          <w:bCs/>
          <w:color w:val="auto"/>
          <w:sz w:val="20"/>
          <w:szCs w:val="20"/>
          <w:lang w:val="en-US" w:eastAsia="zh-CN"/>
        </w:rPr>
        <w:t>介绍</w:t>
      </w:r>
    </w:p>
    <w:tbl>
      <w:tblPr>
        <w:tblStyle w:val="62"/>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497"/>
        <w:gridCol w:w="737"/>
        <w:gridCol w:w="2535"/>
        <w:gridCol w:w="4234"/>
      </w:tblGrid>
      <w:tr w14:paraId="12213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EE61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97" w:type="dxa"/>
            <w:tcBorders>
              <w:top w:val="single" w:color="000000" w:sz="8" w:space="0"/>
              <w:left w:val="nil"/>
              <w:bottom w:val="single" w:color="000000" w:sz="8" w:space="0"/>
              <w:right w:val="single" w:color="000000" w:sz="8" w:space="0"/>
            </w:tcBorders>
            <w:shd w:val="clear" w:color="auto" w:fill="auto"/>
            <w:vAlign w:val="center"/>
          </w:tcPr>
          <w:p w14:paraId="70BF6F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3272" w:type="dxa"/>
            <w:gridSpan w:val="2"/>
            <w:tcBorders>
              <w:top w:val="single" w:color="000000" w:sz="8" w:space="0"/>
              <w:left w:val="nil"/>
              <w:bottom w:val="single" w:color="000000" w:sz="8" w:space="0"/>
              <w:right w:val="single" w:color="000000" w:sz="8" w:space="0"/>
            </w:tcBorders>
            <w:shd w:val="clear" w:color="auto" w:fill="auto"/>
            <w:vAlign w:val="center"/>
          </w:tcPr>
          <w:p w14:paraId="4D20D9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u w:val="none"/>
              </w:rPr>
            </w:pPr>
            <w:r>
              <w:rPr>
                <w:rFonts w:hint="default" w:ascii="宋体" w:hAnsi="宋体" w:cs="宋体"/>
                <w:i w:val="0"/>
                <w:iCs w:val="0"/>
                <w:color w:val="000000"/>
                <w:kern w:val="0"/>
                <w:sz w:val="20"/>
                <w:szCs w:val="20"/>
                <w:u w:val="none"/>
                <w:lang w:eastAsia="zh-CN" w:bidi="ar"/>
              </w:rPr>
              <w:t>功能</w:t>
            </w:r>
            <w:r>
              <w:rPr>
                <w:rFonts w:hint="eastAsia" w:ascii="宋体" w:hAnsi="宋体" w:eastAsia="宋体" w:cs="宋体"/>
                <w:i w:val="0"/>
                <w:iCs w:val="0"/>
                <w:color w:val="000000"/>
                <w:kern w:val="0"/>
                <w:sz w:val="20"/>
                <w:szCs w:val="20"/>
                <w:u w:val="none"/>
                <w:lang w:val="en-US" w:eastAsia="zh-CN" w:bidi="ar"/>
              </w:rPr>
              <w:t>模块</w:t>
            </w:r>
            <w:r>
              <w:rPr>
                <w:rFonts w:hint="default" w:ascii="宋体" w:hAnsi="宋体" w:cs="宋体"/>
                <w:i w:val="0"/>
                <w:iCs w:val="0"/>
                <w:color w:val="000000"/>
                <w:kern w:val="0"/>
                <w:sz w:val="20"/>
                <w:szCs w:val="20"/>
                <w:u w:val="none"/>
                <w:lang w:eastAsia="zh-CN" w:bidi="ar"/>
              </w:rPr>
              <w:t>及改造内容</w:t>
            </w:r>
          </w:p>
        </w:tc>
        <w:tc>
          <w:tcPr>
            <w:tcW w:w="4234" w:type="dxa"/>
            <w:tcBorders>
              <w:top w:val="single" w:color="000000" w:sz="8" w:space="0"/>
              <w:left w:val="nil"/>
              <w:bottom w:val="single" w:color="000000" w:sz="8" w:space="0"/>
              <w:right w:val="single" w:color="000000" w:sz="8" w:space="0"/>
            </w:tcBorders>
            <w:shd w:val="clear" w:color="auto" w:fill="auto"/>
            <w:vAlign w:val="center"/>
          </w:tcPr>
          <w:p w14:paraId="43DE9F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default" w:ascii="宋体" w:hAnsi="宋体" w:cs="宋体"/>
                <w:i w:val="0"/>
                <w:iCs w:val="0"/>
                <w:color w:val="000000"/>
                <w:kern w:val="0"/>
                <w:sz w:val="20"/>
                <w:szCs w:val="20"/>
                <w:u w:val="none"/>
                <w:lang w:eastAsia="zh-CN" w:bidi="ar"/>
              </w:rPr>
              <w:t>具体改造要求</w:t>
            </w:r>
          </w:p>
        </w:tc>
      </w:tr>
      <w:tr w14:paraId="11F0E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5F0B27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7" w:type="dxa"/>
            <w:vMerge w:val="restart"/>
            <w:tcBorders>
              <w:top w:val="nil"/>
              <w:left w:val="nil"/>
              <w:bottom w:val="single" w:color="000000" w:sz="8" w:space="0"/>
              <w:right w:val="single" w:color="000000" w:sz="8" w:space="0"/>
            </w:tcBorders>
            <w:shd w:val="clear" w:color="auto" w:fill="auto"/>
            <w:vAlign w:val="center"/>
          </w:tcPr>
          <w:p w14:paraId="5552A0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清运管理系统</w:t>
            </w:r>
          </w:p>
        </w:tc>
        <w:tc>
          <w:tcPr>
            <w:tcW w:w="737" w:type="dxa"/>
            <w:vMerge w:val="restart"/>
            <w:tcBorders>
              <w:top w:val="nil"/>
              <w:left w:val="nil"/>
              <w:bottom w:val="single" w:color="000000" w:sz="8" w:space="0"/>
              <w:right w:val="single" w:color="000000" w:sz="8" w:space="0"/>
            </w:tcBorders>
            <w:shd w:val="clear" w:color="auto" w:fill="auto"/>
            <w:vAlign w:val="center"/>
          </w:tcPr>
          <w:p w14:paraId="767C4B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车载系统智能终端硬件适配改造</w:t>
            </w:r>
          </w:p>
        </w:tc>
        <w:tc>
          <w:tcPr>
            <w:tcW w:w="2535" w:type="dxa"/>
            <w:tcBorders>
              <w:top w:val="nil"/>
              <w:left w:val="nil"/>
              <w:bottom w:val="single" w:color="000000" w:sz="8" w:space="0"/>
              <w:right w:val="single" w:color="000000" w:sz="8" w:space="0"/>
            </w:tcBorders>
            <w:shd w:val="clear" w:color="auto" w:fill="auto"/>
            <w:vAlign w:val="center"/>
          </w:tcPr>
          <w:p w14:paraId="650EFA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嵌入式主板及芯片更换</w:t>
            </w:r>
          </w:p>
        </w:tc>
        <w:tc>
          <w:tcPr>
            <w:tcW w:w="4234" w:type="dxa"/>
            <w:tcBorders>
              <w:top w:val="single" w:color="000000" w:sz="8" w:space="0"/>
              <w:left w:val="nil"/>
              <w:bottom w:val="single" w:color="000000" w:sz="8" w:space="0"/>
              <w:right w:val="single" w:color="000000" w:sz="8" w:space="0"/>
            </w:tcBorders>
            <w:shd w:val="clear" w:color="auto" w:fill="auto"/>
            <w:vAlign w:val="center"/>
          </w:tcPr>
          <w:p w14:paraId="1723A636">
            <w:pPr>
              <w:keepNext w:val="0"/>
              <w:keepLines w:val="0"/>
              <w:widowControl/>
              <w:suppressLineNumbers w:val="0"/>
              <w:spacing w:before="0" w:beforeAutospacing="0" w:after="0" w:afterAutospacing="0"/>
              <w:ind w:left="0" w:right="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对100块称重采集终端的嵌入式主板电路板进行更换，</w:t>
            </w:r>
            <w:r>
              <w:rPr>
                <w:rFonts w:hint="eastAsia" w:ascii="宋体" w:hAnsi="宋体" w:cs="宋体"/>
                <w:i w:val="0"/>
                <w:iCs w:val="0"/>
                <w:color w:val="000000"/>
                <w:kern w:val="0"/>
                <w:sz w:val="20"/>
                <w:szCs w:val="20"/>
                <w:u w:val="none"/>
                <w:lang w:val="en-US" w:eastAsia="zh-CN" w:bidi="ar"/>
              </w:rPr>
              <w:t>确保供应链安全，</w:t>
            </w:r>
            <w:r>
              <w:rPr>
                <w:rFonts w:hint="eastAsia" w:ascii="宋体" w:hAnsi="宋体" w:eastAsia="宋体" w:cs="宋体"/>
                <w:i w:val="0"/>
                <w:iCs w:val="0"/>
                <w:color w:val="000000"/>
                <w:kern w:val="0"/>
                <w:sz w:val="20"/>
                <w:szCs w:val="20"/>
                <w:u w:val="none"/>
                <w:lang w:val="en-US" w:eastAsia="zh-CN" w:bidi="ar"/>
              </w:rPr>
              <w:t>需将现有电路中关键芯片替换为国产芯片</w:t>
            </w:r>
            <w:r>
              <w:rPr>
                <w:rFonts w:hint="eastAsia" w:ascii="宋体" w:hAnsi="宋体" w:cs="宋体"/>
                <w:i w:val="0"/>
                <w:iCs w:val="0"/>
                <w:color w:val="000000"/>
                <w:kern w:val="0"/>
                <w:sz w:val="20"/>
                <w:szCs w:val="20"/>
                <w:u w:val="none"/>
                <w:lang w:val="en-US" w:eastAsia="zh-CN" w:bidi="ar"/>
              </w:rPr>
              <w:t>。主板技术参数如下：</w:t>
            </w:r>
          </w:p>
          <w:p w14:paraId="0C61A464">
            <w:pPr>
              <w:keepNext w:val="0"/>
              <w:keepLines w:val="0"/>
              <w:widowControl/>
              <w:suppressLineNumbers w:val="0"/>
              <w:adjustRightInd w:val="0"/>
              <w:spacing w:before="0" w:beforeAutospacing="0" w:after="0" w:afterAutospacing="0"/>
              <w:ind w:left="0" w:right="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lang w:val="en-US" w:eastAsia="zh-CN" w:bidi="ar"/>
              </w:rPr>
              <w:t>MCU内核：Cortex-M3 8核及以上内核；</w:t>
            </w:r>
          </w:p>
          <w:p w14:paraId="4A1DF5A6">
            <w:pPr>
              <w:keepNext w:val="0"/>
              <w:keepLines w:val="0"/>
              <w:widowControl/>
              <w:suppressLineNumbers w:val="0"/>
              <w:adjustRightInd w:val="0"/>
              <w:spacing w:before="0" w:beforeAutospacing="0" w:after="0" w:afterAutospacing="0"/>
              <w:ind w:left="0" w:right="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lang w:val="en-US" w:eastAsia="zh-CN" w:bidi="ar"/>
              </w:rPr>
              <w:t>ADC采样精度：≥16位AD采样；</w:t>
            </w:r>
          </w:p>
          <w:p w14:paraId="52F84481">
            <w:pPr>
              <w:keepNext w:val="0"/>
              <w:keepLines w:val="0"/>
              <w:widowControl/>
              <w:suppressLineNumbers w:val="0"/>
              <w:adjustRightInd w:val="0"/>
              <w:spacing w:before="0" w:beforeAutospacing="0" w:after="0" w:afterAutospacing="0"/>
              <w:ind w:left="0" w:right="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lang w:val="en-US" w:eastAsia="zh-CN" w:bidi="ar"/>
              </w:rPr>
              <w:t>适应温度： -10℃-40℃；</w:t>
            </w:r>
          </w:p>
          <w:p w14:paraId="34213814">
            <w:pPr>
              <w:keepNext w:val="0"/>
              <w:keepLines w:val="0"/>
              <w:widowControl/>
              <w:suppressLineNumbers w:val="0"/>
              <w:adjustRightInd w:val="0"/>
              <w:spacing w:before="0" w:beforeAutospacing="0" w:after="0" w:afterAutospacing="0"/>
              <w:ind w:left="0" w:right="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lang w:val="en-US" w:eastAsia="zh-CN" w:bidi="ar"/>
              </w:rPr>
              <w:t>输入灵敏度： ≥1.5uV/e；</w:t>
            </w:r>
          </w:p>
          <w:p w14:paraId="1DD123B6">
            <w:pPr>
              <w:keepNext w:val="0"/>
              <w:keepLines w:val="0"/>
              <w:widowControl/>
              <w:suppressLineNumbers w:val="0"/>
              <w:adjustRightInd w:val="0"/>
              <w:spacing w:before="0" w:beforeAutospacing="0" w:after="0" w:afterAutospacing="0"/>
              <w:ind w:left="0" w:right="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lang w:val="en-US" w:eastAsia="zh-CN" w:bidi="ar"/>
              </w:rPr>
              <w:t>信号输入范围： -16mV～18mV；</w:t>
            </w:r>
          </w:p>
          <w:p w14:paraId="7CA60593">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lang w:val="en-US" w:eastAsia="zh-CN" w:bidi="ar"/>
              </w:rPr>
              <w:t>驱动350Ω传感器数量≥</w:t>
            </w:r>
            <w:r>
              <w:rPr>
                <w:rFonts w:hint="default" w:ascii="宋体" w:hAnsi="宋体" w:eastAsia="宋体" w:cs="宋体"/>
                <w:i w:val="0"/>
                <w:color w:val="000000"/>
                <w:kern w:val="0"/>
                <w:sz w:val="20"/>
                <w:szCs w:val="20"/>
                <w:lang w:eastAsia="zh-CN" w:bidi="ar"/>
              </w:rPr>
              <w:t>2</w:t>
            </w:r>
            <w:r>
              <w:rPr>
                <w:rFonts w:hint="eastAsia" w:ascii="宋体" w:hAnsi="宋体" w:eastAsia="宋体" w:cs="宋体"/>
                <w:i w:val="0"/>
                <w:color w:val="000000"/>
                <w:kern w:val="0"/>
                <w:sz w:val="20"/>
                <w:szCs w:val="20"/>
                <w:lang w:val="en-US" w:eastAsia="zh-CN" w:bidi="ar"/>
              </w:rPr>
              <w:t>只；</w:t>
            </w:r>
          </w:p>
        </w:tc>
      </w:tr>
      <w:tr w14:paraId="32C0A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32271F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97" w:type="dxa"/>
            <w:vMerge w:val="continue"/>
            <w:tcBorders>
              <w:top w:val="nil"/>
              <w:left w:val="nil"/>
              <w:bottom w:val="single" w:color="000000" w:sz="8" w:space="0"/>
              <w:right w:val="single" w:color="000000" w:sz="8" w:space="0"/>
            </w:tcBorders>
            <w:shd w:val="clear" w:color="auto" w:fill="auto"/>
            <w:vAlign w:val="center"/>
          </w:tcPr>
          <w:p w14:paraId="2CB0211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2D0700D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700B2F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国产定位系统替换</w:t>
            </w:r>
          </w:p>
        </w:tc>
        <w:tc>
          <w:tcPr>
            <w:tcW w:w="4234" w:type="dxa"/>
            <w:tcBorders>
              <w:top w:val="nil"/>
              <w:left w:val="nil"/>
              <w:bottom w:val="single" w:color="000000" w:sz="8" w:space="0"/>
              <w:right w:val="single" w:color="000000" w:sz="8" w:space="0"/>
            </w:tcBorders>
            <w:shd w:val="clear" w:color="auto" w:fill="auto"/>
            <w:vAlign w:val="center"/>
          </w:tcPr>
          <w:p w14:paraId="317441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将</w:t>
            </w:r>
            <w:r>
              <w:rPr>
                <w:rFonts w:hint="eastAsia" w:ascii="宋体" w:hAnsi="宋体" w:cs="宋体"/>
                <w:i w:val="0"/>
                <w:iCs w:val="0"/>
                <w:color w:val="000000"/>
                <w:kern w:val="0"/>
                <w:sz w:val="20"/>
                <w:szCs w:val="20"/>
                <w:u w:val="none"/>
                <w:lang w:val="en-US" w:eastAsia="zh-CN" w:bidi="ar"/>
              </w:rPr>
              <w:t>100辆车的</w:t>
            </w:r>
            <w:r>
              <w:rPr>
                <w:rFonts w:hint="eastAsia" w:ascii="宋体" w:hAnsi="宋体" w:eastAsia="宋体" w:cs="宋体"/>
                <w:i w:val="0"/>
                <w:iCs w:val="0"/>
                <w:color w:val="000000"/>
                <w:kern w:val="0"/>
                <w:sz w:val="20"/>
                <w:szCs w:val="20"/>
                <w:u w:val="none"/>
                <w:lang w:val="en-US" w:eastAsia="zh-CN" w:bidi="ar"/>
              </w:rPr>
              <w:t>车载设备的GPS和BD双定位系统转换为单北斗（BD）定位系统，以此保障定位功能的稳定性与精准度，</w:t>
            </w:r>
            <w:r>
              <w:rPr>
                <w:rFonts w:hint="eastAsia" w:ascii="宋体" w:hAnsi="宋体" w:cs="宋体"/>
                <w:i w:val="0"/>
                <w:iCs w:val="0"/>
                <w:color w:val="000000"/>
                <w:kern w:val="0"/>
                <w:sz w:val="20"/>
                <w:szCs w:val="20"/>
                <w:u w:val="none"/>
                <w:lang w:val="en-US" w:eastAsia="zh-CN" w:bidi="ar"/>
              </w:rPr>
              <w:t>满足信创改造要求，</w:t>
            </w:r>
            <w:r>
              <w:rPr>
                <w:rFonts w:hint="eastAsia" w:ascii="宋体" w:hAnsi="宋体" w:eastAsia="宋体" w:cs="宋体"/>
                <w:i w:val="0"/>
                <w:iCs w:val="0"/>
                <w:color w:val="000000"/>
                <w:kern w:val="0"/>
                <w:sz w:val="20"/>
                <w:szCs w:val="20"/>
                <w:u w:val="none"/>
                <w:lang w:val="en-US" w:eastAsia="zh-CN" w:bidi="ar"/>
              </w:rPr>
              <w:t>充分契合清运作业路线的精细规划以及车辆实时监控的实际需求，提升清运车辆和点位坐标采集的稳定性和精度。北斗定位模块参数如下：</w:t>
            </w:r>
          </w:p>
          <w:p w14:paraId="05154405">
            <w:pPr>
              <w:keepNext w:val="0"/>
              <w:keepLines w:val="0"/>
              <w:widowControl/>
              <w:suppressLineNumbers w:val="0"/>
              <w:adjustRightInd w:val="0"/>
              <w:spacing w:before="0" w:beforeAutospacing="0" w:after="0" w:afterAutospacing="0"/>
              <w:ind w:left="0" w:right="0"/>
              <w:jc w:val="left"/>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2"/>
                <w:sz w:val="20"/>
                <w:szCs w:val="20"/>
                <w:lang w:val="en-US" w:eastAsia="zh-CN" w:bidi="ar"/>
              </w:rPr>
              <w:t>信号接收：单频/双频模式；</w:t>
            </w:r>
          </w:p>
          <w:p w14:paraId="03564667">
            <w:pPr>
              <w:keepNext w:val="0"/>
              <w:keepLines w:val="0"/>
              <w:widowControl/>
              <w:suppressLineNumbers w:val="0"/>
              <w:adjustRightInd w:val="0"/>
              <w:spacing w:before="0" w:beforeAutospacing="0" w:after="0" w:afterAutospacing="0"/>
              <w:ind w:left="0" w:right="0"/>
              <w:jc w:val="left"/>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2"/>
                <w:sz w:val="20"/>
                <w:szCs w:val="20"/>
                <w:lang w:val="en-US" w:eastAsia="zh-CN" w:bidi="ar"/>
              </w:rPr>
              <w:t>工作温度：-40℃ — 80℃；</w:t>
            </w:r>
          </w:p>
          <w:p w14:paraId="76E3FC83">
            <w:pPr>
              <w:keepNext w:val="0"/>
              <w:keepLines w:val="0"/>
              <w:widowControl/>
              <w:suppressLineNumbers w:val="0"/>
              <w:adjustRightInd w:val="0"/>
              <w:spacing w:before="0" w:beforeAutospacing="0" w:after="0" w:afterAutospacing="0"/>
              <w:ind w:left="0" w:right="0"/>
              <w:jc w:val="left"/>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2"/>
                <w:sz w:val="20"/>
                <w:szCs w:val="20"/>
                <w:lang w:val="en-US" w:eastAsia="zh-CN" w:bidi="ar"/>
              </w:rPr>
              <w:t>定位精度：≤2.5米；</w:t>
            </w:r>
          </w:p>
          <w:p w14:paraId="1090529C">
            <w:pPr>
              <w:keepNext w:val="0"/>
              <w:keepLines w:val="0"/>
              <w:widowControl/>
              <w:suppressLineNumbers w:val="0"/>
              <w:adjustRightInd w:val="0"/>
              <w:spacing w:before="0" w:beforeAutospacing="0" w:after="0" w:afterAutospacing="0"/>
              <w:ind w:left="0" w:right="0"/>
              <w:jc w:val="left"/>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2"/>
                <w:sz w:val="20"/>
                <w:szCs w:val="20"/>
                <w:lang w:val="en-US" w:eastAsia="zh-CN" w:bidi="ar"/>
              </w:rPr>
              <w:t>功耗：≤0.3W；</w:t>
            </w:r>
          </w:p>
          <w:p w14:paraId="1AE06A5F">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2"/>
                <w:sz w:val="20"/>
                <w:szCs w:val="20"/>
                <w:lang w:val="en-US" w:eastAsia="zh-CN" w:bidi="ar"/>
              </w:rPr>
              <w:t>内置天线检测及天线短路保护功能。</w:t>
            </w:r>
          </w:p>
        </w:tc>
      </w:tr>
      <w:tr w14:paraId="62D51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7B29B3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97" w:type="dxa"/>
            <w:vMerge w:val="continue"/>
            <w:tcBorders>
              <w:top w:val="nil"/>
              <w:left w:val="nil"/>
              <w:bottom w:val="single" w:color="000000" w:sz="8" w:space="0"/>
              <w:right w:val="single" w:color="000000" w:sz="8" w:space="0"/>
            </w:tcBorders>
            <w:shd w:val="clear" w:color="auto" w:fill="auto"/>
            <w:vAlign w:val="center"/>
          </w:tcPr>
          <w:p w14:paraId="74D6189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02E2DB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车载系统智能终端软件适配改造</w:t>
            </w:r>
          </w:p>
        </w:tc>
        <w:tc>
          <w:tcPr>
            <w:tcW w:w="2535" w:type="dxa"/>
            <w:tcBorders>
              <w:top w:val="nil"/>
              <w:left w:val="nil"/>
              <w:bottom w:val="single" w:color="000000" w:sz="8" w:space="0"/>
              <w:right w:val="single" w:color="000000" w:sz="8" w:space="0"/>
            </w:tcBorders>
            <w:shd w:val="clear" w:color="auto" w:fill="auto"/>
            <w:vAlign w:val="center"/>
          </w:tcPr>
          <w:p w14:paraId="75F76C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芯片驱动程序适配</w:t>
            </w:r>
          </w:p>
        </w:tc>
        <w:tc>
          <w:tcPr>
            <w:tcW w:w="4234" w:type="dxa"/>
            <w:tcBorders>
              <w:top w:val="nil"/>
              <w:left w:val="nil"/>
              <w:bottom w:val="single" w:color="000000" w:sz="8" w:space="0"/>
              <w:right w:val="single" w:color="000000" w:sz="8" w:space="0"/>
            </w:tcBorders>
            <w:shd w:val="clear" w:color="auto" w:fill="auto"/>
            <w:vAlign w:val="center"/>
          </w:tcPr>
          <w:p w14:paraId="5683E0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为国产数据通讯、AD采集等模块开发相应的驱动程序，确保硬件设备之间的正常通信和协同工作</w:t>
            </w:r>
          </w:p>
        </w:tc>
      </w:tr>
      <w:tr w14:paraId="6CB64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43C14A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97" w:type="dxa"/>
            <w:vMerge w:val="continue"/>
            <w:tcBorders>
              <w:top w:val="nil"/>
              <w:left w:val="nil"/>
              <w:bottom w:val="single" w:color="000000" w:sz="8" w:space="0"/>
              <w:right w:val="single" w:color="000000" w:sz="8" w:space="0"/>
            </w:tcBorders>
            <w:shd w:val="clear" w:color="auto" w:fill="auto"/>
            <w:vAlign w:val="center"/>
          </w:tcPr>
          <w:p w14:paraId="401673D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41D2CD7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271C12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中间件接口适配</w:t>
            </w:r>
          </w:p>
        </w:tc>
        <w:tc>
          <w:tcPr>
            <w:tcW w:w="4234" w:type="dxa"/>
            <w:tcBorders>
              <w:top w:val="nil"/>
              <w:left w:val="nil"/>
              <w:bottom w:val="single" w:color="000000" w:sz="8" w:space="0"/>
              <w:right w:val="single" w:color="000000" w:sz="8" w:space="0"/>
            </w:tcBorders>
            <w:shd w:val="clear" w:color="auto" w:fill="auto"/>
            <w:vAlign w:val="center"/>
          </w:tcPr>
          <w:p w14:paraId="483703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针对称重采集终端因 MCU 更换产生的接口变更，开展中间件接口适配</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修改软件中的通讯接口及协议，以兼容国产中间件，确保嵌入式软件能够与国产中间件进行正确的数据交互和通信。</w:t>
            </w:r>
          </w:p>
        </w:tc>
      </w:tr>
      <w:tr w14:paraId="08810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055CB5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97" w:type="dxa"/>
            <w:vMerge w:val="continue"/>
            <w:tcBorders>
              <w:top w:val="nil"/>
              <w:left w:val="nil"/>
              <w:bottom w:val="single" w:color="000000" w:sz="8" w:space="0"/>
              <w:right w:val="single" w:color="000000" w:sz="8" w:space="0"/>
            </w:tcBorders>
            <w:shd w:val="clear" w:color="auto" w:fill="auto"/>
            <w:vAlign w:val="center"/>
          </w:tcPr>
          <w:p w14:paraId="10BC3E7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2AF7EF2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591BA6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现场设备软件适配</w:t>
            </w:r>
          </w:p>
        </w:tc>
        <w:tc>
          <w:tcPr>
            <w:tcW w:w="4234" w:type="dxa"/>
            <w:tcBorders>
              <w:top w:val="nil"/>
              <w:left w:val="nil"/>
              <w:bottom w:val="single" w:color="000000" w:sz="8" w:space="0"/>
              <w:right w:val="single" w:color="000000" w:sz="8" w:space="0"/>
            </w:tcBorders>
            <w:shd w:val="clear" w:color="auto" w:fill="auto"/>
            <w:vAlign w:val="center"/>
          </w:tcPr>
          <w:p w14:paraId="21C951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由于定位芯片变更导致车载智能终端嵌入式软件变更，也需对处于使用状态的现场设备软件进行适配更新，确保设备软件与信创改造后的系统能够无缝对接。</w:t>
            </w:r>
          </w:p>
        </w:tc>
      </w:tr>
      <w:tr w14:paraId="124C8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40F6CB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97" w:type="dxa"/>
            <w:vMerge w:val="continue"/>
            <w:tcBorders>
              <w:top w:val="nil"/>
              <w:left w:val="nil"/>
              <w:bottom w:val="single" w:color="000000" w:sz="8" w:space="0"/>
              <w:right w:val="single" w:color="000000" w:sz="8" w:space="0"/>
            </w:tcBorders>
            <w:shd w:val="clear" w:color="auto" w:fill="auto"/>
            <w:vAlign w:val="center"/>
          </w:tcPr>
          <w:p w14:paraId="55F01D8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272" w:type="dxa"/>
            <w:gridSpan w:val="2"/>
            <w:tcBorders>
              <w:top w:val="nil"/>
              <w:left w:val="nil"/>
              <w:bottom w:val="single" w:color="000000" w:sz="8" w:space="0"/>
              <w:right w:val="single" w:color="000000" w:sz="8" w:space="0"/>
            </w:tcBorders>
            <w:shd w:val="clear" w:color="auto" w:fill="auto"/>
            <w:vAlign w:val="center"/>
          </w:tcPr>
          <w:p w14:paraId="7841E5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服务器迁移</w:t>
            </w:r>
          </w:p>
        </w:tc>
        <w:tc>
          <w:tcPr>
            <w:tcW w:w="4234" w:type="dxa"/>
            <w:tcBorders>
              <w:top w:val="nil"/>
              <w:left w:val="nil"/>
              <w:bottom w:val="single" w:color="000000" w:sz="8" w:space="0"/>
              <w:right w:val="single" w:color="000000" w:sz="8" w:space="0"/>
            </w:tcBorders>
            <w:shd w:val="clear" w:color="auto" w:fill="auto"/>
            <w:vAlign w:val="center"/>
          </w:tcPr>
          <w:p w14:paraId="3250B3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把现有的平台服务器迁移到上城区统一信创云服务器上，确保服务器迁移过程中数据安全、完整。</w:t>
            </w:r>
          </w:p>
        </w:tc>
      </w:tr>
      <w:tr w14:paraId="6179A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2F9BCD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97" w:type="dxa"/>
            <w:vMerge w:val="continue"/>
            <w:tcBorders>
              <w:top w:val="nil"/>
              <w:left w:val="nil"/>
              <w:bottom w:val="single" w:color="000000" w:sz="8" w:space="0"/>
              <w:right w:val="single" w:color="000000" w:sz="8" w:space="0"/>
            </w:tcBorders>
            <w:shd w:val="clear" w:color="auto" w:fill="auto"/>
            <w:vAlign w:val="center"/>
          </w:tcPr>
          <w:p w14:paraId="521CB33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695D1D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平台软件系统适配改造</w:t>
            </w:r>
          </w:p>
        </w:tc>
        <w:tc>
          <w:tcPr>
            <w:tcW w:w="2535" w:type="dxa"/>
            <w:tcBorders>
              <w:top w:val="nil"/>
              <w:left w:val="nil"/>
              <w:bottom w:val="single" w:color="000000" w:sz="8" w:space="0"/>
              <w:right w:val="single" w:color="000000" w:sz="8" w:space="0"/>
            </w:tcBorders>
            <w:shd w:val="clear" w:color="auto" w:fill="auto"/>
            <w:vAlign w:val="center"/>
          </w:tcPr>
          <w:p w14:paraId="321CD5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系统前端</w:t>
            </w:r>
          </w:p>
        </w:tc>
        <w:tc>
          <w:tcPr>
            <w:tcW w:w="4234" w:type="dxa"/>
            <w:tcBorders>
              <w:top w:val="single" w:color="000000" w:sz="8" w:space="0"/>
              <w:left w:val="nil"/>
              <w:bottom w:val="single" w:color="000000" w:sz="8" w:space="0"/>
              <w:right w:val="single" w:color="000000" w:sz="8" w:space="0"/>
            </w:tcBorders>
            <w:shd w:val="clear" w:color="auto" w:fill="auto"/>
            <w:vAlign w:val="center"/>
          </w:tcPr>
          <w:p w14:paraId="75EA0C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对系统前端页面的响应式设计和 UI/UX 进行调整，以符合国产操作系统和软件的使用习惯及视觉风格，并确保页面在不同分辨率下的良好显示效果。</w:t>
            </w:r>
          </w:p>
        </w:tc>
      </w:tr>
      <w:tr w14:paraId="051BD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0C65A8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97" w:type="dxa"/>
            <w:vMerge w:val="continue"/>
            <w:tcBorders>
              <w:top w:val="nil"/>
              <w:left w:val="nil"/>
              <w:bottom w:val="single" w:color="000000" w:sz="8" w:space="0"/>
              <w:right w:val="single" w:color="000000" w:sz="8" w:space="0"/>
            </w:tcBorders>
            <w:shd w:val="clear" w:color="auto" w:fill="auto"/>
            <w:vAlign w:val="center"/>
          </w:tcPr>
          <w:p w14:paraId="653D299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1C3860D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7FBB61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后端程序代码适配</w:t>
            </w:r>
          </w:p>
        </w:tc>
        <w:tc>
          <w:tcPr>
            <w:tcW w:w="4234" w:type="dxa"/>
            <w:tcBorders>
              <w:top w:val="nil"/>
              <w:left w:val="nil"/>
              <w:bottom w:val="single" w:color="000000" w:sz="8" w:space="0"/>
              <w:right w:val="single" w:color="000000" w:sz="8" w:space="0"/>
            </w:tcBorders>
            <w:shd w:val="clear" w:color="auto" w:fill="auto"/>
            <w:vAlign w:val="center"/>
          </w:tcPr>
          <w:p w14:paraId="5C8A3B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根据信创改造环境对不兼容的编程语言和后端框架进行兼容性适配。</w:t>
            </w:r>
          </w:p>
        </w:tc>
      </w:tr>
      <w:tr w14:paraId="4581D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184C54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97" w:type="dxa"/>
            <w:vMerge w:val="continue"/>
            <w:tcBorders>
              <w:top w:val="nil"/>
              <w:left w:val="nil"/>
              <w:bottom w:val="single" w:color="000000" w:sz="8" w:space="0"/>
              <w:right w:val="single" w:color="000000" w:sz="8" w:space="0"/>
            </w:tcBorders>
            <w:shd w:val="clear" w:color="auto" w:fill="auto"/>
            <w:vAlign w:val="center"/>
          </w:tcPr>
          <w:p w14:paraId="56DCEF8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2B804AC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1EF4EB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数据迁移</w:t>
            </w:r>
          </w:p>
        </w:tc>
        <w:tc>
          <w:tcPr>
            <w:tcW w:w="4234" w:type="dxa"/>
            <w:tcBorders>
              <w:top w:val="nil"/>
              <w:left w:val="nil"/>
              <w:bottom w:val="single" w:color="000000" w:sz="8" w:space="0"/>
              <w:right w:val="single" w:color="000000" w:sz="8" w:space="0"/>
            </w:tcBorders>
            <w:shd w:val="clear" w:color="auto" w:fill="auto"/>
            <w:vAlign w:val="center"/>
          </w:tcPr>
          <w:p w14:paraId="2C940C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对现有数据结构和质量进行分析，开展数据清洗和预处理工作，清理无效或错误数据。</w:t>
            </w:r>
          </w:p>
        </w:tc>
      </w:tr>
      <w:tr w14:paraId="1C5C9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0344D7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97" w:type="dxa"/>
            <w:vMerge w:val="continue"/>
            <w:tcBorders>
              <w:top w:val="nil"/>
              <w:left w:val="nil"/>
              <w:bottom w:val="single" w:color="000000" w:sz="8" w:space="0"/>
              <w:right w:val="single" w:color="000000" w:sz="8" w:space="0"/>
            </w:tcBorders>
            <w:shd w:val="clear" w:color="auto" w:fill="auto"/>
            <w:vAlign w:val="center"/>
          </w:tcPr>
          <w:p w14:paraId="07F20AF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295E609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1D7355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中间件改造</w:t>
            </w:r>
          </w:p>
        </w:tc>
        <w:tc>
          <w:tcPr>
            <w:tcW w:w="4234" w:type="dxa"/>
            <w:tcBorders>
              <w:top w:val="nil"/>
              <w:left w:val="nil"/>
              <w:bottom w:val="single" w:color="000000" w:sz="8" w:space="0"/>
              <w:right w:val="single" w:color="000000" w:sz="8" w:space="0"/>
            </w:tcBorders>
            <w:shd w:val="clear" w:color="auto" w:fill="auto"/>
            <w:vAlign w:val="center"/>
          </w:tcPr>
          <w:p w14:paraId="05CCAA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针对国产中间件与传统中间件的架构差异，重新设计中间件架构，以适应新的分布式环境，提高系统的性能和稳定性。</w:t>
            </w:r>
          </w:p>
        </w:tc>
      </w:tr>
      <w:tr w14:paraId="6BF07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61AE08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97" w:type="dxa"/>
            <w:vMerge w:val="continue"/>
            <w:tcBorders>
              <w:top w:val="nil"/>
              <w:left w:val="nil"/>
              <w:bottom w:val="single" w:color="000000" w:sz="8" w:space="0"/>
              <w:right w:val="single" w:color="000000" w:sz="8" w:space="0"/>
            </w:tcBorders>
            <w:shd w:val="clear" w:color="auto" w:fill="auto"/>
            <w:vAlign w:val="center"/>
          </w:tcPr>
          <w:p w14:paraId="69CBABB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4096A6B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7DB5D8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数据库重构</w:t>
            </w:r>
          </w:p>
        </w:tc>
        <w:tc>
          <w:tcPr>
            <w:tcW w:w="4234" w:type="dxa"/>
            <w:tcBorders>
              <w:top w:val="nil"/>
              <w:left w:val="nil"/>
              <w:bottom w:val="single" w:color="000000" w:sz="8" w:space="0"/>
              <w:right w:val="single" w:color="000000" w:sz="8" w:space="0"/>
            </w:tcBorders>
            <w:shd w:val="clear" w:color="auto" w:fill="auto"/>
            <w:vAlign w:val="center"/>
          </w:tcPr>
          <w:p w14:paraId="13B0F9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将现有数据模型转换为</w:t>
            </w:r>
            <w:r>
              <w:rPr>
                <w:rFonts w:hint="eastAsia" w:ascii="宋体" w:hAnsi="宋体" w:cs="宋体"/>
                <w:i w:val="0"/>
                <w:iCs w:val="0"/>
                <w:color w:val="000000"/>
                <w:kern w:val="0"/>
                <w:sz w:val="20"/>
                <w:szCs w:val="20"/>
                <w:u w:val="none"/>
                <w:lang w:val="en-US" w:eastAsia="zh-CN" w:bidi="ar"/>
              </w:rPr>
              <w:t>国产</w:t>
            </w:r>
            <w:r>
              <w:rPr>
                <w:rFonts w:hint="eastAsia" w:ascii="宋体" w:hAnsi="宋体" w:eastAsia="宋体" w:cs="宋体"/>
                <w:i w:val="0"/>
                <w:iCs w:val="0"/>
                <w:color w:val="000000"/>
                <w:kern w:val="0"/>
                <w:sz w:val="20"/>
                <w:szCs w:val="20"/>
                <w:u w:val="none"/>
                <w:lang w:val="en-US" w:eastAsia="zh-CN" w:bidi="ar"/>
              </w:rPr>
              <w:t>数据库支持的格式，解决因数据库差异带来的SQL语句兼容性问题。</w:t>
            </w:r>
          </w:p>
        </w:tc>
      </w:tr>
      <w:tr w14:paraId="70ACB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2A5548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97" w:type="dxa"/>
            <w:vMerge w:val="continue"/>
            <w:tcBorders>
              <w:top w:val="nil"/>
              <w:left w:val="nil"/>
              <w:bottom w:val="single" w:color="000000" w:sz="8" w:space="0"/>
              <w:right w:val="single" w:color="000000" w:sz="8" w:space="0"/>
            </w:tcBorders>
            <w:shd w:val="clear" w:color="auto" w:fill="auto"/>
            <w:vAlign w:val="center"/>
          </w:tcPr>
          <w:p w14:paraId="5081665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023CB3E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274CF5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API 改造</w:t>
            </w:r>
          </w:p>
        </w:tc>
        <w:tc>
          <w:tcPr>
            <w:tcW w:w="4234" w:type="dxa"/>
            <w:tcBorders>
              <w:top w:val="nil"/>
              <w:left w:val="nil"/>
              <w:bottom w:val="single" w:color="000000" w:sz="8" w:space="0"/>
              <w:right w:val="single" w:color="000000" w:sz="8" w:space="0"/>
            </w:tcBorders>
            <w:shd w:val="clear" w:color="auto" w:fill="auto"/>
            <w:vAlign w:val="center"/>
          </w:tcPr>
          <w:p w14:paraId="4C5072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API需规范统一，确保所有API接口遵循统一的标准和文档化</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同时增强API的安全特性</w:t>
            </w:r>
            <w:r>
              <w:rPr>
                <w:rFonts w:hint="eastAsia" w:ascii="宋体" w:hAnsi="宋体" w:cs="宋体"/>
                <w:i w:val="0"/>
                <w:iCs w:val="0"/>
                <w:color w:val="000000"/>
                <w:kern w:val="0"/>
                <w:sz w:val="20"/>
                <w:szCs w:val="20"/>
                <w:u w:val="none"/>
                <w:lang w:val="en-US" w:eastAsia="zh-CN" w:bidi="ar"/>
              </w:rPr>
              <w:t>，满足信创环境要求</w:t>
            </w:r>
            <w:r>
              <w:rPr>
                <w:rFonts w:hint="eastAsia" w:ascii="宋体" w:hAnsi="宋体" w:eastAsia="宋体" w:cs="宋体"/>
                <w:i w:val="0"/>
                <w:iCs w:val="0"/>
                <w:color w:val="000000"/>
                <w:kern w:val="0"/>
                <w:sz w:val="20"/>
                <w:szCs w:val="20"/>
                <w:u w:val="none"/>
                <w:lang w:val="en-US" w:eastAsia="zh-CN" w:bidi="ar"/>
              </w:rPr>
              <w:t>。</w:t>
            </w:r>
          </w:p>
        </w:tc>
      </w:tr>
      <w:tr w14:paraId="6D3E3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48F72D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97" w:type="dxa"/>
            <w:vMerge w:val="restart"/>
            <w:tcBorders>
              <w:top w:val="nil"/>
              <w:left w:val="nil"/>
              <w:bottom w:val="single" w:color="000000" w:sz="8" w:space="0"/>
              <w:right w:val="single" w:color="000000" w:sz="8" w:space="0"/>
            </w:tcBorders>
            <w:shd w:val="clear" w:color="auto" w:fill="auto"/>
            <w:vAlign w:val="center"/>
          </w:tcPr>
          <w:p w14:paraId="17EA9E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城管e考通系统</w:t>
            </w:r>
          </w:p>
        </w:tc>
        <w:tc>
          <w:tcPr>
            <w:tcW w:w="737" w:type="dxa"/>
            <w:vMerge w:val="restart"/>
            <w:tcBorders>
              <w:top w:val="nil"/>
              <w:left w:val="nil"/>
              <w:bottom w:val="single" w:color="000000" w:sz="8" w:space="0"/>
              <w:right w:val="single" w:color="000000" w:sz="8" w:space="0"/>
            </w:tcBorders>
            <w:shd w:val="clear" w:color="auto" w:fill="auto"/>
            <w:vAlign w:val="center"/>
          </w:tcPr>
          <w:p w14:paraId="207855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系统前端适配改造</w:t>
            </w:r>
          </w:p>
        </w:tc>
        <w:tc>
          <w:tcPr>
            <w:tcW w:w="2535" w:type="dxa"/>
            <w:tcBorders>
              <w:top w:val="nil"/>
              <w:left w:val="nil"/>
              <w:bottom w:val="single" w:color="000000" w:sz="8" w:space="0"/>
              <w:right w:val="single" w:color="000000" w:sz="8" w:space="0"/>
            </w:tcBorders>
            <w:shd w:val="clear" w:color="auto" w:fill="auto"/>
            <w:vAlign w:val="center"/>
          </w:tcPr>
          <w:p w14:paraId="6C0922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页面适配改造</w:t>
            </w:r>
          </w:p>
        </w:tc>
        <w:tc>
          <w:tcPr>
            <w:tcW w:w="4234" w:type="dxa"/>
            <w:tcBorders>
              <w:top w:val="nil"/>
              <w:left w:val="nil"/>
              <w:bottom w:val="single" w:color="000000" w:sz="8" w:space="0"/>
              <w:right w:val="single" w:color="000000" w:sz="8" w:space="0"/>
            </w:tcBorders>
            <w:shd w:val="clear" w:color="auto" w:fill="auto"/>
            <w:vAlign w:val="center"/>
          </w:tcPr>
          <w:p w14:paraId="5DD570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针对综合考评、目标考核、内部绩效、创新创优、意见整改、考核通报、数据驾驶舱、系统管理等模块</w:t>
            </w:r>
            <w:r>
              <w:rPr>
                <w:rFonts w:hint="eastAsia" w:ascii="宋体" w:hAnsi="宋体" w:eastAsia="宋体" w:cs="宋体"/>
                <w:i w:val="0"/>
                <w:iCs w:val="0"/>
                <w:color w:val="000000"/>
                <w:kern w:val="0"/>
                <w:sz w:val="20"/>
                <w:szCs w:val="20"/>
                <w:u w:val="none"/>
                <w:lang w:val="en-US" w:eastAsia="zh-CN" w:bidi="ar"/>
              </w:rPr>
              <w:t>前端页面引用原风格进行国产化适配并优化，前端语法应用的适配，每个页面兼容性排查。</w:t>
            </w:r>
          </w:p>
        </w:tc>
      </w:tr>
      <w:tr w14:paraId="2AD13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60D1A9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97" w:type="dxa"/>
            <w:vMerge w:val="continue"/>
            <w:tcBorders>
              <w:top w:val="nil"/>
              <w:left w:val="nil"/>
              <w:bottom w:val="single" w:color="000000" w:sz="8" w:space="0"/>
              <w:right w:val="single" w:color="000000" w:sz="8" w:space="0"/>
            </w:tcBorders>
            <w:shd w:val="clear" w:color="auto" w:fill="auto"/>
            <w:vAlign w:val="center"/>
          </w:tcPr>
          <w:p w14:paraId="3656149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6B58EC7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36BC08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浏览器适配改造</w:t>
            </w:r>
          </w:p>
        </w:tc>
        <w:tc>
          <w:tcPr>
            <w:tcW w:w="4234" w:type="dxa"/>
            <w:tcBorders>
              <w:top w:val="nil"/>
              <w:left w:val="nil"/>
              <w:bottom w:val="single" w:color="000000" w:sz="8" w:space="0"/>
              <w:right w:val="single" w:color="000000" w:sz="8" w:space="0"/>
            </w:tcBorders>
            <w:shd w:val="clear" w:color="auto" w:fill="auto"/>
            <w:vAlign w:val="center"/>
          </w:tcPr>
          <w:p w14:paraId="7AB857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前端语法应用适配，在国产终端所使用的浏览器火狐、360、奇安信等适配。</w:t>
            </w:r>
          </w:p>
        </w:tc>
      </w:tr>
      <w:tr w14:paraId="462D7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095555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97" w:type="dxa"/>
            <w:vMerge w:val="continue"/>
            <w:tcBorders>
              <w:top w:val="nil"/>
              <w:left w:val="nil"/>
              <w:bottom w:val="single" w:color="000000" w:sz="8" w:space="0"/>
              <w:right w:val="single" w:color="000000" w:sz="8" w:space="0"/>
            </w:tcBorders>
            <w:shd w:val="clear" w:color="auto" w:fill="auto"/>
            <w:vAlign w:val="center"/>
          </w:tcPr>
          <w:p w14:paraId="13F2F5F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543A39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后端程序代码适配改造</w:t>
            </w:r>
          </w:p>
        </w:tc>
        <w:tc>
          <w:tcPr>
            <w:tcW w:w="2535" w:type="dxa"/>
            <w:tcBorders>
              <w:top w:val="nil"/>
              <w:left w:val="nil"/>
              <w:bottom w:val="single" w:color="000000" w:sz="8" w:space="0"/>
              <w:right w:val="single" w:color="000000" w:sz="8" w:space="0"/>
            </w:tcBorders>
            <w:shd w:val="clear" w:color="auto" w:fill="auto"/>
            <w:vAlign w:val="center"/>
          </w:tcPr>
          <w:p w14:paraId="188B8E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编程语言与框架适配</w:t>
            </w:r>
          </w:p>
        </w:tc>
        <w:tc>
          <w:tcPr>
            <w:tcW w:w="4234" w:type="dxa"/>
            <w:tcBorders>
              <w:top w:val="nil"/>
              <w:left w:val="nil"/>
              <w:bottom w:val="single" w:color="000000" w:sz="8" w:space="0"/>
              <w:right w:val="single" w:color="000000" w:sz="8" w:space="0"/>
            </w:tcBorders>
            <w:shd w:val="clear" w:color="auto" w:fill="auto"/>
            <w:vAlign w:val="center"/>
          </w:tcPr>
          <w:p w14:paraId="6BA83D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根据信创环境对不兼容的编程语言和后端框架进行兼容性适配。</w:t>
            </w:r>
          </w:p>
        </w:tc>
      </w:tr>
      <w:tr w14:paraId="1F8E2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589862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97" w:type="dxa"/>
            <w:vMerge w:val="continue"/>
            <w:tcBorders>
              <w:top w:val="nil"/>
              <w:left w:val="nil"/>
              <w:bottom w:val="single" w:color="000000" w:sz="8" w:space="0"/>
              <w:right w:val="single" w:color="000000" w:sz="8" w:space="0"/>
            </w:tcBorders>
            <w:shd w:val="clear" w:color="auto" w:fill="auto"/>
            <w:vAlign w:val="center"/>
          </w:tcPr>
          <w:p w14:paraId="7F9B66F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02580DC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75A8F6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数据库连接代码适配</w:t>
            </w:r>
          </w:p>
        </w:tc>
        <w:tc>
          <w:tcPr>
            <w:tcW w:w="4234" w:type="dxa"/>
            <w:tcBorders>
              <w:top w:val="nil"/>
              <w:left w:val="nil"/>
              <w:bottom w:val="single" w:color="000000" w:sz="8" w:space="0"/>
              <w:right w:val="single" w:color="000000" w:sz="8" w:space="0"/>
            </w:tcBorders>
            <w:shd w:val="clear" w:color="auto" w:fill="auto"/>
            <w:vAlign w:val="center"/>
          </w:tcPr>
          <w:p w14:paraId="263730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对数据库连接代码进行适配改造，包括修改连接字符串、调整数据库驱动等，确保后端数据与国产数据库顺利交互。</w:t>
            </w:r>
          </w:p>
        </w:tc>
      </w:tr>
      <w:tr w14:paraId="09BEA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56B244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97" w:type="dxa"/>
            <w:vMerge w:val="continue"/>
            <w:tcBorders>
              <w:top w:val="nil"/>
              <w:left w:val="nil"/>
              <w:bottom w:val="single" w:color="000000" w:sz="8" w:space="0"/>
              <w:right w:val="single" w:color="000000" w:sz="8" w:space="0"/>
            </w:tcBorders>
            <w:shd w:val="clear" w:color="auto" w:fill="auto"/>
            <w:vAlign w:val="center"/>
          </w:tcPr>
          <w:p w14:paraId="0942C7B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566936E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0F46B1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国产系统适配</w:t>
            </w:r>
          </w:p>
        </w:tc>
        <w:tc>
          <w:tcPr>
            <w:tcW w:w="4234" w:type="dxa"/>
            <w:tcBorders>
              <w:top w:val="nil"/>
              <w:left w:val="nil"/>
              <w:bottom w:val="single" w:color="000000" w:sz="8" w:space="0"/>
              <w:right w:val="single" w:color="000000" w:sz="8" w:space="0"/>
            </w:tcBorders>
            <w:shd w:val="clear" w:color="auto" w:fill="auto"/>
            <w:vAlign w:val="center"/>
          </w:tcPr>
          <w:p w14:paraId="649F6A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针对统信等国产系统在文件系统结构、权限管理方式以及安全运行机制等方面的差异，进行针对性调整，保障代码稳定运行。</w:t>
            </w:r>
          </w:p>
        </w:tc>
      </w:tr>
      <w:tr w14:paraId="332CF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37A98C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97" w:type="dxa"/>
            <w:vMerge w:val="continue"/>
            <w:tcBorders>
              <w:top w:val="nil"/>
              <w:left w:val="nil"/>
              <w:bottom w:val="single" w:color="000000" w:sz="8" w:space="0"/>
              <w:right w:val="single" w:color="000000" w:sz="8" w:space="0"/>
            </w:tcBorders>
            <w:shd w:val="clear" w:color="auto" w:fill="auto"/>
            <w:vAlign w:val="center"/>
          </w:tcPr>
          <w:p w14:paraId="4E1F02C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552E263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0DABF8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安全加固</w:t>
            </w:r>
          </w:p>
        </w:tc>
        <w:tc>
          <w:tcPr>
            <w:tcW w:w="4234" w:type="dxa"/>
            <w:tcBorders>
              <w:top w:val="nil"/>
              <w:left w:val="nil"/>
              <w:bottom w:val="single" w:color="000000" w:sz="8" w:space="0"/>
              <w:right w:val="single" w:color="000000" w:sz="8" w:space="0"/>
            </w:tcBorders>
            <w:shd w:val="clear" w:color="auto" w:fill="auto"/>
            <w:vAlign w:val="center"/>
          </w:tcPr>
          <w:p w14:paraId="72CB32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针对信创环境的高安全需求，对后端程序进行安全加固。</w:t>
            </w:r>
          </w:p>
        </w:tc>
      </w:tr>
      <w:tr w14:paraId="4BC24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6A992D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97" w:type="dxa"/>
            <w:vMerge w:val="continue"/>
            <w:tcBorders>
              <w:top w:val="nil"/>
              <w:left w:val="nil"/>
              <w:bottom w:val="single" w:color="000000" w:sz="8" w:space="0"/>
              <w:right w:val="single" w:color="000000" w:sz="8" w:space="0"/>
            </w:tcBorders>
            <w:shd w:val="clear" w:color="auto" w:fill="auto"/>
            <w:vAlign w:val="center"/>
          </w:tcPr>
          <w:p w14:paraId="4A3503F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24E720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数据迁移和保障</w:t>
            </w:r>
          </w:p>
        </w:tc>
        <w:tc>
          <w:tcPr>
            <w:tcW w:w="2535" w:type="dxa"/>
            <w:tcBorders>
              <w:top w:val="nil"/>
              <w:left w:val="nil"/>
              <w:bottom w:val="single" w:color="000000" w:sz="8" w:space="0"/>
              <w:right w:val="single" w:color="000000" w:sz="8" w:space="0"/>
            </w:tcBorders>
            <w:shd w:val="clear" w:color="auto" w:fill="auto"/>
            <w:vAlign w:val="center"/>
          </w:tcPr>
          <w:p w14:paraId="5059CA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数据评估分析</w:t>
            </w:r>
          </w:p>
        </w:tc>
        <w:tc>
          <w:tcPr>
            <w:tcW w:w="4234" w:type="dxa"/>
            <w:tcBorders>
              <w:top w:val="nil"/>
              <w:left w:val="nil"/>
              <w:bottom w:val="single" w:color="000000" w:sz="8" w:space="0"/>
              <w:right w:val="single" w:color="000000" w:sz="8" w:space="0"/>
            </w:tcBorders>
            <w:shd w:val="clear" w:color="auto" w:fill="auto"/>
            <w:vAlign w:val="center"/>
          </w:tcPr>
          <w:p w14:paraId="79B51A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对现有数据进行全面的评估和分析，包括数据的规模、结构、质量和敏感性等，以确定迁移的策略和方法。</w:t>
            </w:r>
          </w:p>
        </w:tc>
      </w:tr>
      <w:tr w14:paraId="6AEDA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0E7DFB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97" w:type="dxa"/>
            <w:vMerge w:val="continue"/>
            <w:tcBorders>
              <w:top w:val="nil"/>
              <w:left w:val="nil"/>
              <w:bottom w:val="single" w:color="000000" w:sz="8" w:space="0"/>
              <w:right w:val="single" w:color="000000" w:sz="8" w:space="0"/>
            </w:tcBorders>
            <w:shd w:val="clear" w:color="auto" w:fill="auto"/>
            <w:vAlign w:val="center"/>
          </w:tcPr>
          <w:p w14:paraId="17AA162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5119D9F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257500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数据清洗与预处理</w:t>
            </w:r>
          </w:p>
        </w:tc>
        <w:tc>
          <w:tcPr>
            <w:tcW w:w="4234" w:type="dxa"/>
            <w:tcBorders>
              <w:top w:val="nil"/>
              <w:left w:val="nil"/>
              <w:bottom w:val="single" w:color="000000" w:sz="8" w:space="0"/>
              <w:right w:val="single" w:color="000000" w:sz="8" w:space="0"/>
            </w:tcBorders>
            <w:shd w:val="clear" w:color="auto" w:fill="auto"/>
            <w:vAlign w:val="center"/>
          </w:tcPr>
          <w:p w14:paraId="3664FF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在迁移前，对数据进行清洗和预处理，以去除重复、不完整或错误的数据，确保数据的质量和一致性。</w:t>
            </w:r>
          </w:p>
        </w:tc>
      </w:tr>
      <w:tr w14:paraId="66B44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11E4A6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97" w:type="dxa"/>
            <w:vMerge w:val="continue"/>
            <w:tcBorders>
              <w:top w:val="nil"/>
              <w:left w:val="nil"/>
              <w:bottom w:val="single" w:color="000000" w:sz="8" w:space="0"/>
              <w:right w:val="single" w:color="000000" w:sz="8" w:space="0"/>
            </w:tcBorders>
            <w:shd w:val="clear" w:color="auto" w:fill="auto"/>
            <w:vAlign w:val="center"/>
          </w:tcPr>
          <w:p w14:paraId="4110337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3F0E7CB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319E33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数据备份和恢复</w:t>
            </w:r>
          </w:p>
        </w:tc>
        <w:tc>
          <w:tcPr>
            <w:tcW w:w="4234" w:type="dxa"/>
            <w:tcBorders>
              <w:top w:val="nil"/>
              <w:left w:val="nil"/>
              <w:bottom w:val="single" w:color="000000" w:sz="8" w:space="0"/>
              <w:right w:val="single" w:color="000000" w:sz="8" w:space="0"/>
            </w:tcBorders>
            <w:shd w:val="clear" w:color="auto" w:fill="auto"/>
            <w:vAlign w:val="center"/>
          </w:tcPr>
          <w:p w14:paraId="5B168F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建立完善的数据备份和恢复机制，以应对突发事件，保护数据安全。</w:t>
            </w:r>
          </w:p>
        </w:tc>
      </w:tr>
      <w:tr w14:paraId="1E2ED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535F98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97" w:type="dxa"/>
            <w:vMerge w:val="continue"/>
            <w:tcBorders>
              <w:top w:val="nil"/>
              <w:left w:val="nil"/>
              <w:bottom w:val="single" w:color="000000" w:sz="8" w:space="0"/>
              <w:right w:val="single" w:color="000000" w:sz="8" w:space="0"/>
            </w:tcBorders>
            <w:shd w:val="clear" w:color="auto" w:fill="auto"/>
            <w:vAlign w:val="center"/>
          </w:tcPr>
          <w:p w14:paraId="10F635A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6AA434D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3C5198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数据加密与隔离</w:t>
            </w:r>
          </w:p>
        </w:tc>
        <w:tc>
          <w:tcPr>
            <w:tcW w:w="4234" w:type="dxa"/>
            <w:tcBorders>
              <w:top w:val="nil"/>
              <w:left w:val="nil"/>
              <w:bottom w:val="single" w:color="000000" w:sz="8" w:space="0"/>
              <w:right w:val="single" w:color="000000" w:sz="8" w:space="0"/>
            </w:tcBorders>
            <w:shd w:val="clear" w:color="auto" w:fill="auto"/>
            <w:vAlign w:val="center"/>
          </w:tcPr>
          <w:p w14:paraId="7975F5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对敏感数据进行加密和隔离处理，以保证数据迁移的安全性和完整性</w:t>
            </w:r>
            <w:r>
              <w:rPr>
                <w:rFonts w:hint="eastAsia" w:ascii="宋体" w:hAnsi="宋体" w:cs="宋体"/>
                <w:i w:val="0"/>
                <w:iCs w:val="0"/>
                <w:color w:val="000000"/>
                <w:kern w:val="0"/>
                <w:sz w:val="20"/>
                <w:szCs w:val="20"/>
                <w:u w:val="none"/>
                <w:lang w:val="en-US" w:eastAsia="zh-CN" w:bidi="ar"/>
              </w:rPr>
              <w:t>。</w:t>
            </w:r>
          </w:p>
        </w:tc>
      </w:tr>
      <w:tr w14:paraId="6D628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28C1B3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97" w:type="dxa"/>
            <w:vMerge w:val="continue"/>
            <w:tcBorders>
              <w:top w:val="nil"/>
              <w:left w:val="nil"/>
              <w:bottom w:val="single" w:color="000000" w:sz="8" w:space="0"/>
              <w:right w:val="single" w:color="000000" w:sz="8" w:space="0"/>
            </w:tcBorders>
            <w:shd w:val="clear" w:color="auto" w:fill="auto"/>
            <w:vAlign w:val="center"/>
          </w:tcPr>
          <w:p w14:paraId="7D1D001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4552169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12FC89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数据验证和校验</w:t>
            </w:r>
          </w:p>
        </w:tc>
        <w:tc>
          <w:tcPr>
            <w:tcW w:w="4234" w:type="dxa"/>
            <w:tcBorders>
              <w:top w:val="nil"/>
              <w:left w:val="nil"/>
              <w:bottom w:val="single" w:color="000000" w:sz="8" w:space="0"/>
              <w:right w:val="single" w:color="000000" w:sz="8" w:space="0"/>
            </w:tcBorders>
            <w:shd w:val="clear" w:color="auto" w:fill="auto"/>
            <w:vAlign w:val="center"/>
          </w:tcPr>
          <w:p w14:paraId="489897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在数据迁移完成后，需要进行数据的验证和校验，以确保迁移后的数据准确无误，并与原数据保持一致。</w:t>
            </w:r>
          </w:p>
        </w:tc>
      </w:tr>
      <w:tr w14:paraId="1BC77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1D05B9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97" w:type="dxa"/>
            <w:vMerge w:val="continue"/>
            <w:tcBorders>
              <w:top w:val="nil"/>
              <w:left w:val="nil"/>
              <w:bottom w:val="single" w:color="000000" w:sz="8" w:space="0"/>
              <w:right w:val="single" w:color="000000" w:sz="8" w:space="0"/>
            </w:tcBorders>
            <w:shd w:val="clear" w:color="auto" w:fill="auto"/>
            <w:vAlign w:val="center"/>
          </w:tcPr>
          <w:p w14:paraId="42BA1E3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3CDADB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系统中件间改造</w:t>
            </w:r>
          </w:p>
        </w:tc>
        <w:tc>
          <w:tcPr>
            <w:tcW w:w="2535" w:type="dxa"/>
            <w:tcBorders>
              <w:top w:val="nil"/>
              <w:left w:val="nil"/>
              <w:bottom w:val="single" w:color="000000" w:sz="8" w:space="0"/>
              <w:right w:val="single" w:color="000000" w:sz="8" w:space="0"/>
            </w:tcBorders>
            <w:shd w:val="clear" w:color="auto" w:fill="auto"/>
            <w:vAlign w:val="center"/>
          </w:tcPr>
          <w:p w14:paraId="598BCC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架构适配</w:t>
            </w:r>
          </w:p>
        </w:tc>
        <w:tc>
          <w:tcPr>
            <w:tcW w:w="4234" w:type="dxa"/>
            <w:tcBorders>
              <w:top w:val="nil"/>
              <w:left w:val="nil"/>
              <w:bottom w:val="single" w:color="000000" w:sz="8" w:space="0"/>
              <w:right w:val="single" w:color="000000" w:sz="8" w:space="0"/>
            </w:tcBorders>
            <w:shd w:val="clear" w:color="auto" w:fill="auto"/>
            <w:vAlign w:val="center"/>
          </w:tcPr>
          <w:p w14:paraId="074DE7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针对国产中间件与传统中间件的架构差异，重新设计中间件架构，以适应新的分布式环境。</w:t>
            </w:r>
          </w:p>
        </w:tc>
      </w:tr>
      <w:tr w14:paraId="4AB92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568E9B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97" w:type="dxa"/>
            <w:vMerge w:val="continue"/>
            <w:tcBorders>
              <w:top w:val="nil"/>
              <w:left w:val="nil"/>
              <w:bottom w:val="single" w:color="000000" w:sz="8" w:space="0"/>
              <w:right w:val="single" w:color="000000" w:sz="8" w:space="0"/>
            </w:tcBorders>
            <w:shd w:val="clear" w:color="auto" w:fill="auto"/>
            <w:vAlign w:val="center"/>
          </w:tcPr>
          <w:p w14:paraId="2306D26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0D023EB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478AD7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接口适配</w:t>
            </w:r>
          </w:p>
        </w:tc>
        <w:tc>
          <w:tcPr>
            <w:tcW w:w="4234" w:type="dxa"/>
            <w:tcBorders>
              <w:top w:val="nil"/>
              <w:left w:val="nil"/>
              <w:bottom w:val="single" w:color="000000" w:sz="8" w:space="0"/>
              <w:right w:val="single" w:color="000000" w:sz="8" w:space="0"/>
            </w:tcBorders>
            <w:shd w:val="clear" w:color="auto" w:fill="auto"/>
            <w:vAlign w:val="center"/>
          </w:tcPr>
          <w:p w14:paraId="7F0D0B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对平台接口进行适配，确保与国产中间件的兼容适配。</w:t>
            </w:r>
          </w:p>
        </w:tc>
      </w:tr>
      <w:tr w14:paraId="61CB2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052424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97" w:type="dxa"/>
            <w:vMerge w:val="continue"/>
            <w:tcBorders>
              <w:top w:val="nil"/>
              <w:left w:val="nil"/>
              <w:bottom w:val="single" w:color="000000" w:sz="8" w:space="0"/>
              <w:right w:val="single" w:color="000000" w:sz="8" w:space="0"/>
            </w:tcBorders>
            <w:shd w:val="clear" w:color="auto" w:fill="auto"/>
            <w:vAlign w:val="center"/>
          </w:tcPr>
          <w:p w14:paraId="7B1460E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6C9F0D8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6F599B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性能优化</w:t>
            </w:r>
          </w:p>
        </w:tc>
        <w:tc>
          <w:tcPr>
            <w:tcW w:w="4234" w:type="dxa"/>
            <w:tcBorders>
              <w:top w:val="nil"/>
              <w:left w:val="nil"/>
              <w:bottom w:val="single" w:color="000000" w:sz="8" w:space="0"/>
              <w:right w:val="single" w:color="000000" w:sz="8" w:space="0"/>
            </w:tcBorders>
            <w:shd w:val="clear" w:color="auto" w:fill="auto"/>
            <w:vAlign w:val="center"/>
          </w:tcPr>
          <w:p w14:paraId="4669B2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在迁移到国产中间件后，对系统进行性能调优，以确保其在高并发和大数据量情况下的稳定性和高效性。</w:t>
            </w:r>
          </w:p>
        </w:tc>
      </w:tr>
      <w:tr w14:paraId="078BA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2BD358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497" w:type="dxa"/>
            <w:vMerge w:val="continue"/>
            <w:tcBorders>
              <w:top w:val="nil"/>
              <w:left w:val="nil"/>
              <w:bottom w:val="single" w:color="000000" w:sz="8" w:space="0"/>
              <w:right w:val="single" w:color="000000" w:sz="8" w:space="0"/>
            </w:tcBorders>
            <w:shd w:val="clear" w:color="auto" w:fill="auto"/>
            <w:vAlign w:val="center"/>
          </w:tcPr>
          <w:p w14:paraId="6DA462C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169A1C4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293FC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测试与验证</w:t>
            </w:r>
          </w:p>
        </w:tc>
        <w:tc>
          <w:tcPr>
            <w:tcW w:w="4234" w:type="dxa"/>
            <w:tcBorders>
              <w:top w:val="nil"/>
              <w:left w:val="nil"/>
              <w:bottom w:val="single" w:color="000000" w:sz="8" w:space="0"/>
              <w:right w:val="single" w:color="000000" w:sz="8" w:space="0"/>
            </w:tcBorders>
            <w:shd w:val="clear" w:color="auto" w:fill="auto"/>
            <w:vAlign w:val="center"/>
          </w:tcPr>
          <w:p w14:paraId="781F1C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在完成中间件的改造后，进行全面的测试与验证，以确保新系统的稳定性和性能符合预期。</w:t>
            </w:r>
          </w:p>
        </w:tc>
      </w:tr>
      <w:tr w14:paraId="19AC6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2C3F7A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97" w:type="dxa"/>
            <w:vMerge w:val="continue"/>
            <w:tcBorders>
              <w:top w:val="nil"/>
              <w:left w:val="nil"/>
              <w:bottom w:val="single" w:color="000000" w:sz="8" w:space="0"/>
              <w:right w:val="single" w:color="000000" w:sz="8" w:space="0"/>
            </w:tcBorders>
            <w:shd w:val="clear" w:color="auto" w:fill="auto"/>
            <w:vAlign w:val="center"/>
          </w:tcPr>
          <w:p w14:paraId="2F87E7E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60F448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数据库重构</w:t>
            </w:r>
          </w:p>
        </w:tc>
        <w:tc>
          <w:tcPr>
            <w:tcW w:w="2535" w:type="dxa"/>
            <w:tcBorders>
              <w:top w:val="nil"/>
              <w:left w:val="nil"/>
              <w:bottom w:val="single" w:color="000000" w:sz="8" w:space="0"/>
              <w:right w:val="single" w:color="000000" w:sz="8" w:space="0"/>
            </w:tcBorders>
            <w:shd w:val="clear" w:color="auto" w:fill="auto"/>
            <w:vAlign w:val="center"/>
          </w:tcPr>
          <w:p w14:paraId="1065C5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数据格式转换</w:t>
            </w:r>
          </w:p>
        </w:tc>
        <w:tc>
          <w:tcPr>
            <w:tcW w:w="4234" w:type="dxa"/>
            <w:tcBorders>
              <w:top w:val="nil"/>
              <w:left w:val="nil"/>
              <w:bottom w:val="single" w:color="000000" w:sz="8" w:space="0"/>
              <w:right w:val="single" w:color="000000" w:sz="8" w:space="0"/>
            </w:tcBorders>
            <w:shd w:val="clear" w:color="auto" w:fill="auto"/>
            <w:vAlign w:val="center"/>
          </w:tcPr>
          <w:p w14:paraId="0ACDAF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根据国产数据库数据格式和编码规范对原数据格式进行转换。</w:t>
            </w:r>
          </w:p>
        </w:tc>
      </w:tr>
      <w:tr w14:paraId="2A1EE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142F20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497" w:type="dxa"/>
            <w:vMerge w:val="continue"/>
            <w:tcBorders>
              <w:top w:val="nil"/>
              <w:left w:val="nil"/>
              <w:bottom w:val="single" w:color="000000" w:sz="8" w:space="0"/>
              <w:right w:val="single" w:color="000000" w:sz="8" w:space="0"/>
            </w:tcBorders>
            <w:shd w:val="clear" w:color="auto" w:fill="auto"/>
            <w:vAlign w:val="center"/>
          </w:tcPr>
          <w:p w14:paraId="741FC81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0F404E7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4B8F4A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语法和功能兼容性改造</w:t>
            </w:r>
          </w:p>
        </w:tc>
        <w:tc>
          <w:tcPr>
            <w:tcW w:w="4234" w:type="dxa"/>
            <w:tcBorders>
              <w:top w:val="nil"/>
              <w:left w:val="nil"/>
              <w:bottom w:val="single" w:color="000000" w:sz="8" w:space="0"/>
              <w:right w:val="single" w:color="000000" w:sz="8" w:space="0"/>
            </w:tcBorders>
            <w:shd w:val="clear" w:color="auto" w:fill="auto"/>
            <w:vAlign w:val="center"/>
          </w:tcPr>
          <w:p w14:paraId="3B7978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针对国产数据库语法和函数差异进行改造，确保能够正常迁移</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避免数据迁移过程中出现语法错误和功能不完整的问题。</w:t>
            </w:r>
          </w:p>
        </w:tc>
      </w:tr>
      <w:tr w14:paraId="32B27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6E3542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97" w:type="dxa"/>
            <w:vMerge w:val="continue"/>
            <w:tcBorders>
              <w:top w:val="nil"/>
              <w:left w:val="nil"/>
              <w:bottom w:val="single" w:color="000000" w:sz="8" w:space="0"/>
              <w:right w:val="single" w:color="000000" w:sz="8" w:space="0"/>
            </w:tcBorders>
            <w:shd w:val="clear" w:color="auto" w:fill="auto"/>
            <w:vAlign w:val="center"/>
          </w:tcPr>
          <w:p w14:paraId="30D97C8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0FE2796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0BBFD8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系统测试和优化</w:t>
            </w:r>
          </w:p>
        </w:tc>
        <w:tc>
          <w:tcPr>
            <w:tcW w:w="4234" w:type="dxa"/>
            <w:tcBorders>
              <w:top w:val="nil"/>
              <w:left w:val="nil"/>
              <w:bottom w:val="single" w:color="000000" w:sz="8" w:space="0"/>
              <w:right w:val="single" w:color="000000" w:sz="8" w:space="0"/>
            </w:tcBorders>
            <w:shd w:val="clear" w:color="auto" w:fill="auto"/>
            <w:vAlign w:val="center"/>
          </w:tcPr>
          <w:p w14:paraId="5A9E25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在迁移完成后，需要对新系统进行全面测试，确保其满足技术要求和性能指标，并根据测试结果进行优化和修复错误。</w:t>
            </w:r>
          </w:p>
        </w:tc>
      </w:tr>
      <w:tr w14:paraId="6509F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170E33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497" w:type="dxa"/>
            <w:vMerge w:val="restart"/>
            <w:tcBorders>
              <w:top w:val="nil"/>
              <w:left w:val="nil"/>
              <w:bottom w:val="single" w:color="000000" w:sz="8" w:space="0"/>
              <w:right w:val="single" w:color="000000" w:sz="8" w:space="0"/>
            </w:tcBorders>
            <w:shd w:val="clear" w:color="auto" w:fill="auto"/>
            <w:vAlign w:val="center"/>
          </w:tcPr>
          <w:p w14:paraId="5047E4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非接触性执法平台</w:t>
            </w:r>
          </w:p>
        </w:tc>
        <w:tc>
          <w:tcPr>
            <w:tcW w:w="737" w:type="dxa"/>
            <w:vMerge w:val="restart"/>
            <w:tcBorders>
              <w:top w:val="nil"/>
              <w:left w:val="nil"/>
              <w:bottom w:val="single" w:color="000000" w:sz="8" w:space="0"/>
              <w:right w:val="single" w:color="000000" w:sz="8" w:space="0"/>
            </w:tcBorders>
            <w:shd w:val="clear" w:color="auto" w:fill="auto"/>
            <w:vAlign w:val="center"/>
          </w:tcPr>
          <w:p w14:paraId="148CA7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系统前端适配改造</w:t>
            </w:r>
          </w:p>
        </w:tc>
        <w:tc>
          <w:tcPr>
            <w:tcW w:w="2535" w:type="dxa"/>
            <w:tcBorders>
              <w:top w:val="nil"/>
              <w:left w:val="nil"/>
              <w:bottom w:val="single" w:color="000000" w:sz="8" w:space="0"/>
              <w:right w:val="single" w:color="000000" w:sz="8" w:space="0"/>
            </w:tcBorders>
            <w:shd w:val="clear" w:color="auto" w:fill="auto"/>
            <w:vAlign w:val="center"/>
          </w:tcPr>
          <w:p w14:paraId="0DB300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页面适配改造</w:t>
            </w:r>
          </w:p>
        </w:tc>
        <w:tc>
          <w:tcPr>
            <w:tcW w:w="4234" w:type="dxa"/>
            <w:tcBorders>
              <w:top w:val="nil"/>
              <w:left w:val="nil"/>
              <w:bottom w:val="single" w:color="000000" w:sz="8" w:space="0"/>
              <w:right w:val="single" w:color="000000" w:sz="8" w:space="0"/>
            </w:tcBorders>
            <w:shd w:val="clear" w:color="auto" w:fill="auto"/>
            <w:vAlign w:val="center"/>
          </w:tcPr>
          <w:p w14:paraId="4A1DD2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针对城市管理事件处置平台、大综合一体化协调指挥平台、城市运行指挥管理平台等模块</w:t>
            </w:r>
            <w:r>
              <w:rPr>
                <w:rFonts w:hint="eastAsia" w:ascii="宋体" w:hAnsi="宋体" w:eastAsia="宋体" w:cs="宋体"/>
                <w:i w:val="0"/>
                <w:iCs w:val="0"/>
                <w:color w:val="000000"/>
                <w:kern w:val="0"/>
                <w:sz w:val="20"/>
                <w:szCs w:val="20"/>
                <w:u w:val="none"/>
                <w:lang w:val="en-US" w:eastAsia="zh-CN" w:bidi="ar"/>
              </w:rPr>
              <w:t>前端页面引用原风格进行国产化适配并优化，前端语法应用的适配，每个页面兼容性排查。</w:t>
            </w:r>
          </w:p>
        </w:tc>
      </w:tr>
      <w:tr w14:paraId="0DE75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5F7111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97" w:type="dxa"/>
            <w:vMerge w:val="continue"/>
            <w:tcBorders>
              <w:top w:val="nil"/>
              <w:left w:val="nil"/>
              <w:bottom w:val="single" w:color="000000" w:sz="8" w:space="0"/>
              <w:right w:val="single" w:color="000000" w:sz="8" w:space="0"/>
            </w:tcBorders>
            <w:shd w:val="clear" w:color="auto" w:fill="auto"/>
            <w:vAlign w:val="center"/>
          </w:tcPr>
          <w:p w14:paraId="1349633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6D57D43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1FD0A5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浏览器适配改造</w:t>
            </w:r>
          </w:p>
        </w:tc>
        <w:tc>
          <w:tcPr>
            <w:tcW w:w="4234" w:type="dxa"/>
            <w:tcBorders>
              <w:top w:val="nil"/>
              <w:left w:val="nil"/>
              <w:bottom w:val="single" w:color="000000" w:sz="8" w:space="0"/>
              <w:right w:val="single" w:color="000000" w:sz="8" w:space="0"/>
            </w:tcBorders>
            <w:shd w:val="clear" w:color="auto" w:fill="auto"/>
            <w:vAlign w:val="center"/>
          </w:tcPr>
          <w:p w14:paraId="7E2CA4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前端语法应用适配，在国产终端所使用的浏览器火狐、360、奇安信等适配。</w:t>
            </w:r>
          </w:p>
        </w:tc>
      </w:tr>
      <w:tr w14:paraId="6B263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7EC76B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97" w:type="dxa"/>
            <w:vMerge w:val="continue"/>
            <w:tcBorders>
              <w:top w:val="nil"/>
              <w:left w:val="nil"/>
              <w:bottom w:val="single" w:color="000000" w:sz="8" w:space="0"/>
              <w:right w:val="single" w:color="000000" w:sz="8" w:space="0"/>
            </w:tcBorders>
            <w:shd w:val="clear" w:color="auto" w:fill="auto"/>
            <w:vAlign w:val="center"/>
          </w:tcPr>
          <w:p w14:paraId="72AC5DA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4B196E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后端程序代码适配改造</w:t>
            </w:r>
          </w:p>
        </w:tc>
        <w:tc>
          <w:tcPr>
            <w:tcW w:w="2535" w:type="dxa"/>
            <w:tcBorders>
              <w:top w:val="nil"/>
              <w:left w:val="nil"/>
              <w:bottom w:val="single" w:color="000000" w:sz="8" w:space="0"/>
              <w:right w:val="single" w:color="000000" w:sz="8" w:space="0"/>
            </w:tcBorders>
            <w:shd w:val="clear" w:color="auto" w:fill="auto"/>
            <w:vAlign w:val="center"/>
          </w:tcPr>
          <w:p w14:paraId="281609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编程语言与框架适配</w:t>
            </w:r>
          </w:p>
        </w:tc>
        <w:tc>
          <w:tcPr>
            <w:tcW w:w="4234" w:type="dxa"/>
            <w:tcBorders>
              <w:top w:val="nil"/>
              <w:left w:val="nil"/>
              <w:bottom w:val="single" w:color="000000" w:sz="8" w:space="0"/>
              <w:right w:val="single" w:color="000000" w:sz="8" w:space="0"/>
            </w:tcBorders>
            <w:shd w:val="clear" w:color="auto" w:fill="auto"/>
            <w:vAlign w:val="center"/>
          </w:tcPr>
          <w:p w14:paraId="44C732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根据信创环境对不兼容的编程语言和后端框架进行兼容性适配。</w:t>
            </w:r>
          </w:p>
        </w:tc>
      </w:tr>
      <w:tr w14:paraId="1D9CE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0EB860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497" w:type="dxa"/>
            <w:vMerge w:val="continue"/>
            <w:tcBorders>
              <w:top w:val="nil"/>
              <w:left w:val="nil"/>
              <w:bottom w:val="single" w:color="000000" w:sz="8" w:space="0"/>
              <w:right w:val="single" w:color="000000" w:sz="8" w:space="0"/>
            </w:tcBorders>
            <w:shd w:val="clear" w:color="auto" w:fill="auto"/>
            <w:vAlign w:val="center"/>
          </w:tcPr>
          <w:p w14:paraId="0637537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0F3B7E4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3ECB77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数据库连接代码适配</w:t>
            </w:r>
          </w:p>
        </w:tc>
        <w:tc>
          <w:tcPr>
            <w:tcW w:w="4234" w:type="dxa"/>
            <w:tcBorders>
              <w:top w:val="nil"/>
              <w:left w:val="nil"/>
              <w:bottom w:val="single" w:color="000000" w:sz="8" w:space="0"/>
              <w:right w:val="single" w:color="000000" w:sz="8" w:space="0"/>
            </w:tcBorders>
            <w:shd w:val="clear" w:color="auto" w:fill="auto"/>
            <w:vAlign w:val="center"/>
          </w:tcPr>
          <w:p w14:paraId="03D0C4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对数据库连接代码进行适配改造，包括修改连接字符串、调整数据库驱动等，确保后端数据与国产数据库顺利交互。</w:t>
            </w:r>
          </w:p>
        </w:tc>
      </w:tr>
      <w:tr w14:paraId="11433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68DFC4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97" w:type="dxa"/>
            <w:vMerge w:val="continue"/>
            <w:tcBorders>
              <w:top w:val="nil"/>
              <w:left w:val="nil"/>
              <w:bottom w:val="single" w:color="000000" w:sz="8" w:space="0"/>
              <w:right w:val="single" w:color="000000" w:sz="8" w:space="0"/>
            </w:tcBorders>
            <w:shd w:val="clear" w:color="auto" w:fill="auto"/>
            <w:vAlign w:val="center"/>
          </w:tcPr>
          <w:p w14:paraId="4DCC3D8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46AFB14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32A174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国产系统适配</w:t>
            </w:r>
          </w:p>
        </w:tc>
        <w:tc>
          <w:tcPr>
            <w:tcW w:w="4234" w:type="dxa"/>
            <w:tcBorders>
              <w:top w:val="nil"/>
              <w:left w:val="nil"/>
              <w:bottom w:val="single" w:color="000000" w:sz="8" w:space="0"/>
              <w:right w:val="single" w:color="000000" w:sz="8" w:space="0"/>
            </w:tcBorders>
            <w:shd w:val="clear" w:color="auto" w:fill="auto"/>
            <w:vAlign w:val="center"/>
          </w:tcPr>
          <w:p w14:paraId="650D83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针对统信等国产系统在文件系统结构、权限管理方式以及安全运行机制等方面的差异，进行针对性调整，保障代码稳定运行。</w:t>
            </w:r>
          </w:p>
        </w:tc>
      </w:tr>
      <w:tr w14:paraId="0A691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54C1A0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97" w:type="dxa"/>
            <w:vMerge w:val="continue"/>
            <w:tcBorders>
              <w:top w:val="nil"/>
              <w:left w:val="nil"/>
              <w:bottom w:val="single" w:color="000000" w:sz="8" w:space="0"/>
              <w:right w:val="single" w:color="000000" w:sz="8" w:space="0"/>
            </w:tcBorders>
            <w:shd w:val="clear" w:color="auto" w:fill="auto"/>
            <w:vAlign w:val="center"/>
          </w:tcPr>
          <w:p w14:paraId="0891774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7F1731A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2FCA4C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安全加固</w:t>
            </w:r>
          </w:p>
        </w:tc>
        <w:tc>
          <w:tcPr>
            <w:tcW w:w="4234" w:type="dxa"/>
            <w:tcBorders>
              <w:top w:val="nil"/>
              <w:left w:val="nil"/>
              <w:bottom w:val="single" w:color="000000" w:sz="8" w:space="0"/>
              <w:right w:val="single" w:color="000000" w:sz="8" w:space="0"/>
            </w:tcBorders>
            <w:shd w:val="clear" w:color="auto" w:fill="auto"/>
            <w:vAlign w:val="center"/>
          </w:tcPr>
          <w:p w14:paraId="160291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针对信创环境的高安全需求，对后端程序进行安全加固。</w:t>
            </w:r>
          </w:p>
        </w:tc>
      </w:tr>
      <w:tr w14:paraId="183FF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72794D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497" w:type="dxa"/>
            <w:vMerge w:val="continue"/>
            <w:tcBorders>
              <w:top w:val="nil"/>
              <w:left w:val="nil"/>
              <w:bottom w:val="single" w:color="000000" w:sz="8" w:space="0"/>
              <w:right w:val="single" w:color="000000" w:sz="8" w:space="0"/>
            </w:tcBorders>
            <w:shd w:val="clear" w:color="auto" w:fill="auto"/>
            <w:vAlign w:val="center"/>
          </w:tcPr>
          <w:p w14:paraId="5979F6D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tcBorders>
              <w:top w:val="nil"/>
              <w:left w:val="nil"/>
              <w:bottom w:val="single" w:color="000000" w:sz="8" w:space="0"/>
              <w:right w:val="single" w:color="000000" w:sz="8" w:space="0"/>
            </w:tcBorders>
            <w:shd w:val="clear" w:color="auto" w:fill="auto"/>
            <w:vAlign w:val="center"/>
          </w:tcPr>
          <w:p w14:paraId="3B27A7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系统集成和对接</w:t>
            </w:r>
          </w:p>
        </w:tc>
        <w:tc>
          <w:tcPr>
            <w:tcW w:w="2535" w:type="dxa"/>
            <w:tcBorders>
              <w:top w:val="nil"/>
              <w:left w:val="nil"/>
              <w:bottom w:val="single" w:color="000000" w:sz="8" w:space="0"/>
              <w:right w:val="single" w:color="000000" w:sz="8" w:space="0"/>
            </w:tcBorders>
            <w:shd w:val="clear" w:color="auto" w:fill="auto"/>
            <w:vAlign w:val="center"/>
          </w:tcPr>
          <w:p w14:paraId="1E3483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终端设备集成</w:t>
            </w:r>
          </w:p>
        </w:tc>
        <w:tc>
          <w:tcPr>
            <w:tcW w:w="4234" w:type="dxa"/>
            <w:tcBorders>
              <w:top w:val="nil"/>
              <w:left w:val="nil"/>
              <w:bottom w:val="single" w:color="000000" w:sz="8" w:space="0"/>
              <w:right w:val="single" w:color="000000" w:sz="8" w:space="0"/>
            </w:tcBorders>
            <w:shd w:val="clear" w:color="auto" w:fill="auto"/>
            <w:vAlign w:val="center"/>
          </w:tcPr>
          <w:p w14:paraId="22E039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将原终端设备接入系统，实现与系统的连接和数据交互。</w:t>
            </w:r>
          </w:p>
        </w:tc>
      </w:tr>
      <w:tr w14:paraId="5615A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736E6E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497" w:type="dxa"/>
            <w:vMerge w:val="continue"/>
            <w:tcBorders>
              <w:top w:val="nil"/>
              <w:left w:val="nil"/>
              <w:bottom w:val="single" w:color="000000" w:sz="8" w:space="0"/>
              <w:right w:val="single" w:color="000000" w:sz="8" w:space="0"/>
            </w:tcBorders>
            <w:shd w:val="clear" w:color="auto" w:fill="auto"/>
            <w:vAlign w:val="center"/>
          </w:tcPr>
          <w:p w14:paraId="6B55CF7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2FEF81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数据迁移和保障</w:t>
            </w:r>
          </w:p>
        </w:tc>
        <w:tc>
          <w:tcPr>
            <w:tcW w:w="2535" w:type="dxa"/>
            <w:tcBorders>
              <w:top w:val="nil"/>
              <w:left w:val="nil"/>
              <w:bottom w:val="single" w:color="000000" w:sz="8" w:space="0"/>
              <w:right w:val="single" w:color="000000" w:sz="8" w:space="0"/>
            </w:tcBorders>
            <w:shd w:val="clear" w:color="auto" w:fill="auto"/>
            <w:vAlign w:val="center"/>
          </w:tcPr>
          <w:p w14:paraId="5C8A19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数据评估分析</w:t>
            </w:r>
          </w:p>
        </w:tc>
        <w:tc>
          <w:tcPr>
            <w:tcW w:w="4234" w:type="dxa"/>
            <w:tcBorders>
              <w:top w:val="nil"/>
              <w:left w:val="nil"/>
              <w:bottom w:val="single" w:color="000000" w:sz="8" w:space="0"/>
              <w:right w:val="single" w:color="000000" w:sz="8" w:space="0"/>
            </w:tcBorders>
            <w:shd w:val="clear" w:color="auto" w:fill="auto"/>
            <w:vAlign w:val="center"/>
          </w:tcPr>
          <w:p w14:paraId="31F0C3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对现有数据进行全面的评估和分析，包括数据的规模、结构、质量和敏感性等，以确定迁移的策略和方法。</w:t>
            </w:r>
          </w:p>
        </w:tc>
      </w:tr>
      <w:tr w14:paraId="5C703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667708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497" w:type="dxa"/>
            <w:vMerge w:val="continue"/>
            <w:tcBorders>
              <w:top w:val="nil"/>
              <w:left w:val="nil"/>
              <w:bottom w:val="single" w:color="000000" w:sz="8" w:space="0"/>
              <w:right w:val="single" w:color="000000" w:sz="8" w:space="0"/>
            </w:tcBorders>
            <w:shd w:val="clear" w:color="auto" w:fill="auto"/>
            <w:vAlign w:val="center"/>
          </w:tcPr>
          <w:p w14:paraId="7D50BF1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4BEDB4A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737EAD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数据清洗与预处理</w:t>
            </w:r>
          </w:p>
        </w:tc>
        <w:tc>
          <w:tcPr>
            <w:tcW w:w="4234" w:type="dxa"/>
            <w:tcBorders>
              <w:top w:val="nil"/>
              <w:left w:val="nil"/>
              <w:bottom w:val="single" w:color="000000" w:sz="8" w:space="0"/>
              <w:right w:val="single" w:color="000000" w:sz="8" w:space="0"/>
            </w:tcBorders>
            <w:shd w:val="clear" w:color="auto" w:fill="auto"/>
            <w:vAlign w:val="center"/>
          </w:tcPr>
          <w:p w14:paraId="24B098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在迁移前，对数据进行清洗和预处理，以去除重复、不完整或错误的数据，确保数据的质量和一致性。</w:t>
            </w:r>
          </w:p>
        </w:tc>
      </w:tr>
      <w:tr w14:paraId="126CC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6B2323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97" w:type="dxa"/>
            <w:vMerge w:val="continue"/>
            <w:tcBorders>
              <w:top w:val="nil"/>
              <w:left w:val="nil"/>
              <w:bottom w:val="single" w:color="000000" w:sz="8" w:space="0"/>
              <w:right w:val="single" w:color="000000" w:sz="8" w:space="0"/>
            </w:tcBorders>
            <w:shd w:val="clear" w:color="auto" w:fill="auto"/>
            <w:vAlign w:val="center"/>
          </w:tcPr>
          <w:p w14:paraId="2590698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4E26182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303C82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数据备份和恢复</w:t>
            </w:r>
          </w:p>
        </w:tc>
        <w:tc>
          <w:tcPr>
            <w:tcW w:w="4234" w:type="dxa"/>
            <w:tcBorders>
              <w:top w:val="nil"/>
              <w:left w:val="nil"/>
              <w:bottom w:val="single" w:color="000000" w:sz="8" w:space="0"/>
              <w:right w:val="single" w:color="000000" w:sz="8" w:space="0"/>
            </w:tcBorders>
            <w:shd w:val="clear" w:color="auto" w:fill="auto"/>
            <w:vAlign w:val="center"/>
          </w:tcPr>
          <w:p w14:paraId="4BC988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建立完善的数据备份和恢复机制，以应对突发事件，保护数据安全。</w:t>
            </w:r>
          </w:p>
        </w:tc>
      </w:tr>
      <w:tr w14:paraId="7794B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35F055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497" w:type="dxa"/>
            <w:vMerge w:val="continue"/>
            <w:tcBorders>
              <w:top w:val="nil"/>
              <w:left w:val="nil"/>
              <w:bottom w:val="single" w:color="000000" w:sz="8" w:space="0"/>
              <w:right w:val="single" w:color="000000" w:sz="8" w:space="0"/>
            </w:tcBorders>
            <w:shd w:val="clear" w:color="auto" w:fill="auto"/>
            <w:vAlign w:val="center"/>
          </w:tcPr>
          <w:p w14:paraId="4FDEAC6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4E9CFE1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55A445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数据加密与隔离</w:t>
            </w:r>
          </w:p>
        </w:tc>
        <w:tc>
          <w:tcPr>
            <w:tcW w:w="4234" w:type="dxa"/>
            <w:tcBorders>
              <w:top w:val="nil"/>
              <w:left w:val="nil"/>
              <w:bottom w:val="single" w:color="000000" w:sz="8" w:space="0"/>
              <w:right w:val="single" w:color="000000" w:sz="8" w:space="0"/>
            </w:tcBorders>
            <w:shd w:val="clear" w:color="auto" w:fill="auto"/>
            <w:vAlign w:val="center"/>
          </w:tcPr>
          <w:p w14:paraId="28490F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对敏感数据进行加密和隔离处理，以保证数据迁移的安全性和完整性</w:t>
            </w:r>
            <w:r>
              <w:rPr>
                <w:rFonts w:hint="eastAsia" w:ascii="宋体" w:hAnsi="宋体" w:cs="宋体"/>
                <w:i w:val="0"/>
                <w:iCs w:val="0"/>
                <w:color w:val="000000"/>
                <w:kern w:val="0"/>
                <w:sz w:val="20"/>
                <w:szCs w:val="20"/>
                <w:u w:val="none"/>
                <w:lang w:val="en-US" w:eastAsia="zh-CN" w:bidi="ar"/>
              </w:rPr>
              <w:t>。</w:t>
            </w:r>
          </w:p>
        </w:tc>
      </w:tr>
      <w:tr w14:paraId="4DD69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2EC748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497" w:type="dxa"/>
            <w:vMerge w:val="continue"/>
            <w:tcBorders>
              <w:top w:val="nil"/>
              <w:left w:val="nil"/>
              <w:bottom w:val="single" w:color="000000" w:sz="8" w:space="0"/>
              <w:right w:val="single" w:color="000000" w:sz="8" w:space="0"/>
            </w:tcBorders>
            <w:shd w:val="clear" w:color="auto" w:fill="auto"/>
            <w:vAlign w:val="center"/>
          </w:tcPr>
          <w:p w14:paraId="4CF0612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68668E5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52CE7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数据验证和校验</w:t>
            </w:r>
          </w:p>
        </w:tc>
        <w:tc>
          <w:tcPr>
            <w:tcW w:w="4234" w:type="dxa"/>
            <w:tcBorders>
              <w:top w:val="nil"/>
              <w:left w:val="nil"/>
              <w:bottom w:val="single" w:color="000000" w:sz="8" w:space="0"/>
              <w:right w:val="single" w:color="000000" w:sz="8" w:space="0"/>
            </w:tcBorders>
            <w:shd w:val="clear" w:color="auto" w:fill="auto"/>
            <w:vAlign w:val="center"/>
          </w:tcPr>
          <w:p w14:paraId="005396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在数据迁移完成后，需要进行数据的验证和校验，以确保迁移后的数据准确无误，并与原数据保持一致。</w:t>
            </w:r>
          </w:p>
        </w:tc>
      </w:tr>
      <w:tr w14:paraId="72A21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0901DE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497" w:type="dxa"/>
            <w:vMerge w:val="continue"/>
            <w:tcBorders>
              <w:top w:val="nil"/>
              <w:left w:val="nil"/>
              <w:bottom w:val="single" w:color="000000" w:sz="8" w:space="0"/>
              <w:right w:val="single" w:color="000000" w:sz="8" w:space="0"/>
            </w:tcBorders>
            <w:shd w:val="clear" w:color="auto" w:fill="auto"/>
            <w:vAlign w:val="center"/>
          </w:tcPr>
          <w:p w14:paraId="3479BA3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41C3CB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系统中件间改造</w:t>
            </w:r>
          </w:p>
        </w:tc>
        <w:tc>
          <w:tcPr>
            <w:tcW w:w="2535" w:type="dxa"/>
            <w:tcBorders>
              <w:top w:val="nil"/>
              <w:left w:val="nil"/>
              <w:bottom w:val="single" w:color="000000" w:sz="8" w:space="0"/>
              <w:right w:val="single" w:color="000000" w:sz="8" w:space="0"/>
            </w:tcBorders>
            <w:shd w:val="clear" w:color="auto" w:fill="auto"/>
            <w:vAlign w:val="center"/>
          </w:tcPr>
          <w:p w14:paraId="19F2FF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架构适配</w:t>
            </w:r>
          </w:p>
        </w:tc>
        <w:tc>
          <w:tcPr>
            <w:tcW w:w="4234" w:type="dxa"/>
            <w:tcBorders>
              <w:top w:val="nil"/>
              <w:left w:val="nil"/>
              <w:bottom w:val="single" w:color="000000" w:sz="8" w:space="0"/>
              <w:right w:val="single" w:color="000000" w:sz="8" w:space="0"/>
            </w:tcBorders>
            <w:shd w:val="clear" w:color="auto" w:fill="auto"/>
            <w:vAlign w:val="center"/>
          </w:tcPr>
          <w:p w14:paraId="3F90AB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针对国产中间件与传统中间件的架构差异，重新设计中间件架构，以适应新的分布式环境。</w:t>
            </w:r>
          </w:p>
        </w:tc>
      </w:tr>
      <w:tr w14:paraId="7100D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1427BC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497" w:type="dxa"/>
            <w:vMerge w:val="continue"/>
            <w:tcBorders>
              <w:top w:val="nil"/>
              <w:left w:val="nil"/>
              <w:bottom w:val="single" w:color="000000" w:sz="8" w:space="0"/>
              <w:right w:val="single" w:color="000000" w:sz="8" w:space="0"/>
            </w:tcBorders>
            <w:shd w:val="clear" w:color="auto" w:fill="auto"/>
            <w:vAlign w:val="center"/>
          </w:tcPr>
          <w:p w14:paraId="64D59E6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595272E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0D924A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接口适配</w:t>
            </w:r>
          </w:p>
        </w:tc>
        <w:tc>
          <w:tcPr>
            <w:tcW w:w="4234" w:type="dxa"/>
            <w:tcBorders>
              <w:top w:val="nil"/>
              <w:left w:val="nil"/>
              <w:bottom w:val="single" w:color="000000" w:sz="8" w:space="0"/>
              <w:right w:val="single" w:color="000000" w:sz="8" w:space="0"/>
            </w:tcBorders>
            <w:shd w:val="clear" w:color="auto" w:fill="auto"/>
            <w:vAlign w:val="center"/>
          </w:tcPr>
          <w:p w14:paraId="78B555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对平台接口进行适配，确保与国产中间件的兼容适配。</w:t>
            </w:r>
          </w:p>
        </w:tc>
      </w:tr>
      <w:tr w14:paraId="23933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7EFF78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97" w:type="dxa"/>
            <w:vMerge w:val="continue"/>
            <w:tcBorders>
              <w:top w:val="nil"/>
              <w:left w:val="nil"/>
              <w:bottom w:val="single" w:color="000000" w:sz="8" w:space="0"/>
              <w:right w:val="single" w:color="000000" w:sz="8" w:space="0"/>
            </w:tcBorders>
            <w:shd w:val="clear" w:color="auto" w:fill="auto"/>
            <w:vAlign w:val="center"/>
          </w:tcPr>
          <w:p w14:paraId="20474BF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139B583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1243FA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性能优化</w:t>
            </w:r>
          </w:p>
        </w:tc>
        <w:tc>
          <w:tcPr>
            <w:tcW w:w="4234" w:type="dxa"/>
            <w:tcBorders>
              <w:top w:val="nil"/>
              <w:left w:val="nil"/>
              <w:bottom w:val="single" w:color="000000" w:sz="8" w:space="0"/>
              <w:right w:val="single" w:color="000000" w:sz="8" w:space="0"/>
            </w:tcBorders>
            <w:shd w:val="clear" w:color="auto" w:fill="auto"/>
            <w:vAlign w:val="center"/>
          </w:tcPr>
          <w:p w14:paraId="16A285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在迁移到国产中间件后，对系统进行性能调优，以确保其在高并发和大数据量情况下的稳定性和高效性。</w:t>
            </w:r>
          </w:p>
        </w:tc>
      </w:tr>
      <w:tr w14:paraId="2EFB9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5D9C32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497" w:type="dxa"/>
            <w:vMerge w:val="continue"/>
            <w:tcBorders>
              <w:top w:val="nil"/>
              <w:left w:val="nil"/>
              <w:bottom w:val="single" w:color="000000" w:sz="8" w:space="0"/>
              <w:right w:val="single" w:color="000000" w:sz="8" w:space="0"/>
            </w:tcBorders>
            <w:shd w:val="clear" w:color="auto" w:fill="auto"/>
            <w:vAlign w:val="center"/>
          </w:tcPr>
          <w:p w14:paraId="2EF0C4B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33E01F2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02A958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测试与验证</w:t>
            </w:r>
          </w:p>
        </w:tc>
        <w:tc>
          <w:tcPr>
            <w:tcW w:w="4234" w:type="dxa"/>
            <w:tcBorders>
              <w:top w:val="nil"/>
              <w:left w:val="nil"/>
              <w:bottom w:val="single" w:color="000000" w:sz="8" w:space="0"/>
              <w:right w:val="single" w:color="000000" w:sz="8" w:space="0"/>
            </w:tcBorders>
            <w:shd w:val="clear" w:color="auto" w:fill="auto"/>
            <w:vAlign w:val="center"/>
          </w:tcPr>
          <w:p w14:paraId="1ADAC6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在完成中间件的改造后，进行全面的测试与验证，以确保新系统的稳定性和性能符合预期。</w:t>
            </w:r>
          </w:p>
        </w:tc>
      </w:tr>
      <w:tr w14:paraId="458A8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757693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497" w:type="dxa"/>
            <w:vMerge w:val="continue"/>
            <w:tcBorders>
              <w:top w:val="nil"/>
              <w:left w:val="nil"/>
              <w:bottom w:val="single" w:color="000000" w:sz="8" w:space="0"/>
              <w:right w:val="single" w:color="000000" w:sz="8" w:space="0"/>
            </w:tcBorders>
            <w:shd w:val="clear" w:color="auto" w:fill="auto"/>
            <w:vAlign w:val="center"/>
          </w:tcPr>
          <w:p w14:paraId="7586472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62AFBB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数据库重构</w:t>
            </w:r>
          </w:p>
        </w:tc>
        <w:tc>
          <w:tcPr>
            <w:tcW w:w="2535" w:type="dxa"/>
            <w:tcBorders>
              <w:top w:val="nil"/>
              <w:left w:val="nil"/>
              <w:bottom w:val="single" w:color="000000" w:sz="8" w:space="0"/>
              <w:right w:val="single" w:color="000000" w:sz="8" w:space="0"/>
            </w:tcBorders>
            <w:shd w:val="clear" w:color="auto" w:fill="auto"/>
            <w:vAlign w:val="center"/>
          </w:tcPr>
          <w:p w14:paraId="74C79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数据格式转换</w:t>
            </w:r>
          </w:p>
        </w:tc>
        <w:tc>
          <w:tcPr>
            <w:tcW w:w="4234" w:type="dxa"/>
            <w:tcBorders>
              <w:top w:val="nil"/>
              <w:left w:val="nil"/>
              <w:bottom w:val="single" w:color="000000" w:sz="8" w:space="0"/>
              <w:right w:val="single" w:color="000000" w:sz="8" w:space="0"/>
            </w:tcBorders>
            <w:shd w:val="clear" w:color="auto" w:fill="auto"/>
            <w:vAlign w:val="center"/>
          </w:tcPr>
          <w:p w14:paraId="65DC6B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根据国产数据库数据格式和编码规范对原数据格式进行转换。</w:t>
            </w:r>
          </w:p>
        </w:tc>
      </w:tr>
      <w:tr w14:paraId="6DBCE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6A2CA5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97" w:type="dxa"/>
            <w:vMerge w:val="continue"/>
            <w:tcBorders>
              <w:top w:val="nil"/>
              <w:left w:val="nil"/>
              <w:bottom w:val="single" w:color="000000" w:sz="8" w:space="0"/>
              <w:right w:val="single" w:color="000000" w:sz="8" w:space="0"/>
            </w:tcBorders>
            <w:shd w:val="clear" w:color="auto" w:fill="auto"/>
            <w:vAlign w:val="center"/>
          </w:tcPr>
          <w:p w14:paraId="176C9B6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162134E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6E7D04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语法和功能兼容性改造</w:t>
            </w:r>
          </w:p>
        </w:tc>
        <w:tc>
          <w:tcPr>
            <w:tcW w:w="4234" w:type="dxa"/>
            <w:tcBorders>
              <w:top w:val="nil"/>
              <w:left w:val="nil"/>
              <w:bottom w:val="single" w:color="000000" w:sz="8" w:space="0"/>
              <w:right w:val="single" w:color="000000" w:sz="8" w:space="0"/>
            </w:tcBorders>
            <w:shd w:val="clear" w:color="auto" w:fill="auto"/>
            <w:vAlign w:val="center"/>
          </w:tcPr>
          <w:p w14:paraId="547776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针对国产数据库语法和函数差异进行改造，确保能够正常迁移</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避免数据迁移过程中出现语法错误和功能不完整的问题。</w:t>
            </w:r>
          </w:p>
        </w:tc>
      </w:tr>
      <w:tr w14:paraId="2ED53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5808BA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497" w:type="dxa"/>
            <w:vMerge w:val="continue"/>
            <w:tcBorders>
              <w:top w:val="nil"/>
              <w:left w:val="nil"/>
              <w:bottom w:val="single" w:color="000000" w:sz="8" w:space="0"/>
              <w:right w:val="single" w:color="000000" w:sz="8" w:space="0"/>
            </w:tcBorders>
            <w:shd w:val="clear" w:color="auto" w:fill="auto"/>
            <w:vAlign w:val="center"/>
          </w:tcPr>
          <w:p w14:paraId="25F1ACE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7F808F3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0FECF8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系统测试和优化</w:t>
            </w:r>
          </w:p>
        </w:tc>
        <w:tc>
          <w:tcPr>
            <w:tcW w:w="4234" w:type="dxa"/>
            <w:tcBorders>
              <w:top w:val="nil"/>
              <w:left w:val="nil"/>
              <w:bottom w:val="single" w:color="000000" w:sz="8" w:space="0"/>
              <w:right w:val="single" w:color="000000" w:sz="8" w:space="0"/>
            </w:tcBorders>
            <w:shd w:val="clear" w:color="auto" w:fill="auto"/>
            <w:vAlign w:val="center"/>
          </w:tcPr>
          <w:p w14:paraId="463C44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在迁移完成后，需要对新系统进行全面测试，确保其满足技术要求和性能指标，并根据测试结果进行优化和修复错误。</w:t>
            </w:r>
          </w:p>
        </w:tc>
      </w:tr>
      <w:tr w14:paraId="04BF3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53F4A8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97" w:type="dxa"/>
            <w:vMerge w:val="restart"/>
            <w:tcBorders>
              <w:top w:val="nil"/>
              <w:left w:val="nil"/>
              <w:bottom w:val="single" w:color="000000" w:sz="8" w:space="0"/>
              <w:right w:val="single" w:color="000000" w:sz="8" w:space="0"/>
            </w:tcBorders>
            <w:shd w:val="clear" w:color="auto" w:fill="auto"/>
            <w:vAlign w:val="center"/>
          </w:tcPr>
          <w:p w14:paraId="49F778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云办公系统</w:t>
            </w:r>
          </w:p>
        </w:tc>
        <w:tc>
          <w:tcPr>
            <w:tcW w:w="737" w:type="dxa"/>
            <w:vMerge w:val="restart"/>
            <w:tcBorders>
              <w:top w:val="nil"/>
              <w:left w:val="nil"/>
              <w:bottom w:val="single" w:color="000000" w:sz="8" w:space="0"/>
              <w:right w:val="single" w:color="000000" w:sz="8" w:space="0"/>
            </w:tcBorders>
            <w:shd w:val="clear" w:color="auto" w:fill="auto"/>
            <w:vAlign w:val="center"/>
          </w:tcPr>
          <w:p w14:paraId="2BC436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系统前端适配改造</w:t>
            </w:r>
          </w:p>
        </w:tc>
        <w:tc>
          <w:tcPr>
            <w:tcW w:w="2535" w:type="dxa"/>
            <w:tcBorders>
              <w:top w:val="nil"/>
              <w:left w:val="nil"/>
              <w:bottom w:val="single" w:color="000000" w:sz="8" w:space="0"/>
              <w:right w:val="single" w:color="000000" w:sz="8" w:space="0"/>
            </w:tcBorders>
            <w:shd w:val="clear" w:color="auto" w:fill="auto"/>
            <w:vAlign w:val="center"/>
          </w:tcPr>
          <w:p w14:paraId="4AE29D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页面适配改造</w:t>
            </w:r>
          </w:p>
        </w:tc>
        <w:tc>
          <w:tcPr>
            <w:tcW w:w="4234" w:type="dxa"/>
            <w:tcBorders>
              <w:top w:val="nil"/>
              <w:left w:val="nil"/>
              <w:bottom w:val="single" w:color="000000" w:sz="8" w:space="0"/>
              <w:right w:val="single" w:color="000000" w:sz="8" w:space="0"/>
            </w:tcBorders>
            <w:shd w:val="clear" w:color="auto" w:fill="auto"/>
            <w:vAlign w:val="center"/>
          </w:tcPr>
          <w:p w14:paraId="342780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针对请假管理、重大事项、装备管理、执法人员管理、请假统计、事项统计等模块</w:t>
            </w:r>
            <w:r>
              <w:rPr>
                <w:rFonts w:hint="eastAsia" w:ascii="宋体" w:hAnsi="宋体" w:eastAsia="宋体" w:cs="宋体"/>
                <w:i w:val="0"/>
                <w:iCs w:val="0"/>
                <w:color w:val="000000"/>
                <w:kern w:val="0"/>
                <w:sz w:val="20"/>
                <w:szCs w:val="20"/>
                <w:u w:val="none"/>
                <w:lang w:val="en-US" w:eastAsia="zh-CN" w:bidi="ar"/>
              </w:rPr>
              <w:t>前端页面引用原风格进行国产化适配并优化，前端语法应用的适配，每个页面兼容性排查。</w:t>
            </w:r>
          </w:p>
        </w:tc>
      </w:tr>
      <w:tr w14:paraId="461E4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3E763F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497" w:type="dxa"/>
            <w:vMerge w:val="continue"/>
            <w:tcBorders>
              <w:top w:val="nil"/>
              <w:left w:val="nil"/>
              <w:bottom w:val="single" w:color="000000" w:sz="8" w:space="0"/>
              <w:right w:val="single" w:color="000000" w:sz="8" w:space="0"/>
            </w:tcBorders>
            <w:shd w:val="clear" w:color="auto" w:fill="auto"/>
            <w:vAlign w:val="center"/>
          </w:tcPr>
          <w:p w14:paraId="617CA25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35FCBB3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54F8C8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浏览器适配改造</w:t>
            </w:r>
          </w:p>
        </w:tc>
        <w:tc>
          <w:tcPr>
            <w:tcW w:w="4234" w:type="dxa"/>
            <w:tcBorders>
              <w:top w:val="nil"/>
              <w:left w:val="nil"/>
              <w:bottom w:val="single" w:color="000000" w:sz="8" w:space="0"/>
              <w:right w:val="single" w:color="000000" w:sz="8" w:space="0"/>
            </w:tcBorders>
            <w:shd w:val="clear" w:color="auto" w:fill="auto"/>
            <w:vAlign w:val="center"/>
          </w:tcPr>
          <w:p w14:paraId="706908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前端语法应用适配，在国产终端所使用的浏览器火狐、360、奇安信等适配</w:t>
            </w:r>
            <w:r>
              <w:rPr>
                <w:rFonts w:hint="eastAsia" w:ascii="宋体" w:hAnsi="宋体" w:cs="宋体"/>
                <w:i w:val="0"/>
                <w:iCs w:val="0"/>
                <w:color w:val="000000"/>
                <w:kern w:val="0"/>
                <w:sz w:val="20"/>
                <w:szCs w:val="20"/>
                <w:u w:val="none"/>
                <w:lang w:val="en-US" w:eastAsia="zh-CN" w:bidi="ar"/>
              </w:rPr>
              <w:t>。</w:t>
            </w:r>
          </w:p>
        </w:tc>
      </w:tr>
      <w:tr w14:paraId="1FF1C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6CEB2C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497" w:type="dxa"/>
            <w:vMerge w:val="continue"/>
            <w:tcBorders>
              <w:top w:val="nil"/>
              <w:left w:val="nil"/>
              <w:bottom w:val="single" w:color="000000" w:sz="8" w:space="0"/>
              <w:right w:val="single" w:color="000000" w:sz="8" w:space="0"/>
            </w:tcBorders>
            <w:shd w:val="clear" w:color="auto" w:fill="auto"/>
            <w:vAlign w:val="center"/>
          </w:tcPr>
          <w:p w14:paraId="4545D5E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0401D0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后端程序代码适配改造</w:t>
            </w:r>
          </w:p>
        </w:tc>
        <w:tc>
          <w:tcPr>
            <w:tcW w:w="2535" w:type="dxa"/>
            <w:tcBorders>
              <w:top w:val="nil"/>
              <w:left w:val="nil"/>
              <w:bottom w:val="single" w:color="000000" w:sz="8" w:space="0"/>
              <w:right w:val="single" w:color="000000" w:sz="8" w:space="0"/>
            </w:tcBorders>
            <w:shd w:val="clear" w:color="auto" w:fill="auto"/>
            <w:vAlign w:val="center"/>
          </w:tcPr>
          <w:p w14:paraId="5D72B2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编程语言与框架适配</w:t>
            </w:r>
          </w:p>
        </w:tc>
        <w:tc>
          <w:tcPr>
            <w:tcW w:w="4234" w:type="dxa"/>
            <w:tcBorders>
              <w:top w:val="nil"/>
              <w:left w:val="nil"/>
              <w:bottom w:val="single" w:color="000000" w:sz="8" w:space="0"/>
              <w:right w:val="single" w:color="000000" w:sz="8" w:space="0"/>
            </w:tcBorders>
            <w:shd w:val="clear" w:color="auto" w:fill="auto"/>
            <w:vAlign w:val="center"/>
          </w:tcPr>
          <w:p w14:paraId="3911EB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根据信创环境对不兼容的编程语言和后端框架进行兼容性适配。</w:t>
            </w:r>
          </w:p>
        </w:tc>
      </w:tr>
      <w:tr w14:paraId="06BE2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6A12A6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497" w:type="dxa"/>
            <w:vMerge w:val="continue"/>
            <w:tcBorders>
              <w:top w:val="nil"/>
              <w:left w:val="nil"/>
              <w:bottom w:val="single" w:color="000000" w:sz="8" w:space="0"/>
              <w:right w:val="single" w:color="000000" w:sz="8" w:space="0"/>
            </w:tcBorders>
            <w:shd w:val="clear" w:color="auto" w:fill="auto"/>
            <w:vAlign w:val="center"/>
          </w:tcPr>
          <w:p w14:paraId="073826F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72FFA5D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4F51C6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数据库连接代码适配</w:t>
            </w:r>
          </w:p>
        </w:tc>
        <w:tc>
          <w:tcPr>
            <w:tcW w:w="4234" w:type="dxa"/>
            <w:tcBorders>
              <w:top w:val="nil"/>
              <w:left w:val="nil"/>
              <w:bottom w:val="single" w:color="000000" w:sz="8" w:space="0"/>
              <w:right w:val="single" w:color="000000" w:sz="8" w:space="0"/>
            </w:tcBorders>
            <w:shd w:val="clear" w:color="auto" w:fill="auto"/>
            <w:vAlign w:val="center"/>
          </w:tcPr>
          <w:p w14:paraId="43689E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对数据库连接代码进行适配改造，包括修改连接字符串、调整数据库驱动等，确保后端数据与国产数据库顺利交互。</w:t>
            </w:r>
          </w:p>
        </w:tc>
      </w:tr>
      <w:tr w14:paraId="15A32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0F6AFE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497" w:type="dxa"/>
            <w:vMerge w:val="continue"/>
            <w:tcBorders>
              <w:top w:val="nil"/>
              <w:left w:val="nil"/>
              <w:bottom w:val="single" w:color="000000" w:sz="8" w:space="0"/>
              <w:right w:val="single" w:color="000000" w:sz="8" w:space="0"/>
            </w:tcBorders>
            <w:shd w:val="clear" w:color="auto" w:fill="auto"/>
            <w:vAlign w:val="center"/>
          </w:tcPr>
          <w:p w14:paraId="700AFBC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15ACA03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4CCA9B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国产系统适配</w:t>
            </w:r>
          </w:p>
        </w:tc>
        <w:tc>
          <w:tcPr>
            <w:tcW w:w="4234" w:type="dxa"/>
            <w:tcBorders>
              <w:top w:val="nil"/>
              <w:left w:val="nil"/>
              <w:bottom w:val="single" w:color="000000" w:sz="8" w:space="0"/>
              <w:right w:val="single" w:color="000000" w:sz="8" w:space="0"/>
            </w:tcBorders>
            <w:shd w:val="clear" w:color="auto" w:fill="auto"/>
            <w:vAlign w:val="center"/>
          </w:tcPr>
          <w:p w14:paraId="502593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针对统信等国产系统在文件系统结构、权限管理方式以及安全运行机制等方面的差异，进行针对性调整，保障代码稳定运行。</w:t>
            </w:r>
          </w:p>
        </w:tc>
      </w:tr>
      <w:tr w14:paraId="5E269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17F0B9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497" w:type="dxa"/>
            <w:vMerge w:val="continue"/>
            <w:tcBorders>
              <w:top w:val="nil"/>
              <w:left w:val="nil"/>
              <w:bottom w:val="single" w:color="000000" w:sz="8" w:space="0"/>
              <w:right w:val="single" w:color="000000" w:sz="8" w:space="0"/>
            </w:tcBorders>
            <w:shd w:val="clear" w:color="auto" w:fill="auto"/>
            <w:vAlign w:val="center"/>
          </w:tcPr>
          <w:p w14:paraId="03C1D67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2CDB42A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4322C2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安全加固</w:t>
            </w:r>
          </w:p>
        </w:tc>
        <w:tc>
          <w:tcPr>
            <w:tcW w:w="4234" w:type="dxa"/>
            <w:tcBorders>
              <w:top w:val="nil"/>
              <w:left w:val="nil"/>
              <w:bottom w:val="single" w:color="000000" w:sz="8" w:space="0"/>
              <w:right w:val="single" w:color="000000" w:sz="8" w:space="0"/>
            </w:tcBorders>
            <w:shd w:val="clear" w:color="auto" w:fill="auto"/>
            <w:vAlign w:val="center"/>
          </w:tcPr>
          <w:p w14:paraId="3C963F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针对信创环境的高安全需求，对后端程序进行安全加固。</w:t>
            </w:r>
          </w:p>
        </w:tc>
      </w:tr>
      <w:tr w14:paraId="0C4CC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659FD2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497" w:type="dxa"/>
            <w:vMerge w:val="continue"/>
            <w:tcBorders>
              <w:top w:val="nil"/>
              <w:left w:val="nil"/>
              <w:bottom w:val="single" w:color="000000" w:sz="8" w:space="0"/>
              <w:right w:val="single" w:color="000000" w:sz="8" w:space="0"/>
            </w:tcBorders>
            <w:shd w:val="clear" w:color="auto" w:fill="auto"/>
            <w:vAlign w:val="center"/>
          </w:tcPr>
          <w:p w14:paraId="5CD53E1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3FFC48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数据迁移和保障</w:t>
            </w:r>
          </w:p>
        </w:tc>
        <w:tc>
          <w:tcPr>
            <w:tcW w:w="2535" w:type="dxa"/>
            <w:tcBorders>
              <w:top w:val="nil"/>
              <w:left w:val="nil"/>
              <w:bottom w:val="single" w:color="000000" w:sz="8" w:space="0"/>
              <w:right w:val="single" w:color="000000" w:sz="8" w:space="0"/>
            </w:tcBorders>
            <w:shd w:val="clear" w:color="auto" w:fill="auto"/>
            <w:vAlign w:val="center"/>
          </w:tcPr>
          <w:p w14:paraId="2F1AFB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数据评估分析</w:t>
            </w:r>
          </w:p>
        </w:tc>
        <w:tc>
          <w:tcPr>
            <w:tcW w:w="4234" w:type="dxa"/>
            <w:tcBorders>
              <w:top w:val="nil"/>
              <w:left w:val="nil"/>
              <w:bottom w:val="single" w:color="000000" w:sz="8" w:space="0"/>
              <w:right w:val="single" w:color="000000" w:sz="8" w:space="0"/>
            </w:tcBorders>
            <w:shd w:val="clear" w:color="auto" w:fill="auto"/>
            <w:vAlign w:val="center"/>
          </w:tcPr>
          <w:p w14:paraId="4B63E1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对现有数据进行全面的评估和分析，包括数据的规模、结构、质量和敏感性等，以确定迁移的策略和方法。</w:t>
            </w:r>
          </w:p>
        </w:tc>
      </w:tr>
      <w:tr w14:paraId="11A57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695272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497" w:type="dxa"/>
            <w:vMerge w:val="continue"/>
            <w:tcBorders>
              <w:top w:val="nil"/>
              <w:left w:val="nil"/>
              <w:bottom w:val="single" w:color="000000" w:sz="8" w:space="0"/>
              <w:right w:val="single" w:color="000000" w:sz="8" w:space="0"/>
            </w:tcBorders>
            <w:shd w:val="clear" w:color="auto" w:fill="auto"/>
            <w:vAlign w:val="center"/>
          </w:tcPr>
          <w:p w14:paraId="0423181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38431B9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33877E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数据清洗与预处理</w:t>
            </w:r>
          </w:p>
        </w:tc>
        <w:tc>
          <w:tcPr>
            <w:tcW w:w="4234" w:type="dxa"/>
            <w:tcBorders>
              <w:top w:val="nil"/>
              <w:left w:val="nil"/>
              <w:bottom w:val="single" w:color="000000" w:sz="8" w:space="0"/>
              <w:right w:val="single" w:color="000000" w:sz="8" w:space="0"/>
            </w:tcBorders>
            <w:shd w:val="clear" w:color="auto" w:fill="auto"/>
            <w:vAlign w:val="center"/>
          </w:tcPr>
          <w:p w14:paraId="45F4E8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在迁移前，对数据进行清洗和预处理，以去除重复、不完整或错误的数据，确保数据的质量和一致性。</w:t>
            </w:r>
          </w:p>
        </w:tc>
      </w:tr>
      <w:tr w14:paraId="0E03F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2032C8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497" w:type="dxa"/>
            <w:vMerge w:val="continue"/>
            <w:tcBorders>
              <w:top w:val="nil"/>
              <w:left w:val="nil"/>
              <w:bottom w:val="single" w:color="000000" w:sz="8" w:space="0"/>
              <w:right w:val="single" w:color="000000" w:sz="8" w:space="0"/>
            </w:tcBorders>
            <w:shd w:val="clear" w:color="auto" w:fill="auto"/>
            <w:vAlign w:val="center"/>
          </w:tcPr>
          <w:p w14:paraId="5FAEE3A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460E082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7C0BDF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数据备份和恢复</w:t>
            </w:r>
          </w:p>
        </w:tc>
        <w:tc>
          <w:tcPr>
            <w:tcW w:w="4234" w:type="dxa"/>
            <w:tcBorders>
              <w:top w:val="nil"/>
              <w:left w:val="nil"/>
              <w:bottom w:val="single" w:color="000000" w:sz="8" w:space="0"/>
              <w:right w:val="single" w:color="000000" w:sz="8" w:space="0"/>
            </w:tcBorders>
            <w:shd w:val="clear" w:color="auto" w:fill="auto"/>
            <w:vAlign w:val="center"/>
          </w:tcPr>
          <w:p w14:paraId="3E3BAD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建立完善的数据备份和恢复机制，以应对突发事件，保护数据安全。</w:t>
            </w:r>
          </w:p>
        </w:tc>
      </w:tr>
      <w:tr w14:paraId="04ED4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2FDC8C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497" w:type="dxa"/>
            <w:vMerge w:val="continue"/>
            <w:tcBorders>
              <w:top w:val="nil"/>
              <w:left w:val="nil"/>
              <w:bottom w:val="single" w:color="000000" w:sz="8" w:space="0"/>
              <w:right w:val="single" w:color="000000" w:sz="8" w:space="0"/>
            </w:tcBorders>
            <w:shd w:val="clear" w:color="auto" w:fill="auto"/>
            <w:vAlign w:val="center"/>
          </w:tcPr>
          <w:p w14:paraId="06484AE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2C58ADB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0069F0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数据加密与隔离</w:t>
            </w:r>
          </w:p>
        </w:tc>
        <w:tc>
          <w:tcPr>
            <w:tcW w:w="4234" w:type="dxa"/>
            <w:tcBorders>
              <w:top w:val="nil"/>
              <w:left w:val="nil"/>
              <w:bottom w:val="single" w:color="000000" w:sz="8" w:space="0"/>
              <w:right w:val="single" w:color="000000" w:sz="8" w:space="0"/>
            </w:tcBorders>
            <w:shd w:val="clear" w:color="auto" w:fill="auto"/>
            <w:vAlign w:val="center"/>
          </w:tcPr>
          <w:p w14:paraId="041FE5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对敏感数据进行加密和隔离处理，以保证数据迁移的安全性和完整性</w:t>
            </w:r>
            <w:r>
              <w:rPr>
                <w:rFonts w:hint="eastAsia" w:ascii="宋体" w:hAnsi="宋体" w:cs="宋体"/>
                <w:i w:val="0"/>
                <w:iCs w:val="0"/>
                <w:color w:val="000000"/>
                <w:kern w:val="0"/>
                <w:sz w:val="20"/>
                <w:szCs w:val="20"/>
                <w:u w:val="none"/>
                <w:lang w:val="en-US" w:eastAsia="zh-CN" w:bidi="ar"/>
              </w:rPr>
              <w:t>。</w:t>
            </w:r>
          </w:p>
        </w:tc>
      </w:tr>
      <w:tr w14:paraId="14CF7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2AEF05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97" w:type="dxa"/>
            <w:vMerge w:val="continue"/>
            <w:tcBorders>
              <w:top w:val="nil"/>
              <w:left w:val="nil"/>
              <w:bottom w:val="single" w:color="000000" w:sz="8" w:space="0"/>
              <w:right w:val="single" w:color="000000" w:sz="8" w:space="0"/>
            </w:tcBorders>
            <w:shd w:val="clear" w:color="auto" w:fill="auto"/>
            <w:vAlign w:val="center"/>
          </w:tcPr>
          <w:p w14:paraId="32AA2DA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008E888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5FA501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数据验证和校验</w:t>
            </w:r>
          </w:p>
        </w:tc>
        <w:tc>
          <w:tcPr>
            <w:tcW w:w="4234" w:type="dxa"/>
            <w:tcBorders>
              <w:top w:val="nil"/>
              <w:left w:val="nil"/>
              <w:bottom w:val="single" w:color="000000" w:sz="8" w:space="0"/>
              <w:right w:val="single" w:color="000000" w:sz="8" w:space="0"/>
            </w:tcBorders>
            <w:shd w:val="clear" w:color="auto" w:fill="auto"/>
            <w:vAlign w:val="center"/>
          </w:tcPr>
          <w:p w14:paraId="361D96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在数据迁移完成后，需要进行数据的验证和校验，以确保迁移后的数据准确无误，并与原数据保持一致。</w:t>
            </w:r>
          </w:p>
        </w:tc>
      </w:tr>
      <w:tr w14:paraId="584F7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690410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497" w:type="dxa"/>
            <w:vMerge w:val="continue"/>
            <w:tcBorders>
              <w:top w:val="nil"/>
              <w:left w:val="nil"/>
              <w:bottom w:val="single" w:color="000000" w:sz="8" w:space="0"/>
              <w:right w:val="single" w:color="000000" w:sz="8" w:space="0"/>
            </w:tcBorders>
            <w:shd w:val="clear" w:color="auto" w:fill="auto"/>
            <w:vAlign w:val="center"/>
          </w:tcPr>
          <w:p w14:paraId="52B91DE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3CF039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系统中件间改造</w:t>
            </w:r>
          </w:p>
        </w:tc>
        <w:tc>
          <w:tcPr>
            <w:tcW w:w="2535" w:type="dxa"/>
            <w:tcBorders>
              <w:top w:val="nil"/>
              <w:left w:val="nil"/>
              <w:bottom w:val="single" w:color="000000" w:sz="8" w:space="0"/>
              <w:right w:val="single" w:color="000000" w:sz="8" w:space="0"/>
            </w:tcBorders>
            <w:shd w:val="clear" w:color="auto" w:fill="auto"/>
            <w:vAlign w:val="center"/>
          </w:tcPr>
          <w:p w14:paraId="3D2A4F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架构适配</w:t>
            </w:r>
          </w:p>
        </w:tc>
        <w:tc>
          <w:tcPr>
            <w:tcW w:w="4234" w:type="dxa"/>
            <w:tcBorders>
              <w:top w:val="nil"/>
              <w:left w:val="nil"/>
              <w:bottom w:val="single" w:color="000000" w:sz="8" w:space="0"/>
              <w:right w:val="single" w:color="000000" w:sz="8" w:space="0"/>
            </w:tcBorders>
            <w:shd w:val="clear" w:color="auto" w:fill="auto"/>
            <w:vAlign w:val="center"/>
          </w:tcPr>
          <w:p w14:paraId="28ECF3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针对国产中间件与传统中间件的架构差异，重新设计中间件架构，以适应新的分布式环境。</w:t>
            </w:r>
          </w:p>
        </w:tc>
      </w:tr>
      <w:tr w14:paraId="36D5A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7E6541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497" w:type="dxa"/>
            <w:vMerge w:val="continue"/>
            <w:tcBorders>
              <w:top w:val="nil"/>
              <w:left w:val="nil"/>
              <w:bottom w:val="single" w:color="000000" w:sz="8" w:space="0"/>
              <w:right w:val="single" w:color="000000" w:sz="8" w:space="0"/>
            </w:tcBorders>
            <w:shd w:val="clear" w:color="auto" w:fill="auto"/>
            <w:vAlign w:val="center"/>
          </w:tcPr>
          <w:p w14:paraId="7568573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640F1FA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6ADE9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接口适配</w:t>
            </w:r>
          </w:p>
        </w:tc>
        <w:tc>
          <w:tcPr>
            <w:tcW w:w="4234" w:type="dxa"/>
            <w:tcBorders>
              <w:top w:val="nil"/>
              <w:left w:val="nil"/>
              <w:bottom w:val="single" w:color="000000" w:sz="8" w:space="0"/>
              <w:right w:val="single" w:color="000000" w:sz="8" w:space="0"/>
            </w:tcBorders>
            <w:shd w:val="clear" w:color="auto" w:fill="auto"/>
            <w:vAlign w:val="center"/>
          </w:tcPr>
          <w:p w14:paraId="758281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对平台接口进行适配，确保与国产中间件的兼容适配。</w:t>
            </w:r>
          </w:p>
        </w:tc>
      </w:tr>
      <w:tr w14:paraId="42E06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1885B0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497" w:type="dxa"/>
            <w:vMerge w:val="continue"/>
            <w:tcBorders>
              <w:top w:val="nil"/>
              <w:left w:val="nil"/>
              <w:bottom w:val="single" w:color="000000" w:sz="8" w:space="0"/>
              <w:right w:val="single" w:color="000000" w:sz="8" w:space="0"/>
            </w:tcBorders>
            <w:shd w:val="clear" w:color="auto" w:fill="auto"/>
            <w:vAlign w:val="center"/>
          </w:tcPr>
          <w:p w14:paraId="406A854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315A7DB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713A11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性能优化</w:t>
            </w:r>
          </w:p>
        </w:tc>
        <w:tc>
          <w:tcPr>
            <w:tcW w:w="4234" w:type="dxa"/>
            <w:tcBorders>
              <w:top w:val="nil"/>
              <w:left w:val="nil"/>
              <w:bottom w:val="single" w:color="000000" w:sz="8" w:space="0"/>
              <w:right w:val="single" w:color="000000" w:sz="8" w:space="0"/>
            </w:tcBorders>
            <w:shd w:val="clear" w:color="auto" w:fill="auto"/>
            <w:vAlign w:val="center"/>
          </w:tcPr>
          <w:p w14:paraId="3990F4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在迁移到国产中间件后，对系统进行性能调优，以确保其在高并发和大数据量情况下的稳定性和高效性。</w:t>
            </w:r>
          </w:p>
        </w:tc>
      </w:tr>
      <w:tr w14:paraId="28C7C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61BE37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497" w:type="dxa"/>
            <w:vMerge w:val="continue"/>
            <w:tcBorders>
              <w:top w:val="nil"/>
              <w:left w:val="nil"/>
              <w:bottom w:val="single" w:color="000000" w:sz="8" w:space="0"/>
              <w:right w:val="single" w:color="000000" w:sz="8" w:space="0"/>
            </w:tcBorders>
            <w:shd w:val="clear" w:color="auto" w:fill="auto"/>
            <w:vAlign w:val="center"/>
          </w:tcPr>
          <w:p w14:paraId="00828B9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14186DB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19F093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测试与验证</w:t>
            </w:r>
          </w:p>
        </w:tc>
        <w:tc>
          <w:tcPr>
            <w:tcW w:w="4234" w:type="dxa"/>
            <w:tcBorders>
              <w:top w:val="nil"/>
              <w:left w:val="nil"/>
              <w:bottom w:val="single" w:color="000000" w:sz="8" w:space="0"/>
              <w:right w:val="single" w:color="000000" w:sz="8" w:space="0"/>
            </w:tcBorders>
            <w:shd w:val="clear" w:color="auto" w:fill="auto"/>
            <w:vAlign w:val="center"/>
          </w:tcPr>
          <w:p w14:paraId="79978D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在完成中间件的改造后，进行全面的测试与验证，以确保新系统的稳定性和性能符合预期。</w:t>
            </w:r>
          </w:p>
        </w:tc>
      </w:tr>
      <w:tr w14:paraId="704EB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62D7CA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497" w:type="dxa"/>
            <w:vMerge w:val="continue"/>
            <w:tcBorders>
              <w:top w:val="nil"/>
              <w:left w:val="nil"/>
              <w:bottom w:val="single" w:color="000000" w:sz="8" w:space="0"/>
              <w:right w:val="single" w:color="000000" w:sz="8" w:space="0"/>
            </w:tcBorders>
            <w:shd w:val="clear" w:color="auto" w:fill="auto"/>
            <w:vAlign w:val="center"/>
          </w:tcPr>
          <w:p w14:paraId="11CDBB3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tcBorders>
              <w:top w:val="nil"/>
              <w:left w:val="nil"/>
              <w:bottom w:val="single" w:color="000000" w:sz="8" w:space="0"/>
              <w:right w:val="single" w:color="000000" w:sz="8" w:space="0"/>
            </w:tcBorders>
            <w:shd w:val="clear" w:color="auto" w:fill="auto"/>
            <w:vAlign w:val="center"/>
          </w:tcPr>
          <w:p w14:paraId="3090DB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系统重构</w:t>
            </w:r>
          </w:p>
        </w:tc>
        <w:tc>
          <w:tcPr>
            <w:tcW w:w="2535" w:type="dxa"/>
            <w:tcBorders>
              <w:top w:val="nil"/>
              <w:left w:val="nil"/>
              <w:bottom w:val="single" w:color="000000" w:sz="8" w:space="0"/>
              <w:right w:val="single" w:color="000000" w:sz="8" w:space="0"/>
            </w:tcBorders>
            <w:shd w:val="clear" w:color="auto" w:fill="auto"/>
            <w:vAlign w:val="center"/>
          </w:tcPr>
          <w:p w14:paraId="05D893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浙政钉小程序</w:t>
            </w:r>
          </w:p>
        </w:tc>
        <w:tc>
          <w:tcPr>
            <w:tcW w:w="4234" w:type="dxa"/>
            <w:tcBorders>
              <w:top w:val="nil"/>
              <w:left w:val="nil"/>
              <w:bottom w:val="single" w:color="000000" w:sz="8" w:space="0"/>
              <w:right w:val="single" w:color="000000" w:sz="8" w:space="0"/>
            </w:tcBorders>
            <w:shd w:val="clear" w:color="auto" w:fill="auto"/>
            <w:vAlign w:val="center"/>
          </w:tcPr>
          <w:p w14:paraId="44E458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对现有小程序进行代码、架构和功能的优化和升级，转移至浙政钉小程序，以实现资源的灵活调配、高效利用和信息安全保障。</w:t>
            </w:r>
          </w:p>
        </w:tc>
      </w:tr>
      <w:tr w14:paraId="03EBD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3E1221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497" w:type="dxa"/>
            <w:vMerge w:val="continue"/>
            <w:tcBorders>
              <w:top w:val="nil"/>
              <w:left w:val="nil"/>
              <w:bottom w:val="single" w:color="000000" w:sz="8" w:space="0"/>
              <w:right w:val="single" w:color="000000" w:sz="8" w:space="0"/>
            </w:tcBorders>
            <w:shd w:val="clear" w:color="auto" w:fill="auto"/>
            <w:vAlign w:val="center"/>
          </w:tcPr>
          <w:p w14:paraId="49A4C81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426AC8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数据库重构</w:t>
            </w:r>
          </w:p>
        </w:tc>
        <w:tc>
          <w:tcPr>
            <w:tcW w:w="2535" w:type="dxa"/>
            <w:tcBorders>
              <w:top w:val="nil"/>
              <w:left w:val="nil"/>
              <w:bottom w:val="single" w:color="000000" w:sz="8" w:space="0"/>
              <w:right w:val="single" w:color="000000" w:sz="8" w:space="0"/>
            </w:tcBorders>
            <w:shd w:val="clear" w:color="auto" w:fill="auto"/>
            <w:vAlign w:val="center"/>
          </w:tcPr>
          <w:p w14:paraId="0FD7B5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数据格式转换</w:t>
            </w:r>
          </w:p>
        </w:tc>
        <w:tc>
          <w:tcPr>
            <w:tcW w:w="4234" w:type="dxa"/>
            <w:tcBorders>
              <w:top w:val="nil"/>
              <w:left w:val="nil"/>
              <w:bottom w:val="single" w:color="000000" w:sz="8" w:space="0"/>
              <w:right w:val="single" w:color="000000" w:sz="8" w:space="0"/>
            </w:tcBorders>
            <w:shd w:val="clear" w:color="auto" w:fill="auto"/>
            <w:vAlign w:val="center"/>
          </w:tcPr>
          <w:p w14:paraId="7606AE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根据国产数据库数据格式和编码规范对原数据格式进行转换。</w:t>
            </w:r>
          </w:p>
        </w:tc>
      </w:tr>
      <w:tr w14:paraId="698E8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1B6651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497" w:type="dxa"/>
            <w:vMerge w:val="continue"/>
            <w:tcBorders>
              <w:top w:val="nil"/>
              <w:left w:val="nil"/>
              <w:bottom w:val="single" w:color="000000" w:sz="8" w:space="0"/>
              <w:right w:val="single" w:color="000000" w:sz="8" w:space="0"/>
            </w:tcBorders>
            <w:shd w:val="clear" w:color="auto" w:fill="auto"/>
            <w:vAlign w:val="center"/>
          </w:tcPr>
          <w:p w14:paraId="2C05254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49B4D45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008C38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语法和功能兼容性改造</w:t>
            </w:r>
          </w:p>
        </w:tc>
        <w:tc>
          <w:tcPr>
            <w:tcW w:w="4234" w:type="dxa"/>
            <w:tcBorders>
              <w:top w:val="nil"/>
              <w:left w:val="nil"/>
              <w:bottom w:val="single" w:color="000000" w:sz="8" w:space="0"/>
              <w:right w:val="single" w:color="000000" w:sz="8" w:space="0"/>
            </w:tcBorders>
            <w:shd w:val="clear" w:color="auto" w:fill="auto"/>
            <w:vAlign w:val="center"/>
          </w:tcPr>
          <w:p w14:paraId="43161C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针对国产数据库语法和函数差异进行改造，确保能够正常迁移</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避免数据迁移过程中出现语法错误和功能不完整的问题。</w:t>
            </w:r>
          </w:p>
        </w:tc>
      </w:tr>
      <w:tr w14:paraId="1DA5F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147E94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497" w:type="dxa"/>
            <w:vMerge w:val="continue"/>
            <w:tcBorders>
              <w:top w:val="nil"/>
              <w:left w:val="nil"/>
              <w:bottom w:val="single" w:color="000000" w:sz="8" w:space="0"/>
              <w:right w:val="single" w:color="000000" w:sz="8" w:space="0"/>
            </w:tcBorders>
            <w:shd w:val="clear" w:color="auto" w:fill="auto"/>
            <w:vAlign w:val="center"/>
          </w:tcPr>
          <w:p w14:paraId="7425C2D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7238C0A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59910C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系统测试和优化</w:t>
            </w:r>
          </w:p>
        </w:tc>
        <w:tc>
          <w:tcPr>
            <w:tcW w:w="4234" w:type="dxa"/>
            <w:tcBorders>
              <w:top w:val="nil"/>
              <w:left w:val="nil"/>
              <w:bottom w:val="single" w:color="000000" w:sz="8" w:space="0"/>
              <w:right w:val="single" w:color="000000" w:sz="8" w:space="0"/>
            </w:tcBorders>
            <w:shd w:val="clear" w:color="auto" w:fill="auto"/>
            <w:vAlign w:val="center"/>
          </w:tcPr>
          <w:p w14:paraId="74DE5B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在迁移完成后，需要对新系统进行全面测试，确保其满足技术要求和性能指标，并根据测试结果进行优化和修复错误。</w:t>
            </w:r>
          </w:p>
        </w:tc>
      </w:tr>
      <w:tr w14:paraId="4961D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5B7349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497" w:type="dxa"/>
            <w:vMerge w:val="restart"/>
            <w:tcBorders>
              <w:top w:val="nil"/>
              <w:left w:val="nil"/>
              <w:bottom w:val="single" w:color="000000" w:sz="8" w:space="0"/>
              <w:right w:val="single" w:color="000000" w:sz="8" w:space="0"/>
            </w:tcBorders>
            <w:shd w:val="clear" w:color="auto" w:fill="auto"/>
            <w:vAlign w:val="center"/>
          </w:tcPr>
          <w:p w14:paraId="7BE70C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可视化平台</w:t>
            </w:r>
          </w:p>
        </w:tc>
        <w:tc>
          <w:tcPr>
            <w:tcW w:w="737" w:type="dxa"/>
            <w:vMerge w:val="restart"/>
            <w:tcBorders>
              <w:top w:val="nil"/>
              <w:left w:val="nil"/>
              <w:bottom w:val="single" w:color="000000" w:sz="8" w:space="0"/>
              <w:right w:val="single" w:color="000000" w:sz="8" w:space="0"/>
            </w:tcBorders>
            <w:shd w:val="clear" w:color="auto" w:fill="auto"/>
            <w:vAlign w:val="center"/>
          </w:tcPr>
          <w:p w14:paraId="4BB1D4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证据段管理</w:t>
            </w:r>
            <w:r>
              <w:rPr>
                <w:rFonts w:hint="eastAsia" w:ascii="宋体" w:hAnsi="宋体" w:eastAsia="宋体" w:cs="宋体"/>
                <w:i w:val="0"/>
                <w:iCs w:val="0"/>
                <w:color w:val="000000"/>
                <w:kern w:val="0"/>
                <w:sz w:val="20"/>
                <w:szCs w:val="20"/>
                <w:u w:val="none"/>
                <w:lang w:val="en-US" w:eastAsia="zh-CN" w:bidi="ar"/>
              </w:rPr>
              <w:t>适配改造</w:t>
            </w:r>
          </w:p>
        </w:tc>
        <w:tc>
          <w:tcPr>
            <w:tcW w:w="2535" w:type="dxa"/>
            <w:tcBorders>
              <w:top w:val="nil"/>
              <w:left w:val="nil"/>
              <w:bottom w:val="single" w:color="000000" w:sz="8" w:space="0"/>
              <w:right w:val="single" w:color="000000" w:sz="8" w:space="0"/>
            </w:tcBorders>
            <w:shd w:val="clear" w:color="auto" w:fill="auto"/>
            <w:vAlign w:val="center"/>
          </w:tcPr>
          <w:p w14:paraId="2D4855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证据段查询</w:t>
            </w:r>
          </w:p>
        </w:tc>
        <w:tc>
          <w:tcPr>
            <w:tcW w:w="4234" w:type="dxa"/>
            <w:tcBorders>
              <w:top w:val="nil"/>
              <w:left w:val="nil"/>
              <w:bottom w:val="single" w:color="000000" w:sz="8" w:space="0"/>
              <w:right w:val="single" w:color="000000" w:sz="8" w:space="0"/>
            </w:tcBorders>
            <w:shd w:val="clear" w:color="auto" w:fill="auto"/>
            <w:vAlign w:val="center"/>
          </w:tcPr>
          <w:p w14:paraId="001796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后台可根据执法人、部门、时间、设备、有效性、案卷信息等条件进行证据段的筛选查询。</w:t>
            </w:r>
          </w:p>
        </w:tc>
      </w:tr>
      <w:tr w14:paraId="5C2E4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3BF1DD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497" w:type="dxa"/>
            <w:vMerge w:val="continue"/>
            <w:tcBorders>
              <w:top w:val="nil"/>
              <w:left w:val="nil"/>
              <w:bottom w:val="single" w:color="000000" w:sz="8" w:space="0"/>
              <w:right w:val="single" w:color="000000" w:sz="8" w:space="0"/>
            </w:tcBorders>
            <w:shd w:val="clear" w:color="auto" w:fill="auto"/>
            <w:vAlign w:val="center"/>
          </w:tcPr>
          <w:p w14:paraId="1D32933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0B1ACE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2E191B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证据详情查看</w:t>
            </w:r>
          </w:p>
        </w:tc>
        <w:tc>
          <w:tcPr>
            <w:tcW w:w="4234" w:type="dxa"/>
            <w:tcBorders>
              <w:top w:val="nil"/>
              <w:left w:val="nil"/>
              <w:bottom w:val="single" w:color="000000" w:sz="8" w:space="0"/>
              <w:right w:val="single" w:color="000000" w:sz="8" w:space="0"/>
            </w:tcBorders>
            <w:shd w:val="clear" w:color="auto" w:fill="auto"/>
            <w:vAlign w:val="center"/>
          </w:tcPr>
          <w:p w14:paraId="7B260F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后台可查看某视频段的详情（包括执法人信息、拍摄起止时间、上传状态、上传时间、所属采集站、证据时长、位置信息）、视频播放、视频下载。</w:t>
            </w:r>
          </w:p>
        </w:tc>
      </w:tr>
      <w:tr w14:paraId="68F7B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2D81CC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497" w:type="dxa"/>
            <w:vMerge w:val="continue"/>
            <w:tcBorders>
              <w:top w:val="nil"/>
              <w:left w:val="nil"/>
              <w:bottom w:val="single" w:color="000000" w:sz="8" w:space="0"/>
              <w:right w:val="single" w:color="000000" w:sz="8" w:space="0"/>
            </w:tcBorders>
            <w:shd w:val="clear" w:color="auto" w:fill="auto"/>
            <w:vAlign w:val="center"/>
          </w:tcPr>
          <w:p w14:paraId="0AEFC23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65EDF7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633282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证据补正管理（执法人修正、重点有效性标注、案卷补充）</w:t>
            </w:r>
          </w:p>
        </w:tc>
        <w:tc>
          <w:tcPr>
            <w:tcW w:w="4234" w:type="dxa"/>
            <w:tcBorders>
              <w:top w:val="nil"/>
              <w:left w:val="nil"/>
              <w:bottom w:val="single" w:color="000000" w:sz="8" w:space="0"/>
              <w:right w:val="single" w:color="000000" w:sz="8" w:space="0"/>
            </w:tcBorders>
            <w:shd w:val="clear" w:color="auto" w:fill="auto"/>
            <w:vAlign w:val="center"/>
          </w:tcPr>
          <w:p w14:paraId="6A50DE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后台修正执法人、证据有效性标注；案卷编号、执法对象、案卷时间等案卷信息补入</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bidi="ar"/>
              </w:rPr>
              <w:t>并且根据局管理员、中队管理员、执法人分配上述操作分配合理的的权限。</w:t>
            </w:r>
          </w:p>
        </w:tc>
      </w:tr>
      <w:tr w14:paraId="5D58A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0AD4A2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497" w:type="dxa"/>
            <w:vMerge w:val="continue"/>
            <w:tcBorders>
              <w:top w:val="nil"/>
              <w:left w:val="nil"/>
              <w:bottom w:val="single" w:color="000000" w:sz="8" w:space="0"/>
              <w:right w:val="single" w:color="000000" w:sz="8" w:space="0"/>
            </w:tcBorders>
            <w:shd w:val="clear" w:color="auto" w:fill="auto"/>
            <w:vAlign w:val="center"/>
          </w:tcPr>
          <w:p w14:paraId="1F1EEF6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1ACFEF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执法人证据调取</w:t>
            </w:r>
            <w:r>
              <w:rPr>
                <w:rFonts w:hint="eastAsia" w:ascii="宋体" w:hAnsi="宋体" w:eastAsia="宋体" w:cs="宋体"/>
                <w:i w:val="0"/>
                <w:iCs w:val="0"/>
                <w:color w:val="000000"/>
                <w:kern w:val="0"/>
                <w:sz w:val="20"/>
                <w:szCs w:val="20"/>
                <w:u w:val="none"/>
                <w:lang w:val="en-US" w:eastAsia="zh-CN" w:bidi="ar"/>
              </w:rPr>
              <w:t>适配改造</w:t>
            </w:r>
          </w:p>
        </w:tc>
        <w:tc>
          <w:tcPr>
            <w:tcW w:w="2535" w:type="dxa"/>
            <w:tcBorders>
              <w:top w:val="nil"/>
              <w:left w:val="nil"/>
              <w:bottom w:val="single" w:color="000000" w:sz="8" w:space="0"/>
              <w:right w:val="single" w:color="000000" w:sz="8" w:space="0"/>
            </w:tcBorders>
            <w:shd w:val="clear" w:color="auto" w:fill="auto"/>
            <w:vAlign w:val="center"/>
          </w:tcPr>
          <w:p w14:paraId="1F30A0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部门分组展示</w:t>
            </w:r>
          </w:p>
        </w:tc>
        <w:tc>
          <w:tcPr>
            <w:tcW w:w="4234" w:type="dxa"/>
            <w:tcBorders>
              <w:top w:val="nil"/>
              <w:left w:val="nil"/>
              <w:bottom w:val="single" w:color="000000" w:sz="8" w:space="0"/>
              <w:right w:val="single" w:color="000000" w:sz="8" w:space="0"/>
            </w:tcBorders>
            <w:shd w:val="clear" w:color="auto" w:fill="auto"/>
            <w:vAlign w:val="center"/>
          </w:tcPr>
          <w:p w14:paraId="5F13D5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cs="宋体"/>
                <w:color w:val="000000"/>
                <w:kern w:val="0"/>
                <w:sz w:val="20"/>
                <w:szCs w:val="20"/>
                <w:lang w:bidi="ar"/>
              </w:rPr>
              <w:t>后台以中队树形结构分组展示个中队人员的执法证据上传情况，各组显示本中队最后一次上传证据的人员清单</w:t>
            </w:r>
            <w:r>
              <w:rPr>
                <w:rFonts w:hint="eastAsia" w:ascii="宋体" w:hAnsi="宋体" w:cs="宋体"/>
                <w:color w:val="000000"/>
                <w:kern w:val="0"/>
                <w:sz w:val="20"/>
                <w:szCs w:val="20"/>
                <w:lang w:eastAsia="zh-CN" w:bidi="ar"/>
              </w:rPr>
              <w:t>。</w:t>
            </w:r>
          </w:p>
        </w:tc>
      </w:tr>
      <w:tr w14:paraId="49478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0DA093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497" w:type="dxa"/>
            <w:vMerge w:val="continue"/>
            <w:tcBorders>
              <w:top w:val="nil"/>
              <w:left w:val="nil"/>
              <w:bottom w:val="single" w:color="000000" w:sz="8" w:space="0"/>
              <w:right w:val="single" w:color="000000" w:sz="8" w:space="0"/>
            </w:tcBorders>
            <w:shd w:val="clear" w:color="auto" w:fill="auto"/>
            <w:vAlign w:val="center"/>
          </w:tcPr>
          <w:p w14:paraId="1B2C07C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4711D7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0F3366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执法人证据展示</w:t>
            </w:r>
          </w:p>
        </w:tc>
        <w:tc>
          <w:tcPr>
            <w:tcW w:w="4234" w:type="dxa"/>
            <w:tcBorders>
              <w:top w:val="nil"/>
              <w:left w:val="nil"/>
              <w:bottom w:val="single" w:color="000000" w:sz="8" w:space="0"/>
              <w:right w:val="single" w:color="000000" w:sz="8" w:space="0"/>
            </w:tcBorders>
            <w:shd w:val="clear" w:color="auto" w:fill="auto"/>
            <w:vAlign w:val="center"/>
          </w:tcPr>
          <w:p w14:paraId="118C40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后台点击中队树形分组人员查看该人员所有执法音视频记录，可根据设备号、摄录时间、采集站、上传情况等条件查询和下载，并查看播放音视频详情。</w:t>
            </w:r>
          </w:p>
        </w:tc>
      </w:tr>
      <w:tr w14:paraId="3DC94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45133D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497" w:type="dxa"/>
            <w:vMerge w:val="continue"/>
            <w:tcBorders>
              <w:top w:val="nil"/>
              <w:left w:val="nil"/>
              <w:bottom w:val="single" w:color="000000" w:sz="8" w:space="0"/>
              <w:right w:val="single" w:color="000000" w:sz="8" w:space="0"/>
            </w:tcBorders>
            <w:shd w:val="clear" w:color="auto" w:fill="auto"/>
            <w:vAlign w:val="center"/>
          </w:tcPr>
          <w:p w14:paraId="66B27D4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3290D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可视化调度</w:t>
            </w:r>
            <w:r>
              <w:rPr>
                <w:rFonts w:hint="eastAsia" w:ascii="宋体" w:hAnsi="宋体" w:eastAsia="宋体" w:cs="宋体"/>
                <w:i w:val="0"/>
                <w:iCs w:val="0"/>
                <w:color w:val="000000"/>
                <w:kern w:val="0"/>
                <w:sz w:val="20"/>
                <w:szCs w:val="20"/>
                <w:u w:val="none"/>
                <w:lang w:val="en-US" w:eastAsia="zh-CN" w:bidi="ar"/>
              </w:rPr>
              <w:t>适配改造</w:t>
            </w:r>
          </w:p>
        </w:tc>
        <w:tc>
          <w:tcPr>
            <w:tcW w:w="2535" w:type="dxa"/>
            <w:tcBorders>
              <w:top w:val="nil"/>
              <w:left w:val="nil"/>
              <w:bottom w:val="single" w:color="000000" w:sz="8" w:space="0"/>
              <w:right w:val="single" w:color="000000" w:sz="8" w:space="0"/>
            </w:tcBorders>
            <w:shd w:val="clear" w:color="auto" w:fill="auto"/>
            <w:vAlign w:val="center"/>
          </w:tcPr>
          <w:p w14:paraId="755FD7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可视化监控</w:t>
            </w:r>
          </w:p>
        </w:tc>
        <w:tc>
          <w:tcPr>
            <w:tcW w:w="4234" w:type="dxa"/>
            <w:tcBorders>
              <w:top w:val="nil"/>
              <w:left w:val="nil"/>
              <w:bottom w:val="single" w:color="000000" w:sz="8" w:space="0"/>
              <w:right w:val="single" w:color="000000" w:sz="8" w:space="0"/>
            </w:tcBorders>
            <w:shd w:val="clear" w:color="auto" w:fill="auto"/>
            <w:vAlign w:val="center"/>
          </w:tcPr>
          <w:p w14:paraId="692289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后台地图上查看使用执法记录仪在线离线状态，当前位置或最后一次离线位置</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bidi="ar"/>
              </w:rPr>
              <w:t>可根据中队部门、在离线状态筛选。可在地图上对选择指定人员和日期回放活动轨迹。</w:t>
            </w:r>
          </w:p>
        </w:tc>
      </w:tr>
      <w:tr w14:paraId="15CE3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01191A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497" w:type="dxa"/>
            <w:vMerge w:val="continue"/>
            <w:tcBorders>
              <w:top w:val="nil"/>
              <w:left w:val="nil"/>
              <w:bottom w:val="single" w:color="000000" w:sz="8" w:space="0"/>
              <w:right w:val="single" w:color="000000" w:sz="8" w:space="0"/>
            </w:tcBorders>
            <w:shd w:val="clear" w:color="auto" w:fill="auto"/>
            <w:vAlign w:val="center"/>
          </w:tcPr>
          <w:p w14:paraId="02015EB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1ECF69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7ED188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可视化单呼连线</w:t>
            </w:r>
          </w:p>
        </w:tc>
        <w:tc>
          <w:tcPr>
            <w:tcW w:w="4234" w:type="dxa"/>
            <w:tcBorders>
              <w:top w:val="nil"/>
              <w:left w:val="nil"/>
              <w:bottom w:val="single" w:color="000000" w:sz="8" w:space="0"/>
              <w:right w:val="single" w:color="000000" w:sz="8" w:space="0"/>
            </w:tcBorders>
            <w:shd w:val="clear" w:color="auto" w:fill="auto"/>
            <w:vAlign w:val="center"/>
          </w:tcPr>
          <w:p w14:paraId="571004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后台地图上选择执法人员发起视频单呼。执法记录仪、执法终端、PC坐席端三类设备可两两间可发起连线单呼。</w:t>
            </w:r>
          </w:p>
        </w:tc>
      </w:tr>
      <w:tr w14:paraId="132C4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37B515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497" w:type="dxa"/>
            <w:vMerge w:val="continue"/>
            <w:tcBorders>
              <w:top w:val="nil"/>
              <w:left w:val="nil"/>
              <w:bottom w:val="single" w:color="000000" w:sz="8" w:space="0"/>
              <w:right w:val="single" w:color="000000" w:sz="8" w:space="0"/>
            </w:tcBorders>
            <w:shd w:val="clear" w:color="auto" w:fill="auto"/>
            <w:vAlign w:val="center"/>
          </w:tcPr>
          <w:p w14:paraId="4280424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5BC1BA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77C1FC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可视化多人会议</w:t>
            </w:r>
          </w:p>
        </w:tc>
        <w:tc>
          <w:tcPr>
            <w:tcW w:w="4234" w:type="dxa"/>
            <w:tcBorders>
              <w:top w:val="nil"/>
              <w:left w:val="nil"/>
              <w:bottom w:val="single" w:color="000000" w:sz="8" w:space="0"/>
              <w:right w:val="single" w:color="000000" w:sz="8" w:space="0"/>
            </w:tcBorders>
            <w:shd w:val="clear" w:color="auto" w:fill="auto"/>
            <w:vAlign w:val="center"/>
          </w:tcPr>
          <w:p w14:paraId="75943D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后台可视化工作台发起与执法记录仪、执法终端、PC坐席端各类终端的多人视频会议（支持50路以上多人视频会议参与）。</w:t>
            </w:r>
          </w:p>
        </w:tc>
      </w:tr>
      <w:tr w14:paraId="195E7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5E29B2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497" w:type="dxa"/>
            <w:vMerge w:val="continue"/>
            <w:tcBorders>
              <w:top w:val="nil"/>
              <w:left w:val="nil"/>
              <w:bottom w:val="single" w:color="000000" w:sz="8" w:space="0"/>
              <w:right w:val="single" w:color="000000" w:sz="8" w:space="0"/>
            </w:tcBorders>
            <w:shd w:val="clear" w:color="auto" w:fill="auto"/>
            <w:vAlign w:val="center"/>
          </w:tcPr>
          <w:p w14:paraId="30A1C8E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3C44DC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5394DD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可视化消息推送</w:t>
            </w:r>
          </w:p>
        </w:tc>
        <w:tc>
          <w:tcPr>
            <w:tcW w:w="4234" w:type="dxa"/>
            <w:tcBorders>
              <w:top w:val="nil"/>
              <w:left w:val="nil"/>
              <w:bottom w:val="single" w:color="000000" w:sz="8" w:space="0"/>
              <w:right w:val="single" w:color="000000" w:sz="8" w:space="0"/>
            </w:tcBorders>
            <w:shd w:val="clear" w:color="auto" w:fill="auto"/>
            <w:vAlign w:val="center"/>
          </w:tcPr>
          <w:p w14:paraId="7E7498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后台地图上点击或框选推送（或群发）消息到执法记录仪端。</w:t>
            </w:r>
          </w:p>
        </w:tc>
      </w:tr>
      <w:tr w14:paraId="683B0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698228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497" w:type="dxa"/>
            <w:vMerge w:val="continue"/>
            <w:tcBorders>
              <w:top w:val="nil"/>
              <w:left w:val="nil"/>
              <w:bottom w:val="single" w:color="000000" w:sz="8" w:space="0"/>
              <w:right w:val="single" w:color="000000" w:sz="8" w:space="0"/>
            </w:tcBorders>
            <w:shd w:val="clear" w:color="auto" w:fill="auto"/>
            <w:vAlign w:val="center"/>
          </w:tcPr>
          <w:p w14:paraId="0E968DD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7EABDA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0AF512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指挥中心监控接入</w:t>
            </w:r>
          </w:p>
        </w:tc>
        <w:tc>
          <w:tcPr>
            <w:tcW w:w="4234" w:type="dxa"/>
            <w:tcBorders>
              <w:top w:val="nil"/>
              <w:left w:val="nil"/>
              <w:bottom w:val="single" w:color="000000" w:sz="8" w:space="0"/>
              <w:right w:val="single" w:color="000000" w:sz="8" w:space="0"/>
            </w:tcBorders>
            <w:shd w:val="clear" w:color="auto" w:fill="auto"/>
            <w:vAlign w:val="center"/>
          </w:tcPr>
          <w:p w14:paraId="34668D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根据国标GB28181协议接入指挥中心视频云平台。在云平台的单兵类监控可拉起一线执法人员的执法记录仪摄像头，查看实时监控画面。</w:t>
            </w:r>
          </w:p>
        </w:tc>
      </w:tr>
      <w:tr w14:paraId="22DCE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44529D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497" w:type="dxa"/>
            <w:vMerge w:val="continue"/>
            <w:tcBorders>
              <w:top w:val="nil"/>
              <w:left w:val="nil"/>
              <w:bottom w:val="single" w:color="000000" w:sz="8" w:space="0"/>
              <w:right w:val="single" w:color="000000" w:sz="8" w:space="0"/>
            </w:tcBorders>
            <w:shd w:val="clear" w:color="auto" w:fill="auto"/>
            <w:vAlign w:val="center"/>
          </w:tcPr>
          <w:p w14:paraId="5AF3C2D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79BE653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p w14:paraId="459653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一站式法制指导</w:t>
            </w:r>
            <w:r>
              <w:rPr>
                <w:rFonts w:hint="eastAsia" w:ascii="宋体" w:hAnsi="宋体" w:eastAsia="宋体" w:cs="宋体"/>
                <w:i w:val="0"/>
                <w:iCs w:val="0"/>
                <w:color w:val="000000"/>
                <w:kern w:val="0"/>
                <w:sz w:val="20"/>
                <w:szCs w:val="20"/>
                <w:u w:val="none"/>
                <w:lang w:val="en-US" w:eastAsia="zh-CN" w:bidi="ar"/>
              </w:rPr>
              <w:t>适配改造</w:t>
            </w:r>
          </w:p>
        </w:tc>
        <w:tc>
          <w:tcPr>
            <w:tcW w:w="2535" w:type="dxa"/>
            <w:tcBorders>
              <w:top w:val="nil"/>
              <w:left w:val="nil"/>
              <w:bottom w:val="single" w:color="000000" w:sz="8" w:space="0"/>
              <w:right w:val="single" w:color="000000" w:sz="8" w:space="0"/>
            </w:tcBorders>
            <w:shd w:val="clear" w:color="auto" w:fill="auto"/>
            <w:vAlign w:val="center"/>
          </w:tcPr>
          <w:p w14:paraId="1C1282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法制指导连线</w:t>
            </w:r>
          </w:p>
        </w:tc>
        <w:tc>
          <w:tcPr>
            <w:tcW w:w="4234" w:type="dxa"/>
            <w:tcBorders>
              <w:top w:val="nil"/>
              <w:left w:val="nil"/>
              <w:bottom w:val="single" w:color="000000" w:sz="8" w:space="0"/>
              <w:right w:val="single" w:color="000000" w:sz="8" w:space="0"/>
            </w:tcBorders>
            <w:shd w:val="clear" w:color="auto" w:fill="auto"/>
            <w:vAlign w:val="center"/>
          </w:tcPr>
          <w:p w14:paraId="38A487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路面执法人员使用5G执法记录仪或执法终端，向坐席端发起法制指导连线，进行视频对讲。</w:t>
            </w:r>
          </w:p>
        </w:tc>
      </w:tr>
      <w:tr w14:paraId="02A1E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23A509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80</w:t>
            </w:r>
          </w:p>
        </w:tc>
        <w:tc>
          <w:tcPr>
            <w:tcW w:w="497" w:type="dxa"/>
            <w:vMerge w:val="continue"/>
            <w:tcBorders>
              <w:top w:val="nil"/>
              <w:left w:val="nil"/>
              <w:bottom w:val="single" w:color="000000" w:sz="8" w:space="0"/>
              <w:right w:val="single" w:color="000000" w:sz="8" w:space="0"/>
            </w:tcBorders>
            <w:shd w:val="clear" w:color="auto" w:fill="auto"/>
            <w:vAlign w:val="center"/>
          </w:tcPr>
          <w:p w14:paraId="79349EB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1A4C55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7BFBD2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指导过程保存</w:t>
            </w:r>
          </w:p>
        </w:tc>
        <w:tc>
          <w:tcPr>
            <w:tcW w:w="4234" w:type="dxa"/>
            <w:tcBorders>
              <w:top w:val="nil"/>
              <w:left w:val="nil"/>
              <w:bottom w:val="single" w:color="000000" w:sz="8" w:space="0"/>
              <w:right w:val="single" w:color="000000" w:sz="8" w:space="0"/>
            </w:tcBorders>
            <w:shd w:val="clear" w:color="auto" w:fill="auto"/>
            <w:vAlign w:val="center"/>
          </w:tcPr>
          <w:p w14:paraId="6C7106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云端对法制指导的过程进行连线视频双方录制保存，系统同时自动保存办案人、指导人、时间、办案位置、指导内容等信息。</w:t>
            </w:r>
          </w:p>
        </w:tc>
      </w:tr>
      <w:tr w14:paraId="2C241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18B71D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497" w:type="dxa"/>
            <w:vMerge w:val="continue"/>
            <w:tcBorders>
              <w:top w:val="nil"/>
              <w:left w:val="nil"/>
              <w:bottom w:val="single" w:color="000000" w:sz="8" w:space="0"/>
              <w:right w:val="single" w:color="000000" w:sz="8" w:space="0"/>
            </w:tcBorders>
            <w:shd w:val="clear" w:color="auto" w:fill="auto"/>
            <w:vAlign w:val="center"/>
          </w:tcPr>
          <w:p w14:paraId="0462BD1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24E938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60D42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指导记录调阅</w:t>
            </w:r>
          </w:p>
        </w:tc>
        <w:tc>
          <w:tcPr>
            <w:tcW w:w="4234" w:type="dxa"/>
            <w:tcBorders>
              <w:top w:val="nil"/>
              <w:left w:val="nil"/>
              <w:bottom w:val="single" w:color="000000" w:sz="8" w:space="0"/>
              <w:right w:val="single" w:color="000000" w:sz="8" w:space="0"/>
            </w:tcBorders>
            <w:shd w:val="clear" w:color="auto" w:fill="auto"/>
            <w:vAlign w:val="center"/>
          </w:tcPr>
          <w:p w14:paraId="3CDC9C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在后台进行法制指导记录查询，查看详细内容（时间、执法人、法制指导人、内容、办案位置信息等）和回放视频。</w:t>
            </w:r>
          </w:p>
        </w:tc>
      </w:tr>
      <w:tr w14:paraId="60DE8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40319D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82</w:t>
            </w:r>
          </w:p>
        </w:tc>
        <w:tc>
          <w:tcPr>
            <w:tcW w:w="497" w:type="dxa"/>
            <w:vMerge w:val="continue"/>
            <w:tcBorders>
              <w:top w:val="nil"/>
              <w:left w:val="nil"/>
              <w:bottom w:val="single" w:color="000000" w:sz="8" w:space="0"/>
              <w:right w:val="single" w:color="000000" w:sz="8" w:space="0"/>
            </w:tcBorders>
            <w:shd w:val="clear" w:color="auto" w:fill="auto"/>
            <w:vAlign w:val="center"/>
          </w:tcPr>
          <w:p w14:paraId="3F02E7A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251741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593B67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指导记录管理</w:t>
            </w:r>
          </w:p>
        </w:tc>
        <w:tc>
          <w:tcPr>
            <w:tcW w:w="4234" w:type="dxa"/>
            <w:tcBorders>
              <w:top w:val="nil"/>
              <w:left w:val="nil"/>
              <w:bottom w:val="single" w:color="000000" w:sz="8" w:space="0"/>
              <w:right w:val="single" w:color="000000" w:sz="8" w:space="0"/>
            </w:tcBorders>
            <w:shd w:val="clear" w:color="auto" w:fill="auto"/>
            <w:vAlign w:val="center"/>
          </w:tcPr>
          <w:p w14:paraId="7550DB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在后台能对法制指导的内容、位置信息等进行修正</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bidi="ar"/>
              </w:rPr>
              <w:t>可对法制指导记录补充案卷编号执法对象等相关案件信息。</w:t>
            </w:r>
          </w:p>
        </w:tc>
      </w:tr>
      <w:tr w14:paraId="2CA72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34649C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83</w:t>
            </w:r>
          </w:p>
        </w:tc>
        <w:tc>
          <w:tcPr>
            <w:tcW w:w="497" w:type="dxa"/>
            <w:vMerge w:val="continue"/>
            <w:tcBorders>
              <w:top w:val="nil"/>
              <w:left w:val="nil"/>
              <w:bottom w:val="single" w:color="000000" w:sz="8" w:space="0"/>
              <w:right w:val="single" w:color="000000" w:sz="8" w:space="0"/>
            </w:tcBorders>
            <w:shd w:val="clear" w:color="auto" w:fill="auto"/>
            <w:vAlign w:val="center"/>
          </w:tcPr>
          <w:p w14:paraId="6CC2797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212217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全局互动管理</w:t>
            </w:r>
            <w:r>
              <w:rPr>
                <w:rFonts w:hint="eastAsia" w:ascii="宋体" w:hAnsi="宋体" w:eastAsia="宋体" w:cs="宋体"/>
                <w:i w:val="0"/>
                <w:iCs w:val="0"/>
                <w:color w:val="000000"/>
                <w:kern w:val="0"/>
                <w:sz w:val="20"/>
                <w:szCs w:val="20"/>
                <w:u w:val="none"/>
                <w:lang w:val="en-US" w:eastAsia="zh-CN" w:bidi="ar"/>
              </w:rPr>
              <w:t>适配改造</w:t>
            </w:r>
          </w:p>
        </w:tc>
        <w:tc>
          <w:tcPr>
            <w:tcW w:w="2535" w:type="dxa"/>
            <w:tcBorders>
              <w:top w:val="nil"/>
              <w:left w:val="nil"/>
              <w:bottom w:val="single" w:color="000000" w:sz="8" w:space="0"/>
              <w:right w:val="single" w:color="000000" w:sz="8" w:space="0"/>
            </w:tcBorders>
            <w:shd w:val="clear" w:color="auto" w:fill="auto"/>
            <w:noWrap/>
            <w:vAlign w:val="center"/>
          </w:tcPr>
          <w:p w14:paraId="71058D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互动过程保存</w:t>
            </w:r>
          </w:p>
        </w:tc>
        <w:tc>
          <w:tcPr>
            <w:tcW w:w="4234" w:type="dxa"/>
            <w:tcBorders>
              <w:top w:val="nil"/>
              <w:left w:val="nil"/>
              <w:bottom w:val="single" w:color="000000" w:sz="8" w:space="0"/>
              <w:right w:val="single" w:color="000000" w:sz="8" w:space="0"/>
            </w:tcBorders>
            <w:shd w:val="clear" w:color="auto" w:fill="auto"/>
            <w:vAlign w:val="center"/>
          </w:tcPr>
          <w:p w14:paraId="5CABD1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系统云端自动录制单呼连线以及多人会议视频保存在服务端，同时自动保存单呼和多人会议的信息记录。</w:t>
            </w:r>
          </w:p>
        </w:tc>
      </w:tr>
      <w:tr w14:paraId="38A31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02F89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84</w:t>
            </w:r>
          </w:p>
        </w:tc>
        <w:tc>
          <w:tcPr>
            <w:tcW w:w="497" w:type="dxa"/>
            <w:vMerge w:val="continue"/>
            <w:tcBorders>
              <w:top w:val="nil"/>
              <w:left w:val="nil"/>
              <w:bottom w:val="single" w:color="000000" w:sz="8" w:space="0"/>
              <w:right w:val="single" w:color="000000" w:sz="8" w:space="0"/>
            </w:tcBorders>
            <w:shd w:val="clear" w:color="auto" w:fill="auto"/>
            <w:vAlign w:val="center"/>
          </w:tcPr>
          <w:p w14:paraId="38524B3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1EE55B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65A4BB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全局互动调阅</w:t>
            </w:r>
          </w:p>
        </w:tc>
        <w:tc>
          <w:tcPr>
            <w:tcW w:w="4234" w:type="dxa"/>
            <w:tcBorders>
              <w:top w:val="nil"/>
              <w:left w:val="nil"/>
              <w:bottom w:val="single" w:color="000000" w:sz="8" w:space="0"/>
              <w:right w:val="single" w:color="000000" w:sz="8" w:space="0"/>
            </w:tcBorders>
            <w:shd w:val="clear" w:color="auto" w:fill="auto"/>
            <w:vAlign w:val="center"/>
          </w:tcPr>
          <w:p w14:paraId="4AFA6D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根据互动时间、参与的互动人员、所属部门查询单呼、多人会议、包括法制指导的所有互动记录，并且可以进行互动过程视频回放，互动详情查看。</w:t>
            </w:r>
          </w:p>
        </w:tc>
      </w:tr>
      <w:tr w14:paraId="015EB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76121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85</w:t>
            </w:r>
          </w:p>
        </w:tc>
        <w:tc>
          <w:tcPr>
            <w:tcW w:w="497" w:type="dxa"/>
            <w:vMerge w:val="continue"/>
            <w:tcBorders>
              <w:top w:val="nil"/>
              <w:left w:val="nil"/>
              <w:bottom w:val="single" w:color="000000" w:sz="8" w:space="0"/>
              <w:right w:val="single" w:color="000000" w:sz="8" w:space="0"/>
            </w:tcBorders>
            <w:shd w:val="clear" w:color="auto" w:fill="auto"/>
            <w:vAlign w:val="center"/>
          </w:tcPr>
          <w:p w14:paraId="7BF057A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7FF8ED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118D2B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全局互动管理</w:t>
            </w:r>
          </w:p>
        </w:tc>
        <w:tc>
          <w:tcPr>
            <w:tcW w:w="4234" w:type="dxa"/>
            <w:tcBorders>
              <w:top w:val="nil"/>
              <w:left w:val="nil"/>
              <w:bottom w:val="single" w:color="000000" w:sz="8" w:space="0"/>
              <w:right w:val="single" w:color="000000" w:sz="8" w:space="0"/>
            </w:tcBorders>
            <w:shd w:val="clear" w:color="auto" w:fill="auto"/>
            <w:vAlign w:val="center"/>
          </w:tcPr>
          <w:p w14:paraId="550272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可对互动记录进行互动内容、时间等信息编辑，也可以对互动记录补充案卷编号、执法对象等信息，可根据补正的安全编号进行查询调取互动内容。</w:t>
            </w:r>
          </w:p>
        </w:tc>
      </w:tr>
      <w:tr w14:paraId="0B688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6C212C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86</w:t>
            </w:r>
          </w:p>
        </w:tc>
        <w:tc>
          <w:tcPr>
            <w:tcW w:w="497" w:type="dxa"/>
            <w:vMerge w:val="continue"/>
            <w:tcBorders>
              <w:top w:val="nil"/>
              <w:left w:val="nil"/>
              <w:bottom w:val="single" w:color="000000" w:sz="8" w:space="0"/>
              <w:right w:val="single" w:color="000000" w:sz="8" w:space="0"/>
            </w:tcBorders>
            <w:shd w:val="clear" w:color="auto" w:fill="auto"/>
            <w:vAlign w:val="center"/>
          </w:tcPr>
          <w:p w14:paraId="0D3F998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27AE20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设备使用情况</w:t>
            </w:r>
            <w:r>
              <w:rPr>
                <w:rFonts w:hint="eastAsia" w:ascii="宋体" w:hAnsi="宋体" w:eastAsia="宋体" w:cs="宋体"/>
                <w:i w:val="0"/>
                <w:iCs w:val="0"/>
                <w:color w:val="000000"/>
                <w:kern w:val="0"/>
                <w:sz w:val="20"/>
                <w:szCs w:val="20"/>
                <w:u w:val="none"/>
                <w:lang w:val="en-US" w:eastAsia="zh-CN" w:bidi="ar"/>
              </w:rPr>
              <w:t>适配改造</w:t>
            </w:r>
          </w:p>
        </w:tc>
        <w:tc>
          <w:tcPr>
            <w:tcW w:w="2535" w:type="dxa"/>
            <w:tcBorders>
              <w:top w:val="nil"/>
              <w:left w:val="nil"/>
              <w:bottom w:val="single" w:color="000000" w:sz="8" w:space="0"/>
              <w:right w:val="single" w:color="000000" w:sz="8" w:space="0"/>
            </w:tcBorders>
            <w:shd w:val="clear" w:color="auto" w:fill="auto"/>
            <w:noWrap/>
            <w:vAlign w:val="center"/>
          </w:tcPr>
          <w:p w14:paraId="0657EA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设备数量统计</w:t>
            </w:r>
          </w:p>
        </w:tc>
        <w:tc>
          <w:tcPr>
            <w:tcW w:w="4234" w:type="dxa"/>
            <w:tcBorders>
              <w:top w:val="nil"/>
              <w:left w:val="nil"/>
              <w:bottom w:val="single" w:color="000000" w:sz="8" w:space="0"/>
              <w:right w:val="single" w:color="000000" w:sz="8" w:space="0"/>
            </w:tcBorders>
            <w:shd w:val="clear" w:color="auto" w:fill="auto"/>
            <w:vAlign w:val="center"/>
          </w:tcPr>
          <w:p w14:paraId="0A17D1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后台展示各中队执法记录仪配备数量、人员配备情况。</w:t>
            </w:r>
          </w:p>
        </w:tc>
      </w:tr>
      <w:tr w14:paraId="318B8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06A31A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497" w:type="dxa"/>
            <w:vMerge w:val="continue"/>
            <w:tcBorders>
              <w:top w:val="nil"/>
              <w:left w:val="nil"/>
              <w:bottom w:val="single" w:color="000000" w:sz="8" w:space="0"/>
              <w:right w:val="single" w:color="000000" w:sz="8" w:space="0"/>
            </w:tcBorders>
            <w:shd w:val="clear" w:color="auto" w:fill="auto"/>
            <w:vAlign w:val="center"/>
          </w:tcPr>
          <w:p w14:paraId="120F837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69C5C6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18D255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使用情况统计</w:t>
            </w:r>
          </w:p>
        </w:tc>
        <w:tc>
          <w:tcPr>
            <w:tcW w:w="4234" w:type="dxa"/>
            <w:tcBorders>
              <w:top w:val="nil"/>
              <w:left w:val="nil"/>
              <w:bottom w:val="single" w:color="000000" w:sz="8" w:space="0"/>
              <w:right w:val="single" w:color="000000" w:sz="8" w:space="0"/>
            </w:tcBorders>
            <w:shd w:val="clear" w:color="auto" w:fill="auto"/>
            <w:vAlign w:val="center"/>
          </w:tcPr>
          <w:p w14:paraId="7F1B7B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后台统计在用设备、跃执法队员的情况。</w:t>
            </w:r>
          </w:p>
        </w:tc>
      </w:tr>
      <w:tr w14:paraId="69A95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53092E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497" w:type="dxa"/>
            <w:vMerge w:val="continue"/>
            <w:tcBorders>
              <w:top w:val="nil"/>
              <w:left w:val="nil"/>
              <w:bottom w:val="single" w:color="000000" w:sz="8" w:space="0"/>
              <w:right w:val="single" w:color="000000" w:sz="8" w:space="0"/>
            </w:tcBorders>
            <w:shd w:val="clear" w:color="auto" w:fill="auto"/>
            <w:vAlign w:val="center"/>
          </w:tcPr>
          <w:p w14:paraId="689505E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0BE7E4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执法情况统计</w:t>
            </w:r>
            <w:r>
              <w:rPr>
                <w:rFonts w:hint="eastAsia" w:ascii="宋体" w:hAnsi="宋体" w:eastAsia="宋体" w:cs="宋体"/>
                <w:i w:val="0"/>
                <w:iCs w:val="0"/>
                <w:color w:val="000000"/>
                <w:kern w:val="0"/>
                <w:sz w:val="20"/>
                <w:szCs w:val="20"/>
                <w:u w:val="none"/>
                <w:lang w:val="en-US" w:eastAsia="zh-CN" w:bidi="ar"/>
              </w:rPr>
              <w:t>适配改造</w:t>
            </w:r>
          </w:p>
        </w:tc>
        <w:tc>
          <w:tcPr>
            <w:tcW w:w="2535" w:type="dxa"/>
            <w:tcBorders>
              <w:top w:val="nil"/>
              <w:left w:val="nil"/>
              <w:bottom w:val="single" w:color="000000" w:sz="8" w:space="0"/>
              <w:right w:val="single" w:color="000000" w:sz="8" w:space="0"/>
            </w:tcBorders>
            <w:shd w:val="clear" w:color="auto" w:fill="auto"/>
            <w:noWrap/>
            <w:vAlign w:val="center"/>
          </w:tcPr>
          <w:p w14:paraId="0F8BDF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执法时长统计</w:t>
            </w:r>
          </w:p>
        </w:tc>
        <w:tc>
          <w:tcPr>
            <w:tcW w:w="4234" w:type="dxa"/>
            <w:tcBorders>
              <w:top w:val="nil"/>
              <w:left w:val="nil"/>
              <w:bottom w:val="single" w:color="000000" w:sz="8" w:space="0"/>
              <w:right w:val="single" w:color="000000" w:sz="8" w:space="0"/>
            </w:tcBorders>
            <w:shd w:val="clear" w:color="auto" w:fill="auto"/>
            <w:vAlign w:val="center"/>
          </w:tcPr>
          <w:p w14:paraId="59A40D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后台统计展示在某时间范围内各中队、或执法人员记录仪上传视频记录数，并进行量由大到小排序。按局级用户、中队用户登录后不同形式展示，局级部门可以中队和人员两种形式展示，中队以人员展示。</w:t>
            </w:r>
          </w:p>
        </w:tc>
      </w:tr>
      <w:tr w14:paraId="2818F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5C98E4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w:t>
            </w:r>
          </w:p>
        </w:tc>
        <w:tc>
          <w:tcPr>
            <w:tcW w:w="497" w:type="dxa"/>
            <w:vMerge w:val="continue"/>
            <w:tcBorders>
              <w:top w:val="nil"/>
              <w:left w:val="nil"/>
              <w:bottom w:val="single" w:color="000000" w:sz="8" w:space="0"/>
              <w:right w:val="single" w:color="000000" w:sz="8" w:space="0"/>
            </w:tcBorders>
            <w:shd w:val="clear" w:color="auto" w:fill="auto"/>
            <w:vAlign w:val="center"/>
          </w:tcPr>
          <w:p w14:paraId="5CFF281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7120BD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215DB1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执法记录统计</w:t>
            </w:r>
          </w:p>
        </w:tc>
        <w:tc>
          <w:tcPr>
            <w:tcW w:w="4234" w:type="dxa"/>
            <w:tcBorders>
              <w:top w:val="nil"/>
              <w:left w:val="nil"/>
              <w:bottom w:val="single" w:color="000000" w:sz="8" w:space="0"/>
              <w:right w:val="single" w:color="000000" w:sz="8" w:space="0"/>
            </w:tcBorders>
            <w:shd w:val="clear" w:color="auto" w:fill="auto"/>
            <w:vAlign w:val="center"/>
          </w:tcPr>
          <w:p w14:paraId="31AA45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后台统计展示在某时间范围内各中队、或执法人员记录仪执法视频时长，并进行量由大到小排序。按局级用户、中队用户登录后不同形式展示，局级部门可以中队和人员两种形式展示，中队以人员展示。</w:t>
            </w:r>
          </w:p>
        </w:tc>
      </w:tr>
      <w:tr w14:paraId="33EE6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64F996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497" w:type="dxa"/>
            <w:vMerge w:val="continue"/>
            <w:tcBorders>
              <w:top w:val="nil"/>
              <w:left w:val="nil"/>
              <w:bottom w:val="single" w:color="000000" w:sz="8" w:space="0"/>
              <w:right w:val="single" w:color="000000" w:sz="8" w:space="0"/>
            </w:tcBorders>
            <w:shd w:val="clear" w:color="auto" w:fill="auto"/>
            <w:vAlign w:val="center"/>
          </w:tcPr>
          <w:p w14:paraId="3150BEA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tcBorders>
              <w:top w:val="nil"/>
              <w:left w:val="nil"/>
              <w:bottom w:val="single" w:color="000000" w:sz="8" w:space="0"/>
              <w:right w:val="single" w:color="000000" w:sz="8" w:space="0"/>
            </w:tcBorders>
            <w:shd w:val="clear" w:color="auto" w:fill="auto"/>
            <w:vAlign w:val="center"/>
          </w:tcPr>
          <w:p w14:paraId="4647A4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互动连线统计</w:t>
            </w:r>
            <w:r>
              <w:rPr>
                <w:rFonts w:hint="eastAsia" w:ascii="宋体" w:hAnsi="宋体" w:eastAsia="宋体" w:cs="宋体"/>
                <w:i w:val="0"/>
                <w:iCs w:val="0"/>
                <w:color w:val="000000"/>
                <w:kern w:val="0"/>
                <w:sz w:val="20"/>
                <w:szCs w:val="20"/>
                <w:u w:val="none"/>
                <w:lang w:val="en-US" w:eastAsia="zh-CN" w:bidi="ar"/>
              </w:rPr>
              <w:t>适配改造</w:t>
            </w:r>
          </w:p>
        </w:tc>
        <w:tc>
          <w:tcPr>
            <w:tcW w:w="2535" w:type="dxa"/>
            <w:tcBorders>
              <w:top w:val="nil"/>
              <w:left w:val="nil"/>
              <w:bottom w:val="single" w:color="000000" w:sz="8" w:space="0"/>
              <w:right w:val="single" w:color="000000" w:sz="8" w:space="0"/>
            </w:tcBorders>
            <w:shd w:val="clear" w:color="auto" w:fill="auto"/>
            <w:noWrap/>
            <w:vAlign w:val="center"/>
          </w:tcPr>
          <w:p w14:paraId="3FAB52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法制指导统计</w:t>
            </w:r>
          </w:p>
        </w:tc>
        <w:tc>
          <w:tcPr>
            <w:tcW w:w="4234" w:type="dxa"/>
            <w:tcBorders>
              <w:top w:val="nil"/>
              <w:left w:val="nil"/>
              <w:bottom w:val="single" w:color="000000" w:sz="8" w:space="0"/>
              <w:right w:val="single" w:color="000000" w:sz="8" w:space="0"/>
            </w:tcBorders>
            <w:shd w:val="clear" w:color="auto" w:fill="auto"/>
            <w:vAlign w:val="center"/>
          </w:tcPr>
          <w:p w14:paraId="27A80B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后台统计展示在某时间范围内各中队、或执法人员法制指导记录数，并进行量由大到小排序。按局级用户、中队用户登录后不同形式展示，局级部门可以中队和人员两种形式展示，中队以人员展示。</w:t>
            </w:r>
          </w:p>
        </w:tc>
      </w:tr>
      <w:tr w14:paraId="2E29B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6681BC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497" w:type="dxa"/>
            <w:vMerge w:val="continue"/>
            <w:tcBorders>
              <w:top w:val="nil"/>
              <w:left w:val="nil"/>
              <w:bottom w:val="single" w:color="000000" w:sz="8" w:space="0"/>
              <w:right w:val="single" w:color="000000" w:sz="8" w:space="0"/>
            </w:tcBorders>
            <w:shd w:val="clear" w:color="auto" w:fill="auto"/>
            <w:vAlign w:val="center"/>
          </w:tcPr>
          <w:p w14:paraId="42129DC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2C9308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存储服务器管理</w:t>
            </w:r>
            <w:r>
              <w:rPr>
                <w:rFonts w:hint="eastAsia" w:ascii="宋体" w:hAnsi="宋体" w:eastAsia="宋体" w:cs="宋体"/>
                <w:i w:val="0"/>
                <w:iCs w:val="0"/>
                <w:color w:val="000000"/>
                <w:kern w:val="0"/>
                <w:sz w:val="20"/>
                <w:szCs w:val="20"/>
                <w:u w:val="none"/>
                <w:lang w:val="en-US" w:eastAsia="zh-CN" w:bidi="ar"/>
              </w:rPr>
              <w:t>适配改造</w:t>
            </w:r>
          </w:p>
        </w:tc>
        <w:tc>
          <w:tcPr>
            <w:tcW w:w="2535" w:type="dxa"/>
            <w:tcBorders>
              <w:top w:val="nil"/>
              <w:left w:val="nil"/>
              <w:bottom w:val="single" w:color="000000" w:sz="8" w:space="0"/>
              <w:right w:val="single" w:color="000000" w:sz="8" w:space="0"/>
            </w:tcBorders>
            <w:shd w:val="clear" w:color="auto" w:fill="auto"/>
            <w:noWrap/>
            <w:vAlign w:val="center"/>
          </w:tcPr>
          <w:p w14:paraId="25EC0C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存储服务扩展配置</w:t>
            </w:r>
          </w:p>
        </w:tc>
        <w:tc>
          <w:tcPr>
            <w:tcW w:w="4234" w:type="dxa"/>
            <w:tcBorders>
              <w:top w:val="nil"/>
              <w:left w:val="nil"/>
              <w:bottom w:val="single" w:color="000000" w:sz="8" w:space="0"/>
              <w:right w:val="single" w:color="000000" w:sz="8" w:space="0"/>
            </w:tcBorders>
            <w:shd w:val="clear" w:color="auto" w:fill="auto"/>
            <w:vAlign w:val="center"/>
          </w:tcPr>
          <w:p w14:paraId="783DD1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后台配置登记新的存储服务，包括配置服务编号、存储服务名称、服务器地理位置、所属部门、IP地址MAC地址、投产时间、责任联系人；配置存储服务接收音视频上传和证据调取的信息(如上传的FTP服务、下载的Http服务的地址及目录信息)。</w:t>
            </w:r>
          </w:p>
        </w:tc>
      </w:tr>
      <w:tr w14:paraId="207E0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4555EE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497" w:type="dxa"/>
            <w:vMerge w:val="continue"/>
            <w:tcBorders>
              <w:top w:val="nil"/>
              <w:left w:val="nil"/>
              <w:bottom w:val="single" w:color="000000" w:sz="8" w:space="0"/>
              <w:right w:val="single" w:color="000000" w:sz="8" w:space="0"/>
            </w:tcBorders>
            <w:shd w:val="clear" w:color="auto" w:fill="auto"/>
            <w:vAlign w:val="center"/>
          </w:tcPr>
          <w:p w14:paraId="01954F6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66B3E6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3CD963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存储服务运行监控</w:t>
            </w:r>
          </w:p>
        </w:tc>
        <w:tc>
          <w:tcPr>
            <w:tcW w:w="4234" w:type="dxa"/>
            <w:tcBorders>
              <w:top w:val="nil"/>
              <w:left w:val="nil"/>
              <w:bottom w:val="single" w:color="000000" w:sz="8" w:space="0"/>
              <w:right w:val="single" w:color="000000" w:sz="8" w:space="0"/>
            </w:tcBorders>
            <w:shd w:val="clear" w:color="auto" w:fill="auto"/>
            <w:vAlign w:val="center"/>
          </w:tcPr>
          <w:p w14:paraId="0CA59B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实现对证据存储服务器上运行情况进行监控，包括对磁盘空间、CPU、内存使用率、网络状态进行监控。</w:t>
            </w:r>
          </w:p>
        </w:tc>
      </w:tr>
      <w:tr w14:paraId="3A415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2A96AD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93</w:t>
            </w:r>
          </w:p>
        </w:tc>
        <w:tc>
          <w:tcPr>
            <w:tcW w:w="497" w:type="dxa"/>
            <w:vMerge w:val="continue"/>
            <w:tcBorders>
              <w:top w:val="nil"/>
              <w:left w:val="nil"/>
              <w:bottom w:val="single" w:color="000000" w:sz="8" w:space="0"/>
              <w:right w:val="single" w:color="000000" w:sz="8" w:space="0"/>
            </w:tcBorders>
            <w:shd w:val="clear" w:color="auto" w:fill="auto"/>
            <w:vAlign w:val="center"/>
          </w:tcPr>
          <w:p w14:paraId="4B709F8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0CFF46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0CF1CA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存储服务信息查询</w:t>
            </w:r>
          </w:p>
        </w:tc>
        <w:tc>
          <w:tcPr>
            <w:tcW w:w="4234" w:type="dxa"/>
            <w:tcBorders>
              <w:top w:val="nil"/>
              <w:left w:val="nil"/>
              <w:bottom w:val="single" w:color="000000" w:sz="8" w:space="0"/>
              <w:right w:val="single" w:color="000000" w:sz="8" w:space="0"/>
            </w:tcBorders>
            <w:shd w:val="clear" w:color="auto" w:fill="auto"/>
            <w:vAlign w:val="center"/>
          </w:tcPr>
          <w:p w14:paraId="789265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后台可查询证据服务器清单,并查看服务器详细信息，以及运行状态是否异常，磁盘空间、CPU、内存使用率的实时监控运行指标曲线图。</w:t>
            </w:r>
          </w:p>
        </w:tc>
      </w:tr>
      <w:tr w14:paraId="39932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22BB7A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94</w:t>
            </w:r>
          </w:p>
        </w:tc>
        <w:tc>
          <w:tcPr>
            <w:tcW w:w="497" w:type="dxa"/>
            <w:vMerge w:val="continue"/>
            <w:tcBorders>
              <w:top w:val="nil"/>
              <w:left w:val="nil"/>
              <w:bottom w:val="single" w:color="000000" w:sz="8" w:space="0"/>
              <w:right w:val="single" w:color="000000" w:sz="8" w:space="0"/>
            </w:tcBorders>
            <w:shd w:val="clear" w:color="auto" w:fill="auto"/>
            <w:vAlign w:val="center"/>
          </w:tcPr>
          <w:p w14:paraId="5A0B45C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61164D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采集工作站管理</w:t>
            </w:r>
            <w:r>
              <w:rPr>
                <w:rFonts w:hint="eastAsia" w:ascii="宋体" w:hAnsi="宋体" w:eastAsia="宋体" w:cs="宋体"/>
                <w:i w:val="0"/>
                <w:iCs w:val="0"/>
                <w:color w:val="000000"/>
                <w:kern w:val="0"/>
                <w:sz w:val="20"/>
                <w:szCs w:val="20"/>
                <w:u w:val="none"/>
                <w:lang w:val="en-US" w:eastAsia="zh-CN" w:bidi="ar"/>
              </w:rPr>
              <w:t>适配改造</w:t>
            </w:r>
          </w:p>
        </w:tc>
        <w:tc>
          <w:tcPr>
            <w:tcW w:w="2535" w:type="dxa"/>
            <w:tcBorders>
              <w:top w:val="nil"/>
              <w:left w:val="nil"/>
              <w:bottom w:val="single" w:color="000000" w:sz="8" w:space="0"/>
              <w:right w:val="single" w:color="000000" w:sz="8" w:space="0"/>
            </w:tcBorders>
            <w:shd w:val="clear" w:color="auto" w:fill="auto"/>
            <w:noWrap/>
            <w:vAlign w:val="center"/>
          </w:tcPr>
          <w:p w14:paraId="29114F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采集站接入配置</w:t>
            </w:r>
          </w:p>
        </w:tc>
        <w:tc>
          <w:tcPr>
            <w:tcW w:w="4234" w:type="dxa"/>
            <w:tcBorders>
              <w:top w:val="nil"/>
              <w:left w:val="nil"/>
              <w:bottom w:val="single" w:color="000000" w:sz="8" w:space="0"/>
              <w:right w:val="single" w:color="000000" w:sz="8" w:space="0"/>
            </w:tcBorders>
            <w:shd w:val="clear" w:color="auto" w:fill="auto"/>
            <w:vAlign w:val="center"/>
          </w:tcPr>
          <w:p w14:paraId="04806D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后台对各中队工作站的配置管理，包括工作站编号、工作站地址、名称、IP及MAC、所属部门、投产时间、责任联系人，以及动态配置接入的证据存储服务。</w:t>
            </w:r>
          </w:p>
        </w:tc>
      </w:tr>
      <w:tr w14:paraId="04789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42785B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497" w:type="dxa"/>
            <w:vMerge w:val="continue"/>
            <w:tcBorders>
              <w:top w:val="nil"/>
              <w:left w:val="nil"/>
              <w:bottom w:val="single" w:color="000000" w:sz="8" w:space="0"/>
              <w:right w:val="single" w:color="000000" w:sz="8" w:space="0"/>
            </w:tcBorders>
            <w:shd w:val="clear" w:color="auto" w:fill="auto"/>
            <w:vAlign w:val="center"/>
          </w:tcPr>
          <w:p w14:paraId="7016267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41BDE0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636F67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采集站运行监控</w:t>
            </w:r>
          </w:p>
        </w:tc>
        <w:tc>
          <w:tcPr>
            <w:tcW w:w="4234" w:type="dxa"/>
            <w:tcBorders>
              <w:top w:val="nil"/>
              <w:left w:val="nil"/>
              <w:bottom w:val="single" w:color="000000" w:sz="8" w:space="0"/>
              <w:right w:val="single" w:color="000000" w:sz="8" w:space="0"/>
            </w:tcBorders>
            <w:shd w:val="clear" w:color="auto" w:fill="auto"/>
            <w:vAlign w:val="center"/>
          </w:tcPr>
          <w:p w14:paraId="607FD5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实现工作站的进行状态监控，包括磁盘空间、CPU、内存使用率、网络状态进行监控。</w:t>
            </w:r>
          </w:p>
        </w:tc>
      </w:tr>
      <w:tr w14:paraId="04E72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118156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497" w:type="dxa"/>
            <w:vMerge w:val="continue"/>
            <w:tcBorders>
              <w:top w:val="nil"/>
              <w:left w:val="nil"/>
              <w:bottom w:val="single" w:color="000000" w:sz="8" w:space="0"/>
              <w:right w:val="single" w:color="000000" w:sz="8" w:space="0"/>
            </w:tcBorders>
            <w:shd w:val="clear" w:color="auto" w:fill="auto"/>
            <w:vAlign w:val="center"/>
          </w:tcPr>
          <w:p w14:paraId="116BE9D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2B7186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0D526D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采集站信息查询</w:t>
            </w:r>
          </w:p>
        </w:tc>
        <w:tc>
          <w:tcPr>
            <w:tcW w:w="4234" w:type="dxa"/>
            <w:tcBorders>
              <w:top w:val="nil"/>
              <w:left w:val="nil"/>
              <w:bottom w:val="single" w:color="000000" w:sz="8" w:space="0"/>
              <w:right w:val="single" w:color="000000" w:sz="8" w:space="0"/>
            </w:tcBorders>
            <w:shd w:val="clear" w:color="auto" w:fill="auto"/>
            <w:vAlign w:val="center"/>
          </w:tcPr>
          <w:p w14:paraId="4F424A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可根据IP地址等查询工作站设备。并查看工作站详情，运行是否异常，磁盘空间、CPU、内存使用率实时监控运行指标曲线图。</w:t>
            </w:r>
          </w:p>
        </w:tc>
      </w:tr>
      <w:tr w14:paraId="7ED23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0A3619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w:t>
            </w:r>
          </w:p>
        </w:tc>
        <w:tc>
          <w:tcPr>
            <w:tcW w:w="497" w:type="dxa"/>
            <w:vMerge w:val="continue"/>
            <w:tcBorders>
              <w:top w:val="nil"/>
              <w:left w:val="nil"/>
              <w:bottom w:val="single" w:color="000000" w:sz="8" w:space="0"/>
              <w:right w:val="single" w:color="000000" w:sz="8" w:space="0"/>
            </w:tcBorders>
            <w:shd w:val="clear" w:color="auto" w:fill="auto"/>
            <w:vAlign w:val="center"/>
          </w:tcPr>
          <w:p w14:paraId="786E3C8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22A5C9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执法仪设备管理</w:t>
            </w:r>
            <w:r>
              <w:rPr>
                <w:rFonts w:hint="eastAsia" w:ascii="宋体" w:hAnsi="宋体" w:eastAsia="宋体" w:cs="宋体"/>
                <w:i w:val="0"/>
                <w:iCs w:val="0"/>
                <w:color w:val="000000"/>
                <w:kern w:val="0"/>
                <w:sz w:val="20"/>
                <w:szCs w:val="20"/>
                <w:u w:val="none"/>
                <w:lang w:val="en-US" w:eastAsia="zh-CN" w:bidi="ar"/>
              </w:rPr>
              <w:t>适配改造</w:t>
            </w:r>
          </w:p>
        </w:tc>
        <w:tc>
          <w:tcPr>
            <w:tcW w:w="2535" w:type="dxa"/>
            <w:tcBorders>
              <w:top w:val="nil"/>
              <w:left w:val="nil"/>
              <w:bottom w:val="single" w:color="000000" w:sz="8" w:space="0"/>
              <w:right w:val="single" w:color="000000" w:sz="8" w:space="0"/>
            </w:tcBorders>
            <w:shd w:val="clear" w:color="auto" w:fill="auto"/>
            <w:noWrap/>
            <w:vAlign w:val="center"/>
          </w:tcPr>
          <w:p w14:paraId="715DD4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执法记录仪注册登记</w:t>
            </w:r>
          </w:p>
        </w:tc>
        <w:tc>
          <w:tcPr>
            <w:tcW w:w="4234" w:type="dxa"/>
            <w:tcBorders>
              <w:top w:val="nil"/>
              <w:left w:val="nil"/>
              <w:bottom w:val="single" w:color="000000" w:sz="8" w:space="0"/>
              <w:right w:val="single" w:color="000000" w:sz="8" w:space="0"/>
            </w:tcBorders>
            <w:shd w:val="clear" w:color="auto" w:fill="auto"/>
            <w:vAlign w:val="center"/>
          </w:tcPr>
          <w:p w14:paraId="10AC45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后台实现对执法记录仪设备的注册管理，包括设备序列号、设备名称、设备品牌、型号、所属部门、设备管理状态，设备使用人员等信息的登记注册。</w:t>
            </w:r>
          </w:p>
        </w:tc>
      </w:tr>
      <w:tr w14:paraId="49E0B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1AE226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497" w:type="dxa"/>
            <w:vMerge w:val="continue"/>
            <w:tcBorders>
              <w:top w:val="nil"/>
              <w:left w:val="nil"/>
              <w:bottom w:val="single" w:color="000000" w:sz="8" w:space="0"/>
              <w:right w:val="single" w:color="000000" w:sz="8" w:space="0"/>
            </w:tcBorders>
            <w:shd w:val="clear" w:color="auto" w:fill="auto"/>
            <w:vAlign w:val="center"/>
          </w:tcPr>
          <w:p w14:paraId="433D876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34A2CC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5F4770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执法记录仪人员变更</w:t>
            </w:r>
          </w:p>
        </w:tc>
        <w:tc>
          <w:tcPr>
            <w:tcW w:w="4234" w:type="dxa"/>
            <w:tcBorders>
              <w:top w:val="nil"/>
              <w:left w:val="nil"/>
              <w:bottom w:val="single" w:color="000000" w:sz="8" w:space="0"/>
              <w:right w:val="single" w:color="000000" w:sz="8" w:space="0"/>
            </w:tcBorders>
            <w:shd w:val="clear" w:color="auto" w:fill="auto"/>
            <w:vAlign w:val="center"/>
          </w:tcPr>
          <w:p w14:paraId="53D042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后台可实现对执法记录仪人员进行绑定变更，并记录变更记录。</w:t>
            </w:r>
          </w:p>
        </w:tc>
      </w:tr>
      <w:tr w14:paraId="26EC4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5A8DA5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w:t>
            </w:r>
          </w:p>
        </w:tc>
        <w:tc>
          <w:tcPr>
            <w:tcW w:w="497" w:type="dxa"/>
            <w:vMerge w:val="continue"/>
            <w:tcBorders>
              <w:top w:val="nil"/>
              <w:left w:val="nil"/>
              <w:bottom w:val="single" w:color="000000" w:sz="8" w:space="0"/>
              <w:right w:val="single" w:color="000000" w:sz="8" w:space="0"/>
            </w:tcBorders>
            <w:shd w:val="clear" w:color="auto" w:fill="auto"/>
            <w:vAlign w:val="center"/>
          </w:tcPr>
          <w:p w14:paraId="1E86507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12741A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6BA3C0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执法记录仪信息查询</w:t>
            </w:r>
          </w:p>
        </w:tc>
        <w:tc>
          <w:tcPr>
            <w:tcW w:w="4234" w:type="dxa"/>
            <w:tcBorders>
              <w:top w:val="nil"/>
              <w:left w:val="nil"/>
              <w:bottom w:val="single" w:color="000000" w:sz="8" w:space="0"/>
              <w:right w:val="single" w:color="000000" w:sz="8" w:space="0"/>
            </w:tcBorders>
            <w:shd w:val="clear" w:color="auto" w:fill="auto"/>
            <w:vAlign w:val="center"/>
          </w:tcPr>
          <w:p w14:paraId="555974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后台可通过设备序列号、使用人信息、所属部门、管理状态等信息查询设备，可查看设备的详细注册信息、以及设备使用人变更历史记录。</w:t>
            </w:r>
          </w:p>
        </w:tc>
      </w:tr>
      <w:tr w14:paraId="4D81C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59F324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497" w:type="dxa"/>
            <w:vMerge w:val="continue"/>
            <w:tcBorders>
              <w:top w:val="nil"/>
              <w:left w:val="nil"/>
              <w:bottom w:val="single" w:color="000000" w:sz="8" w:space="0"/>
              <w:right w:val="single" w:color="000000" w:sz="8" w:space="0"/>
            </w:tcBorders>
            <w:shd w:val="clear" w:color="auto" w:fill="auto"/>
            <w:vAlign w:val="center"/>
          </w:tcPr>
          <w:p w14:paraId="27E2C52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656C42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执法用户管理</w:t>
            </w:r>
            <w:r>
              <w:rPr>
                <w:rFonts w:hint="eastAsia" w:ascii="宋体" w:hAnsi="宋体" w:eastAsia="宋体" w:cs="宋体"/>
                <w:i w:val="0"/>
                <w:iCs w:val="0"/>
                <w:color w:val="000000"/>
                <w:kern w:val="0"/>
                <w:sz w:val="20"/>
                <w:szCs w:val="20"/>
                <w:u w:val="none"/>
                <w:lang w:val="en-US" w:eastAsia="zh-CN" w:bidi="ar"/>
              </w:rPr>
              <w:t>适配改造</w:t>
            </w:r>
          </w:p>
        </w:tc>
        <w:tc>
          <w:tcPr>
            <w:tcW w:w="2535" w:type="dxa"/>
            <w:tcBorders>
              <w:top w:val="nil"/>
              <w:left w:val="nil"/>
              <w:bottom w:val="single" w:color="000000" w:sz="8" w:space="0"/>
              <w:right w:val="single" w:color="000000" w:sz="8" w:space="0"/>
            </w:tcBorders>
            <w:shd w:val="clear" w:color="auto" w:fill="auto"/>
            <w:noWrap/>
            <w:vAlign w:val="center"/>
          </w:tcPr>
          <w:p w14:paraId="2255CF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执法人员管理</w:t>
            </w:r>
          </w:p>
        </w:tc>
        <w:tc>
          <w:tcPr>
            <w:tcW w:w="4234" w:type="dxa"/>
            <w:tcBorders>
              <w:top w:val="nil"/>
              <w:left w:val="nil"/>
              <w:bottom w:val="single" w:color="000000" w:sz="8" w:space="0"/>
              <w:right w:val="single" w:color="000000" w:sz="8" w:space="0"/>
            </w:tcBorders>
            <w:shd w:val="clear" w:color="auto" w:fill="auto"/>
            <w:vAlign w:val="center"/>
          </w:tcPr>
          <w:p w14:paraId="2F11F5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后台对执法局中队的执法记录仪人员进行管理，包括人员信息新增、修改、删除、查询。以及绑定和解绑相关的执法记录仪设备。</w:t>
            </w:r>
          </w:p>
        </w:tc>
      </w:tr>
      <w:tr w14:paraId="3E09D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00E30D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w:t>
            </w:r>
          </w:p>
        </w:tc>
        <w:tc>
          <w:tcPr>
            <w:tcW w:w="497" w:type="dxa"/>
            <w:vMerge w:val="continue"/>
            <w:tcBorders>
              <w:top w:val="nil"/>
              <w:left w:val="nil"/>
              <w:bottom w:val="single" w:color="000000" w:sz="8" w:space="0"/>
              <w:right w:val="single" w:color="000000" w:sz="8" w:space="0"/>
            </w:tcBorders>
            <w:shd w:val="clear" w:color="auto" w:fill="auto"/>
            <w:vAlign w:val="center"/>
          </w:tcPr>
          <w:p w14:paraId="7BF7878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69AAF0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4C9787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街道人员管理</w:t>
            </w:r>
          </w:p>
        </w:tc>
        <w:tc>
          <w:tcPr>
            <w:tcW w:w="4234" w:type="dxa"/>
            <w:tcBorders>
              <w:top w:val="nil"/>
              <w:left w:val="nil"/>
              <w:bottom w:val="single" w:color="000000" w:sz="8" w:space="0"/>
              <w:right w:val="single" w:color="000000" w:sz="8" w:space="0"/>
            </w:tcBorders>
            <w:shd w:val="clear" w:color="auto" w:fill="auto"/>
            <w:vAlign w:val="center"/>
          </w:tcPr>
          <w:p w14:paraId="438D88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后台对使用执法记录仪的街道人员进行管理，包括人员信息新增、修改、删除、查询</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bidi="ar"/>
              </w:rPr>
              <w:t>以及与执法局中队同人员对应关系管理</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bidi="ar"/>
              </w:rPr>
              <w:t>绑定和解绑相关的执法记录仪设备。</w:t>
            </w:r>
          </w:p>
        </w:tc>
      </w:tr>
      <w:tr w14:paraId="5E47E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75CBCC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w:t>
            </w:r>
          </w:p>
        </w:tc>
        <w:tc>
          <w:tcPr>
            <w:tcW w:w="497" w:type="dxa"/>
            <w:vMerge w:val="continue"/>
            <w:tcBorders>
              <w:top w:val="nil"/>
              <w:left w:val="nil"/>
              <w:bottom w:val="single" w:color="000000" w:sz="8" w:space="0"/>
              <w:right w:val="single" w:color="000000" w:sz="8" w:space="0"/>
            </w:tcBorders>
            <w:shd w:val="clear" w:color="auto" w:fill="auto"/>
            <w:vAlign w:val="center"/>
          </w:tcPr>
          <w:p w14:paraId="01A2308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455FFF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7BC43C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中队与街道管理</w:t>
            </w:r>
          </w:p>
        </w:tc>
        <w:tc>
          <w:tcPr>
            <w:tcW w:w="4234" w:type="dxa"/>
            <w:tcBorders>
              <w:top w:val="nil"/>
              <w:left w:val="nil"/>
              <w:bottom w:val="single" w:color="000000" w:sz="8" w:space="0"/>
              <w:right w:val="single" w:color="000000" w:sz="8" w:space="0"/>
            </w:tcBorders>
            <w:shd w:val="clear" w:color="auto" w:fill="auto"/>
            <w:vAlign w:val="center"/>
          </w:tcPr>
          <w:p w14:paraId="35ECB4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后台对执法局中队管理、街道部门管理，以及中队和街道对应绑定管理，以及中队执法人调岗后的中队部门和街道部门自适应更新。</w:t>
            </w:r>
          </w:p>
        </w:tc>
      </w:tr>
      <w:tr w14:paraId="05890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757396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103</w:t>
            </w:r>
          </w:p>
        </w:tc>
        <w:tc>
          <w:tcPr>
            <w:tcW w:w="497" w:type="dxa"/>
            <w:vMerge w:val="continue"/>
            <w:tcBorders>
              <w:top w:val="nil"/>
              <w:left w:val="nil"/>
              <w:bottom w:val="single" w:color="000000" w:sz="8" w:space="0"/>
              <w:right w:val="single" w:color="000000" w:sz="8" w:space="0"/>
            </w:tcBorders>
            <w:shd w:val="clear" w:color="auto" w:fill="auto"/>
            <w:vAlign w:val="center"/>
          </w:tcPr>
          <w:p w14:paraId="7D1A500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761527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坐席用户管理</w:t>
            </w:r>
            <w:r>
              <w:rPr>
                <w:rFonts w:hint="eastAsia" w:ascii="宋体" w:hAnsi="宋体" w:eastAsia="宋体" w:cs="宋体"/>
                <w:i w:val="0"/>
                <w:iCs w:val="0"/>
                <w:color w:val="000000"/>
                <w:kern w:val="0"/>
                <w:sz w:val="20"/>
                <w:szCs w:val="20"/>
                <w:u w:val="none"/>
                <w:lang w:val="en-US" w:eastAsia="zh-CN" w:bidi="ar"/>
              </w:rPr>
              <w:t>适配改造</w:t>
            </w:r>
          </w:p>
        </w:tc>
        <w:tc>
          <w:tcPr>
            <w:tcW w:w="2535" w:type="dxa"/>
            <w:tcBorders>
              <w:top w:val="nil"/>
              <w:left w:val="nil"/>
              <w:bottom w:val="single" w:color="000000" w:sz="8" w:space="0"/>
              <w:right w:val="single" w:color="000000" w:sz="8" w:space="0"/>
            </w:tcBorders>
            <w:shd w:val="clear" w:color="auto" w:fill="auto"/>
            <w:noWrap/>
            <w:vAlign w:val="center"/>
          </w:tcPr>
          <w:p w14:paraId="3810B7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坐席用户管理</w:t>
            </w:r>
          </w:p>
        </w:tc>
        <w:tc>
          <w:tcPr>
            <w:tcW w:w="4234" w:type="dxa"/>
            <w:tcBorders>
              <w:top w:val="nil"/>
              <w:left w:val="nil"/>
              <w:bottom w:val="single" w:color="000000" w:sz="8" w:space="0"/>
              <w:right w:val="single" w:color="000000" w:sz="8" w:space="0"/>
            </w:tcBorders>
            <w:shd w:val="clear" w:color="auto" w:fill="auto"/>
            <w:vAlign w:val="center"/>
          </w:tcPr>
          <w:p w14:paraId="662B78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后台对执法局的后台坐席人员进行管理，包括人员信息新增、修改、删除、查询。</w:t>
            </w:r>
          </w:p>
        </w:tc>
      </w:tr>
      <w:tr w14:paraId="3D3D6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2C295B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w:t>
            </w:r>
          </w:p>
        </w:tc>
        <w:tc>
          <w:tcPr>
            <w:tcW w:w="497" w:type="dxa"/>
            <w:vMerge w:val="continue"/>
            <w:tcBorders>
              <w:top w:val="nil"/>
              <w:left w:val="nil"/>
              <w:bottom w:val="single" w:color="000000" w:sz="8" w:space="0"/>
              <w:right w:val="single" w:color="000000" w:sz="8" w:space="0"/>
            </w:tcBorders>
            <w:shd w:val="clear" w:color="auto" w:fill="auto"/>
            <w:vAlign w:val="center"/>
          </w:tcPr>
          <w:p w14:paraId="60539D0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158EE6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044B12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用户部门管理</w:t>
            </w:r>
          </w:p>
        </w:tc>
        <w:tc>
          <w:tcPr>
            <w:tcW w:w="4234" w:type="dxa"/>
            <w:tcBorders>
              <w:top w:val="nil"/>
              <w:left w:val="nil"/>
              <w:bottom w:val="single" w:color="000000" w:sz="8" w:space="0"/>
              <w:right w:val="single" w:color="000000" w:sz="8" w:space="0"/>
            </w:tcBorders>
            <w:shd w:val="clear" w:color="auto" w:fill="auto"/>
            <w:vAlign w:val="center"/>
          </w:tcPr>
          <w:p w14:paraId="43CA84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后台对系统用户部门进行管理配置。</w:t>
            </w:r>
          </w:p>
        </w:tc>
      </w:tr>
      <w:tr w14:paraId="52EE6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7081EE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w:t>
            </w:r>
          </w:p>
        </w:tc>
        <w:tc>
          <w:tcPr>
            <w:tcW w:w="497" w:type="dxa"/>
            <w:vMerge w:val="continue"/>
            <w:tcBorders>
              <w:top w:val="nil"/>
              <w:left w:val="nil"/>
              <w:bottom w:val="single" w:color="000000" w:sz="8" w:space="0"/>
              <w:right w:val="single" w:color="000000" w:sz="8" w:space="0"/>
            </w:tcBorders>
            <w:shd w:val="clear" w:color="auto" w:fill="auto"/>
            <w:vAlign w:val="center"/>
          </w:tcPr>
          <w:p w14:paraId="0956134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557BC8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5EE69D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角色权限管理</w:t>
            </w:r>
          </w:p>
        </w:tc>
        <w:tc>
          <w:tcPr>
            <w:tcW w:w="4234" w:type="dxa"/>
            <w:tcBorders>
              <w:top w:val="nil"/>
              <w:left w:val="nil"/>
              <w:bottom w:val="single" w:color="000000" w:sz="8" w:space="0"/>
              <w:right w:val="single" w:color="000000" w:sz="8" w:space="0"/>
            </w:tcBorders>
            <w:shd w:val="clear" w:color="auto" w:fill="auto"/>
            <w:vAlign w:val="center"/>
          </w:tcPr>
          <w:p w14:paraId="4ADA0A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后台对系统用户的功能权限、角色分配进行管理。</w:t>
            </w:r>
          </w:p>
        </w:tc>
      </w:tr>
      <w:tr w14:paraId="558ED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1F9E2B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106</w:t>
            </w:r>
          </w:p>
        </w:tc>
        <w:tc>
          <w:tcPr>
            <w:tcW w:w="497" w:type="dxa"/>
            <w:vMerge w:val="continue"/>
            <w:tcBorders>
              <w:top w:val="nil"/>
              <w:left w:val="nil"/>
              <w:bottom w:val="single" w:color="000000" w:sz="8" w:space="0"/>
              <w:right w:val="single" w:color="000000" w:sz="8" w:space="0"/>
            </w:tcBorders>
            <w:shd w:val="clear" w:color="auto" w:fill="auto"/>
            <w:vAlign w:val="center"/>
          </w:tcPr>
          <w:p w14:paraId="33C65FA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795377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参数管理</w:t>
            </w:r>
            <w:r>
              <w:rPr>
                <w:rFonts w:hint="eastAsia" w:ascii="宋体" w:hAnsi="宋体" w:eastAsia="宋体" w:cs="宋体"/>
                <w:i w:val="0"/>
                <w:iCs w:val="0"/>
                <w:color w:val="000000"/>
                <w:kern w:val="0"/>
                <w:sz w:val="20"/>
                <w:szCs w:val="20"/>
                <w:u w:val="none"/>
                <w:lang w:val="en-US" w:eastAsia="zh-CN" w:bidi="ar"/>
              </w:rPr>
              <w:t>适配改造</w:t>
            </w:r>
          </w:p>
        </w:tc>
        <w:tc>
          <w:tcPr>
            <w:tcW w:w="2535" w:type="dxa"/>
            <w:tcBorders>
              <w:top w:val="nil"/>
              <w:left w:val="nil"/>
              <w:bottom w:val="single" w:color="000000" w:sz="8" w:space="0"/>
              <w:right w:val="single" w:color="000000" w:sz="8" w:space="0"/>
            </w:tcBorders>
            <w:shd w:val="clear" w:color="auto" w:fill="auto"/>
            <w:noWrap/>
            <w:vAlign w:val="center"/>
          </w:tcPr>
          <w:p w14:paraId="5A77FD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系统参数配置</w:t>
            </w:r>
          </w:p>
        </w:tc>
        <w:tc>
          <w:tcPr>
            <w:tcW w:w="4234" w:type="dxa"/>
            <w:tcBorders>
              <w:top w:val="nil"/>
              <w:left w:val="nil"/>
              <w:bottom w:val="single" w:color="000000" w:sz="8" w:space="0"/>
              <w:right w:val="single" w:color="000000" w:sz="8" w:space="0"/>
            </w:tcBorders>
            <w:shd w:val="clear" w:color="auto" w:fill="auto"/>
            <w:vAlign w:val="center"/>
          </w:tcPr>
          <w:p w14:paraId="4C4FF7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后台对系统参数进行管理。</w:t>
            </w:r>
          </w:p>
        </w:tc>
      </w:tr>
      <w:tr w14:paraId="39EDE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51DAC7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107</w:t>
            </w:r>
          </w:p>
        </w:tc>
        <w:tc>
          <w:tcPr>
            <w:tcW w:w="497" w:type="dxa"/>
            <w:vMerge w:val="continue"/>
            <w:tcBorders>
              <w:top w:val="nil"/>
              <w:left w:val="nil"/>
              <w:bottom w:val="single" w:color="000000" w:sz="8" w:space="0"/>
              <w:right w:val="single" w:color="000000" w:sz="8" w:space="0"/>
            </w:tcBorders>
            <w:shd w:val="clear" w:color="auto" w:fill="auto"/>
            <w:vAlign w:val="center"/>
          </w:tcPr>
          <w:p w14:paraId="64A34FC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4A037E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70D80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数据字典管理</w:t>
            </w:r>
          </w:p>
        </w:tc>
        <w:tc>
          <w:tcPr>
            <w:tcW w:w="4234" w:type="dxa"/>
            <w:tcBorders>
              <w:top w:val="nil"/>
              <w:left w:val="nil"/>
              <w:bottom w:val="single" w:color="000000" w:sz="8" w:space="0"/>
              <w:right w:val="single" w:color="000000" w:sz="8" w:space="0"/>
            </w:tcBorders>
            <w:shd w:val="clear" w:color="auto" w:fill="auto"/>
            <w:vAlign w:val="center"/>
          </w:tcPr>
          <w:p w14:paraId="03FDB7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后台对各业务涉及的数据字典进行管理。</w:t>
            </w:r>
          </w:p>
        </w:tc>
      </w:tr>
      <w:tr w14:paraId="115E0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041F56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w:t>
            </w:r>
          </w:p>
        </w:tc>
        <w:tc>
          <w:tcPr>
            <w:tcW w:w="497" w:type="dxa"/>
            <w:vMerge w:val="continue"/>
            <w:tcBorders>
              <w:top w:val="nil"/>
              <w:left w:val="nil"/>
              <w:bottom w:val="single" w:color="000000" w:sz="8" w:space="0"/>
              <w:right w:val="single" w:color="000000" w:sz="8" w:space="0"/>
            </w:tcBorders>
            <w:shd w:val="clear" w:color="auto" w:fill="auto"/>
            <w:vAlign w:val="center"/>
          </w:tcPr>
          <w:p w14:paraId="7FF55BB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43D424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日志管理</w:t>
            </w:r>
            <w:r>
              <w:rPr>
                <w:rFonts w:hint="eastAsia" w:ascii="宋体" w:hAnsi="宋体" w:eastAsia="宋体" w:cs="宋体"/>
                <w:i w:val="0"/>
                <w:iCs w:val="0"/>
                <w:color w:val="000000"/>
                <w:kern w:val="0"/>
                <w:sz w:val="20"/>
                <w:szCs w:val="20"/>
                <w:u w:val="none"/>
                <w:lang w:val="en-US" w:eastAsia="zh-CN" w:bidi="ar"/>
              </w:rPr>
              <w:t>适配改造</w:t>
            </w:r>
          </w:p>
        </w:tc>
        <w:tc>
          <w:tcPr>
            <w:tcW w:w="2535" w:type="dxa"/>
            <w:tcBorders>
              <w:top w:val="nil"/>
              <w:left w:val="nil"/>
              <w:bottom w:val="single" w:color="000000" w:sz="8" w:space="0"/>
              <w:right w:val="single" w:color="000000" w:sz="8" w:space="0"/>
            </w:tcBorders>
            <w:shd w:val="clear" w:color="auto" w:fill="auto"/>
            <w:noWrap/>
            <w:vAlign w:val="center"/>
          </w:tcPr>
          <w:p w14:paraId="1B9808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服务日志管理</w:t>
            </w:r>
          </w:p>
        </w:tc>
        <w:tc>
          <w:tcPr>
            <w:tcW w:w="4234" w:type="dxa"/>
            <w:tcBorders>
              <w:top w:val="nil"/>
              <w:left w:val="nil"/>
              <w:bottom w:val="single" w:color="000000" w:sz="8" w:space="0"/>
              <w:right w:val="single" w:color="000000" w:sz="8" w:space="0"/>
            </w:tcBorders>
            <w:shd w:val="clear" w:color="auto" w:fill="auto"/>
            <w:vAlign w:val="center"/>
          </w:tcPr>
          <w:p w14:paraId="42E5C5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对执法记录仪插入采集站验证、采集站数据上传、采集站心跳情况交互服务日志的跟踪记录，查询。以及请求响应方信息、交互时间、交互内容报文等日志详情查看。</w:t>
            </w:r>
          </w:p>
        </w:tc>
      </w:tr>
      <w:tr w14:paraId="7179D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03128B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109</w:t>
            </w:r>
          </w:p>
        </w:tc>
        <w:tc>
          <w:tcPr>
            <w:tcW w:w="497" w:type="dxa"/>
            <w:vMerge w:val="continue"/>
            <w:tcBorders>
              <w:top w:val="nil"/>
              <w:left w:val="nil"/>
              <w:bottom w:val="single" w:color="000000" w:sz="8" w:space="0"/>
              <w:right w:val="single" w:color="000000" w:sz="8" w:space="0"/>
            </w:tcBorders>
            <w:shd w:val="clear" w:color="auto" w:fill="auto"/>
            <w:vAlign w:val="center"/>
          </w:tcPr>
          <w:p w14:paraId="6E4148D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60040F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747481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操作日志管理</w:t>
            </w:r>
          </w:p>
        </w:tc>
        <w:tc>
          <w:tcPr>
            <w:tcW w:w="4234" w:type="dxa"/>
            <w:tcBorders>
              <w:top w:val="nil"/>
              <w:left w:val="nil"/>
              <w:bottom w:val="single" w:color="000000" w:sz="8" w:space="0"/>
              <w:right w:val="single" w:color="000000" w:sz="8" w:space="0"/>
            </w:tcBorders>
            <w:shd w:val="clear" w:color="auto" w:fill="auto"/>
            <w:vAlign w:val="center"/>
          </w:tcPr>
          <w:p w14:paraId="6215E4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对后台的用户操作日志进行管理。可进行根据操作的模块、功能、操作人员等进行日志信息查询，并查看具体操作内容包括操作人信息、操作时间、操作功能、操作内容、操作IP等。</w:t>
            </w:r>
          </w:p>
        </w:tc>
      </w:tr>
      <w:tr w14:paraId="27C72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0F0611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497" w:type="dxa"/>
            <w:vMerge w:val="continue"/>
            <w:tcBorders>
              <w:top w:val="nil"/>
              <w:left w:val="nil"/>
              <w:bottom w:val="single" w:color="000000" w:sz="8" w:space="0"/>
              <w:right w:val="single" w:color="000000" w:sz="8" w:space="0"/>
            </w:tcBorders>
            <w:shd w:val="clear" w:color="auto" w:fill="auto"/>
            <w:vAlign w:val="center"/>
          </w:tcPr>
          <w:p w14:paraId="25F6D1B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202202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采集站接入服务</w:t>
            </w:r>
            <w:r>
              <w:rPr>
                <w:rFonts w:hint="eastAsia" w:ascii="宋体" w:hAnsi="宋体" w:eastAsia="宋体" w:cs="宋体"/>
                <w:i w:val="0"/>
                <w:iCs w:val="0"/>
                <w:color w:val="000000"/>
                <w:kern w:val="0"/>
                <w:sz w:val="20"/>
                <w:szCs w:val="20"/>
                <w:u w:val="none"/>
                <w:lang w:val="en-US" w:eastAsia="zh-CN" w:bidi="ar"/>
              </w:rPr>
              <w:t>适配改造</w:t>
            </w:r>
          </w:p>
        </w:tc>
        <w:tc>
          <w:tcPr>
            <w:tcW w:w="2535" w:type="dxa"/>
            <w:tcBorders>
              <w:top w:val="nil"/>
              <w:left w:val="nil"/>
              <w:bottom w:val="single" w:color="000000" w:sz="8" w:space="0"/>
              <w:right w:val="single" w:color="000000" w:sz="8" w:space="0"/>
            </w:tcBorders>
            <w:shd w:val="clear" w:color="auto" w:fill="auto"/>
            <w:noWrap/>
            <w:vAlign w:val="center"/>
          </w:tcPr>
          <w:p w14:paraId="1F49CC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采集站接入接口服务</w:t>
            </w:r>
          </w:p>
        </w:tc>
        <w:tc>
          <w:tcPr>
            <w:tcW w:w="4234" w:type="dxa"/>
            <w:tcBorders>
              <w:top w:val="nil"/>
              <w:left w:val="nil"/>
              <w:bottom w:val="single" w:color="000000" w:sz="8" w:space="0"/>
              <w:right w:val="single" w:color="000000" w:sz="8" w:space="0"/>
            </w:tcBorders>
            <w:shd w:val="clear" w:color="auto" w:fill="auto"/>
            <w:vAlign w:val="center"/>
          </w:tcPr>
          <w:p w14:paraId="0B326F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后台提供接口服务对采集站的接入验证并返回采集站相关配置信息。</w:t>
            </w:r>
          </w:p>
        </w:tc>
      </w:tr>
      <w:tr w14:paraId="0646C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031339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w:t>
            </w:r>
          </w:p>
        </w:tc>
        <w:tc>
          <w:tcPr>
            <w:tcW w:w="497" w:type="dxa"/>
            <w:vMerge w:val="continue"/>
            <w:tcBorders>
              <w:top w:val="nil"/>
              <w:left w:val="nil"/>
              <w:bottom w:val="single" w:color="000000" w:sz="8" w:space="0"/>
              <w:right w:val="single" w:color="000000" w:sz="8" w:space="0"/>
            </w:tcBorders>
            <w:shd w:val="clear" w:color="auto" w:fill="auto"/>
            <w:vAlign w:val="center"/>
          </w:tcPr>
          <w:p w14:paraId="2027206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76753B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155730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采集站用户接入接口服务</w:t>
            </w:r>
          </w:p>
        </w:tc>
        <w:tc>
          <w:tcPr>
            <w:tcW w:w="4234" w:type="dxa"/>
            <w:tcBorders>
              <w:top w:val="nil"/>
              <w:left w:val="nil"/>
              <w:bottom w:val="single" w:color="000000" w:sz="8" w:space="0"/>
              <w:right w:val="single" w:color="000000" w:sz="8" w:space="0"/>
            </w:tcBorders>
            <w:shd w:val="clear" w:color="auto" w:fill="auto"/>
            <w:vAlign w:val="center"/>
          </w:tcPr>
          <w:p w14:paraId="0FB8CA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后台提供接口服务对采集获取的执法记录仪设备用户的注册验证以及绑定验证。</w:t>
            </w:r>
          </w:p>
        </w:tc>
      </w:tr>
      <w:tr w14:paraId="18829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201718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w:t>
            </w:r>
          </w:p>
        </w:tc>
        <w:tc>
          <w:tcPr>
            <w:tcW w:w="497" w:type="dxa"/>
            <w:vMerge w:val="continue"/>
            <w:tcBorders>
              <w:top w:val="nil"/>
              <w:left w:val="nil"/>
              <w:bottom w:val="single" w:color="000000" w:sz="8" w:space="0"/>
              <w:right w:val="single" w:color="000000" w:sz="8" w:space="0"/>
            </w:tcBorders>
            <w:shd w:val="clear" w:color="auto" w:fill="auto"/>
            <w:vAlign w:val="center"/>
          </w:tcPr>
          <w:p w14:paraId="7DC42E7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5AD46A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6A78A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采集站运行情况接口服务</w:t>
            </w:r>
          </w:p>
        </w:tc>
        <w:tc>
          <w:tcPr>
            <w:tcW w:w="4234" w:type="dxa"/>
            <w:tcBorders>
              <w:top w:val="nil"/>
              <w:left w:val="nil"/>
              <w:bottom w:val="single" w:color="000000" w:sz="8" w:space="0"/>
              <w:right w:val="single" w:color="000000" w:sz="8" w:space="0"/>
            </w:tcBorders>
            <w:shd w:val="clear" w:color="auto" w:fill="auto"/>
            <w:vAlign w:val="center"/>
          </w:tcPr>
          <w:p w14:paraId="1D62AB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后台提供接口服务接收采集站CPU、内存、硬盘等运行状态，以及在线离线情况。</w:t>
            </w:r>
          </w:p>
        </w:tc>
      </w:tr>
      <w:tr w14:paraId="7B68D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7F48D3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w:t>
            </w:r>
          </w:p>
        </w:tc>
        <w:tc>
          <w:tcPr>
            <w:tcW w:w="497" w:type="dxa"/>
            <w:vMerge w:val="continue"/>
            <w:tcBorders>
              <w:top w:val="nil"/>
              <w:left w:val="nil"/>
              <w:bottom w:val="single" w:color="000000" w:sz="8" w:space="0"/>
              <w:right w:val="single" w:color="000000" w:sz="8" w:space="0"/>
            </w:tcBorders>
            <w:shd w:val="clear" w:color="auto" w:fill="auto"/>
            <w:vAlign w:val="center"/>
          </w:tcPr>
          <w:p w14:paraId="7573D86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37C682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53EA70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采集站证据信息上传接口服务</w:t>
            </w:r>
          </w:p>
        </w:tc>
        <w:tc>
          <w:tcPr>
            <w:tcW w:w="4234" w:type="dxa"/>
            <w:tcBorders>
              <w:top w:val="nil"/>
              <w:left w:val="nil"/>
              <w:bottom w:val="single" w:color="000000" w:sz="8" w:space="0"/>
              <w:right w:val="single" w:color="000000" w:sz="8" w:space="0"/>
            </w:tcBorders>
            <w:shd w:val="clear" w:color="auto" w:fill="auto"/>
            <w:vAlign w:val="center"/>
          </w:tcPr>
          <w:p w14:paraId="6819F7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后台提供接口服务接收采集站采集的执法记录仪证据信息，并进行校验保存入库。</w:t>
            </w:r>
          </w:p>
        </w:tc>
      </w:tr>
      <w:tr w14:paraId="207C5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37FD1B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w:t>
            </w:r>
          </w:p>
        </w:tc>
        <w:tc>
          <w:tcPr>
            <w:tcW w:w="497" w:type="dxa"/>
            <w:vMerge w:val="continue"/>
            <w:tcBorders>
              <w:top w:val="nil"/>
              <w:left w:val="nil"/>
              <w:bottom w:val="single" w:color="000000" w:sz="8" w:space="0"/>
              <w:right w:val="single" w:color="000000" w:sz="8" w:space="0"/>
            </w:tcBorders>
            <w:shd w:val="clear" w:color="auto" w:fill="auto"/>
            <w:vAlign w:val="center"/>
          </w:tcPr>
          <w:p w14:paraId="33976B5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481028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5106C9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采集站影像上传接口服务</w:t>
            </w:r>
          </w:p>
        </w:tc>
        <w:tc>
          <w:tcPr>
            <w:tcW w:w="4234" w:type="dxa"/>
            <w:tcBorders>
              <w:top w:val="nil"/>
              <w:left w:val="nil"/>
              <w:bottom w:val="single" w:color="000000" w:sz="8" w:space="0"/>
              <w:right w:val="single" w:color="000000" w:sz="8" w:space="0"/>
            </w:tcBorders>
            <w:shd w:val="clear" w:color="auto" w:fill="auto"/>
            <w:vAlign w:val="center"/>
          </w:tcPr>
          <w:p w14:paraId="6FB8BD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后台提供接口服务接收采集站影像文件上传，并进行存储端保存和对应证据关联处理。</w:t>
            </w:r>
          </w:p>
        </w:tc>
      </w:tr>
      <w:tr w14:paraId="4EF0C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35839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w:t>
            </w:r>
          </w:p>
        </w:tc>
        <w:tc>
          <w:tcPr>
            <w:tcW w:w="497" w:type="dxa"/>
            <w:vMerge w:val="continue"/>
            <w:tcBorders>
              <w:top w:val="nil"/>
              <w:left w:val="nil"/>
              <w:bottom w:val="single" w:color="000000" w:sz="8" w:space="0"/>
              <w:right w:val="single" w:color="000000" w:sz="8" w:space="0"/>
            </w:tcBorders>
            <w:shd w:val="clear" w:color="auto" w:fill="auto"/>
            <w:vAlign w:val="center"/>
          </w:tcPr>
          <w:p w14:paraId="767AD37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tcBorders>
              <w:top w:val="nil"/>
              <w:left w:val="nil"/>
              <w:bottom w:val="single" w:color="000000" w:sz="8" w:space="0"/>
              <w:right w:val="single" w:color="000000" w:sz="8" w:space="0"/>
            </w:tcBorders>
            <w:shd w:val="clear" w:color="auto" w:fill="auto"/>
            <w:vAlign w:val="center"/>
          </w:tcPr>
          <w:p w14:paraId="35AA7B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后台数据迁移</w:t>
            </w:r>
          </w:p>
        </w:tc>
        <w:tc>
          <w:tcPr>
            <w:tcW w:w="2535" w:type="dxa"/>
            <w:tcBorders>
              <w:top w:val="nil"/>
              <w:left w:val="nil"/>
              <w:bottom w:val="single" w:color="000000" w:sz="8" w:space="0"/>
              <w:right w:val="single" w:color="000000" w:sz="8" w:space="0"/>
            </w:tcBorders>
            <w:shd w:val="clear" w:color="auto" w:fill="auto"/>
            <w:noWrap/>
            <w:vAlign w:val="center"/>
          </w:tcPr>
          <w:p w14:paraId="14DA09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音视频证据</w:t>
            </w:r>
          </w:p>
        </w:tc>
        <w:tc>
          <w:tcPr>
            <w:tcW w:w="4234" w:type="dxa"/>
            <w:tcBorders>
              <w:top w:val="nil"/>
              <w:left w:val="nil"/>
              <w:bottom w:val="single" w:color="000000" w:sz="8" w:space="0"/>
              <w:right w:val="single" w:color="000000" w:sz="8" w:space="0"/>
            </w:tcBorders>
            <w:shd w:val="clear" w:color="auto" w:fill="auto"/>
            <w:vAlign w:val="center"/>
          </w:tcPr>
          <w:p w14:paraId="390D87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执法记录仪拍摄通过采集站上传的音视频文件的迁移。</w:t>
            </w:r>
          </w:p>
        </w:tc>
      </w:tr>
      <w:tr w14:paraId="3BB3D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0066E6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497" w:type="dxa"/>
            <w:vMerge w:val="continue"/>
            <w:tcBorders>
              <w:top w:val="nil"/>
              <w:left w:val="nil"/>
              <w:bottom w:val="single" w:color="000000" w:sz="8" w:space="0"/>
              <w:right w:val="single" w:color="000000" w:sz="8" w:space="0"/>
            </w:tcBorders>
            <w:shd w:val="clear" w:color="auto" w:fill="auto"/>
            <w:vAlign w:val="center"/>
          </w:tcPr>
          <w:p w14:paraId="6CFBA39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tcBorders>
              <w:top w:val="nil"/>
              <w:left w:val="nil"/>
              <w:bottom w:val="single" w:color="000000" w:sz="8" w:space="0"/>
              <w:right w:val="single" w:color="000000" w:sz="8" w:space="0"/>
            </w:tcBorders>
            <w:shd w:val="clear" w:color="auto" w:fill="auto"/>
            <w:vAlign w:val="center"/>
          </w:tcPr>
          <w:p w14:paraId="0D31C9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前端数据迁移</w:t>
            </w:r>
          </w:p>
        </w:tc>
        <w:tc>
          <w:tcPr>
            <w:tcW w:w="2535" w:type="dxa"/>
            <w:tcBorders>
              <w:top w:val="nil"/>
              <w:left w:val="nil"/>
              <w:bottom w:val="single" w:color="000000" w:sz="8" w:space="0"/>
              <w:right w:val="single" w:color="000000" w:sz="8" w:space="0"/>
            </w:tcBorders>
            <w:shd w:val="clear" w:color="auto" w:fill="auto"/>
            <w:noWrap/>
            <w:vAlign w:val="center"/>
          </w:tcPr>
          <w:p w14:paraId="73E6B8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采集站数据迁移保障</w:t>
            </w:r>
          </w:p>
        </w:tc>
        <w:tc>
          <w:tcPr>
            <w:tcW w:w="4234" w:type="dxa"/>
            <w:tcBorders>
              <w:top w:val="nil"/>
              <w:left w:val="nil"/>
              <w:bottom w:val="single" w:color="000000" w:sz="8" w:space="0"/>
              <w:right w:val="single" w:color="000000" w:sz="8" w:space="0"/>
            </w:tcBorders>
            <w:shd w:val="clear" w:color="auto" w:fill="auto"/>
            <w:vAlign w:val="center"/>
          </w:tcPr>
          <w:p w14:paraId="5658D4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对采集站上的存留的音视频证据进行清洗迁移。</w:t>
            </w:r>
          </w:p>
        </w:tc>
      </w:tr>
      <w:tr w14:paraId="0C43A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7A7112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w:t>
            </w:r>
          </w:p>
        </w:tc>
        <w:tc>
          <w:tcPr>
            <w:tcW w:w="497" w:type="dxa"/>
            <w:vMerge w:val="continue"/>
            <w:tcBorders>
              <w:top w:val="nil"/>
              <w:left w:val="nil"/>
              <w:bottom w:val="single" w:color="000000" w:sz="8" w:space="0"/>
              <w:right w:val="single" w:color="000000" w:sz="8" w:space="0"/>
            </w:tcBorders>
            <w:shd w:val="clear" w:color="auto" w:fill="auto"/>
            <w:vAlign w:val="center"/>
          </w:tcPr>
          <w:p w14:paraId="03E66B1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tcBorders>
              <w:top w:val="nil"/>
              <w:left w:val="nil"/>
              <w:bottom w:val="single" w:color="000000" w:sz="8" w:space="0"/>
              <w:right w:val="single" w:color="000000" w:sz="8" w:space="0"/>
            </w:tcBorders>
            <w:shd w:val="clear" w:color="auto" w:fill="auto"/>
            <w:vAlign w:val="center"/>
          </w:tcPr>
          <w:p w14:paraId="4A1F6E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组织架构和用户体系</w:t>
            </w:r>
            <w:r>
              <w:rPr>
                <w:rFonts w:hint="eastAsia" w:ascii="宋体" w:hAnsi="宋体" w:eastAsia="宋体" w:cs="宋体"/>
                <w:i w:val="0"/>
                <w:iCs w:val="0"/>
                <w:color w:val="000000"/>
                <w:kern w:val="0"/>
                <w:sz w:val="20"/>
                <w:szCs w:val="20"/>
                <w:u w:val="none"/>
                <w:lang w:val="en-US" w:eastAsia="zh-CN" w:bidi="ar"/>
              </w:rPr>
              <w:t>适配改造</w:t>
            </w:r>
          </w:p>
        </w:tc>
        <w:tc>
          <w:tcPr>
            <w:tcW w:w="2535" w:type="dxa"/>
            <w:tcBorders>
              <w:top w:val="nil"/>
              <w:left w:val="nil"/>
              <w:bottom w:val="single" w:color="000000" w:sz="8" w:space="0"/>
              <w:right w:val="single" w:color="000000" w:sz="8" w:space="0"/>
            </w:tcBorders>
            <w:shd w:val="clear" w:color="auto" w:fill="auto"/>
            <w:noWrap/>
            <w:vAlign w:val="center"/>
          </w:tcPr>
          <w:p w14:paraId="39A742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接入一单位一平台用户体系</w:t>
            </w:r>
          </w:p>
        </w:tc>
        <w:tc>
          <w:tcPr>
            <w:tcW w:w="4234" w:type="dxa"/>
            <w:tcBorders>
              <w:top w:val="nil"/>
              <w:left w:val="nil"/>
              <w:bottom w:val="single" w:color="000000" w:sz="8" w:space="0"/>
              <w:right w:val="single" w:color="000000" w:sz="8" w:space="0"/>
            </w:tcBorders>
            <w:shd w:val="clear" w:color="auto" w:fill="auto"/>
            <w:vAlign w:val="center"/>
          </w:tcPr>
          <w:p w14:paraId="77D2E8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包括对接一单位一平台用户信息接口、部门信息接口等。同时实现与本地系统用户业务数据的逻辑关联。</w:t>
            </w:r>
          </w:p>
        </w:tc>
      </w:tr>
      <w:tr w14:paraId="328D2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63BD48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w:t>
            </w:r>
          </w:p>
        </w:tc>
        <w:tc>
          <w:tcPr>
            <w:tcW w:w="497" w:type="dxa"/>
            <w:vMerge w:val="continue"/>
            <w:tcBorders>
              <w:top w:val="nil"/>
              <w:left w:val="nil"/>
              <w:bottom w:val="single" w:color="000000" w:sz="8" w:space="0"/>
              <w:right w:val="single" w:color="000000" w:sz="8" w:space="0"/>
            </w:tcBorders>
            <w:shd w:val="clear" w:color="auto" w:fill="auto"/>
            <w:vAlign w:val="center"/>
          </w:tcPr>
          <w:p w14:paraId="43BEC64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002149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身份认证和权限管理控制</w:t>
            </w:r>
            <w:r>
              <w:rPr>
                <w:rFonts w:hint="eastAsia" w:ascii="宋体" w:hAnsi="宋体" w:eastAsia="宋体" w:cs="宋体"/>
                <w:i w:val="0"/>
                <w:iCs w:val="0"/>
                <w:color w:val="000000"/>
                <w:kern w:val="0"/>
                <w:sz w:val="20"/>
                <w:szCs w:val="20"/>
                <w:u w:val="none"/>
                <w:lang w:val="en-US" w:eastAsia="zh-CN" w:bidi="ar"/>
              </w:rPr>
              <w:t>适配改造</w:t>
            </w:r>
          </w:p>
        </w:tc>
        <w:tc>
          <w:tcPr>
            <w:tcW w:w="2535" w:type="dxa"/>
            <w:tcBorders>
              <w:top w:val="nil"/>
              <w:left w:val="nil"/>
              <w:bottom w:val="single" w:color="000000" w:sz="8" w:space="0"/>
              <w:right w:val="single" w:color="000000" w:sz="8" w:space="0"/>
            </w:tcBorders>
            <w:shd w:val="clear" w:color="auto" w:fill="auto"/>
            <w:noWrap/>
            <w:vAlign w:val="center"/>
          </w:tcPr>
          <w:p w14:paraId="1FE084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身份认证接入</w:t>
            </w:r>
          </w:p>
        </w:tc>
        <w:tc>
          <w:tcPr>
            <w:tcW w:w="4234" w:type="dxa"/>
            <w:tcBorders>
              <w:top w:val="nil"/>
              <w:left w:val="nil"/>
              <w:bottom w:val="single" w:color="000000" w:sz="8" w:space="0"/>
              <w:right w:val="single" w:color="000000" w:sz="8" w:space="0"/>
            </w:tcBorders>
            <w:shd w:val="clear" w:color="auto" w:fill="auto"/>
            <w:vAlign w:val="center"/>
          </w:tcPr>
          <w:p w14:paraId="5186C6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对接一单位一平台统一认证中心，包括免密认证登录、登出、获取用户信息、刷新、校验等接口，实现身份认证。</w:t>
            </w:r>
          </w:p>
        </w:tc>
      </w:tr>
      <w:tr w14:paraId="7B4E1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6A43BC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w:t>
            </w:r>
          </w:p>
        </w:tc>
        <w:tc>
          <w:tcPr>
            <w:tcW w:w="497" w:type="dxa"/>
            <w:vMerge w:val="continue"/>
            <w:tcBorders>
              <w:top w:val="nil"/>
              <w:left w:val="nil"/>
              <w:bottom w:val="single" w:color="000000" w:sz="8" w:space="0"/>
              <w:right w:val="single" w:color="000000" w:sz="8" w:space="0"/>
            </w:tcBorders>
            <w:shd w:val="clear" w:color="auto" w:fill="auto"/>
            <w:vAlign w:val="center"/>
          </w:tcPr>
          <w:p w14:paraId="16BB301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3B19A5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66EB20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权限控制</w:t>
            </w:r>
          </w:p>
        </w:tc>
        <w:tc>
          <w:tcPr>
            <w:tcW w:w="4234" w:type="dxa"/>
            <w:tcBorders>
              <w:top w:val="nil"/>
              <w:left w:val="nil"/>
              <w:bottom w:val="single" w:color="000000" w:sz="8" w:space="0"/>
              <w:right w:val="single" w:color="000000" w:sz="8" w:space="0"/>
            </w:tcBorders>
            <w:shd w:val="clear" w:color="auto" w:fill="auto"/>
            <w:vAlign w:val="center"/>
          </w:tcPr>
          <w:p w14:paraId="7ED1A3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cs="宋体"/>
                <w:color w:val="000000"/>
                <w:kern w:val="0"/>
                <w:sz w:val="20"/>
                <w:szCs w:val="20"/>
                <w:lang w:bidi="ar"/>
              </w:rPr>
              <w:t>一单位一平台认证登录用户与本地系统权限关联</w:t>
            </w:r>
            <w:r>
              <w:rPr>
                <w:rFonts w:hint="eastAsia" w:ascii="宋体" w:hAnsi="宋体" w:cs="宋体"/>
                <w:color w:val="000000"/>
                <w:kern w:val="0"/>
                <w:sz w:val="20"/>
                <w:szCs w:val="20"/>
                <w:lang w:eastAsia="zh-CN" w:bidi="ar"/>
              </w:rPr>
              <w:t>。</w:t>
            </w:r>
          </w:p>
        </w:tc>
      </w:tr>
      <w:tr w14:paraId="146F7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777AB2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497" w:type="dxa"/>
            <w:vMerge w:val="continue"/>
            <w:tcBorders>
              <w:top w:val="nil"/>
              <w:left w:val="nil"/>
              <w:bottom w:val="single" w:color="000000" w:sz="8" w:space="0"/>
              <w:right w:val="single" w:color="000000" w:sz="8" w:space="0"/>
            </w:tcBorders>
            <w:shd w:val="clear" w:color="auto" w:fill="auto"/>
            <w:vAlign w:val="center"/>
          </w:tcPr>
          <w:p w14:paraId="6FCD20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7" w:type="dxa"/>
            <w:vMerge w:val="restart"/>
            <w:tcBorders>
              <w:top w:val="nil"/>
              <w:left w:val="nil"/>
              <w:bottom w:val="single" w:color="000000" w:sz="8" w:space="0"/>
              <w:right w:val="single" w:color="000000" w:sz="8" w:space="0"/>
            </w:tcBorders>
            <w:shd w:val="clear" w:color="auto" w:fill="auto"/>
            <w:vAlign w:val="center"/>
          </w:tcPr>
          <w:p w14:paraId="6994EC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综合执法管理平台软件</w:t>
            </w:r>
            <w:r>
              <w:rPr>
                <w:rFonts w:hint="eastAsia" w:ascii="宋体" w:hAnsi="宋体" w:eastAsia="宋体" w:cs="宋体"/>
                <w:i w:val="0"/>
                <w:iCs w:val="0"/>
                <w:color w:val="000000"/>
                <w:kern w:val="0"/>
                <w:sz w:val="20"/>
                <w:szCs w:val="20"/>
                <w:u w:val="none"/>
                <w:lang w:val="en-US" w:eastAsia="zh-CN" w:bidi="ar"/>
              </w:rPr>
              <w:t>适配改造</w:t>
            </w:r>
          </w:p>
        </w:tc>
        <w:tc>
          <w:tcPr>
            <w:tcW w:w="2535" w:type="dxa"/>
            <w:tcBorders>
              <w:top w:val="nil"/>
              <w:left w:val="nil"/>
              <w:bottom w:val="single" w:color="000000" w:sz="8" w:space="0"/>
              <w:right w:val="single" w:color="000000" w:sz="8" w:space="0"/>
            </w:tcBorders>
            <w:shd w:val="clear" w:color="auto" w:fill="auto"/>
            <w:noWrap/>
            <w:vAlign w:val="center"/>
          </w:tcPr>
          <w:p w14:paraId="4FC5DE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入区登记</w:t>
            </w:r>
          </w:p>
        </w:tc>
        <w:tc>
          <w:tcPr>
            <w:tcW w:w="4234" w:type="dxa"/>
            <w:tcBorders>
              <w:top w:val="nil"/>
              <w:left w:val="nil"/>
              <w:bottom w:val="single" w:color="000000" w:sz="8" w:space="0"/>
              <w:right w:val="single" w:color="000000" w:sz="8" w:space="0"/>
            </w:tcBorders>
            <w:shd w:val="clear" w:color="auto" w:fill="auto"/>
            <w:vAlign w:val="center"/>
          </w:tcPr>
          <w:p w14:paraId="306528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办案区入区人员信息登记及案件基本信息登记，可通过身份证或人脸进行信息比对，绑定人脸、标记同案、重点人员信息。</w:t>
            </w:r>
          </w:p>
        </w:tc>
      </w:tr>
      <w:tr w14:paraId="109F4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429516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w:t>
            </w:r>
          </w:p>
        </w:tc>
        <w:tc>
          <w:tcPr>
            <w:tcW w:w="497" w:type="dxa"/>
            <w:vMerge w:val="continue"/>
            <w:tcBorders>
              <w:top w:val="nil"/>
              <w:left w:val="nil"/>
              <w:bottom w:val="single" w:color="000000" w:sz="8" w:space="0"/>
              <w:right w:val="single" w:color="000000" w:sz="8" w:space="0"/>
            </w:tcBorders>
            <w:shd w:val="clear" w:color="auto" w:fill="auto"/>
            <w:vAlign w:val="center"/>
          </w:tcPr>
          <w:p w14:paraId="06A4B2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5506B6B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kern w:val="0"/>
                <w:sz w:val="20"/>
                <w:szCs w:val="20"/>
                <w:u w:val="none"/>
                <w:lang w:val="en-US" w:eastAsia="zh-CN" w:bidi="ar"/>
              </w:rPr>
            </w:pPr>
          </w:p>
        </w:tc>
        <w:tc>
          <w:tcPr>
            <w:tcW w:w="2535" w:type="dxa"/>
            <w:tcBorders>
              <w:top w:val="nil"/>
              <w:left w:val="nil"/>
              <w:bottom w:val="single" w:color="000000" w:sz="8" w:space="0"/>
              <w:right w:val="single" w:color="000000" w:sz="8" w:space="0"/>
            </w:tcBorders>
            <w:shd w:val="clear" w:color="auto" w:fill="auto"/>
            <w:noWrap/>
            <w:vAlign w:val="center"/>
          </w:tcPr>
          <w:p w14:paraId="698802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电子台账</w:t>
            </w:r>
          </w:p>
        </w:tc>
        <w:tc>
          <w:tcPr>
            <w:tcW w:w="4234" w:type="dxa"/>
            <w:tcBorders>
              <w:top w:val="nil"/>
              <w:left w:val="nil"/>
              <w:bottom w:val="single" w:color="000000" w:sz="8" w:space="0"/>
              <w:right w:val="single" w:color="000000" w:sz="8" w:space="0"/>
            </w:tcBorders>
            <w:shd w:val="clear" w:color="auto" w:fill="auto"/>
            <w:vAlign w:val="center"/>
          </w:tcPr>
          <w:p w14:paraId="69F53D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1.系统对办案区当事人信息、安全检查情况、物品信息、活动记录等数据统一生成办案区人员信息登记表</w:t>
            </w:r>
            <w:r>
              <w:rPr>
                <w:rFonts w:hint="eastAsia" w:ascii="宋体" w:hAnsi="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2.支持以电子签名方式实现当事人和执法人员在登记表中进行电子签名捺印功能。</w:t>
            </w:r>
          </w:p>
        </w:tc>
      </w:tr>
      <w:tr w14:paraId="7464A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1BE223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w:t>
            </w:r>
          </w:p>
        </w:tc>
        <w:tc>
          <w:tcPr>
            <w:tcW w:w="497" w:type="dxa"/>
            <w:vMerge w:val="continue"/>
            <w:tcBorders>
              <w:top w:val="nil"/>
              <w:left w:val="nil"/>
              <w:bottom w:val="single" w:color="000000" w:sz="8" w:space="0"/>
              <w:right w:val="single" w:color="000000" w:sz="8" w:space="0"/>
            </w:tcBorders>
            <w:shd w:val="clear" w:color="auto" w:fill="auto"/>
            <w:vAlign w:val="center"/>
          </w:tcPr>
          <w:p w14:paraId="67D7B6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6F20001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kern w:val="0"/>
                <w:sz w:val="20"/>
                <w:szCs w:val="20"/>
                <w:u w:val="none"/>
                <w:lang w:val="en-US" w:eastAsia="zh-CN" w:bidi="ar"/>
              </w:rPr>
            </w:pPr>
          </w:p>
        </w:tc>
        <w:tc>
          <w:tcPr>
            <w:tcW w:w="2535" w:type="dxa"/>
            <w:tcBorders>
              <w:top w:val="nil"/>
              <w:left w:val="nil"/>
              <w:bottom w:val="single" w:color="000000" w:sz="8" w:space="0"/>
              <w:right w:val="single" w:color="000000" w:sz="8" w:space="0"/>
            </w:tcBorders>
            <w:shd w:val="clear" w:color="auto" w:fill="auto"/>
            <w:noWrap/>
            <w:vAlign w:val="center"/>
          </w:tcPr>
          <w:p w14:paraId="1BB5E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出区管理</w:t>
            </w:r>
          </w:p>
        </w:tc>
        <w:tc>
          <w:tcPr>
            <w:tcW w:w="4234" w:type="dxa"/>
            <w:tcBorders>
              <w:top w:val="nil"/>
              <w:left w:val="nil"/>
              <w:bottom w:val="single" w:color="000000" w:sz="8" w:space="0"/>
              <w:right w:val="single" w:color="000000" w:sz="8" w:space="0"/>
            </w:tcBorders>
            <w:shd w:val="clear" w:color="auto" w:fill="auto"/>
            <w:vAlign w:val="center"/>
          </w:tcPr>
          <w:p w14:paraId="14F5BF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1.临时出区：提交临时出区申请，由单位领导审批通过后，当事人即可临时出区。返回办案区后，点击人员归区即可</w:t>
            </w:r>
            <w:r>
              <w:rPr>
                <w:rFonts w:hint="eastAsia" w:ascii="宋体" w:hAnsi="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2.人员出区：提交出区申请，由单位领导审批通过后，当事人离区</w:t>
            </w:r>
            <w:r>
              <w:rPr>
                <w:rFonts w:hint="eastAsia" w:ascii="宋体" w:hAnsi="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出区取物：人员在出区审批获得通过后，使用人脸或身份证进行身份认证，验证通过后自动打开随身物品柜，客户端自动调取存入时的随身物品照片，拍照比对后由当事人签字确认，信息存档后出区完成，以防止出现由于物品不一致而产生的争执。</w:t>
            </w:r>
          </w:p>
        </w:tc>
      </w:tr>
      <w:tr w14:paraId="6A456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0B33FD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w:t>
            </w:r>
          </w:p>
        </w:tc>
        <w:tc>
          <w:tcPr>
            <w:tcW w:w="497" w:type="dxa"/>
            <w:vMerge w:val="continue"/>
            <w:tcBorders>
              <w:top w:val="nil"/>
              <w:left w:val="nil"/>
              <w:bottom w:val="single" w:color="000000" w:sz="8" w:space="0"/>
              <w:right w:val="single" w:color="000000" w:sz="8" w:space="0"/>
            </w:tcBorders>
            <w:shd w:val="clear" w:color="auto" w:fill="auto"/>
            <w:vAlign w:val="center"/>
          </w:tcPr>
          <w:p w14:paraId="04E5EB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7" w:type="dxa"/>
            <w:vMerge w:val="continue"/>
            <w:tcBorders>
              <w:left w:val="nil"/>
              <w:right w:val="single" w:color="000000" w:sz="8" w:space="0"/>
            </w:tcBorders>
            <w:shd w:val="clear" w:color="auto" w:fill="auto"/>
            <w:vAlign w:val="center"/>
          </w:tcPr>
          <w:p w14:paraId="6BD12FB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kern w:val="0"/>
                <w:sz w:val="20"/>
                <w:szCs w:val="20"/>
                <w:u w:val="none"/>
                <w:lang w:val="en-US" w:eastAsia="zh-CN" w:bidi="ar"/>
              </w:rPr>
            </w:pPr>
          </w:p>
        </w:tc>
        <w:tc>
          <w:tcPr>
            <w:tcW w:w="2535" w:type="dxa"/>
            <w:tcBorders>
              <w:top w:val="nil"/>
              <w:left w:val="nil"/>
              <w:bottom w:val="single" w:color="000000" w:sz="8" w:space="0"/>
              <w:right w:val="single" w:color="000000" w:sz="8" w:space="0"/>
            </w:tcBorders>
            <w:shd w:val="clear" w:color="auto" w:fill="auto"/>
            <w:noWrap/>
            <w:vAlign w:val="center"/>
          </w:tcPr>
          <w:p w14:paraId="61CF87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人脸应用</w:t>
            </w:r>
          </w:p>
        </w:tc>
        <w:tc>
          <w:tcPr>
            <w:tcW w:w="4234" w:type="dxa"/>
            <w:tcBorders>
              <w:top w:val="nil"/>
              <w:left w:val="nil"/>
              <w:bottom w:val="single" w:color="000000" w:sz="8" w:space="0"/>
              <w:right w:val="single" w:color="000000" w:sz="8" w:space="0"/>
            </w:tcBorders>
            <w:shd w:val="clear" w:color="auto" w:fill="auto"/>
            <w:vAlign w:val="center"/>
          </w:tcPr>
          <w:p w14:paraId="6678BF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入区登记采集当事人人像信息，并用于办案区内所有智能设备人脸身份验证，如随身物品柜、案管柜、智能交互终端等。</w:t>
            </w:r>
          </w:p>
        </w:tc>
      </w:tr>
      <w:tr w14:paraId="2491F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0148AC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w:t>
            </w:r>
          </w:p>
        </w:tc>
        <w:tc>
          <w:tcPr>
            <w:tcW w:w="497" w:type="dxa"/>
            <w:vMerge w:val="continue"/>
            <w:tcBorders>
              <w:top w:val="nil"/>
              <w:left w:val="nil"/>
              <w:bottom w:val="single" w:color="000000" w:sz="8" w:space="0"/>
              <w:right w:val="single" w:color="000000" w:sz="8" w:space="0"/>
            </w:tcBorders>
            <w:shd w:val="clear" w:color="auto" w:fill="auto"/>
            <w:vAlign w:val="center"/>
          </w:tcPr>
          <w:p w14:paraId="26E14E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7" w:type="dxa"/>
            <w:vMerge w:val="continue"/>
            <w:tcBorders>
              <w:left w:val="nil"/>
              <w:right w:val="single" w:color="000000" w:sz="8" w:space="0"/>
            </w:tcBorders>
            <w:shd w:val="clear" w:color="auto" w:fill="auto"/>
            <w:vAlign w:val="center"/>
          </w:tcPr>
          <w:p w14:paraId="1185D35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kern w:val="0"/>
                <w:sz w:val="20"/>
                <w:szCs w:val="20"/>
                <w:u w:val="none"/>
                <w:lang w:val="en-US" w:eastAsia="zh-CN" w:bidi="ar"/>
              </w:rPr>
            </w:pPr>
          </w:p>
        </w:tc>
        <w:tc>
          <w:tcPr>
            <w:tcW w:w="2535" w:type="dxa"/>
            <w:tcBorders>
              <w:top w:val="nil"/>
              <w:left w:val="nil"/>
              <w:bottom w:val="single" w:color="000000" w:sz="8" w:space="0"/>
              <w:right w:val="single" w:color="000000" w:sz="8" w:space="0"/>
            </w:tcBorders>
            <w:shd w:val="clear" w:color="auto" w:fill="auto"/>
            <w:noWrap/>
            <w:vAlign w:val="center"/>
          </w:tcPr>
          <w:p w14:paraId="109BB7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同步刻录</w:t>
            </w:r>
          </w:p>
        </w:tc>
        <w:tc>
          <w:tcPr>
            <w:tcW w:w="4234" w:type="dxa"/>
            <w:tcBorders>
              <w:top w:val="nil"/>
              <w:left w:val="nil"/>
              <w:bottom w:val="single" w:color="000000" w:sz="8" w:space="0"/>
              <w:right w:val="single" w:color="000000" w:sz="8" w:space="0"/>
            </w:tcBorders>
            <w:shd w:val="clear" w:color="auto" w:fill="auto"/>
            <w:vAlign w:val="center"/>
          </w:tcPr>
          <w:p w14:paraId="379C27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1.系统集成：刻录机、封面打印、工作站、储存等智能设备集成</w:t>
            </w:r>
            <w:r>
              <w:rPr>
                <w:rFonts w:hint="eastAsia" w:ascii="宋体" w:hAnsi="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2.刻录参数设置：刻录文件保存路径设置、光盘封面设计、刻录光盘份数设置、监控设备配置等</w:t>
            </w:r>
            <w:r>
              <w:rPr>
                <w:rFonts w:hint="eastAsia" w:ascii="宋体" w:hAnsi="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3.刻录任务管理：查看已经刻录过的任务，包括刻录时间、当事人、案件编号、人员编号、笔录单位、刻录状态等信息，可选择重新刻录；</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4.同步刻录：在询问时，可选择询问室、案件、当事人等信息，启动刻录任务。</w:t>
            </w:r>
          </w:p>
        </w:tc>
      </w:tr>
      <w:tr w14:paraId="2A0D4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7ECE3C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c>
          <w:tcPr>
            <w:tcW w:w="497" w:type="dxa"/>
            <w:vMerge w:val="continue"/>
            <w:tcBorders>
              <w:top w:val="nil"/>
              <w:left w:val="nil"/>
              <w:bottom w:val="single" w:color="000000" w:sz="8" w:space="0"/>
              <w:right w:val="single" w:color="000000" w:sz="8" w:space="0"/>
            </w:tcBorders>
            <w:shd w:val="clear" w:color="auto" w:fill="auto"/>
            <w:vAlign w:val="center"/>
          </w:tcPr>
          <w:p w14:paraId="5F9523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7" w:type="dxa"/>
            <w:vMerge w:val="continue"/>
            <w:tcBorders>
              <w:left w:val="nil"/>
              <w:right w:val="single" w:color="000000" w:sz="8" w:space="0"/>
            </w:tcBorders>
            <w:shd w:val="clear" w:color="auto" w:fill="auto"/>
            <w:vAlign w:val="center"/>
          </w:tcPr>
          <w:p w14:paraId="5396CD5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kern w:val="0"/>
                <w:sz w:val="20"/>
                <w:szCs w:val="20"/>
                <w:u w:val="none"/>
                <w:lang w:val="en-US" w:eastAsia="zh-CN" w:bidi="ar"/>
              </w:rPr>
            </w:pPr>
          </w:p>
        </w:tc>
        <w:tc>
          <w:tcPr>
            <w:tcW w:w="2535" w:type="dxa"/>
            <w:tcBorders>
              <w:top w:val="nil"/>
              <w:left w:val="nil"/>
              <w:bottom w:val="single" w:color="000000" w:sz="8" w:space="0"/>
              <w:right w:val="single" w:color="000000" w:sz="8" w:space="0"/>
            </w:tcBorders>
            <w:shd w:val="clear" w:color="auto" w:fill="auto"/>
            <w:noWrap/>
            <w:vAlign w:val="center"/>
          </w:tcPr>
          <w:p w14:paraId="1EE0C0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实体案卷管理</w:t>
            </w:r>
          </w:p>
        </w:tc>
        <w:tc>
          <w:tcPr>
            <w:tcW w:w="4234" w:type="dxa"/>
            <w:tcBorders>
              <w:top w:val="nil"/>
              <w:left w:val="nil"/>
              <w:bottom w:val="single" w:color="000000" w:sz="8" w:space="0"/>
              <w:right w:val="single" w:color="000000" w:sz="8" w:space="0"/>
            </w:tcBorders>
            <w:shd w:val="clear" w:color="auto" w:fill="auto"/>
            <w:vAlign w:val="center"/>
          </w:tcPr>
          <w:p w14:paraId="7FACA0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通过智能案卷柜对实体案卷按照在柜、借阅、归档进行分类存放，对案卷实行定时定点存放与保管</w:t>
            </w:r>
            <w:r>
              <w:rPr>
                <w:rFonts w:hint="eastAsia" w:ascii="宋体" w:hAnsi="宋体" w:cs="宋体"/>
                <w:color w:val="000000"/>
                <w:kern w:val="0"/>
                <w:sz w:val="20"/>
                <w:szCs w:val="20"/>
                <w:lang w:val="en-US" w:eastAsia="zh-CN" w:bidi="ar"/>
              </w:rPr>
              <w:t>。</w:t>
            </w:r>
          </w:p>
        </w:tc>
      </w:tr>
      <w:tr w14:paraId="32DA2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582580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w:t>
            </w:r>
          </w:p>
        </w:tc>
        <w:tc>
          <w:tcPr>
            <w:tcW w:w="497" w:type="dxa"/>
            <w:vMerge w:val="continue"/>
            <w:tcBorders>
              <w:top w:val="nil"/>
              <w:left w:val="nil"/>
              <w:bottom w:val="single" w:color="000000" w:sz="8" w:space="0"/>
              <w:right w:val="single" w:color="000000" w:sz="8" w:space="0"/>
            </w:tcBorders>
            <w:shd w:val="clear" w:color="auto" w:fill="auto"/>
            <w:vAlign w:val="center"/>
          </w:tcPr>
          <w:p w14:paraId="117555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7" w:type="dxa"/>
            <w:vMerge w:val="continue"/>
            <w:tcBorders>
              <w:left w:val="nil"/>
              <w:right w:val="single" w:color="000000" w:sz="8" w:space="0"/>
            </w:tcBorders>
            <w:shd w:val="clear" w:color="auto" w:fill="auto"/>
            <w:vAlign w:val="center"/>
          </w:tcPr>
          <w:p w14:paraId="28255EE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kern w:val="0"/>
                <w:sz w:val="20"/>
                <w:szCs w:val="20"/>
                <w:u w:val="none"/>
                <w:lang w:val="en-US" w:eastAsia="zh-CN" w:bidi="ar"/>
              </w:rPr>
            </w:pPr>
          </w:p>
        </w:tc>
        <w:tc>
          <w:tcPr>
            <w:tcW w:w="2535" w:type="dxa"/>
            <w:tcBorders>
              <w:top w:val="nil"/>
              <w:left w:val="nil"/>
              <w:bottom w:val="single" w:color="000000" w:sz="8" w:space="0"/>
              <w:right w:val="single" w:color="000000" w:sz="8" w:space="0"/>
            </w:tcBorders>
            <w:shd w:val="clear" w:color="auto" w:fill="auto"/>
            <w:noWrap/>
            <w:vAlign w:val="center"/>
          </w:tcPr>
          <w:p w14:paraId="111E6F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案卷柜管理</w:t>
            </w:r>
          </w:p>
        </w:tc>
        <w:tc>
          <w:tcPr>
            <w:tcW w:w="4234" w:type="dxa"/>
            <w:tcBorders>
              <w:top w:val="nil"/>
              <w:left w:val="nil"/>
              <w:bottom w:val="single" w:color="000000" w:sz="8" w:space="0"/>
              <w:right w:val="single" w:color="000000" w:sz="8" w:space="0"/>
            </w:tcBorders>
            <w:shd w:val="clear" w:color="auto" w:fill="auto"/>
            <w:vAlign w:val="center"/>
          </w:tcPr>
          <w:p w14:paraId="7DDF8C8B">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1.显示卷柜使用状态，包括已使用卷柜数量、未使用卷柜数量和卷柜总数</w:t>
            </w:r>
            <w:r>
              <w:rPr>
                <w:rFonts w:hint="eastAsia" w:ascii="宋体" w:hAnsi="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2.对已使用、未使用案卷柜进行筛选显示；对应柜门的所属人，柜门编号模拟实体柜展示在操作屏上</w:t>
            </w:r>
            <w:r>
              <w:rPr>
                <w:rFonts w:hint="eastAsia" w:ascii="宋体" w:hAnsi="宋体" w:cs="宋体"/>
                <w:color w:val="000000"/>
                <w:kern w:val="0"/>
                <w:sz w:val="20"/>
                <w:szCs w:val="20"/>
                <w:lang w:val="en-US" w:eastAsia="zh-CN" w:bidi="ar"/>
              </w:rPr>
              <w:t>。</w:t>
            </w:r>
          </w:p>
          <w:p w14:paraId="50EEF9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3.对存取的案卷主办人、当事人、案件名称、存取时间、所在柜号等主要信息显示在触摸屏上</w:t>
            </w:r>
            <w:r>
              <w:rPr>
                <w:rFonts w:hint="eastAsia" w:ascii="宋体" w:hAnsi="宋体" w:cs="宋体"/>
                <w:color w:val="000000"/>
                <w:kern w:val="0"/>
                <w:sz w:val="20"/>
                <w:szCs w:val="20"/>
                <w:lang w:val="en-US" w:eastAsia="zh-CN" w:bidi="ar"/>
              </w:rPr>
              <w:t>。</w:t>
            </w:r>
          </w:p>
        </w:tc>
      </w:tr>
      <w:tr w14:paraId="68307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788F6F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127</w:t>
            </w:r>
          </w:p>
        </w:tc>
        <w:tc>
          <w:tcPr>
            <w:tcW w:w="497" w:type="dxa"/>
            <w:vMerge w:val="continue"/>
            <w:tcBorders>
              <w:top w:val="nil"/>
              <w:left w:val="nil"/>
              <w:bottom w:val="single" w:color="000000" w:sz="8" w:space="0"/>
              <w:right w:val="single" w:color="000000" w:sz="8" w:space="0"/>
            </w:tcBorders>
            <w:shd w:val="clear" w:color="auto" w:fill="auto"/>
            <w:vAlign w:val="center"/>
          </w:tcPr>
          <w:p w14:paraId="2CB296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7" w:type="dxa"/>
            <w:vMerge w:val="continue"/>
            <w:tcBorders>
              <w:left w:val="nil"/>
              <w:right w:val="single" w:color="000000" w:sz="8" w:space="0"/>
            </w:tcBorders>
            <w:shd w:val="clear" w:color="auto" w:fill="auto"/>
            <w:vAlign w:val="center"/>
          </w:tcPr>
          <w:p w14:paraId="5B1BFC5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kern w:val="0"/>
                <w:sz w:val="20"/>
                <w:szCs w:val="20"/>
                <w:u w:val="none"/>
                <w:lang w:val="en-US" w:eastAsia="zh-CN" w:bidi="ar"/>
              </w:rPr>
            </w:pPr>
          </w:p>
        </w:tc>
        <w:tc>
          <w:tcPr>
            <w:tcW w:w="2535" w:type="dxa"/>
            <w:tcBorders>
              <w:top w:val="nil"/>
              <w:left w:val="nil"/>
              <w:bottom w:val="single" w:color="000000" w:sz="8" w:space="0"/>
              <w:right w:val="single" w:color="000000" w:sz="8" w:space="0"/>
            </w:tcBorders>
            <w:shd w:val="clear" w:color="auto" w:fill="auto"/>
            <w:noWrap/>
            <w:vAlign w:val="center"/>
          </w:tcPr>
          <w:p w14:paraId="6E0311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笔录方案配置</w:t>
            </w:r>
          </w:p>
        </w:tc>
        <w:tc>
          <w:tcPr>
            <w:tcW w:w="4234" w:type="dxa"/>
            <w:tcBorders>
              <w:top w:val="nil"/>
              <w:left w:val="nil"/>
              <w:bottom w:val="single" w:color="000000" w:sz="8" w:space="0"/>
              <w:right w:val="single" w:color="000000" w:sz="8" w:space="0"/>
            </w:tcBorders>
            <w:shd w:val="clear" w:color="auto" w:fill="auto"/>
            <w:vAlign w:val="center"/>
          </w:tcPr>
          <w:p w14:paraId="3E18D5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可针对不同笔录类型导入或制作笔录模板， 如违建案件笔录模板，公共卫生案件笔录模板，方便执法人员快速制作笔录</w:t>
            </w:r>
            <w:r>
              <w:rPr>
                <w:rFonts w:hint="eastAsia" w:ascii="宋体" w:hAnsi="宋体" w:cs="宋体"/>
                <w:color w:val="000000"/>
                <w:kern w:val="0"/>
                <w:sz w:val="20"/>
                <w:szCs w:val="20"/>
                <w:lang w:val="en-US" w:eastAsia="zh-CN" w:bidi="ar"/>
              </w:rPr>
              <w:t>。</w:t>
            </w:r>
          </w:p>
        </w:tc>
      </w:tr>
      <w:tr w14:paraId="42087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750FF8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128</w:t>
            </w:r>
          </w:p>
        </w:tc>
        <w:tc>
          <w:tcPr>
            <w:tcW w:w="497" w:type="dxa"/>
            <w:vMerge w:val="continue"/>
            <w:tcBorders>
              <w:top w:val="nil"/>
              <w:left w:val="nil"/>
              <w:bottom w:val="single" w:color="000000" w:sz="8" w:space="0"/>
              <w:right w:val="single" w:color="000000" w:sz="8" w:space="0"/>
            </w:tcBorders>
            <w:shd w:val="clear" w:color="auto" w:fill="auto"/>
            <w:vAlign w:val="center"/>
          </w:tcPr>
          <w:p w14:paraId="7D6ABD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7" w:type="dxa"/>
            <w:vMerge w:val="continue"/>
            <w:tcBorders>
              <w:left w:val="nil"/>
              <w:right w:val="single" w:color="000000" w:sz="8" w:space="0"/>
            </w:tcBorders>
            <w:shd w:val="clear" w:color="auto" w:fill="auto"/>
            <w:vAlign w:val="center"/>
          </w:tcPr>
          <w:p w14:paraId="25F1D94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kern w:val="0"/>
                <w:sz w:val="20"/>
                <w:szCs w:val="20"/>
                <w:u w:val="none"/>
                <w:lang w:val="en-US" w:eastAsia="zh-CN" w:bidi="ar"/>
              </w:rPr>
            </w:pPr>
          </w:p>
        </w:tc>
        <w:tc>
          <w:tcPr>
            <w:tcW w:w="2535" w:type="dxa"/>
            <w:tcBorders>
              <w:top w:val="nil"/>
              <w:left w:val="nil"/>
              <w:bottom w:val="single" w:color="000000" w:sz="8" w:space="0"/>
              <w:right w:val="single" w:color="000000" w:sz="8" w:space="0"/>
            </w:tcBorders>
            <w:shd w:val="clear" w:color="auto" w:fill="auto"/>
            <w:noWrap/>
            <w:vAlign w:val="center"/>
          </w:tcPr>
          <w:p w14:paraId="3493EA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笔录辅助功能</w:t>
            </w:r>
          </w:p>
        </w:tc>
        <w:tc>
          <w:tcPr>
            <w:tcW w:w="4234" w:type="dxa"/>
            <w:tcBorders>
              <w:top w:val="nil"/>
              <w:left w:val="nil"/>
              <w:bottom w:val="single" w:color="000000" w:sz="8" w:space="0"/>
              <w:right w:val="single" w:color="000000" w:sz="8" w:space="0"/>
            </w:tcBorders>
            <w:shd w:val="clear" w:color="auto" w:fill="auto"/>
            <w:vAlign w:val="center"/>
          </w:tcPr>
          <w:p w14:paraId="180459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支持权利义务告知书和笔录内容语音朗读、分屏核对、电子签名捺印、上传打印、集中存储等功能</w:t>
            </w:r>
            <w:r>
              <w:rPr>
                <w:rFonts w:hint="eastAsia" w:ascii="宋体" w:hAnsi="宋体" w:cs="宋体"/>
                <w:color w:val="000000"/>
                <w:kern w:val="0"/>
                <w:sz w:val="20"/>
                <w:szCs w:val="20"/>
                <w:lang w:val="en-US" w:eastAsia="zh-CN" w:bidi="ar"/>
              </w:rPr>
              <w:t>。</w:t>
            </w:r>
          </w:p>
        </w:tc>
      </w:tr>
      <w:tr w14:paraId="4F9D6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1113C9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w:t>
            </w:r>
          </w:p>
        </w:tc>
        <w:tc>
          <w:tcPr>
            <w:tcW w:w="497" w:type="dxa"/>
            <w:vMerge w:val="continue"/>
            <w:tcBorders>
              <w:top w:val="nil"/>
              <w:left w:val="nil"/>
              <w:bottom w:val="single" w:color="000000" w:sz="8" w:space="0"/>
              <w:right w:val="single" w:color="000000" w:sz="8" w:space="0"/>
            </w:tcBorders>
            <w:shd w:val="clear" w:color="auto" w:fill="auto"/>
            <w:vAlign w:val="center"/>
          </w:tcPr>
          <w:p w14:paraId="7DF324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7" w:type="dxa"/>
            <w:vMerge w:val="restart"/>
            <w:tcBorders>
              <w:left w:val="nil"/>
              <w:right w:val="single" w:color="000000" w:sz="8" w:space="0"/>
            </w:tcBorders>
            <w:shd w:val="clear" w:color="auto" w:fill="auto"/>
            <w:vAlign w:val="center"/>
          </w:tcPr>
          <w:p w14:paraId="106713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535" w:type="dxa"/>
            <w:tcBorders>
              <w:top w:val="nil"/>
              <w:left w:val="nil"/>
              <w:bottom w:val="single" w:color="000000" w:sz="8" w:space="0"/>
              <w:right w:val="single" w:color="000000" w:sz="8" w:space="0"/>
            </w:tcBorders>
            <w:shd w:val="clear" w:color="auto" w:fill="auto"/>
            <w:noWrap/>
            <w:vAlign w:val="center"/>
          </w:tcPr>
          <w:p w14:paraId="7B4C32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储物空间管理</w:t>
            </w:r>
          </w:p>
        </w:tc>
        <w:tc>
          <w:tcPr>
            <w:tcW w:w="4234" w:type="dxa"/>
            <w:tcBorders>
              <w:top w:val="nil"/>
              <w:left w:val="nil"/>
              <w:bottom w:val="single" w:color="000000" w:sz="8" w:space="0"/>
              <w:right w:val="single" w:color="000000" w:sz="8" w:space="0"/>
            </w:tcBorders>
            <w:shd w:val="clear" w:color="auto" w:fill="auto"/>
            <w:vAlign w:val="center"/>
          </w:tcPr>
          <w:p w14:paraId="0C2440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1.提供罚没物品室的空间管理功能，将储物空间按物证室、区域、设备，以达到更好的分案、分类保管</w:t>
            </w:r>
            <w:r>
              <w:rPr>
                <w:rFonts w:hint="eastAsia" w:ascii="宋体" w:hAnsi="宋体" w:cs="宋体"/>
                <w:color w:val="000000"/>
                <w:kern w:val="0"/>
                <w:sz w:val="20"/>
                <w:szCs w:val="20"/>
                <w:lang w:val="en-US" w:eastAsia="zh-CN" w:bidi="ar"/>
              </w:rPr>
              <w:t>。</w:t>
            </w:r>
          </w:p>
        </w:tc>
      </w:tr>
      <w:tr w14:paraId="79234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6FDDD9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497" w:type="dxa"/>
            <w:vMerge w:val="continue"/>
            <w:tcBorders>
              <w:top w:val="nil"/>
              <w:left w:val="nil"/>
              <w:bottom w:val="single" w:color="000000" w:sz="8" w:space="0"/>
              <w:right w:val="single" w:color="000000" w:sz="8" w:space="0"/>
            </w:tcBorders>
            <w:shd w:val="clear" w:color="auto" w:fill="auto"/>
            <w:vAlign w:val="center"/>
          </w:tcPr>
          <w:p w14:paraId="7FE8A9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7" w:type="dxa"/>
            <w:vMerge w:val="continue"/>
            <w:tcBorders>
              <w:left w:val="nil"/>
              <w:right w:val="single" w:color="000000" w:sz="8" w:space="0"/>
            </w:tcBorders>
            <w:shd w:val="clear" w:color="auto" w:fill="auto"/>
            <w:vAlign w:val="center"/>
          </w:tcPr>
          <w:p w14:paraId="568A13D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kern w:val="0"/>
                <w:sz w:val="20"/>
                <w:szCs w:val="20"/>
                <w:u w:val="none"/>
                <w:lang w:val="en-US" w:eastAsia="zh-CN" w:bidi="ar"/>
              </w:rPr>
            </w:pPr>
          </w:p>
        </w:tc>
        <w:tc>
          <w:tcPr>
            <w:tcW w:w="2535" w:type="dxa"/>
            <w:tcBorders>
              <w:top w:val="nil"/>
              <w:left w:val="nil"/>
              <w:bottom w:val="single" w:color="000000" w:sz="8" w:space="0"/>
              <w:right w:val="single" w:color="000000" w:sz="8" w:space="0"/>
            </w:tcBorders>
            <w:shd w:val="clear" w:color="auto" w:fill="auto"/>
            <w:noWrap/>
            <w:vAlign w:val="center"/>
          </w:tcPr>
          <w:p w14:paraId="2A6A93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物品出入库</w:t>
            </w:r>
          </w:p>
        </w:tc>
        <w:tc>
          <w:tcPr>
            <w:tcW w:w="4234" w:type="dxa"/>
            <w:tcBorders>
              <w:top w:val="nil"/>
              <w:left w:val="nil"/>
              <w:bottom w:val="single" w:color="000000" w:sz="8" w:space="0"/>
              <w:right w:val="single" w:color="000000" w:sz="8" w:space="0"/>
            </w:tcBorders>
            <w:shd w:val="clear" w:color="auto" w:fill="auto"/>
            <w:vAlign w:val="center"/>
          </w:tcPr>
          <w:p w14:paraId="041F6282">
            <w:pPr>
              <w:keepNext w:val="0"/>
              <w:keepLines w:val="0"/>
              <w:widowControl/>
              <w:numPr>
                <w:ilvl w:val="0"/>
                <w:numId w:val="4"/>
              </w:numPr>
              <w:suppressLineNumbers w:val="0"/>
              <w:spacing w:before="0" w:beforeAutospacing="0" w:after="0" w:afterAutospacing="0"/>
              <w:ind w:left="0" w:right="0"/>
              <w:jc w:val="left"/>
              <w:textAlignment w:val="center"/>
              <w:rPr>
                <w:rFonts w:hint="eastAsia" w:ascii="宋体" w:hAnsi="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物品入库，对物品进行入库登记，自动分配存放位置</w:t>
            </w:r>
            <w:r>
              <w:rPr>
                <w:rFonts w:hint="eastAsia" w:ascii="宋体" w:hAnsi="宋体" w:cs="宋体"/>
                <w:color w:val="000000"/>
                <w:kern w:val="0"/>
                <w:sz w:val="20"/>
                <w:szCs w:val="20"/>
                <w:lang w:val="en-US" w:eastAsia="zh-CN" w:bidi="ar"/>
              </w:rPr>
              <w:t>。</w:t>
            </w:r>
          </w:p>
          <w:p w14:paraId="56E867DC">
            <w:pPr>
              <w:keepNext w:val="0"/>
              <w:keepLines w:val="0"/>
              <w:widowControl/>
              <w:numPr>
                <w:ilvl w:val="0"/>
                <w:numId w:val="4"/>
              </w:numPr>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物品发还，登记后物品返还当事人</w:t>
            </w:r>
            <w:r>
              <w:rPr>
                <w:rFonts w:hint="eastAsia" w:ascii="宋体" w:hAnsi="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3.物品出库，对待出库的物品进行出库处理，包括返还、移交、销毁、上交国库等，生成处理清单。</w:t>
            </w:r>
          </w:p>
        </w:tc>
      </w:tr>
      <w:tr w14:paraId="029B5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79A99C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131</w:t>
            </w:r>
          </w:p>
        </w:tc>
        <w:tc>
          <w:tcPr>
            <w:tcW w:w="497" w:type="dxa"/>
            <w:vMerge w:val="restart"/>
            <w:tcBorders>
              <w:top w:val="nil"/>
              <w:left w:val="nil"/>
              <w:bottom w:val="single" w:color="000000" w:sz="8" w:space="0"/>
              <w:right w:val="single" w:color="000000" w:sz="8" w:space="0"/>
            </w:tcBorders>
            <w:shd w:val="clear" w:color="auto" w:fill="auto"/>
            <w:vAlign w:val="center"/>
          </w:tcPr>
          <w:p w14:paraId="2DBE01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智慧河道系统</w:t>
            </w:r>
          </w:p>
        </w:tc>
        <w:tc>
          <w:tcPr>
            <w:tcW w:w="737" w:type="dxa"/>
            <w:vMerge w:val="restart"/>
            <w:tcBorders>
              <w:top w:val="nil"/>
              <w:left w:val="nil"/>
              <w:bottom w:val="single" w:color="000000" w:sz="8" w:space="0"/>
              <w:right w:val="single" w:color="000000" w:sz="8" w:space="0"/>
            </w:tcBorders>
            <w:shd w:val="clear" w:color="auto" w:fill="auto"/>
            <w:vAlign w:val="center"/>
          </w:tcPr>
          <w:p w14:paraId="6D4CFA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河道基础信息管理适配改造</w:t>
            </w:r>
          </w:p>
        </w:tc>
        <w:tc>
          <w:tcPr>
            <w:tcW w:w="2535" w:type="dxa"/>
            <w:tcBorders>
              <w:top w:val="nil"/>
              <w:left w:val="nil"/>
              <w:bottom w:val="single" w:color="000000" w:sz="8" w:space="0"/>
              <w:right w:val="single" w:color="000000" w:sz="8" w:space="0"/>
            </w:tcBorders>
            <w:shd w:val="clear" w:color="auto" w:fill="auto"/>
            <w:noWrap/>
            <w:vAlign w:val="center"/>
          </w:tcPr>
          <w:p w14:paraId="2BBE5B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河道档案</w:t>
            </w:r>
          </w:p>
        </w:tc>
        <w:tc>
          <w:tcPr>
            <w:tcW w:w="4234" w:type="dxa"/>
            <w:tcBorders>
              <w:top w:val="nil"/>
              <w:left w:val="nil"/>
              <w:bottom w:val="single" w:color="000000" w:sz="8" w:space="0"/>
              <w:right w:val="single" w:color="000000" w:sz="8" w:space="0"/>
            </w:tcBorders>
            <w:shd w:val="clear" w:color="auto" w:fill="auto"/>
            <w:vAlign w:val="center"/>
          </w:tcPr>
          <w:p w14:paraId="3F789D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1.河道基础信息（业务编码、曾用名、河道类型、所属区域、整治情况、河道功能、目标水质、勘测信息等）的增删改查</w:t>
            </w:r>
            <w:r>
              <w:rPr>
                <w:rFonts w:hint="eastAsia" w:ascii="宋体" w:hAnsi="宋体" w:cs="宋体"/>
                <w:i w:val="0"/>
                <w:iCs w:val="0"/>
                <w:color w:val="000000"/>
                <w:kern w:val="0"/>
                <w:sz w:val="20"/>
                <w:szCs w:val="20"/>
                <w:u w:val="none"/>
                <w:lang w:val="en-US" w:eastAsia="zh-CN" w:bidi="ar"/>
              </w:rPr>
              <w:t>。</w:t>
            </w:r>
          </w:p>
        </w:tc>
      </w:tr>
      <w:tr w14:paraId="77B2E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116810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132</w:t>
            </w:r>
          </w:p>
        </w:tc>
        <w:tc>
          <w:tcPr>
            <w:tcW w:w="497" w:type="dxa"/>
            <w:vMerge w:val="continue"/>
            <w:tcBorders>
              <w:top w:val="nil"/>
              <w:left w:val="nil"/>
              <w:bottom w:val="single" w:color="000000" w:sz="8" w:space="0"/>
              <w:right w:val="single" w:color="000000" w:sz="8" w:space="0"/>
            </w:tcBorders>
            <w:shd w:val="clear" w:color="auto" w:fill="auto"/>
            <w:vAlign w:val="center"/>
          </w:tcPr>
          <w:p w14:paraId="6DC0D2A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7D2B815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0ACBE3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水质断面</w:t>
            </w:r>
          </w:p>
        </w:tc>
        <w:tc>
          <w:tcPr>
            <w:tcW w:w="4234" w:type="dxa"/>
            <w:tcBorders>
              <w:top w:val="nil"/>
              <w:left w:val="nil"/>
              <w:bottom w:val="single" w:color="000000" w:sz="8" w:space="0"/>
              <w:right w:val="single" w:color="000000" w:sz="8" w:space="0"/>
            </w:tcBorders>
            <w:shd w:val="clear" w:color="auto" w:fill="auto"/>
            <w:vAlign w:val="center"/>
          </w:tcPr>
          <w:p w14:paraId="1A1E9E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水质断面基础信息（断面编码、断面名称、所属河道、所属区域、断面类型等）的增删改查</w:t>
            </w:r>
            <w:r>
              <w:rPr>
                <w:rFonts w:hint="eastAsia" w:ascii="宋体" w:hAnsi="宋体" w:cs="宋体"/>
                <w:i w:val="0"/>
                <w:iCs w:val="0"/>
                <w:color w:val="000000"/>
                <w:kern w:val="0"/>
                <w:sz w:val="20"/>
                <w:szCs w:val="20"/>
                <w:u w:val="none"/>
                <w:lang w:val="en-US" w:eastAsia="zh-CN" w:bidi="ar"/>
              </w:rPr>
              <w:t>。</w:t>
            </w:r>
          </w:p>
        </w:tc>
      </w:tr>
      <w:tr w14:paraId="0E805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0113B7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133</w:t>
            </w:r>
          </w:p>
        </w:tc>
        <w:tc>
          <w:tcPr>
            <w:tcW w:w="497" w:type="dxa"/>
            <w:vMerge w:val="continue"/>
            <w:tcBorders>
              <w:top w:val="nil"/>
              <w:left w:val="nil"/>
              <w:bottom w:val="single" w:color="000000" w:sz="8" w:space="0"/>
              <w:right w:val="single" w:color="000000" w:sz="8" w:space="0"/>
            </w:tcBorders>
            <w:shd w:val="clear" w:color="auto" w:fill="auto"/>
            <w:vAlign w:val="center"/>
          </w:tcPr>
          <w:p w14:paraId="08E3A74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6C60F61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6891B1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水文站点</w:t>
            </w:r>
          </w:p>
        </w:tc>
        <w:tc>
          <w:tcPr>
            <w:tcW w:w="4234" w:type="dxa"/>
            <w:tcBorders>
              <w:top w:val="nil"/>
              <w:left w:val="nil"/>
              <w:bottom w:val="single" w:color="000000" w:sz="8" w:space="0"/>
              <w:right w:val="single" w:color="000000" w:sz="8" w:space="0"/>
            </w:tcBorders>
            <w:shd w:val="clear" w:color="auto" w:fill="auto"/>
            <w:vAlign w:val="center"/>
          </w:tcPr>
          <w:p w14:paraId="6E4307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水文站点基础信息（站点编码、站点名称、所属河道、所属区域、监测方式、监测频率、监测类型等）的增删改查</w:t>
            </w:r>
            <w:r>
              <w:rPr>
                <w:rFonts w:hint="eastAsia" w:ascii="宋体" w:hAnsi="宋体" w:cs="宋体"/>
                <w:i w:val="0"/>
                <w:iCs w:val="0"/>
                <w:color w:val="000000"/>
                <w:kern w:val="0"/>
                <w:sz w:val="20"/>
                <w:szCs w:val="20"/>
                <w:u w:val="none"/>
                <w:lang w:val="en-US" w:eastAsia="zh-CN" w:bidi="ar"/>
              </w:rPr>
              <w:t>。</w:t>
            </w:r>
          </w:p>
        </w:tc>
      </w:tr>
      <w:tr w14:paraId="6D71F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283BB6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134</w:t>
            </w:r>
          </w:p>
        </w:tc>
        <w:tc>
          <w:tcPr>
            <w:tcW w:w="497" w:type="dxa"/>
            <w:vMerge w:val="continue"/>
            <w:tcBorders>
              <w:top w:val="nil"/>
              <w:left w:val="nil"/>
              <w:bottom w:val="single" w:color="000000" w:sz="8" w:space="0"/>
              <w:right w:val="single" w:color="000000" w:sz="8" w:space="0"/>
            </w:tcBorders>
            <w:shd w:val="clear" w:color="auto" w:fill="auto"/>
            <w:vAlign w:val="center"/>
          </w:tcPr>
          <w:p w14:paraId="1E3DC46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63766F5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6D583F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管网监测站点</w:t>
            </w:r>
          </w:p>
        </w:tc>
        <w:tc>
          <w:tcPr>
            <w:tcW w:w="4234" w:type="dxa"/>
            <w:tcBorders>
              <w:top w:val="nil"/>
              <w:left w:val="nil"/>
              <w:bottom w:val="single" w:color="000000" w:sz="8" w:space="0"/>
              <w:right w:val="single" w:color="000000" w:sz="8" w:space="0"/>
            </w:tcBorders>
            <w:shd w:val="clear" w:color="auto" w:fill="auto"/>
            <w:vAlign w:val="center"/>
          </w:tcPr>
          <w:p w14:paraId="52B6D0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管网监测站点基础信息（站点编码、站点名称、所属河道、所属区域、站点类型、监测类型等）的增删改查</w:t>
            </w:r>
            <w:r>
              <w:rPr>
                <w:rFonts w:hint="eastAsia" w:ascii="宋体" w:hAnsi="宋体" w:cs="宋体"/>
                <w:i w:val="0"/>
                <w:iCs w:val="0"/>
                <w:color w:val="000000"/>
                <w:kern w:val="0"/>
                <w:sz w:val="20"/>
                <w:szCs w:val="20"/>
                <w:u w:val="none"/>
                <w:lang w:val="en-US" w:eastAsia="zh-CN" w:bidi="ar"/>
              </w:rPr>
              <w:t>。</w:t>
            </w:r>
          </w:p>
        </w:tc>
      </w:tr>
      <w:tr w14:paraId="7BE8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55DAB0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135</w:t>
            </w:r>
          </w:p>
        </w:tc>
        <w:tc>
          <w:tcPr>
            <w:tcW w:w="497" w:type="dxa"/>
            <w:vMerge w:val="continue"/>
            <w:tcBorders>
              <w:top w:val="nil"/>
              <w:left w:val="nil"/>
              <w:bottom w:val="single" w:color="000000" w:sz="8" w:space="0"/>
              <w:right w:val="single" w:color="000000" w:sz="8" w:space="0"/>
            </w:tcBorders>
            <w:shd w:val="clear" w:color="auto" w:fill="auto"/>
            <w:vAlign w:val="center"/>
          </w:tcPr>
          <w:p w14:paraId="1497C4C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6CC0F32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21143B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排口档案</w:t>
            </w:r>
          </w:p>
        </w:tc>
        <w:tc>
          <w:tcPr>
            <w:tcW w:w="4234" w:type="dxa"/>
            <w:tcBorders>
              <w:top w:val="nil"/>
              <w:left w:val="nil"/>
              <w:bottom w:val="single" w:color="000000" w:sz="8" w:space="0"/>
              <w:right w:val="single" w:color="000000" w:sz="8" w:space="0"/>
            </w:tcBorders>
            <w:shd w:val="clear" w:color="auto" w:fill="auto"/>
            <w:vAlign w:val="center"/>
          </w:tcPr>
          <w:p w14:paraId="2B0194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1.排口基础信息（排放口编码、排放口名称、所属区域、所属河道名称、类别、出流方式、</w:t>
            </w:r>
            <w:r>
              <w:rPr>
                <w:rFonts w:hint="eastAsia" w:ascii="宋体" w:hAnsi="宋体" w:cs="宋体"/>
                <w:i w:val="0"/>
                <w:iCs w:val="0"/>
                <w:color w:val="000000"/>
                <w:kern w:val="0"/>
                <w:sz w:val="20"/>
                <w:szCs w:val="20"/>
                <w:u w:val="none"/>
                <w:lang w:val="en-US" w:eastAsia="zh-CN" w:bidi="ar"/>
              </w:rPr>
              <w:t>设施</w:t>
            </w:r>
            <w:r>
              <w:rPr>
                <w:rFonts w:hint="eastAsia" w:ascii="宋体" w:hAnsi="宋体" w:eastAsia="宋体" w:cs="宋体"/>
                <w:i w:val="0"/>
                <w:iCs w:val="0"/>
                <w:color w:val="000000"/>
                <w:kern w:val="0"/>
                <w:sz w:val="20"/>
                <w:szCs w:val="20"/>
                <w:u w:val="none"/>
                <w:lang w:val="en-US" w:eastAsia="zh-CN" w:bidi="ar"/>
              </w:rPr>
              <w:t>状态等）的增删改查</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2.异常出水的增删改查。</w:t>
            </w:r>
          </w:p>
        </w:tc>
      </w:tr>
      <w:tr w14:paraId="15937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04C60A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136</w:t>
            </w:r>
          </w:p>
        </w:tc>
        <w:tc>
          <w:tcPr>
            <w:tcW w:w="497" w:type="dxa"/>
            <w:vMerge w:val="continue"/>
            <w:tcBorders>
              <w:top w:val="nil"/>
              <w:left w:val="nil"/>
              <w:bottom w:val="single" w:color="000000" w:sz="8" w:space="0"/>
              <w:right w:val="single" w:color="000000" w:sz="8" w:space="0"/>
            </w:tcBorders>
            <w:shd w:val="clear" w:color="auto" w:fill="auto"/>
            <w:vAlign w:val="center"/>
          </w:tcPr>
          <w:p w14:paraId="2A18681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294BAD8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77636D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闸泵档案</w:t>
            </w:r>
          </w:p>
        </w:tc>
        <w:tc>
          <w:tcPr>
            <w:tcW w:w="4234" w:type="dxa"/>
            <w:tcBorders>
              <w:top w:val="nil"/>
              <w:left w:val="nil"/>
              <w:bottom w:val="single" w:color="000000" w:sz="8" w:space="0"/>
              <w:right w:val="single" w:color="000000" w:sz="8" w:space="0"/>
            </w:tcBorders>
            <w:shd w:val="clear" w:color="auto" w:fill="auto"/>
            <w:vAlign w:val="center"/>
          </w:tcPr>
          <w:p w14:paraId="73467D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1.各闸泵站点（船闸、泵站、水闸）基础信息（编码、名称、所属河道、所属区域、功能等）的增删改查</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2.闸门信息的增删改查</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3.水泵信息的增删改查</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4.控制室信息的增删改查。</w:t>
            </w:r>
          </w:p>
        </w:tc>
      </w:tr>
      <w:tr w14:paraId="3D85C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5A9540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137</w:t>
            </w:r>
          </w:p>
        </w:tc>
        <w:tc>
          <w:tcPr>
            <w:tcW w:w="497" w:type="dxa"/>
            <w:vMerge w:val="continue"/>
            <w:tcBorders>
              <w:top w:val="nil"/>
              <w:left w:val="nil"/>
              <w:bottom w:val="single" w:color="000000" w:sz="8" w:space="0"/>
              <w:right w:val="single" w:color="000000" w:sz="8" w:space="0"/>
            </w:tcBorders>
            <w:shd w:val="clear" w:color="auto" w:fill="auto"/>
            <w:vAlign w:val="center"/>
          </w:tcPr>
          <w:p w14:paraId="1019D61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209F00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水质监测评价适配改造</w:t>
            </w:r>
          </w:p>
        </w:tc>
        <w:tc>
          <w:tcPr>
            <w:tcW w:w="2535" w:type="dxa"/>
            <w:tcBorders>
              <w:top w:val="nil"/>
              <w:left w:val="nil"/>
              <w:bottom w:val="single" w:color="000000" w:sz="8" w:space="0"/>
              <w:right w:val="single" w:color="000000" w:sz="8" w:space="0"/>
            </w:tcBorders>
            <w:shd w:val="clear" w:color="auto" w:fill="auto"/>
            <w:noWrap/>
            <w:vAlign w:val="center"/>
          </w:tcPr>
          <w:p w14:paraId="4B29FB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综合看板</w:t>
            </w:r>
          </w:p>
        </w:tc>
        <w:tc>
          <w:tcPr>
            <w:tcW w:w="4234" w:type="dxa"/>
            <w:tcBorders>
              <w:top w:val="nil"/>
              <w:left w:val="nil"/>
              <w:bottom w:val="single" w:color="000000" w:sz="8" w:space="0"/>
              <w:right w:val="single" w:color="000000" w:sz="8" w:space="0"/>
            </w:tcBorders>
            <w:shd w:val="clear" w:color="auto" w:fill="auto"/>
            <w:vAlign w:val="center"/>
          </w:tcPr>
          <w:p w14:paraId="784188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查看全区所有水质断面的综合查询，包括断面总数、劣V断面数、水质优良率、超标断面数、</w:t>
            </w:r>
            <w:r>
              <w:rPr>
                <w:rFonts w:hint="eastAsia" w:ascii="宋体" w:hAnsi="宋体" w:cs="宋体"/>
                <w:i w:val="0"/>
                <w:iCs w:val="0"/>
                <w:color w:val="000000"/>
                <w:kern w:val="0"/>
                <w:sz w:val="20"/>
                <w:szCs w:val="20"/>
                <w:u w:val="none"/>
                <w:lang w:val="en-US" w:eastAsia="zh-CN" w:bidi="ar"/>
              </w:rPr>
              <w:t>整体评价</w:t>
            </w:r>
            <w:r>
              <w:rPr>
                <w:rFonts w:hint="eastAsia" w:ascii="宋体" w:hAnsi="宋体" w:eastAsia="宋体" w:cs="宋体"/>
                <w:i w:val="0"/>
                <w:iCs w:val="0"/>
                <w:color w:val="000000"/>
                <w:kern w:val="0"/>
                <w:sz w:val="20"/>
                <w:szCs w:val="20"/>
                <w:u w:val="none"/>
                <w:lang w:val="en-US" w:eastAsia="zh-CN" w:bidi="ar"/>
              </w:rPr>
              <w:t>、水污染指数等，通过图表形式进行展示</w:t>
            </w:r>
            <w:r>
              <w:rPr>
                <w:rFonts w:hint="eastAsia" w:ascii="宋体" w:hAnsi="宋体" w:cs="宋体"/>
                <w:i w:val="0"/>
                <w:iCs w:val="0"/>
                <w:color w:val="000000"/>
                <w:kern w:val="0"/>
                <w:sz w:val="20"/>
                <w:szCs w:val="20"/>
                <w:u w:val="none"/>
                <w:lang w:val="en-US" w:eastAsia="zh-CN" w:bidi="ar"/>
              </w:rPr>
              <w:t>。</w:t>
            </w:r>
          </w:p>
        </w:tc>
      </w:tr>
      <w:tr w14:paraId="37DFE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6D0024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138</w:t>
            </w:r>
          </w:p>
        </w:tc>
        <w:tc>
          <w:tcPr>
            <w:tcW w:w="497" w:type="dxa"/>
            <w:vMerge w:val="continue"/>
            <w:tcBorders>
              <w:top w:val="nil"/>
              <w:left w:val="nil"/>
              <w:bottom w:val="single" w:color="000000" w:sz="8" w:space="0"/>
              <w:right w:val="single" w:color="000000" w:sz="8" w:space="0"/>
            </w:tcBorders>
            <w:shd w:val="clear" w:color="auto" w:fill="auto"/>
            <w:vAlign w:val="center"/>
          </w:tcPr>
          <w:p w14:paraId="66E28D6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27BB619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62D3FE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手工检测</w:t>
            </w:r>
          </w:p>
        </w:tc>
        <w:tc>
          <w:tcPr>
            <w:tcW w:w="4234" w:type="dxa"/>
            <w:tcBorders>
              <w:top w:val="nil"/>
              <w:left w:val="nil"/>
              <w:bottom w:val="single" w:color="000000" w:sz="8" w:space="0"/>
              <w:right w:val="single" w:color="000000" w:sz="8" w:space="0"/>
            </w:tcBorders>
            <w:shd w:val="clear" w:color="auto" w:fill="auto"/>
            <w:vAlign w:val="center"/>
          </w:tcPr>
          <w:p w14:paraId="7A6FAA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上传手工取样监测结果数据，并对历史数据以报表形式、曲线图形式进行查询；并统计出监督月报、断面达标率、河道水质表、河道</w:t>
            </w:r>
            <w:r>
              <w:rPr>
                <w:rFonts w:hint="eastAsia" w:ascii="宋体" w:hAnsi="宋体" w:cs="宋体"/>
                <w:i w:val="0"/>
                <w:iCs w:val="0"/>
                <w:color w:val="000000"/>
                <w:kern w:val="0"/>
                <w:sz w:val="20"/>
                <w:szCs w:val="20"/>
                <w:u w:val="none"/>
                <w:lang w:val="en-US" w:eastAsia="zh-CN" w:bidi="ar"/>
              </w:rPr>
              <w:t>预警</w:t>
            </w:r>
            <w:r>
              <w:rPr>
                <w:rFonts w:hint="eastAsia" w:ascii="宋体" w:hAnsi="宋体" w:eastAsia="宋体" w:cs="宋体"/>
                <w:i w:val="0"/>
                <w:iCs w:val="0"/>
                <w:color w:val="000000"/>
                <w:kern w:val="0"/>
                <w:sz w:val="20"/>
                <w:szCs w:val="20"/>
                <w:u w:val="none"/>
                <w:lang w:val="en-US" w:eastAsia="zh-CN" w:bidi="ar"/>
              </w:rPr>
              <w:t>表、</w:t>
            </w:r>
            <w:r>
              <w:rPr>
                <w:rFonts w:hint="eastAsia" w:ascii="宋体" w:hAnsi="宋体" w:cs="宋体"/>
                <w:i w:val="0"/>
                <w:iCs w:val="0"/>
                <w:color w:val="000000"/>
                <w:kern w:val="0"/>
                <w:sz w:val="20"/>
                <w:szCs w:val="20"/>
                <w:u w:val="none"/>
                <w:lang w:val="en-US" w:eastAsia="zh-CN" w:bidi="ar"/>
              </w:rPr>
              <w:t>河道</w:t>
            </w:r>
            <w:r>
              <w:rPr>
                <w:rFonts w:hint="eastAsia" w:ascii="宋体" w:hAnsi="宋体" w:eastAsia="宋体" w:cs="宋体"/>
                <w:i w:val="0"/>
                <w:iCs w:val="0"/>
                <w:color w:val="000000"/>
                <w:kern w:val="0"/>
                <w:sz w:val="20"/>
                <w:szCs w:val="20"/>
                <w:u w:val="none"/>
                <w:lang w:val="en-US" w:eastAsia="zh-CN" w:bidi="ar"/>
              </w:rPr>
              <w:t>水质</w:t>
            </w:r>
            <w:r>
              <w:rPr>
                <w:rFonts w:hint="eastAsia" w:ascii="宋体" w:hAnsi="宋体" w:cs="宋体"/>
                <w:i w:val="0"/>
                <w:iCs w:val="0"/>
                <w:color w:val="000000"/>
                <w:kern w:val="0"/>
                <w:sz w:val="20"/>
                <w:szCs w:val="20"/>
                <w:u w:val="none"/>
                <w:lang w:val="en-US" w:eastAsia="zh-CN" w:bidi="ar"/>
              </w:rPr>
              <w:t>预警</w:t>
            </w:r>
            <w:r>
              <w:rPr>
                <w:rFonts w:hint="eastAsia" w:ascii="宋体" w:hAnsi="宋体" w:eastAsia="宋体" w:cs="宋体"/>
                <w:i w:val="0"/>
                <w:iCs w:val="0"/>
                <w:color w:val="000000"/>
                <w:kern w:val="0"/>
                <w:sz w:val="20"/>
                <w:szCs w:val="20"/>
                <w:u w:val="none"/>
                <w:lang w:val="en-US" w:eastAsia="zh-CN" w:bidi="ar"/>
              </w:rPr>
              <w:t>报表等。</w:t>
            </w:r>
          </w:p>
        </w:tc>
      </w:tr>
      <w:tr w14:paraId="273D1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505CFF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139</w:t>
            </w:r>
          </w:p>
        </w:tc>
        <w:tc>
          <w:tcPr>
            <w:tcW w:w="497" w:type="dxa"/>
            <w:vMerge w:val="continue"/>
            <w:tcBorders>
              <w:top w:val="nil"/>
              <w:left w:val="nil"/>
              <w:bottom w:val="single" w:color="000000" w:sz="8" w:space="0"/>
              <w:right w:val="single" w:color="000000" w:sz="8" w:space="0"/>
            </w:tcBorders>
            <w:shd w:val="clear" w:color="auto" w:fill="auto"/>
            <w:vAlign w:val="center"/>
          </w:tcPr>
          <w:p w14:paraId="790B9C0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00BC4CA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18DE15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在线监测</w:t>
            </w:r>
          </w:p>
        </w:tc>
        <w:tc>
          <w:tcPr>
            <w:tcW w:w="4234" w:type="dxa"/>
            <w:tcBorders>
              <w:top w:val="nil"/>
              <w:left w:val="nil"/>
              <w:bottom w:val="single" w:color="000000" w:sz="8" w:space="0"/>
              <w:right w:val="single" w:color="000000" w:sz="8" w:space="0"/>
            </w:tcBorders>
            <w:shd w:val="clear" w:color="auto" w:fill="auto"/>
            <w:vAlign w:val="center"/>
          </w:tcPr>
          <w:p w14:paraId="661C9B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查看所有在线水质监测设备的实时数据，并对历史数据以报表和曲线形式进行查询，对出现数据数据超标、设备离线情况进行报警，并统计生成水质报表。</w:t>
            </w:r>
          </w:p>
        </w:tc>
      </w:tr>
      <w:tr w14:paraId="26365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6CBC03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c>
          <w:tcPr>
            <w:tcW w:w="497" w:type="dxa"/>
            <w:vMerge w:val="continue"/>
            <w:tcBorders>
              <w:top w:val="nil"/>
              <w:left w:val="nil"/>
              <w:bottom w:val="single" w:color="000000" w:sz="8" w:space="0"/>
              <w:right w:val="single" w:color="000000" w:sz="8" w:space="0"/>
            </w:tcBorders>
            <w:shd w:val="clear" w:color="auto" w:fill="auto"/>
            <w:vAlign w:val="center"/>
          </w:tcPr>
          <w:p w14:paraId="1906500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7982C68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0DF2CC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基础配置</w:t>
            </w:r>
          </w:p>
        </w:tc>
        <w:tc>
          <w:tcPr>
            <w:tcW w:w="4234" w:type="dxa"/>
            <w:tcBorders>
              <w:top w:val="nil"/>
              <w:left w:val="nil"/>
              <w:bottom w:val="single" w:color="000000" w:sz="8" w:space="0"/>
              <w:right w:val="single" w:color="000000" w:sz="8" w:space="0"/>
            </w:tcBorders>
            <w:shd w:val="clear" w:color="auto" w:fill="auto"/>
            <w:vAlign w:val="center"/>
          </w:tcPr>
          <w:p w14:paraId="68BE10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按照国标设定各类水质因子的水质类别数据限值。</w:t>
            </w:r>
          </w:p>
        </w:tc>
      </w:tr>
      <w:tr w14:paraId="06D32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0B6AD1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141</w:t>
            </w:r>
          </w:p>
        </w:tc>
        <w:tc>
          <w:tcPr>
            <w:tcW w:w="497" w:type="dxa"/>
            <w:vMerge w:val="continue"/>
            <w:tcBorders>
              <w:top w:val="nil"/>
              <w:left w:val="nil"/>
              <w:bottom w:val="single" w:color="000000" w:sz="8" w:space="0"/>
              <w:right w:val="single" w:color="000000" w:sz="8" w:space="0"/>
            </w:tcBorders>
            <w:shd w:val="clear" w:color="auto" w:fill="auto"/>
            <w:vAlign w:val="center"/>
          </w:tcPr>
          <w:p w14:paraId="6177BED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56CF5B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水雨情监测适配改造</w:t>
            </w:r>
          </w:p>
        </w:tc>
        <w:tc>
          <w:tcPr>
            <w:tcW w:w="2535" w:type="dxa"/>
            <w:tcBorders>
              <w:top w:val="nil"/>
              <w:left w:val="nil"/>
              <w:bottom w:val="single" w:color="000000" w:sz="8" w:space="0"/>
              <w:right w:val="single" w:color="000000" w:sz="8" w:space="0"/>
            </w:tcBorders>
            <w:shd w:val="clear" w:color="auto" w:fill="auto"/>
            <w:noWrap/>
            <w:vAlign w:val="center"/>
          </w:tcPr>
          <w:p w14:paraId="3E7646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实时监测</w:t>
            </w:r>
          </w:p>
        </w:tc>
        <w:tc>
          <w:tcPr>
            <w:tcW w:w="4234" w:type="dxa"/>
            <w:tcBorders>
              <w:top w:val="nil"/>
              <w:left w:val="nil"/>
              <w:bottom w:val="single" w:color="000000" w:sz="8" w:space="0"/>
              <w:right w:val="single" w:color="000000" w:sz="8" w:space="0"/>
            </w:tcBorders>
            <w:shd w:val="clear" w:color="auto" w:fill="auto"/>
            <w:vAlign w:val="center"/>
          </w:tcPr>
          <w:p w14:paraId="269072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1.实时数据是查看水情、雨情、水位（累计流量、浊度、小时流量、瞬时流量、含沙量、水位、流速）的实时数据，并可通过曲线图查看单个站点24小时的数据变化趋势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2.数据曲线可同时查看多个站点的数据曲线。</w:t>
            </w:r>
          </w:p>
        </w:tc>
      </w:tr>
      <w:tr w14:paraId="1D1D7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4649F0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142</w:t>
            </w:r>
          </w:p>
        </w:tc>
        <w:tc>
          <w:tcPr>
            <w:tcW w:w="497" w:type="dxa"/>
            <w:vMerge w:val="continue"/>
            <w:tcBorders>
              <w:top w:val="nil"/>
              <w:left w:val="nil"/>
              <w:bottom w:val="single" w:color="000000" w:sz="8" w:space="0"/>
              <w:right w:val="single" w:color="000000" w:sz="8" w:space="0"/>
            </w:tcBorders>
            <w:shd w:val="clear" w:color="auto" w:fill="auto"/>
            <w:vAlign w:val="center"/>
          </w:tcPr>
          <w:p w14:paraId="50B01E3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61E0335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00A086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历史数据</w:t>
            </w:r>
          </w:p>
        </w:tc>
        <w:tc>
          <w:tcPr>
            <w:tcW w:w="4234" w:type="dxa"/>
            <w:tcBorders>
              <w:top w:val="nil"/>
              <w:left w:val="nil"/>
              <w:bottom w:val="single" w:color="000000" w:sz="8" w:space="0"/>
              <w:right w:val="single" w:color="000000" w:sz="8" w:space="0"/>
            </w:tcBorders>
            <w:shd w:val="clear" w:color="auto" w:fill="auto"/>
            <w:vAlign w:val="center"/>
          </w:tcPr>
          <w:p w14:paraId="4EA06A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数据查询可通过自选站点、自选时间维度、自选时间段查询历史水情、雨情、水文历史数据、状态。2.历史曲线可通过自选站点、自选时间维度、自选时间段查询历史水情、雨情、水文历史数据曲线、变化趋势。</w:t>
            </w:r>
          </w:p>
        </w:tc>
      </w:tr>
      <w:tr w14:paraId="2CFAB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6F236F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143</w:t>
            </w:r>
          </w:p>
        </w:tc>
        <w:tc>
          <w:tcPr>
            <w:tcW w:w="497" w:type="dxa"/>
            <w:vMerge w:val="continue"/>
            <w:tcBorders>
              <w:top w:val="nil"/>
              <w:left w:val="nil"/>
              <w:bottom w:val="single" w:color="000000" w:sz="8" w:space="0"/>
              <w:right w:val="single" w:color="000000" w:sz="8" w:space="0"/>
            </w:tcBorders>
            <w:shd w:val="clear" w:color="auto" w:fill="auto"/>
            <w:vAlign w:val="center"/>
          </w:tcPr>
          <w:p w14:paraId="654D076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601BA78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71CF42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报警查询</w:t>
            </w:r>
          </w:p>
        </w:tc>
        <w:tc>
          <w:tcPr>
            <w:tcW w:w="4234" w:type="dxa"/>
            <w:tcBorders>
              <w:top w:val="nil"/>
              <w:left w:val="nil"/>
              <w:bottom w:val="single" w:color="000000" w:sz="8" w:space="0"/>
              <w:right w:val="single" w:color="000000" w:sz="8" w:space="0"/>
            </w:tcBorders>
            <w:shd w:val="clear" w:color="auto" w:fill="auto"/>
            <w:vAlign w:val="center"/>
          </w:tcPr>
          <w:p w14:paraId="1BB9D8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查询水雨情站点的报警情况，包括报警站点、报警时间、报警类型（数据报警、状态报警）、报警内容</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并可对报警进行手动解除。</w:t>
            </w:r>
          </w:p>
        </w:tc>
      </w:tr>
      <w:tr w14:paraId="6CF80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3BC85A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144</w:t>
            </w:r>
          </w:p>
        </w:tc>
        <w:tc>
          <w:tcPr>
            <w:tcW w:w="497" w:type="dxa"/>
            <w:vMerge w:val="continue"/>
            <w:tcBorders>
              <w:top w:val="nil"/>
              <w:left w:val="nil"/>
              <w:bottom w:val="single" w:color="000000" w:sz="8" w:space="0"/>
              <w:right w:val="single" w:color="000000" w:sz="8" w:space="0"/>
            </w:tcBorders>
            <w:shd w:val="clear" w:color="auto" w:fill="auto"/>
            <w:vAlign w:val="center"/>
          </w:tcPr>
          <w:p w14:paraId="4BD5552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351CE88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0A42D5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统计分析</w:t>
            </w:r>
          </w:p>
        </w:tc>
        <w:tc>
          <w:tcPr>
            <w:tcW w:w="4234" w:type="dxa"/>
            <w:tcBorders>
              <w:top w:val="nil"/>
              <w:left w:val="nil"/>
              <w:bottom w:val="single" w:color="000000" w:sz="8" w:space="0"/>
              <w:right w:val="single" w:color="000000" w:sz="8" w:space="0"/>
            </w:tcBorders>
            <w:shd w:val="clear" w:color="auto" w:fill="auto"/>
            <w:vAlign w:val="center"/>
          </w:tcPr>
          <w:p w14:paraId="5C6CAD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自动生成各站点的水雨情月报、年报，月报包括该月每日数据及月平均值，最高值最低值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年报包括该年度各月份的数据及平均值，最高值最低值。</w:t>
            </w:r>
          </w:p>
        </w:tc>
      </w:tr>
      <w:tr w14:paraId="3F026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2E0A0B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145</w:t>
            </w:r>
          </w:p>
        </w:tc>
        <w:tc>
          <w:tcPr>
            <w:tcW w:w="497" w:type="dxa"/>
            <w:vMerge w:val="continue"/>
            <w:tcBorders>
              <w:top w:val="nil"/>
              <w:left w:val="nil"/>
              <w:bottom w:val="single" w:color="000000" w:sz="8" w:space="0"/>
              <w:right w:val="single" w:color="000000" w:sz="8" w:space="0"/>
            </w:tcBorders>
            <w:shd w:val="clear" w:color="auto" w:fill="auto"/>
            <w:vAlign w:val="center"/>
          </w:tcPr>
          <w:p w14:paraId="2899200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26E88A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智慧河道一张图适配改造</w:t>
            </w:r>
          </w:p>
        </w:tc>
        <w:tc>
          <w:tcPr>
            <w:tcW w:w="2535" w:type="dxa"/>
            <w:tcBorders>
              <w:top w:val="nil"/>
              <w:left w:val="nil"/>
              <w:bottom w:val="single" w:color="000000" w:sz="8" w:space="0"/>
              <w:right w:val="single" w:color="000000" w:sz="8" w:space="0"/>
            </w:tcBorders>
            <w:shd w:val="clear" w:color="auto" w:fill="auto"/>
            <w:noWrap/>
            <w:vAlign w:val="center"/>
          </w:tcPr>
          <w:p w14:paraId="38910E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图层选择</w:t>
            </w:r>
          </w:p>
        </w:tc>
        <w:tc>
          <w:tcPr>
            <w:tcW w:w="4234" w:type="dxa"/>
            <w:tcBorders>
              <w:top w:val="nil"/>
              <w:left w:val="nil"/>
              <w:bottom w:val="single" w:color="000000" w:sz="8" w:space="0"/>
              <w:right w:val="single" w:color="000000" w:sz="8" w:space="0"/>
            </w:tcBorders>
            <w:shd w:val="clear" w:color="auto" w:fill="auto"/>
            <w:vAlign w:val="center"/>
          </w:tcPr>
          <w:p w14:paraId="5E9CC0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选中图层后，在地图中展示各图层数据的定位情况，点击图标可查看详情；1.背景选择可选择行政分区、街道分区、河道、街道河道、河道整治段、小微水体</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2.基础设施，可选择管理房、游步道、垂钓点、景观桥梁</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3.感知设备，可选择水位、曝气机、河道流速、视频、河道水质（手工）、河道水质（在线）、智慧船只，点击图标可查看感知设备的实时数据及状态，并可查看详情</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河道管理，可选择治理项目、涉河审批、河道巡查（现场）、河道巡查（在线）、AI巡查、智慧喊潮，通过图标颜色展示项目的逾期情况、巡检情况，点击AI视频图标，可播放视频监控及查看AI报警捕捉情况，点击智慧喊潮图标，查看喊潮记录信息。</w:t>
            </w:r>
          </w:p>
        </w:tc>
      </w:tr>
      <w:tr w14:paraId="56A51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612030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146</w:t>
            </w:r>
          </w:p>
        </w:tc>
        <w:tc>
          <w:tcPr>
            <w:tcW w:w="497" w:type="dxa"/>
            <w:vMerge w:val="continue"/>
            <w:tcBorders>
              <w:top w:val="nil"/>
              <w:left w:val="nil"/>
              <w:bottom w:val="single" w:color="000000" w:sz="8" w:space="0"/>
              <w:right w:val="single" w:color="000000" w:sz="8" w:space="0"/>
            </w:tcBorders>
            <w:shd w:val="clear" w:color="auto" w:fill="auto"/>
            <w:vAlign w:val="center"/>
          </w:tcPr>
          <w:p w14:paraId="43450DD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524B604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508CBE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地图工具</w:t>
            </w:r>
          </w:p>
        </w:tc>
        <w:tc>
          <w:tcPr>
            <w:tcW w:w="4234" w:type="dxa"/>
            <w:tcBorders>
              <w:top w:val="nil"/>
              <w:left w:val="nil"/>
              <w:bottom w:val="single" w:color="000000" w:sz="8" w:space="0"/>
              <w:right w:val="single" w:color="000000" w:sz="8" w:space="0"/>
            </w:tcBorders>
            <w:shd w:val="clear" w:color="auto" w:fill="auto"/>
            <w:vAlign w:val="center"/>
          </w:tcPr>
          <w:p w14:paraId="13C71B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点击工具，可使用对地图中的点位进行操作，包括测距、侧面、标注、导出、全屏。</w:t>
            </w:r>
          </w:p>
        </w:tc>
      </w:tr>
      <w:tr w14:paraId="33F89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0287C4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147</w:t>
            </w:r>
          </w:p>
        </w:tc>
        <w:tc>
          <w:tcPr>
            <w:tcW w:w="497" w:type="dxa"/>
            <w:vMerge w:val="continue"/>
            <w:tcBorders>
              <w:top w:val="nil"/>
              <w:left w:val="nil"/>
              <w:bottom w:val="single" w:color="000000" w:sz="8" w:space="0"/>
              <w:right w:val="single" w:color="000000" w:sz="8" w:space="0"/>
            </w:tcBorders>
            <w:shd w:val="clear" w:color="auto" w:fill="auto"/>
            <w:vAlign w:val="center"/>
          </w:tcPr>
          <w:p w14:paraId="6738A66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400A6D1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067822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地图搜索</w:t>
            </w:r>
          </w:p>
        </w:tc>
        <w:tc>
          <w:tcPr>
            <w:tcW w:w="4234" w:type="dxa"/>
            <w:tcBorders>
              <w:top w:val="nil"/>
              <w:left w:val="nil"/>
              <w:bottom w:val="single" w:color="000000" w:sz="8" w:space="0"/>
              <w:right w:val="single" w:color="000000" w:sz="8" w:space="0"/>
            </w:tcBorders>
            <w:shd w:val="clear" w:color="auto" w:fill="auto"/>
            <w:vAlign w:val="center"/>
          </w:tcPr>
          <w:p w14:paraId="293611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对已选中的图层的信息进行搜索，并可以点击高级搜索，按照状态、 自控状态、专题、时间、性质等进行筛选。点击搜索结果，自动地图定位到选中设施。</w:t>
            </w:r>
          </w:p>
        </w:tc>
      </w:tr>
      <w:tr w14:paraId="02833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620918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148</w:t>
            </w:r>
          </w:p>
        </w:tc>
        <w:tc>
          <w:tcPr>
            <w:tcW w:w="497" w:type="dxa"/>
            <w:vMerge w:val="continue"/>
            <w:tcBorders>
              <w:top w:val="nil"/>
              <w:left w:val="nil"/>
              <w:bottom w:val="single" w:color="000000" w:sz="8" w:space="0"/>
              <w:right w:val="single" w:color="000000" w:sz="8" w:space="0"/>
            </w:tcBorders>
            <w:shd w:val="clear" w:color="auto" w:fill="auto"/>
            <w:vAlign w:val="center"/>
          </w:tcPr>
          <w:p w14:paraId="56A7E9A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13960A8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269B86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统计分析</w:t>
            </w:r>
          </w:p>
        </w:tc>
        <w:tc>
          <w:tcPr>
            <w:tcW w:w="4234" w:type="dxa"/>
            <w:tcBorders>
              <w:top w:val="nil"/>
              <w:left w:val="nil"/>
              <w:bottom w:val="single" w:color="000000" w:sz="8" w:space="0"/>
              <w:right w:val="single" w:color="000000" w:sz="8" w:space="0"/>
            </w:tcBorders>
            <w:shd w:val="clear" w:color="auto" w:fill="auto"/>
            <w:vAlign w:val="center"/>
          </w:tcPr>
          <w:p w14:paraId="7B26F5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以环形图展示各城区各河道的设备设施数量信息。</w:t>
            </w:r>
          </w:p>
        </w:tc>
      </w:tr>
      <w:tr w14:paraId="4B00C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082241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149</w:t>
            </w:r>
          </w:p>
        </w:tc>
        <w:tc>
          <w:tcPr>
            <w:tcW w:w="497" w:type="dxa"/>
            <w:vMerge w:val="continue"/>
            <w:tcBorders>
              <w:top w:val="nil"/>
              <w:left w:val="nil"/>
              <w:bottom w:val="single" w:color="000000" w:sz="8" w:space="0"/>
              <w:right w:val="single" w:color="000000" w:sz="8" w:space="0"/>
            </w:tcBorders>
            <w:shd w:val="clear" w:color="auto" w:fill="auto"/>
            <w:vAlign w:val="center"/>
          </w:tcPr>
          <w:p w14:paraId="3BB05FA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6382388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330951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案件抄告</w:t>
            </w:r>
          </w:p>
        </w:tc>
        <w:tc>
          <w:tcPr>
            <w:tcW w:w="4234" w:type="dxa"/>
            <w:tcBorders>
              <w:top w:val="nil"/>
              <w:left w:val="nil"/>
              <w:bottom w:val="single" w:color="000000" w:sz="8" w:space="0"/>
              <w:right w:val="single" w:color="000000" w:sz="8" w:space="0"/>
            </w:tcBorders>
            <w:shd w:val="clear" w:color="auto" w:fill="auto"/>
            <w:vAlign w:val="center"/>
          </w:tcPr>
          <w:p w14:paraId="38C604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进行各类案件的上报，可选择视频监控点，进行上报。</w:t>
            </w:r>
          </w:p>
        </w:tc>
      </w:tr>
      <w:tr w14:paraId="23763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0CA3AF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150</w:t>
            </w:r>
          </w:p>
        </w:tc>
        <w:tc>
          <w:tcPr>
            <w:tcW w:w="497" w:type="dxa"/>
            <w:vMerge w:val="continue"/>
            <w:tcBorders>
              <w:top w:val="nil"/>
              <w:left w:val="nil"/>
              <w:bottom w:val="single" w:color="000000" w:sz="8" w:space="0"/>
              <w:right w:val="single" w:color="000000" w:sz="8" w:space="0"/>
            </w:tcBorders>
            <w:shd w:val="clear" w:color="auto" w:fill="auto"/>
            <w:vAlign w:val="center"/>
          </w:tcPr>
          <w:p w14:paraId="7EE4450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28FFC0D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77FB14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报警预警</w:t>
            </w:r>
          </w:p>
        </w:tc>
        <w:tc>
          <w:tcPr>
            <w:tcW w:w="4234" w:type="dxa"/>
            <w:tcBorders>
              <w:top w:val="nil"/>
              <w:left w:val="nil"/>
              <w:bottom w:val="single" w:color="000000" w:sz="8" w:space="0"/>
              <w:right w:val="single" w:color="000000" w:sz="8" w:space="0"/>
            </w:tcBorders>
            <w:shd w:val="clear" w:color="auto" w:fill="auto"/>
            <w:vAlign w:val="center"/>
          </w:tcPr>
          <w:p w14:paraId="30D144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查询各类设备设施报警情况，包括船只、AI、管网、曝气机、水质、水位，可查询报警详情。</w:t>
            </w:r>
          </w:p>
        </w:tc>
      </w:tr>
      <w:tr w14:paraId="73083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30188B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151</w:t>
            </w:r>
          </w:p>
        </w:tc>
        <w:tc>
          <w:tcPr>
            <w:tcW w:w="497" w:type="dxa"/>
            <w:vMerge w:val="continue"/>
            <w:tcBorders>
              <w:top w:val="nil"/>
              <w:left w:val="nil"/>
              <w:bottom w:val="single" w:color="000000" w:sz="8" w:space="0"/>
              <w:right w:val="single" w:color="000000" w:sz="8" w:space="0"/>
            </w:tcBorders>
            <w:shd w:val="clear" w:color="auto" w:fill="auto"/>
            <w:vAlign w:val="center"/>
          </w:tcPr>
          <w:p w14:paraId="11C242D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399705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指挥中心适配改造</w:t>
            </w:r>
          </w:p>
        </w:tc>
        <w:tc>
          <w:tcPr>
            <w:tcW w:w="2535" w:type="dxa"/>
            <w:tcBorders>
              <w:top w:val="nil"/>
              <w:left w:val="nil"/>
              <w:bottom w:val="single" w:color="000000" w:sz="8" w:space="0"/>
              <w:right w:val="single" w:color="000000" w:sz="8" w:space="0"/>
            </w:tcBorders>
            <w:shd w:val="clear" w:color="auto" w:fill="auto"/>
            <w:noWrap/>
            <w:vAlign w:val="center"/>
          </w:tcPr>
          <w:p w14:paraId="17AFC9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指挥平台</w:t>
            </w:r>
          </w:p>
        </w:tc>
        <w:tc>
          <w:tcPr>
            <w:tcW w:w="4234" w:type="dxa"/>
            <w:tcBorders>
              <w:top w:val="nil"/>
              <w:left w:val="nil"/>
              <w:bottom w:val="single" w:color="000000" w:sz="8" w:space="0"/>
              <w:right w:val="single" w:color="000000" w:sz="8" w:space="0"/>
            </w:tcBorders>
            <w:shd w:val="clear" w:color="auto" w:fill="auto"/>
            <w:vAlign w:val="center"/>
          </w:tcPr>
          <w:p w14:paraId="3EFDBA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指挥平台全区水健康指数、水安全指数、河道总长、</w:t>
            </w:r>
            <w:r>
              <w:rPr>
                <w:rFonts w:hint="eastAsia" w:ascii="宋体" w:hAnsi="宋体" w:cs="宋体"/>
                <w:i w:val="0"/>
                <w:iCs w:val="0"/>
                <w:color w:val="000000"/>
                <w:kern w:val="0"/>
                <w:sz w:val="20"/>
                <w:szCs w:val="20"/>
                <w:u w:val="none"/>
                <w:lang w:val="en-US" w:eastAsia="zh-CN" w:bidi="ar"/>
              </w:rPr>
              <w:t>管</w:t>
            </w:r>
            <w:r>
              <w:rPr>
                <w:rFonts w:hint="eastAsia" w:ascii="宋体" w:hAnsi="宋体" w:eastAsia="宋体" w:cs="宋体"/>
                <w:i w:val="0"/>
                <w:iCs w:val="0"/>
                <w:color w:val="000000"/>
                <w:kern w:val="0"/>
                <w:sz w:val="20"/>
                <w:szCs w:val="20"/>
                <w:u w:val="none"/>
                <w:lang w:val="en-US" w:eastAsia="zh-CN" w:bidi="ar"/>
              </w:rPr>
              <w:t>网总长、排口数量、河道水位站点总数及在线数、管网液位站点总数及在线数、河道水质站点总数及在线数、管网水质站点总数及在线数；滚动播放全区河长信息；以环形图展示全区河道水质类别情况，并以不同颜色在水系图中展示；以饼图展示监管问题的状态对比；滚动播放实时水位信息；折线图展示水情报警情况。</w:t>
            </w:r>
          </w:p>
        </w:tc>
      </w:tr>
      <w:tr w14:paraId="14E4A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6D8B9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152</w:t>
            </w:r>
          </w:p>
        </w:tc>
        <w:tc>
          <w:tcPr>
            <w:tcW w:w="497" w:type="dxa"/>
            <w:vMerge w:val="continue"/>
            <w:tcBorders>
              <w:top w:val="nil"/>
              <w:left w:val="nil"/>
              <w:bottom w:val="single" w:color="000000" w:sz="8" w:space="0"/>
              <w:right w:val="single" w:color="000000" w:sz="8" w:space="0"/>
            </w:tcBorders>
            <w:shd w:val="clear" w:color="auto" w:fill="auto"/>
            <w:vAlign w:val="center"/>
          </w:tcPr>
          <w:p w14:paraId="4974908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738AD8B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0757AF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水健康平台</w:t>
            </w:r>
          </w:p>
        </w:tc>
        <w:tc>
          <w:tcPr>
            <w:tcW w:w="4234" w:type="dxa"/>
            <w:tcBorders>
              <w:top w:val="nil"/>
              <w:left w:val="nil"/>
              <w:bottom w:val="single" w:color="000000" w:sz="8" w:space="0"/>
              <w:right w:val="single" w:color="000000" w:sz="8" w:space="0"/>
            </w:tcBorders>
            <w:shd w:val="clear" w:color="auto" w:fill="auto"/>
            <w:vAlign w:val="center"/>
          </w:tcPr>
          <w:p w14:paraId="375696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健康平台展示全区年断面水质达标率、月断面水质达标率、断面水质报警次数；水健康指数；水质报警情况；展示各专题河道水质考核结果；滚动播放水质检测各指标实时数据；以折线图形式展示各断面水质达标率。</w:t>
            </w:r>
          </w:p>
        </w:tc>
      </w:tr>
      <w:tr w14:paraId="22F50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4B4F9D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153</w:t>
            </w:r>
          </w:p>
        </w:tc>
        <w:tc>
          <w:tcPr>
            <w:tcW w:w="497" w:type="dxa"/>
            <w:vMerge w:val="continue"/>
            <w:tcBorders>
              <w:top w:val="nil"/>
              <w:left w:val="nil"/>
              <w:bottom w:val="single" w:color="000000" w:sz="8" w:space="0"/>
              <w:right w:val="single" w:color="000000" w:sz="8" w:space="0"/>
            </w:tcBorders>
            <w:shd w:val="clear" w:color="auto" w:fill="auto"/>
            <w:vAlign w:val="center"/>
          </w:tcPr>
          <w:p w14:paraId="5FDA25D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4406472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39D4D3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水安全平台</w:t>
            </w:r>
          </w:p>
        </w:tc>
        <w:tc>
          <w:tcPr>
            <w:tcW w:w="4234" w:type="dxa"/>
            <w:tcBorders>
              <w:top w:val="nil"/>
              <w:left w:val="nil"/>
              <w:bottom w:val="single" w:color="000000" w:sz="8" w:space="0"/>
              <w:right w:val="single" w:color="000000" w:sz="8" w:space="0"/>
            </w:tcBorders>
            <w:shd w:val="clear" w:color="auto" w:fill="auto"/>
            <w:vAlign w:val="center"/>
          </w:tcPr>
          <w:p w14:paraId="584BE1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水安全平台展示全区年引配水量、月引配水量、周巡检统计、水位报警次数；展示水安全指数；各站点引配水量排名；周巡检统计；各站点水文雨情变化趋势图；滚动播放各站点闸泵运行情况；雨量情况。</w:t>
            </w:r>
          </w:p>
        </w:tc>
      </w:tr>
      <w:tr w14:paraId="7B168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564961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154</w:t>
            </w:r>
          </w:p>
        </w:tc>
        <w:tc>
          <w:tcPr>
            <w:tcW w:w="497" w:type="dxa"/>
            <w:vMerge w:val="continue"/>
            <w:tcBorders>
              <w:top w:val="nil"/>
              <w:left w:val="nil"/>
              <w:bottom w:val="single" w:color="000000" w:sz="8" w:space="0"/>
              <w:right w:val="single" w:color="000000" w:sz="8" w:space="0"/>
            </w:tcBorders>
            <w:shd w:val="clear" w:color="auto" w:fill="auto"/>
            <w:vAlign w:val="center"/>
          </w:tcPr>
          <w:p w14:paraId="189331B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0115A0F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477F63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排水平台</w:t>
            </w:r>
          </w:p>
        </w:tc>
        <w:tc>
          <w:tcPr>
            <w:tcW w:w="4234" w:type="dxa"/>
            <w:tcBorders>
              <w:top w:val="nil"/>
              <w:left w:val="nil"/>
              <w:bottom w:val="single" w:color="000000" w:sz="8" w:space="0"/>
              <w:right w:val="single" w:color="000000" w:sz="8" w:space="0"/>
            </w:tcBorders>
            <w:shd w:val="clear" w:color="auto" w:fill="auto"/>
            <w:vAlign w:val="center"/>
          </w:tcPr>
          <w:p w14:paraId="0A1DCB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排水专题展示全区所有管网、窨井分布情况，管网总长、排口总数、检查井数、排水户数；在线监测设备数；管网缺陷分布图；养护力量详情；巡检养护柱状图；监测报警统计图</w:t>
            </w:r>
            <w:r>
              <w:rPr>
                <w:rFonts w:hint="eastAsia" w:ascii="宋体" w:hAnsi="宋体" w:cs="宋体"/>
                <w:i w:val="0"/>
                <w:iCs w:val="0"/>
                <w:color w:val="000000"/>
                <w:kern w:val="0"/>
                <w:sz w:val="20"/>
                <w:szCs w:val="20"/>
                <w:u w:val="none"/>
                <w:lang w:val="en-US" w:eastAsia="zh-CN" w:bidi="ar"/>
              </w:rPr>
              <w:t>。</w:t>
            </w:r>
          </w:p>
        </w:tc>
      </w:tr>
      <w:tr w14:paraId="36C40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0B623F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155</w:t>
            </w:r>
          </w:p>
        </w:tc>
        <w:tc>
          <w:tcPr>
            <w:tcW w:w="497" w:type="dxa"/>
            <w:vMerge w:val="continue"/>
            <w:tcBorders>
              <w:top w:val="nil"/>
              <w:left w:val="nil"/>
              <w:bottom w:val="single" w:color="000000" w:sz="8" w:space="0"/>
              <w:right w:val="single" w:color="000000" w:sz="8" w:space="0"/>
            </w:tcBorders>
            <w:shd w:val="clear" w:color="auto" w:fill="auto"/>
            <w:vAlign w:val="center"/>
          </w:tcPr>
          <w:p w14:paraId="441A41A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3C8145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智慧配防平台改造</w:t>
            </w:r>
          </w:p>
        </w:tc>
        <w:tc>
          <w:tcPr>
            <w:tcW w:w="2535" w:type="dxa"/>
            <w:vMerge w:val="restart"/>
            <w:tcBorders>
              <w:top w:val="nil"/>
              <w:left w:val="nil"/>
              <w:bottom w:val="single" w:color="000000" w:sz="8" w:space="0"/>
              <w:right w:val="single" w:color="000000" w:sz="8" w:space="0"/>
            </w:tcBorders>
            <w:shd w:val="clear" w:color="auto" w:fill="auto"/>
            <w:noWrap/>
            <w:vAlign w:val="center"/>
          </w:tcPr>
          <w:p w14:paraId="115C36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实时配水</w:t>
            </w:r>
          </w:p>
        </w:tc>
        <w:tc>
          <w:tcPr>
            <w:tcW w:w="4234" w:type="dxa"/>
            <w:tcBorders>
              <w:top w:val="nil"/>
              <w:left w:val="nil"/>
              <w:bottom w:val="single" w:color="000000" w:sz="8" w:space="0"/>
              <w:right w:val="single" w:color="000000" w:sz="8" w:space="0"/>
            </w:tcBorders>
            <w:shd w:val="clear" w:color="auto" w:fill="auto"/>
            <w:vAlign w:val="center"/>
          </w:tcPr>
          <w:p w14:paraId="41846A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以GIS地图展示各闸泵站点位，点击可查看各闸泵站基本信息、水位信息、设备监测信息以及维修记录等信息</w:t>
            </w:r>
            <w:r>
              <w:rPr>
                <w:rFonts w:hint="eastAsia" w:ascii="宋体" w:hAnsi="宋体" w:cs="宋体"/>
                <w:i w:val="0"/>
                <w:iCs w:val="0"/>
                <w:color w:val="000000"/>
                <w:kern w:val="0"/>
                <w:sz w:val="20"/>
                <w:szCs w:val="20"/>
                <w:u w:val="none"/>
                <w:lang w:val="en-US" w:eastAsia="zh-CN" w:bidi="ar"/>
              </w:rPr>
              <w:t>。</w:t>
            </w:r>
          </w:p>
        </w:tc>
      </w:tr>
      <w:tr w14:paraId="14FF2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29C7A5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156</w:t>
            </w:r>
          </w:p>
        </w:tc>
        <w:tc>
          <w:tcPr>
            <w:tcW w:w="497" w:type="dxa"/>
            <w:vMerge w:val="continue"/>
            <w:tcBorders>
              <w:top w:val="nil"/>
              <w:left w:val="nil"/>
              <w:bottom w:val="single" w:color="000000" w:sz="8" w:space="0"/>
              <w:right w:val="single" w:color="000000" w:sz="8" w:space="0"/>
            </w:tcBorders>
            <w:shd w:val="clear" w:color="auto" w:fill="auto"/>
            <w:vAlign w:val="center"/>
          </w:tcPr>
          <w:p w14:paraId="2A5841C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047CE1E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vMerge w:val="continue"/>
            <w:tcBorders>
              <w:top w:val="nil"/>
              <w:left w:val="nil"/>
              <w:bottom w:val="single" w:color="000000" w:sz="8" w:space="0"/>
              <w:right w:val="single" w:color="000000" w:sz="8" w:space="0"/>
            </w:tcBorders>
            <w:shd w:val="clear" w:color="auto" w:fill="auto"/>
            <w:noWrap/>
            <w:vAlign w:val="center"/>
          </w:tcPr>
          <w:p w14:paraId="0C36198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234" w:type="dxa"/>
            <w:tcBorders>
              <w:top w:val="nil"/>
              <w:left w:val="nil"/>
              <w:bottom w:val="single" w:color="000000" w:sz="8" w:space="0"/>
              <w:right w:val="single" w:color="000000" w:sz="8" w:space="0"/>
            </w:tcBorders>
            <w:shd w:val="clear" w:color="auto" w:fill="auto"/>
            <w:vAlign w:val="center"/>
          </w:tcPr>
          <w:p w14:paraId="096FF9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以仪表盘形式显示上城区各闸泵站实时电压、电流运行安全情况</w:t>
            </w:r>
            <w:r>
              <w:rPr>
                <w:rFonts w:hint="eastAsia" w:ascii="宋体" w:hAnsi="宋体" w:cs="宋体"/>
                <w:i w:val="0"/>
                <w:iCs w:val="0"/>
                <w:color w:val="000000"/>
                <w:kern w:val="0"/>
                <w:sz w:val="20"/>
                <w:szCs w:val="20"/>
                <w:u w:val="none"/>
                <w:lang w:val="en-US" w:eastAsia="zh-CN" w:bidi="ar"/>
              </w:rPr>
              <w:t>。</w:t>
            </w:r>
          </w:p>
        </w:tc>
      </w:tr>
      <w:tr w14:paraId="20956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0274D7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157</w:t>
            </w:r>
          </w:p>
        </w:tc>
        <w:tc>
          <w:tcPr>
            <w:tcW w:w="497" w:type="dxa"/>
            <w:vMerge w:val="continue"/>
            <w:tcBorders>
              <w:top w:val="nil"/>
              <w:left w:val="nil"/>
              <w:bottom w:val="single" w:color="000000" w:sz="8" w:space="0"/>
              <w:right w:val="single" w:color="000000" w:sz="8" w:space="0"/>
            </w:tcBorders>
            <w:shd w:val="clear" w:color="auto" w:fill="auto"/>
            <w:vAlign w:val="center"/>
          </w:tcPr>
          <w:p w14:paraId="4570356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1EA3884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vMerge w:val="continue"/>
            <w:tcBorders>
              <w:top w:val="nil"/>
              <w:left w:val="nil"/>
              <w:bottom w:val="single" w:color="000000" w:sz="8" w:space="0"/>
              <w:right w:val="single" w:color="000000" w:sz="8" w:space="0"/>
            </w:tcBorders>
            <w:shd w:val="clear" w:color="auto" w:fill="auto"/>
            <w:noWrap/>
            <w:vAlign w:val="center"/>
          </w:tcPr>
          <w:p w14:paraId="6AC2BBC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234" w:type="dxa"/>
            <w:tcBorders>
              <w:top w:val="nil"/>
              <w:left w:val="nil"/>
              <w:bottom w:val="single" w:color="000000" w:sz="8" w:space="0"/>
              <w:right w:val="single" w:color="000000" w:sz="8" w:space="0"/>
            </w:tcBorders>
            <w:shd w:val="clear" w:color="auto" w:fill="auto"/>
            <w:vAlign w:val="center"/>
          </w:tcPr>
          <w:p w14:paraId="5E6E74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对上城区各闸、泵的开、关状态进行实时监测与展示</w:t>
            </w:r>
            <w:r>
              <w:rPr>
                <w:rFonts w:hint="eastAsia" w:ascii="宋体" w:hAnsi="宋体" w:cs="宋体"/>
                <w:i w:val="0"/>
                <w:iCs w:val="0"/>
                <w:color w:val="000000"/>
                <w:kern w:val="0"/>
                <w:sz w:val="20"/>
                <w:szCs w:val="20"/>
                <w:u w:val="none"/>
                <w:lang w:val="en-US" w:eastAsia="zh-CN" w:bidi="ar"/>
              </w:rPr>
              <w:t>。</w:t>
            </w:r>
          </w:p>
        </w:tc>
      </w:tr>
      <w:tr w14:paraId="13F3A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5CC1E7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158</w:t>
            </w:r>
          </w:p>
        </w:tc>
        <w:tc>
          <w:tcPr>
            <w:tcW w:w="497" w:type="dxa"/>
            <w:vMerge w:val="continue"/>
            <w:tcBorders>
              <w:top w:val="nil"/>
              <w:left w:val="nil"/>
              <w:bottom w:val="single" w:color="000000" w:sz="8" w:space="0"/>
              <w:right w:val="single" w:color="000000" w:sz="8" w:space="0"/>
            </w:tcBorders>
            <w:shd w:val="clear" w:color="auto" w:fill="auto"/>
            <w:vAlign w:val="center"/>
          </w:tcPr>
          <w:p w14:paraId="2D075CA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3B26D7B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vMerge w:val="continue"/>
            <w:tcBorders>
              <w:top w:val="nil"/>
              <w:left w:val="nil"/>
              <w:bottom w:val="single" w:color="000000" w:sz="8" w:space="0"/>
              <w:right w:val="single" w:color="000000" w:sz="8" w:space="0"/>
            </w:tcBorders>
            <w:shd w:val="clear" w:color="auto" w:fill="auto"/>
            <w:noWrap/>
            <w:vAlign w:val="center"/>
          </w:tcPr>
          <w:p w14:paraId="5D7A18A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234" w:type="dxa"/>
            <w:tcBorders>
              <w:top w:val="nil"/>
              <w:left w:val="nil"/>
              <w:bottom w:val="single" w:color="000000" w:sz="8" w:space="0"/>
              <w:right w:val="single" w:color="000000" w:sz="8" w:space="0"/>
            </w:tcBorders>
            <w:shd w:val="clear" w:color="auto" w:fill="auto"/>
            <w:vAlign w:val="center"/>
          </w:tcPr>
          <w:p w14:paraId="43BB20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可自定义GIS地图空间组件并选择展示相应内容，组件包含水系组件、闸泵站组件、排出口组件</w:t>
            </w:r>
            <w:r>
              <w:rPr>
                <w:rFonts w:hint="eastAsia" w:ascii="宋体" w:hAnsi="宋体" w:cs="宋体"/>
                <w:i w:val="0"/>
                <w:iCs w:val="0"/>
                <w:color w:val="000000"/>
                <w:kern w:val="0"/>
                <w:sz w:val="20"/>
                <w:szCs w:val="20"/>
                <w:u w:val="none"/>
                <w:lang w:val="en-US" w:eastAsia="zh-CN" w:bidi="ar"/>
              </w:rPr>
              <w:t>。</w:t>
            </w:r>
          </w:p>
        </w:tc>
      </w:tr>
      <w:tr w14:paraId="18F4E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09B87B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159</w:t>
            </w:r>
          </w:p>
        </w:tc>
        <w:tc>
          <w:tcPr>
            <w:tcW w:w="497" w:type="dxa"/>
            <w:vMerge w:val="continue"/>
            <w:tcBorders>
              <w:top w:val="nil"/>
              <w:left w:val="nil"/>
              <w:bottom w:val="single" w:color="000000" w:sz="8" w:space="0"/>
              <w:right w:val="single" w:color="000000" w:sz="8" w:space="0"/>
            </w:tcBorders>
            <w:shd w:val="clear" w:color="auto" w:fill="auto"/>
            <w:vAlign w:val="center"/>
          </w:tcPr>
          <w:p w14:paraId="444ADD6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10EF234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vMerge w:val="continue"/>
            <w:tcBorders>
              <w:top w:val="nil"/>
              <w:left w:val="nil"/>
              <w:bottom w:val="single" w:color="000000" w:sz="8" w:space="0"/>
              <w:right w:val="single" w:color="000000" w:sz="8" w:space="0"/>
            </w:tcBorders>
            <w:shd w:val="clear" w:color="auto" w:fill="auto"/>
            <w:noWrap/>
            <w:vAlign w:val="center"/>
          </w:tcPr>
          <w:p w14:paraId="3EC130C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234" w:type="dxa"/>
            <w:tcBorders>
              <w:top w:val="nil"/>
              <w:left w:val="nil"/>
              <w:bottom w:val="single" w:color="000000" w:sz="8" w:space="0"/>
              <w:right w:val="single" w:color="000000" w:sz="8" w:space="0"/>
            </w:tcBorders>
            <w:shd w:val="clear" w:color="auto" w:fill="auto"/>
            <w:vAlign w:val="center"/>
          </w:tcPr>
          <w:p w14:paraId="4EF718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可自定义GIS地图控制点选择并展示相应内容，控制点包含水位监测断面、水质监测断面、视频监控</w:t>
            </w:r>
            <w:r>
              <w:rPr>
                <w:rFonts w:hint="eastAsia" w:ascii="宋体" w:hAnsi="宋体" w:cs="宋体"/>
                <w:i w:val="0"/>
                <w:iCs w:val="0"/>
                <w:color w:val="000000"/>
                <w:kern w:val="0"/>
                <w:sz w:val="20"/>
                <w:szCs w:val="20"/>
                <w:u w:val="none"/>
                <w:lang w:val="en-US" w:eastAsia="zh-CN" w:bidi="ar"/>
              </w:rPr>
              <w:t>。</w:t>
            </w:r>
          </w:p>
        </w:tc>
      </w:tr>
      <w:tr w14:paraId="60AAD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6C1BEE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160</w:t>
            </w:r>
          </w:p>
        </w:tc>
        <w:tc>
          <w:tcPr>
            <w:tcW w:w="497" w:type="dxa"/>
            <w:vMerge w:val="continue"/>
            <w:tcBorders>
              <w:top w:val="nil"/>
              <w:left w:val="nil"/>
              <w:bottom w:val="single" w:color="000000" w:sz="8" w:space="0"/>
              <w:right w:val="single" w:color="000000" w:sz="8" w:space="0"/>
            </w:tcBorders>
            <w:shd w:val="clear" w:color="auto" w:fill="auto"/>
            <w:vAlign w:val="center"/>
          </w:tcPr>
          <w:p w14:paraId="3362501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54DD7A2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vMerge w:val="continue"/>
            <w:tcBorders>
              <w:top w:val="nil"/>
              <w:left w:val="nil"/>
              <w:bottom w:val="single" w:color="000000" w:sz="8" w:space="0"/>
              <w:right w:val="single" w:color="000000" w:sz="8" w:space="0"/>
            </w:tcBorders>
            <w:shd w:val="clear" w:color="auto" w:fill="auto"/>
            <w:noWrap/>
            <w:vAlign w:val="center"/>
          </w:tcPr>
          <w:p w14:paraId="5B8433C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234" w:type="dxa"/>
            <w:tcBorders>
              <w:top w:val="nil"/>
              <w:left w:val="nil"/>
              <w:bottom w:val="single" w:color="000000" w:sz="8" w:space="0"/>
              <w:right w:val="single" w:color="000000" w:sz="8" w:space="0"/>
            </w:tcBorders>
            <w:shd w:val="clear" w:color="auto" w:fill="auto"/>
            <w:vAlign w:val="center"/>
          </w:tcPr>
          <w:p w14:paraId="27AF1B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可自定义任务派遣点选择并展示相应内容，包含智慧船只、配防车辆</w:t>
            </w:r>
            <w:r>
              <w:rPr>
                <w:rFonts w:hint="eastAsia" w:ascii="宋体" w:hAnsi="宋体" w:cs="宋体"/>
                <w:i w:val="0"/>
                <w:iCs w:val="0"/>
                <w:color w:val="000000"/>
                <w:kern w:val="0"/>
                <w:sz w:val="20"/>
                <w:szCs w:val="20"/>
                <w:u w:val="none"/>
                <w:lang w:val="en-US" w:eastAsia="zh-CN" w:bidi="ar"/>
              </w:rPr>
              <w:t>。</w:t>
            </w:r>
          </w:p>
        </w:tc>
      </w:tr>
      <w:tr w14:paraId="02F6F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5F6A2E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161</w:t>
            </w:r>
          </w:p>
        </w:tc>
        <w:tc>
          <w:tcPr>
            <w:tcW w:w="497" w:type="dxa"/>
            <w:vMerge w:val="continue"/>
            <w:tcBorders>
              <w:top w:val="nil"/>
              <w:left w:val="nil"/>
              <w:bottom w:val="single" w:color="000000" w:sz="8" w:space="0"/>
              <w:right w:val="single" w:color="000000" w:sz="8" w:space="0"/>
            </w:tcBorders>
            <w:shd w:val="clear" w:color="auto" w:fill="auto"/>
            <w:vAlign w:val="center"/>
          </w:tcPr>
          <w:p w14:paraId="6477C4C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15E15D7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vMerge w:val="restart"/>
            <w:tcBorders>
              <w:top w:val="nil"/>
              <w:left w:val="nil"/>
              <w:bottom w:val="single" w:color="000000" w:sz="8" w:space="0"/>
              <w:right w:val="single" w:color="000000" w:sz="8" w:space="0"/>
            </w:tcBorders>
            <w:shd w:val="clear" w:color="auto" w:fill="auto"/>
            <w:noWrap/>
            <w:vAlign w:val="center"/>
          </w:tcPr>
          <w:p w14:paraId="62402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远程控制</w:t>
            </w:r>
          </w:p>
        </w:tc>
        <w:tc>
          <w:tcPr>
            <w:tcW w:w="4234" w:type="dxa"/>
            <w:tcBorders>
              <w:top w:val="nil"/>
              <w:left w:val="nil"/>
              <w:bottom w:val="single" w:color="000000" w:sz="8" w:space="0"/>
              <w:right w:val="single" w:color="000000" w:sz="8" w:space="0"/>
            </w:tcBorders>
            <w:shd w:val="clear" w:color="auto" w:fill="auto"/>
            <w:vAlign w:val="center"/>
          </w:tcPr>
          <w:p w14:paraId="11A8C3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可通过平台对丁桥一号港视频监控进行实时查看，并可远程控制各闸、泵开、闭的功能</w:t>
            </w:r>
            <w:r>
              <w:rPr>
                <w:rFonts w:hint="eastAsia" w:ascii="宋体" w:hAnsi="宋体" w:cs="宋体"/>
                <w:i w:val="0"/>
                <w:iCs w:val="0"/>
                <w:color w:val="000000"/>
                <w:kern w:val="0"/>
                <w:sz w:val="20"/>
                <w:szCs w:val="20"/>
                <w:u w:val="none"/>
                <w:lang w:val="en-US" w:eastAsia="zh-CN" w:bidi="ar"/>
              </w:rPr>
              <w:t>。</w:t>
            </w:r>
          </w:p>
        </w:tc>
      </w:tr>
      <w:tr w14:paraId="1481B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077110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162</w:t>
            </w:r>
          </w:p>
        </w:tc>
        <w:tc>
          <w:tcPr>
            <w:tcW w:w="497" w:type="dxa"/>
            <w:vMerge w:val="continue"/>
            <w:tcBorders>
              <w:top w:val="nil"/>
              <w:left w:val="nil"/>
              <w:bottom w:val="single" w:color="000000" w:sz="8" w:space="0"/>
              <w:right w:val="single" w:color="000000" w:sz="8" w:space="0"/>
            </w:tcBorders>
            <w:shd w:val="clear" w:color="auto" w:fill="auto"/>
            <w:vAlign w:val="center"/>
          </w:tcPr>
          <w:p w14:paraId="33277CF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1DD1614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vMerge w:val="continue"/>
            <w:tcBorders>
              <w:top w:val="nil"/>
              <w:left w:val="nil"/>
              <w:bottom w:val="single" w:color="000000" w:sz="8" w:space="0"/>
              <w:right w:val="single" w:color="000000" w:sz="8" w:space="0"/>
            </w:tcBorders>
            <w:shd w:val="clear" w:color="auto" w:fill="auto"/>
            <w:noWrap/>
            <w:vAlign w:val="center"/>
          </w:tcPr>
          <w:p w14:paraId="3F8858F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234" w:type="dxa"/>
            <w:tcBorders>
              <w:top w:val="nil"/>
              <w:left w:val="nil"/>
              <w:bottom w:val="single" w:color="000000" w:sz="8" w:space="0"/>
              <w:right w:val="single" w:color="000000" w:sz="8" w:space="0"/>
            </w:tcBorders>
            <w:shd w:val="clear" w:color="auto" w:fill="auto"/>
            <w:vAlign w:val="center"/>
          </w:tcPr>
          <w:p w14:paraId="522B15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可通过平台对三堡八组闸视频监控进行实时查看，并可远程控制各闸开、闭的功能</w:t>
            </w:r>
            <w:r>
              <w:rPr>
                <w:rFonts w:hint="eastAsia" w:ascii="宋体" w:hAnsi="宋体" w:cs="宋体"/>
                <w:i w:val="0"/>
                <w:iCs w:val="0"/>
                <w:color w:val="000000"/>
                <w:kern w:val="0"/>
                <w:sz w:val="20"/>
                <w:szCs w:val="20"/>
                <w:u w:val="none"/>
                <w:lang w:val="en-US" w:eastAsia="zh-CN" w:bidi="ar"/>
              </w:rPr>
              <w:t>。</w:t>
            </w:r>
          </w:p>
        </w:tc>
      </w:tr>
      <w:tr w14:paraId="40BB2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5BEB69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163</w:t>
            </w:r>
          </w:p>
        </w:tc>
        <w:tc>
          <w:tcPr>
            <w:tcW w:w="497" w:type="dxa"/>
            <w:vMerge w:val="continue"/>
            <w:tcBorders>
              <w:top w:val="nil"/>
              <w:left w:val="nil"/>
              <w:bottom w:val="single" w:color="000000" w:sz="8" w:space="0"/>
              <w:right w:val="single" w:color="000000" w:sz="8" w:space="0"/>
            </w:tcBorders>
            <w:shd w:val="clear" w:color="auto" w:fill="auto"/>
            <w:vAlign w:val="center"/>
          </w:tcPr>
          <w:p w14:paraId="24024A8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69465E8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66D6A1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智慧安防</w:t>
            </w:r>
          </w:p>
        </w:tc>
        <w:tc>
          <w:tcPr>
            <w:tcW w:w="4234" w:type="dxa"/>
            <w:tcBorders>
              <w:top w:val="nil"/>
              <w:left w:val="nil"/>
              <w:bottom w:val="single" w:color="000000" w:sz="8" w:space="0"/>
              <w:right w:val="single" w:color="000000" w:sz="8" w:space="0"/>
            </w:tcBorders>
            <w:shd w:val="clear" w:color="auto" w:fill="auto"/>
            <w:vAlign w:val="center"/>
          </w:tcPr>
          <w:p w14:paraId="17E7C5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可在GIS地图查看各闸泵站点位信息，点击可查看闸泵站安防设备详情，包含温感数据、烟感数据以及监控数据</w:t>
            </w:r>
            <w:r>
              <w:rPr>
                <w:rFonts w:hint="eastAsia" w:ascii="宋体" w:hAnsi="宋体" w:cs="宋体"/>
                <w:i w:val="0"/>
                <w:iCs w:val="0"/>
                <w:color w:val="000000"/>
                <w:kern w:val="0"/>
                <w:sz w:val="20"/>
                <w:szCs w:val="20"/>
                <w:u w:val="none"/>
                <w:lang w:val="en-US" w:eastAsia="zh-CN" w:bidi="ar"/>
              </w:rPr>
              <w:t>。</w:t>
            </w:r>
          </w:p>
        </w:tc>
      </w:tr>
      <w:tr w14:paraId="79C76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3CD11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164</w:t>
            </w:r>
          </w:p>
        </w:tc>
        <w:tc>
          <w:tcPr>
            <w:tcW w:w="497" w:type="dxa"/>
            <w:vMerge w:val="continue"/>
            <w:tcBorders>
              <w:top w:val="nil"/>
              <w:left w:val="nil"/>
              <w:bottom w:val="single" w:color="000000" w:sz="8" w:space="0"/>
              <w:right w:val="single" w:color="000000" w:sz="8" w:space="0"/>
            </w:tcBorders>
            <w:shd w:val="clear" w:color="auto" w:fill="auto"/>
            <w:vAlign w:val="center"/>
          </w:tcPr>
          <w:p w14:paraId="54F7050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195C3EE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2B9966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抄告统计</w:t>
            </w:r>
          </w:p>
        </w:tc>
        <w:tc>
          <w:tcPr>
            <w:tcW w:w="4234" w:type="dxa"/>
            <w:tcBorders>
              <w:top w:val="nil"/>
              <w:left w:val="nil"/>
              <w:bottom w:val="single" w:color="000000" w:sz="8" w:space="0"/>
              <w:right w:val="single" w:color="000000" w:sz="8" w:space="0"/>
            </w:tcBorders>
            <w:shd w:val="clear" w:color="auto" w:fill="auto"/>
            <w:vAlign w:val="center"/>
          </w:tcPr>
          <w:p w14:paraId="3BDB13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可自定义日期查看抄告案件标段扣分排名、问题类型扣分排名以及各标段闸泵站抄告事件详情等数据。</w:t>
            </w:r>
          </w:p>
        </w:tc>
      </w:tr>
      <w:tr w14:paraId="7113E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5A649F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165</w:t>
            </w:r>
          </w:p>
        </w:tc>
        <w:tc>
          <w:tcPr>
            <w:tcW w:w="497" w:type="dxa"/>
            <w:vMerge w:val="continue"/>
            <w:tcBorders>
              <w:top w:val="nil"/>
              <w:left w:val="nil"/>
              <w:bottom w:val="single" w:color="000000" w:sz="8" w:space="0"/>
              <w:right w:val="single" w:color="000000" w:sz="8" w:space="0"/>
            </w:tcBorders>
            <w:shd w:val="clear" w:color="auto" w:fill="auto"/>
            <w:vAlign w:val="center"/>
          </w:tcPr>
          <w:p w14:paraId="7627503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7388E5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智慧配防云平台改造</w:t>
            </w:r>
          </w:p>
        </w:tc>
        <w:tc>
          <w:tcPr>
            <w:tcW w:w="2535" w:type="dxa"/>
            <w:vMerge w:val="restart"/>
            <w:tcBorders>
              <w:top w:val="nil"/>
              <w:left w:val="nil"/>
              <w:bottom w:val="single" w:color="000000" w:sz="8" w:space="0"/>
              <w:right w:val="single" w:color="000000" w:sz="8" w:space="0"/>
            </w:tcBorders>
            <w:shd w:val="clear" w:color="auto" w:fill="auto"/>
            <w:noWrap/>
            <w:vAlign w:val="center"/>
          </w:tcPr>
          <w:p w14:paraId="35317E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河道实时流向</w:t>
            </w:r>
          </w:p>
        </w:tc>
        <w:tc>
          <w:tcPr>
            <w:tcW w:w="4234" w:type="dxa"/>
            <w:tcBorders>
              <w:top w:val="nil"/>
              <w:left w:val="nil"/>
              <w:bottom w:val="single" w:color="000000" w:sz="8" w:space="0"/>
              <w:right w:val="single" w:color="000000" w:sz="8" w:space="0"/>
            </w:tcBorders>
            <w:shd w:val="clear" w:color="auto" w:fill="auto"/>
            <w:vAlign w:val="center"/>
          </w:tcPr>
          <w:p w14:paraId="763D68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系统通过流向监测终端采集的上城区河道流向数据，并结合闸门、水泵实时运行数据。</w:t>
            </w:r>
          </w:p>
        </w:tc>
      </w:tr>
      <w:tr w14:paraId="575A7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2B1783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166</w:t>
            </w:r>
          </w:p>
        </w:tc>
        <w:tc>
          <w:tcPr>
            <w:tcW w:w="497" w:type="dxa"/>
            <w:vMerge w:val="continue"/>
            <w:tcBorders>
              <w:top w:val="nil"/>
              <w:left w:val="nil"/>
              <w:bottom w:val="single" w:color="000000" w:sz="8" w:space="0"/>
              <w:right w:val="single" w:color="000000" w:sz="8" w:space="0"/>
            </w:tcBorders>
            <w:shd w:val="clear" w:color="auto" w:fill="auto"/>
            <w:vAlign w:val="center"/>
          </w:tcPr>
          <w:p w14:paraId="0E14B5C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053B18B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vMerge w:val="continue"/>
            <w:tcBorders>
              <w:top w:val="nil"/>
              <w:left w:val="nil"/>
              <w:bottom w:val="single" w:color="000000" w:sz="8" w:space="0"/>
              <w:right w:val="single" w:color="000000" w:sz="8" w:space="0"/>
            </w:tcBorders>
            <w:shd w:val="clear" w:color="auto" w:fill="auto"/>
            <w:noWrap/>
            <w:vAlign w:val="center"/>
          </w:tcPr>
          <w:p w14:paraId="2E312C5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234" w:type="dxa"/>
            <w:tcBorders>
              <w:top w:val="nil"/>
              <w:left w:val="nil"/>
              <w:bottom w:val="single" w:color="000000" w:sz="8" w:space="0"/>
              <w:right w:val="single" w:color="000000" w:sz="8" w:space="0"/>
            </w:tcBorders>
            <w:shd w:val="clear" w:color="auto" w:fill="auto"/>
            <w:vAlign w:val="center"/>
          </w:tcPr>
          <w:p w14:paraId="63B312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在展示大屏主界面的水系图上以动态箭头图形实时展示相应河道内水流方向直至配水完成，可支持水系图的放大、缩小及移位。</w:t>
            </w:r>
          </w:p>
        </w:tc>
      </w:tr>
      <w:tr w14:paraId="52225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7565C1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167</w:t>
            </w:r>
          </w:p>
        </w:tc>
        <w:tc>
          <w:tcPr>
            <w:tcW w:w="497" w:type="dxa"/>
            <w:vMerge w:val="continue"/>
            <w:tcBorders>
              <w:top w:val="nil"/>
              <w:left w:val="nil"/>
              <w:bottom w:val="single" w:color="000000" w:sz="8" w:space="0"/>
              <w:right w:val="single" w:color="000000" w:sz="8" w:space="0"/>
            </w:tcBorders>
            <w:shd w:val="clear" w:color="auto" w:fill="auto"/>
            <w:vAlign w:val="center"/>
          </w:tcPr>
          <w:p w14:paraId="13DFEA6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6F1198E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vMerge w:val="continue"/>
            <w:tcBorders>
              <w:top w:val="nil"/>
              <w:left w:val="nil"/>
              <w:bottom w:val="single" w:color="000000" w:sz="8" w:space="0"/>
              <w:right w:val="single" w:color="000000" w:sz="8" w:space="0"/>
            </w:tcBorders>
            <w:shd w:val="clear" w:color="auto" w:fill="auto"/>
            <w:noWrap/>
            <w:vAlign w:val="center"/>
          </w:tcPr>
          <w:p w14:paraId="5610F15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234" w:type="dxa"/>
            <w:tcBorders>
              <w:top w:val="nil"/>
              <w:left w:val="nil"/>
              <w:bottom w:val="single" w:color="000000" w:sz="8" w:space="0"/>
              <w:right w:val="single" w:color="000000" w:sz="8" w:space="0"/>
            </w:tcBorders>
            <w:shd w:val="clear" w:color="auto" w:fill="auto"/>
            <w:vAlign w:val="center"/>
          </w:tcPr>
          <w:p w14:paraId="3C9345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当河道配水流向改变时，系统会对该河道水流箭头进行高亮显示，并会在主界面下方以滚动条形式进行播报。</w:t>
            </w:r>
          </w:p>
        </w:tc>
      </w:tr>
      <w:tr w14:paraId="6B2FD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796B1D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168</w:t>
            </w:r>
          </w:p>
        </w:tc>
        <w:tc>
          <w:tcPr>
            <w:tcW w:w="497" w:type="dxa"/>
            <w:vMerge w:val="continue"/>
            <w:tcBorders>
              <w:top w:val="nil"/>
              <w:left w:val="nil"/>
              <w:bottom w:val="single" w:color="000000" w:sz="8" w:space="0"/>
              <w:right w:val="single" w:color="000000" w:sz="8" w:space="0"/>
            </w:tcBorders>
            <w:shd w:val="clear" w:color="auto" w:fill="auto"/>
            <w:vAlign w:val="center"/>
          </w:tcPr>
          <w:p w14:paraId="4E4F159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2786F20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05DCD3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水量表</w:t>
            </w:r>
          </w:p>
        </w:tc>
        <w:tc>
          <w:tcPr>
            <w:tcW w:w="4234" w:type="dxa"/>
            <w:tcBorders>
              <w:top w:val="nil"/>
              <w:left w:val="nil"/>
              <w:bottom w:val="single" w:color="000000" w:sz="8" w:space="0"/>
              <w:right w:val="single" w:color="000000" w:sz="8" w:space="0"/>
            </w:tcBorders>
            <w:shd w:val="clear" w:color="auto" w:fill="auto"/>
            <w:vAlign w:val="center"/>
          </w:tcPr>
          <w:p w14:paraId="73A463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系统在主界面以仪表盘形式显示上城区河道水量评价，采集泵站水位、河道水位，通过大数据计算，形成河道的水量表，实时反映河道的水多水少情况。</w:t>
            </w:r>
          </w:p>
        </w:tc>
      </w:tr>
      <w:tr w14:paraId="4C122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138510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169</w:t>
            </w:r>
          </w:p>
        </w:tc>
        <w:tc>
          <w:tcPr>
            <w:tcW w:w="497" w:type="dxa"/>
            <w:vMerge w:val="continue"/>
            <w:tcBorders>
              <w:top w:val="nil"/>
              <w:left w:val="nil"/>
              <w:bottom w:val="single" w:color="000000" w:sz="8" w:space="0"/>
              <w:right w:val="single" w:color="000000" w:sz="8" w:space="0"/>
            </w:tcBorders>
            <w:shd w:val="clear" w:color="auto" w:fill="auto"/>
            <w:vAlign w:val="center"/>
          </w:tcPr>
          <w:p w14:paraId="0F5993A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58176B3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3CB127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今日配水量表</w:t>
            </w:r>
          </w:p>
        </w:tc>
        <w:tc>
          <w:tcPr>
            <w:tcW w:w="4234" w:type="dxa"/>
            <w:tcBorders>
              <w:top w:val="nil"/>
              <w:left w:val="nil"/>
              <w:bottom w:val="single" w:color="000000" w:sz="8" w:space="0"/>
              <w:right w:val="single" w:color="000000" w:sz="8" w:space="0"/>
            </w:tcBorders>
            <w:shd w:val="clear" w:color="auto" w:fill="auto"/>
            <w:vAlign w:val="center"/>
          </w:tcPr>
          <w:p w14:paraId="75A4C2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系统在主界面以仪表盘形式显示上城区闸泵站今日配水量，采集各个闸泵站运行机组配水运行流量、运行时间、配水量，通过大数据计算，形成河道的配水量表，实时反映各闸泵站配水情况。</w:t>
            </w:r>
          </w:p>
        </w:tc>
      </w:tr>
      <w:tr w14:paraId="63C69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2D2BD3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170</w:t>
            </w:r>
          </w:p>
        </w:tc>
        <w:tc>
          <w:tcPr>
            <w:tcW w:w="497" w:type="dxa"/>
            <w:vMerge w:val="continue"/>
            <w:tcBorders>
              <w:top w:val="nil"/>
              <w:left w:val="nil"/>
              <w:bottom w:val="single" w:color="000000" w:sz="8" w:space="0"/>
              <w:right w:val="single" w:color="000000" w:sz="8" w:space="0"/>
            </w:tcBorders>
            <w:shd w:val="clear" w:color="auto" w:fill="auto"/>
            <w:vAlign w:val="center"/>
          </w:tcPr>
          <w:p w14:paraId="2469856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272" w:type="dxa"/>
            <w:gridSpan w:val="2"/>
            <w:tcBorders>
              <w:top w:val="nil"/>
              <w:left w:val="nil"/>
              <w:bottom w:val="single" w:color="000000" w:sz="8" w:space="0"/>
              <w:right w:val="single" w:color="000000" w:sz="8" w:space="0"/>
            </w:tcBorders>
            <w:shd w:val="clear" w:color="auto" w:fill="auto"/>
            <w:vAlign w:val="center"/>
          </w:tcPr>
          <w:p w14:paraId="0A7653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抄告小程序迁移</w:t>
            </w:r>
          </w:p>
        </w:tc>
        <w:tc>
          <w:tcPr>
            <w:tcW w:w="4234" w:type="dxa"/>
            <w:tcBorders>
              <w:top w:val="nil"/>
              <w:left w:val="nil"/>
              <w:bottom w:val="single" w:color="000000" w:sz="8" w:space="0"/>
              <w:right w:val="single" w:color="000000" w:sz="8" w:space="0"/>
            </w:tcBorders>
            <w:shd w:val="clear" w:color="auto" w:fill="auto"/>
            <w:vAlign w:val="center"/>
          </w:tcPr>
          <w:p w14:paraId="221C6A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将现有抄告小程序功能、数据集体迁移至浙政钉</w:t>
            </w:r>
            <w:r>
              <w:rPr>
                <w:rFonts w:hint="eastAsia" w:ascii="宋体" w:hAnsi="宋体" w:cs="宋体"/>
                <w:i w:val="0"/>
                <w:iCs w:val="0"/>
                <w:color w:val="000000"/>
                <w:kern w:val="0"/>
                <w:sz w:val="20"/>
                <w:szCs w:val="20"/>
                <w:u w:val="none"/>
                <w:lang w:val="en-US" w:eastAsia="zh-CN" w:bidi="ar"/>
              </w:rPr>
              <w:t>。</w:t>
            </w:r>
          </w:p>
        </w:tc>
      </w:tr>
      <w:tr w14:paraId="0C49C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032871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171</w:t>
            </w:r>
          </w:p>
        </w:tc>
        <w:tc>
          <w:tcPr>
            <w:tcW w:w="497" w:type="dxa"/>
            <w:vMerge w:val="restart"/>
            <w:tcBorders>
              <w:top w:val="nil"/>
              <w:left w:val="nil"/>
              <w:bottom w:val="single" w:color="000000" w:sz="8" w:space="0"/>
              <w:right w:val="single" w:color="000000" w:sz="8" w:space="0"/>
            </w:tcBorders>
            <w:shd w:val="clear" w:color="auto" w:fill="auto"/>
            <w:vAlign w:val="center"/>
          </w:tcPr>
          <w:p w14:paraId="2EEB58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智慧河道系统</w:t>
            </w:r>
          </w:p>
        </w:tc>
        <w:tc>
          <w:tcPr>
            <w:tcW w:w="737" w:type="dxa"/>
            <w:vMerge w:val="restart"/>
            <w:tcBorders>
              <w:top w:val="nil"/>
              <w:left w:val="nil"/>
              <w:bottom w:val="single" w:color="000000" w:sz="8" w:space="0"/>
              <w:right w:val="single" w:color="000000" w:sz="8" w:space="0"/>
            </w:tcBorders>
            <w:shd w:val="clear" w:color="auto" w:fill="auto"/>
            <w:vAlign w:val="center"/>
          </w:tcPr>
          <w:p w14:paraId="0493C8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河道基础信息管理适配改造</w:t>
            </w:r>
          </w:p>
        </w:tc>
        <w:tc>
          <w:tcPr>
            <w:tcW w:w="2535" w:type="dxa"/>
            <w:tcBorders>
              <w:top w:val="nil"/>
              <w:left w:val="nil"/>
              <w:bottom w:val="single" w:color="000000" w:sz="8" w:space="0"/>
              <w:right w:val="single" w:color="000000" w:sz="8" w:space="0"/>
            </w:tcBorders>
            <w:shd w:val="clear" w:color="auto" w:fill="auto"/>
            <w:noWrap/>
            <w:vAlign w:val="center"/>
          </w:tcPr>
          <w:p w14:paraId="18F3E7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河道档案</w:t>
            </w:r>
          </w:p>
        </w:tc>
        <w:tc>
          <w:tcPr>
            <w:tcW w:w="4234" w:type="dxa"/>
            <w:tcBorders>
              <w:top w:val="nil"/>
              <w:left w:val="nil"/>
              <w:bottom w:val="single" w:color="000000" w:sz="8" w:space="0"/>
              <w:right w:val="single" w:color="000000" w:sz="8" w:space="0"/>
            </w:tcBorders>
            <w:shd w:val="clear" w:color="auto" w:fill="auto"/>
            <w:vAlign w:val="center"/>
          </w:tcPr>
          <w:p w14:paraId="261638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1.河道基础信息（业务编码、曾用名、河道类型、所属区域、整治情况、河道功能、目标水质、勘测信息等）的增删改查</w:t>
            </w:r>
            <w:r>
              <w:rPr>
                <w:rFonts w:hint="eastAsia" w:ascii="宋体" w:hAnsi="宋体" w:cs="宋体"/>
                <w:i w:val="0"/>
                <w:iCs w:val="0"/>
                <w:color w:val="000000"/>
                <w:kern w:val="0"/>
                <w:sz w:val="20"/>
                <w:szCs w:val="20"/>
                <w:u w:val="none"/>
                <w:lang w:val="en-US" w:eastAsia="zh-CN" w:bidi="ar"/>
              </w:rPr>
              <w:t>。</w:t>
            </w:r>
          </w:p>
        </w:tc>
      </w:tr>
      <w:tr w14:paraId="6FD8E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376D40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172</w:t>
            </w:r>
          </w:p>
        </w:tc>
        <w:tc>
          <w:tcPr>
            <w:tcW w:w="497" w:type="dxa"/>
            <w:vMerge w:val="continue"/>
            <w:tcBorders>
              <w:top w:val="nil"/>
              <w:left w:val="nil"/>
              <w:bottom w:val="single" w:color="000000" w:sz="8" w:space="0"/>
              <w:right w:val="single" w:color="000000" w:sz="8" w:space="0"/>
            </w:tcBorders>
            <w:shd w:val="clear" w:color="auto" w:fill="auto"/>
            <w:vAlign w:val="center"/>
          </w:tcPr>
          <w:p w14:paraId="33175E2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3CB1924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5B751E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水质断面</w:t>
            </w:r>
          </w:p>
        </w:tc>
        <w:tc>
          <w:tcPr>
            <w:tcW w:w="4234" w:type="dxa"/>
            <w:tcBorders>
              <w:top w:val="nil"/>
              <w:left w:val="nil"/>
              <w:bottom w:val="single" w:color="000000" w:sz="8" w:space="0"/>
              <w:right w:val="single" w:color="000000" w:sz="8" w:space="0"/>
            </w:tcBorders>
            <w:shd w:val="clear" w:color="auto" w:fill="auto"/>
            <w:vAlign w:val="center"/>
          </w:tcPr>
          <w:p w14:paraId="3E1A20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水质断面基础信息（断面编码、断面名称、所属河道、所属区域、断面类型等）的增删改查；</w:t>
            </w:r>
          </w:p>
        </w:tc>
      </w:tr>
      <w:tr w14:paraId="68CEA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3F1CCC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173</w:t>
            </w:r>
          </w:p>
        </w:tc>
        <w:tc>
          <w:tcPr>
            <w:tcW w:w="497" w:type="dxa"/>
            <w:vMerge w:val="continue"/>
            <w:tcBorders>
              <w:top w:val="nil"/>
              <w:left w:val="nil"/>
              <w:bottom w:val="single" w:color="000000" w:sz="8" w:space="0"/>
              <w:right w:val="single" w:color="000000" w:sz="8" w:space="0"/>
            </w:tcBorders>
            <w:shd w:val="clear" w:color="auto" w:fill="auto"/>
            <w:vAlign w:val="center"/>
          </w:tcPr>
          <w:p w14:paraId="0DE9FC1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20B4B83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61BD2E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水文站点</w:t>
            </w:r>
          </w:p>
        </w:tc>
        <w:tc>
          <w:tcPr>
            <w:tcW w:w="4234" w:type="dxa"/>
            <w:tcBorders>
              <w:top w:val="nil"/>
              <w:left w:val="nil"/>
              <w:bottom w:val="single" w:color="000000" w:sz="8" w:space="0"/>
              <w:right w:val="single" w:color="000000" w:sz="8" w:space="0"/>
            </w:tcBorders>
            <w:shd w:val="clear" w:color="auto" w:fill="auto"/>
            <w:vAlign w:val="center"/>
          </w:tcPr>
          <w:p w14:paraId="48E923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水文站点基础信息（站点编码、站点名称、所属河道、所属区域、监测方式、监测频率、监测类型等）的增删改查</w:t>
            </w:r>
            <w:r>
              <w:rPr>
                <w:rFonts w:hint="eastAsia" w:ascii="宋体" w:hAnsi="宋体" w:cs="宋体"/>
                <w:i w:val="0"/>
                <w:iCs w:val="0"/>
                <w:color w:val="000000"/>
                <w:kern w:val="0"/>
                <w:sz w:val="20"/>
                <w:szCs w:val="20"/>
                <w:u w:val="none"/>
                <w:lang w:val="en-US" w:eastAsia="zh-CN" w:bidi="ar"/>
              </w:rPr>
              <w:t>。</w:t>
            </w:r>
          </w:p>
        </w:tc>
      </w:tr>
      <w:tr w14:paraId="76262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0BE27E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174</w:t>
            </w:r>
          </w:p>
        </w:tc>
        <w:tc>
          <w:tcPr>
            <w:tcW w:w="497" w:type="dxa"/>
            <w:vMerge w:val="continue"/>
            <w:tcBorders>
              <w:top w:val="nil"/>
              <w:left w:val="nil"/>
              <w:bottom w:val="single" w:color="000000" w:sz="8" w:space="0"/>
              <w:right w:val="single" w:color="000000" w:sz="8" w:space="0"/>
            </w:tcBorders>
            <w:shd w:val="clear" w:color="auto" w:fill="auto"/>
            <w:vAlign w:val="center"/>
          </w:tcPr>
          <w:p w14:paraId="06652A0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336D8A8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50A5CD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管网监测站点</w:t>
            </w:r>
          </w:p>
        </w:tc>
        <w:tc>
          <w:tcPr>
            <w:tcW w:w="4234" w:type="dxa"/>
            <w:tcBorders>
              <w:top w:val="nil"/>
              <w:left w:val="nil"/>
              <w:bottom w:val="single" w:color="000000" w:sz="8" w:space="0"/>
              <w:right w:val="single" w:color="000000" w:sz="8" w:space="0"/>
            </w:tcBorders>
            <w:shd w:val="clear" w:color="auto" w:fill="auto"/>
            <w:vAlign w:val="center"/>
          </w:tcPr>
          <w:p w14:paraId="7C5CE1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管网监测站点基础信息（站点编码、站点名称、所属河道、所属区域、站点类型、监测类型等）的增删改查</w:t>
            </w:r>
            <w:r>
              <w:rPr>
                <w:rFonts w:hint="eastAsia" w:ascii="宋体" w:hAnsi="宋体" w:cs="宋体"/>
                <w:i w:val="0"/>
                <w:iCs w:val="0"/>
                <w:color w:val="000000"/>
                <w:kern w:val="0"/>
                <w:sz w:val="20"/>
                <w:szCs w:val="20"/>
                <w:u w:val="none"/>
                <w:lang w:val="en-US" w:eastAsia="zh-CN" w:bidi="ar"/>
              </w:rPr>
              <w:t>。</w:t>
            </w:r>
          </w:p>
        </w:tc>
      </w:tr>
      <w:tr w14:paraId="287DA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64DCA2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175</w:t>
            </w:r>
          </w:p>
        </w:tc>
        <w:tc>
          <w:tcPr>
            <w:tcW w:w="497" w:type="dxa"/>
            <w:vMerge w:val="continue"/>
            <w:tcBorders>
              <w:top w:val="nil"/>
              <w:left w:val="nil"/>
              <w:bottom w:val="single" w:color="000000" w:sz="8" w:space="0"/>
              <w:right w:val="single" w:color="000000" w:sz="8" w:space="0"/>
            </w:tcBorders>
            <w:shd w:val="clear" w:color="auto" w:fill="auto"/>
            <w:vAlign w:val="center"/>
          </w:tcPr>
          <w:p w14:paraId="236A7DD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379B5C0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70DE20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排口档案</w:t>
            </w:r>
          </w:p>
        </w:tc>
        <w:tc>
          <w:tcPr>
            <w:tcW w:w="4234" w:type="dxa"/>
            <w:tcBorders>
              <w:top w:val="nil"/>
              <w:left w:val="nil"/>
              <w:bottom w:val="single" w:color="000000" w:sz="8" w:space="0"/>
              <w:right w:val="single" w:color="000000" w:sz="8" w:space="0"/>
            </w:tcBorders>
            <w:shd w:val="clear" w:color="auto" w:fill="auto"/>
            <w:vAlign w:val="center"/>
          </w:tcPr>
          <w:p w14:paraId="737F62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1.排口基础信息（排放口编码、排放口名称、所属区域、所属河道名称、类别、出流方式、</w:t>
            </w:r>
            <w:r>
              <w:rPr>
                <w:rFonts w:hint="eastAsia" w:ascii="宋体" w:hAnsi="宋体" w:cs="宋体"/>
                <w:i w:val="0"/>
                <w:iCs w:val="0"/>
                <w:color w:val="000000"/>
                <w:kern w:val="0"/>
                <w:sz w:val="20"/>
                <w:szCs w:val="20"/>
                <w:u w:val="none"/>
                <w:lang w:val="en-US" w:eastAsia="zh-CN" w:bidi="ar"/>
              </w:rPr>
              <w:t>设施</w:t>
            </w:r>
            <w:r>
              <w:rPr>
                <w:rFonts w:hint="eastAsia" w:ascii="宋体" w:hAnsi="宋体" w:eastAsia="宋体" w:cs="宋体"/>
                <w:i w:val="0"/>
                <w:iCs w:val="0"/>
                <w:color w:val="000000"/>
                <w:kern w:val="0"/>
                <w:sz w:val="20"/>
                <w:szCs w:val="20"/>
                <w:u w:val="none"/>
                <w:lang w:val="en-US" w:eastAsia="zh-CN" w:bidi="ar"/>
              </w:rPr>
              <w:t>状态等）的增删改查；2.异常出水的增删改查。</w:t>
            </w:r>
          </w:p>
        </w:tc>
      </w:tr>
      <w:tr w14:paraId="4B27A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701FBB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176</w:t>
            </w:r>
          </w:p>
        </w:tc>
        <w:tc>
          <w:tcPr>
            <w:tcW w:w="497" w:type="dxa"/>
            <w:vMerge w:val="continue"/>
            <w:tcBorders>
              <w:top w:val="nil"/>
              <w:left w:val="nil"/>
              <w:bottom w:val="single" w:color="000000" w:sz="8" w:space="0"/>
              <w:right w:val="single" w:color="000000" w:sz="8" w:space="0"/>
            </w:tcBorders>
            <w:shd w:val="clear" w:color="auto" w:fill="auto"/>
            <w:vAlign w:val="center"/>
          </w:tcPr>
          <w:p w14:paraId="0CF7C47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37ADA65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noWrap/>
            <w:vAlign w:val="center"/>
          </w:tcPr>
          <w:p w14:paraId="537F7E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闸泵档案</w:t>
            </w:r>
          </w:p>
        </w:tc>
        <w:tc>
          <w:tcPr>
            <w:tcW w:w="4234" w:type="dxa"/>
            <w:tcBorders>
              <w:top w:val="nil"/>
              <w:left w:val="nil"/>
              <w:bottom w:val="single" w:color="000000" w:sz="8" w:space="0"/>
              <w:right w:val="single" w:color="000000" w:sz="8" w:space="0"/>
            </w:tcBorders>
            <w:shd w:val="clear" w:color="auto" w:fill="auto"/>
            <w:vAlign w:val="center"/>
          </w:tcPr>
          <w:p w14:paraId="0AA219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1.各闸泵站点（船闸、泵站、水闸）基础信息（编码、名称、所属河道、所属区域、功能等）的增删改查</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2.闸门信息的增删改查</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3.水泵信息的增删改查</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4.控制室信息的增删改查。</w:t>
            </w:r>
          </w:p>
        </w:tc>
      </w:tr>
      <w:tr w14:paraId="66A3C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712183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177</w:t>
            </w:r>
          </w:p>
        </w:tc>
        <w:tc>
          <w:tcPr>
            <w:tcW w:w="497" w:type="dxa"/>
            <w:vMerge w:val="continue"/>
            <w:tcBorders>
              <w:top w:val="nil"/>
              <w:left w:val="nil"/>
              <w:bottom w:val="single" w:color="000000" w:sz="8" w:space="0"/>
              <w:right w:val="single" w:color="000000" w:sz="8" w:space="0"/>
            </w:tcBorders>
            <w:shd w:val="clear" w:color="auto" w:fill="auto"/>
            <w:vAlign w:val="center"/>
          </w:tcPr>
          <w:p w14:paraId="027D81D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tcBorders>
              <w:top w:val="nil"/>
              <w:left w:val="nil"/>
              <w:bottom w:val="single" w:color="000000" w:sz="8" w:space="0"/>
              <w:right w:val="single" w:color="000000" w:sz="8" w:space="0"/>
            </w:tcBorders>
            <w:shd w:val="clear" w:color="auto" w:fill="auto"/>
            <w:vAlign w:val="center"/>
          </w:tcPr>
          <w:p w14:paraId="475810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水质监测评价适配改造</w:t>
            </w:r>
          </w:p>
        </w:tc>
        <w:tc>
          <w:tcPr>
            <w:tcW w:w="2535" w:type="dxa"/>
            <w:tcBorders>
              <w:top w:val="nil"/>
              <w:left w:val="nil"/>
              <w:bottom w:val="single" w:color="000000" w:sz="8" w:space="0"/>
              <w:right w:val="single" w:color="000000" w:sz="8" w:space="0"/>
            </w:tcBorders>
            <w:shd w:val="clear" w:color="auto" w:fill="auto"/>
            <w:vAlign w:val="center"/>
          </w:tcPr>
          <w:p w14:paraId="0BCA4891">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综合看板</w:t>
            </w:r>
          </w:p>
        </w:tc>
        <w:tc>
          <w:tcPr>
            <w:tcW w:w="4234" w:type="dxa"/>
            <w:tcBorders>
              <w:top w:val="nil"/>
              <w:left w:val="nil"/>
              <w:bottom w:val="single" w:color="000000" w:sz="8" w:space="0"/>
              <w:right w:val="single" w:color="000000" w:sz="8" w:space="0"/>
            </w:tcBorders>
            <w:shd w:val="clear" w:color="auto" w:fill="auto"/>
            <w:vAlign w:val="center"/>
          </w:tcPr>
          <w:p w14:paraId="7F8905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查看全区所有水质断面的综合查询，包括断面总数、劣V断面数、水质优良率、超标断面数、</w:t>
            </w:r>
            <w:r>
              <w:rPr>
                <w:rFonts w:hint="eastAsia" w:ascii="宋体" w:hAnsi="宋体" w:cs="宋体"/>
                <w:i w:val="0"/>
                <w:iCs w:val="0"/>
                <w:color w:val="000000"/>
                <w:kern w:val="0"/>
                <w:sz w:val="20"/>
                <w:szCs w:val="20"/>
                <w:u w:val="none"/>
                <w:lang w:val="en-US" w:eastAsia="zh-CN" w:bidi="ar"/>
              </w:rPr>
              <w:t>整体评价</w:t>
            </w:r>
            <w:r>
              <w:rPr>
                <w:rFonts w:hint="eastAsia" w:ascii="宋体" w:hAnsi="宋体" w:eastAsia="宋体" w:cs="宋体"/>
                <w:i w:val="0"/>
                <w:iCs w:val="0"/>
                <w:color w:val="000000"/>
                <w:kern w:val="0"/>
                <w:sz w:val="20"/>
                <w:szCs w:val="20"/>
                <w:u w:val="none"/>
                <w:lang w:val="en-US" w:eastAsia="zh-CN" w:bidi="ar"/>
              </w:rPr>
              <w:t>、水污染指数等，通过图表形式进行展示</w:t>
            </w:r>
            <w:r>
              <w:rPr>
                <w:rFonts w:hint="eastAsia" w:ascii="宋体" w:hAnsi="宋体" w:cs="宋体"/>
                <w:i w:val="0"/>
                <w:iCs w:val="0"/>
                <w:color w:val="000000"/>
                <w:kern w:val="0"/>
                <w:sz w:val="20"/>
                <w:szCs w:val="20"/>
                <w:u w:val="none"/>
                <w:lang w:val="en-US" w:eastAsia="zh-CN" w:bidi="ar"/>
              </w:rPr>
              <w:t>。</w:t>
            </w:r>
          </w:p>
        </w:tc>
      </w:tr>
      <w:tr w14:paraId="1A158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2365F7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178</w:t>
            </w:r>
          </w:p>
        </w:tc>
        <w:tc>
          <w:tcPr>
            <w:tcW w:w="497" w:type="dxa"/>
            <w:vMerge w:val="restart"/>
            <w:tcBorders>
              <w:top w:val="nil"/>
              <w:left w:val="nil"/>
              <w:bottom w:val="single" w:color="000000" w:sz="8" w:space="0"/>
              <w:right w:val="single" w:color="000000" w:sz="8" w:space="0"/>
            </w:tcBorders>
            <w:shd w:val="clear" w:color="auto" w:fill="auto"/>
            <w:vAlign w:val="center"/>
          </w:tcPr>
          <w:p w14:paraId="2D4512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合同支付系统</w:t>
            </w:r>
          </w:p>
        </w:tc>
        <w:tc>
          <w:tcPr>
            <w:tcW w:w="737" w:type="dxa"/>
            <w:vMerge w:val="restart"/>
            <w:tcBorders>
              <w:top w:val="nil"/>
              <w:left w:val="nil"/>
              <w:bottom w:val="single" w:color="000000" w:sz="8" w:space="0"/>
              <w:right w:val="single" w:color="000000" w:sz="8" w:space="0"/>
            </w:tcBorders>
            <w:shd w:val="clear" w:color="auto" w:fill="auto"/>
            <w:vAlign w:val="center"/>
          </w:tcPr>
          <w:p w14:paraId="2D9B3C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系统管理业务适配改造</w:t>
            </w:r>
          </w:p>
        </w:tc>
        <w:tc>
          <w:tcPr>
            <w:tcW w:w="2535" w:type="dxa"/>
            <w:tcBorders>
              <w:top w:val="nil"/>
              <w:left w:val="nil"/>
              <w:bottom w:val="single" w:color="000000" w:sz="8" w:space="0"/>
              <w:right w:val="single" w:color="000000" w:sz="8" w:space="0"/>
            </w:tcBorders>
            <w:shd w:val="clear" w:color="auto" w:fill="auto"/>
            <w:vAlign w:val="center"/>
          </w:tcPr>
          <w:p w14:paraId="3273D9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单位管理</w:t>
            </w:r>
          </w:p>
        </w:tc>
        <w:tc>
          <w:tcPr>
            <w:tcW w:w="4234" w:type="dxa"/>
            <w:tcBorders>
              <w:top w:val="single" w:color="000000" w:sz="8" w:space="0"/>
              <w:left w:val="nil"/>
              <w:bottom w:val="single" w:color="000000" w:sz="8" w:space="0"/>
              <w:right w:val="single" w:color="000000" w:sz="8" w:space="0"/>
            </w:tcBorders>
            <w:shd w:val="clear" w:color="auto" w:fill="auto"/>
            <w:vAlign w:val="center"/>
          </w:tcPr>
          <w:p w14:paraId="52FE57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单位编码要求两位，单位要求有简称字段，简称字段为两位字符。</w:t>
            </w:r>
          </w:p>
        </w:tc>
      </w:tr>
      <w:tr w14:paraId="0AC59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7769A5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179</w:t>
            </w:r>
          </w:p>
        </w:tc>
        <w:tc>
          <w:tcPr>
            <w:tcW w:w="497" w:type="dxa"/>
            <w:vMerge w:val="continue"/>
            <w:tcBorders>
              <w:top w:val="nil"/>
              <w:left w:val="nil"/>
              <w:bottom w:val="single" w:color="000000" w:sz="8" w:space="0"/>
              <w:right w:val="single" w:color="000000" w:sz="8" w:space="0"/>
            </w:tcBorders>
            <w:shd w:val="clear" w:color="auto" w:fill="auto"/>
            <w:vAlign w:val="center"/>
          </w:tcPr>
          <w:p w14:paraId="75D2D03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4B601F6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vMerge w:val="restart"/>
            <w:tcBorders>
              <w:top w:val="nil"/>
              <w:left w:val="nil"/>
              <w:bottom w:val="single" w:color="000000" w:sz="8" w:space="0"/>
              <w:right w:val="single" w:color="000000" w:sz="8" w:space="0"/>
            </w:tcBorders>
            <w:shd w:val="clear" w:color="auto" w:fill="auto"/>
            <w:vAlign w:val="center"/>
          </w:tcPr>
          <w:p w14:paraId="3476EC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部门管理</w:t>
            </w:r>
          </w:p>
        </w:tc>
        <w:tc>
          <w:tcPr>
            <w:tcW w:w="4234" w:type="dxa"/>
            <w:tcBorders>
              <w:top w:val="nil"/>
              <w:left w:val="nil"/>
              <w:bottom w:val="single" w:color="000000" w:sz="8" w:space="0"/>
              <w:right w:val="single" w:color="000000" w:sz="8" w:space="0"/>
            </w:tcBorders>
            <w:shd w:val="clear" w:color="auto" w:fill="auto"/>
            <w:vAlign w:val="center"/>
          </w:tcPr>
          <w:p w14:paraId="3E5548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在单位管理中设定部门，部门编码要求三位，部门要求有简称字段，简称字段为三位字符。</w:t>
            </w:r>
          </w:p>
        </w:tc>
      </w:tr>
      <w:tr w14:paraId="36056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189E2F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180</w:t>
            </w:r>
          </w:p>
        </w:tc>
        <w:tc>
          <w:tcPr>
            <w:tcW w:w="497" w:type="dxa"/>
            <w:vMerge w:val="continue"/>
            <w:tcBorders>
              <w:top w:val="nil"/>
              <w:left w:val="nil"/>
              <w:bottom w:val="single" w:color="000000" w:sz="8" w:space="0"/>
              <w:right w:val="single" w:color="000000" w:sz="8" w:space="0"/>
            </w:tcBorders>
            <w:shd w:val="clear" w:color="auto" w:fill="auto"/>
            <w:vAlign w:val="center"/>
          </w:tcPr>
          <w:p w14:paraId="61811D9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696850A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vMerge w:val="continue"/>
            <w:tcBorders>
              <w:top w:val="nil"/>
              <w:left w:val="nil"/>
              <w:bottom w:val="single" w:color="000000" w:sz="8" w:space="0"/>
              <w:right w:val="single" w:color="000000" w:sz="8" w:space="0"/>
            </w:tcBorders>
            <w:shd w:val="clear" w:color="auto" w:fill="auto"/>
            <w:vAlign w:val="center"/>
          </w:tcPr>
          <w:p w14:paraId="5B001F3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234" w:type="dxa"/>
            <w:tcBorders>
              <w:top w:val="nil"/>
              <w:left w:val="nil"/>
              <w:bottom w:val="single" w:color="000000" w:sz="8" w:space="0"/>
              <w:right w:val="single" w:color="000000" w:sz="8" w:space="0"/>
            </w:tcBorders>
            <w:shd w:val="clear" w:color="auto" w:fill="auto"/>
            <w:vAlign w:val="center"/>
          </w:tcPr>
          <w:p w14:paraId="24861E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户权限要求分单位，分业务模块，对业务模块中的审批流程进行区分，审批流程中，分为制单、上报、科室领导审核、计划科审核、分管领导审核、领导审核等。整个权限角色分以下几个：科室合同经办人、科室负责人、合同管理员、计财科、分管领导、主管领导等。</w:t>
            </w:r>
          </w:p>
        </w:tc>
      </w:tr>
      <w:tr w14:paraId="6B545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14336C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181</w:t>
            </w:r>
          </w:p>
        </w:tc>
        <w:tc>
          <w:tcPr>
            <w:tcW w:w="497" w:type="dxa"/>
            <w:vMerge w:val="continue"/>
            <w:tcBorders>
              <w:top w:val="nil"/>
              <w:left w:val="nil"/>
              <w:bottom w:val="single" w:color="000000" w:sz="8" w:space="0"/>
              <w:right w:val="single" w:color="000000" w:sz="8" w:space="0"/>
            </w:tcBorders>
            <w:shd w:val="clear" w:color="auto" w:fill="auto"/>
            <w:vAlign w:val="center"/>
          </w:tcPr>
          <w:p w14:paraId="55B5164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restart"/>
            <w:tcBorders>
              <w:top w:val="nil"/>
              <w:left w:val="nil"/>
              <w:bottom w:val="single" w:color="000000" w:sz="8" w:space="0"/>
              <w:right w:val="single" w:color="000000" w:sz="8" w:space="0"/>
            </w:tcBorders>
            <w:shd w:val="clear" w:color="auto" w:fill="auto"/>
            <w:vAlign w:val="center"/>
          </w:tcPr>
          <w:p w14:paraId="2D666A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合同管理适配改造</w:t>
            </w:r>
          </w:p>
        </w:tc>
        <w:tc>
          <w:tcPr>
            <w:tcW w:w="2535" w:type="dxa"/>
            <w:tcBorders>
              <w:top w:val="nil"/>
              <w:left w:val="nil"/>
              <w:bottom w:val="single" w:color="000000" w:sz="8" w:space="0"/>
              <w:right w:val="single" w:color="000000" w:sz="8" w:space="0"/>
            </w:tcBorders>
            <w:shd w:val="clear" w:color="auto" w:fill="auto"/>
            <w:vAlign w:val="center"/>
          </w:tcPr>
          <w:p w14:paraId="25214C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合同审批业务</w:t>
            </w:r>
          </w:p>
        </w:tc>
        <w:tc>
          <w:tcPr>
            <w:tcW w:w="4234" w:type="dxa"/>
            <w:tcBorders>
              <w:top w:val="nil"/>
              <w:left w:val="nil"/>
              <w:bottom w:val="single" w:color="000000" w:sz="8" w:space="0"/>
              <w:right w:val="single" w:color="000000" w:sz="8" w:space="0"/>
            </w:tcBorders>
            <w:shd w:val="clear" w:color="auto" w:fill="auto"/>
            <w:vAlign w:val="center"/>
          </w:tcPr>
          <w:p w14:paraId="1A38D5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由合同经办人进行合同基本信息的录入，并进行制单、上报，由科室负责人进行审核，再由计财科进行审核，上报分管领导进行审批，最终由主要领导进行终审</w:t>
            </w:r>
            <w:r>
              <w:rPr>
                <w:rFonts w:hint="eastAsia" w:ascii="宋体" w:hAnsi="宋体" w:cs="宋体"/>
                <w:i w:val="0"/>
                <w:iCs w:val="0"/>
                <w:color w:val="000000"/>
                <w:kern w:val="0"/>
                <w:sz w:val="20"/>
                <w:szCs w:val="20"/>
                <w:u w:val="none"/>
                <w:lang w:val="en-US" w:eastAsia="zh-CN" w:bidi="ar"/>
              </w:rPr>
              <w:t>。</w:t>
            </w:r>
          </w:p>
        </w:tc>
      </w:tr>
      <w:tr w14:paraId="13557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6A663B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182</w:t>
            </w:r>
          </w:p>
        </w:tc>
        <w:tc>
          <w:tcPr>
            <w:tcW w:w="497" w:type="dxa"/>
            <w:vMerge w:val="continue"/>
            <w:tcBorders>
              <w:top w:val="nil"/>
              <w:left w:val="nil"/>
              <w:bottom w:val="single" w:color="000000" w:sz="8" w:space="0"/>
              <w:right w:val="single" w:color="000000" w:sz="8" w:space="0"/>
            </w:tcBorders>
            <w:shd w:val="clear" w:color="auto" w:fill="auto"/>
            <w:vAlign w:val="center"/>
          </w:tcPr>
          <w:p w14:paraId="669409B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4DCF59B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7D5731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合同录入业务</w:t>
            </w:r>
          </w:p>
        </w:tc>
        <w:tc>
          <w:tcPr>
            <w:tcW w:w="4234" w:type="dxa"/>
            <w:tcBorders>
              <w:top w:val="nil"/>
              <w:left w:val="nil"/>
              <w:bottom w:val="single" w:color="000000" w:sz="8" w:space="0"/>
              <w:right w:val="single" w:color="000000" w:sz="8" w:space="0"/>
            </w:tcBorders>
            <w:shd w:val="clear" w:color="auto" w:fill="auto"/>
            <w:vAlign w:val="center"/>
          </w:tcPr>
          <w:p w14:paraId="256775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合同录入由科室合同经办人进行录入，合同录入时，必需要先选择相应的已经终审的审批单，相关的一些合同要素自动从审批单中导入，自动导入的要素可以进行修改，一个合同记录对应一条合同审批单记录。</w:t>
            </w:r>
          </w:p>
        </w:tc>
      </w:tr>
      <w:tr w14:paraId="7F023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6091C8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183</w:t>
            </w:r>
          </w:p>
        </w:tc>
        <w:tc>
          <w:tcPr>
            <w:tcW w:w="497" w:type="dxa"/>
            <w:vMerge w:val="continue"/>
            <w:tcBorders>
              <w:top w:val="nil"/>
              <w:left w:val="nil"/>
              <w:bottom w:val="single" w:color="000000" w:sz="8" w:space="0"/>
              <w:right w:val="single" w:color="000000" w:sz="8" w:space="0"/>
            </w:tcBorders>
            <w:shd w:val="clear" w:color="auto" w:fill="auto"/>
            <w:vAlign w:val="center"/>
          </w:tcPr>
          <w:p w14:paraId="283E4D0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7CFE9A9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5F3E51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合同支付业务</w:t>
            </w:r>
          </w:p>
        </w:tc>
        <w:tc>
          <w:tcPr>
            <w:tcW w:w="4234" w:type="dxa"/>
            <w:tcBorders>
              <w:top w:val="nil"/>
              <w:left w:val="nil"/>
              <w:bottom w:val="single" w:color="000000" w:sz="8" w:space="0"/>
              <w:right w:val="single" w:color="000000" w:sz="8" w:space="0"/>
            </w:tcBorders>
            <w:shd w:val="clear" w:color="auto" w:fill="auto"/>
            <w:vAlign w:val="center"/>
          </w:tcPr>
          <w:p w14:paraId="48CA50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此业务模块对合同的支付进行管理，业务功能包括合同的查询、合同的相关信息显示、以及合同的支付信息录入。</w:t>
            </w:r>
          </w:p>
        </w:tc>
      </w:tr>
      <w:tr w14:paraId="5AD17395">
        <w:tblPrEx>
          <w:shd w:val="clear" w:color="auto" w:fill="auto"/>
          <w:tblCellMar>
            <w:top w:w="0" w:type="dxa"/>
            <w:left w:w="108" w:type="dxa"/>
            <w:bottom w:w="0" w:type="dxa"/>
            <w:right w:w="108" w:type="dxa"/>
          </w:tblCellMar>
        </w:tblPrEx>
        <w:trPr>
          <w:trHeight w:val="49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1AF3D1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184</w:t>
            </w:r>
          </w:p>
        </w:tc>
        <w:tc>
          <w:tcPr>
            <w:tcW w:w="497" w:type="dxa"/>
            <w:vMerge w:val="continue"/>
            <w:tcBorders>
              <w:top w:val="nil"/>
              <w:left w:val="nil"/>
              <w:bottom w:val="single" w:color="000000" w:sz="8" w:space="0"/>
              <w:right w:val="single" w:color="000000" w:sz="8" w:space="0"/>
            </w:tcBorders>
            <w:shd w:val="clear" w:color="auto" w:fill="auto"/>
            <w:vAlign w:val="center"/>
          </w:tcPr>
          <w:p w14:paraId="310EFA9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5C82EE3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3B4695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合同进度管理业务</w:t>
            </w:r>
          </w:p>
        </w:tc>
        <w:tc>
          <w:tcPr>
            <w:tcW w:w="4234" w:type="dxa"/>
            <w:tcBorders>
              <w:top w:val="nil"/>
              <w:left w:val="nil"/>
              <w:bottom w:val="single" w:color="000000" w:sz="8" w:space="0"/>
              <w:right w:val="single" w:color="000000" w:sz="8" w:space="0"/>
            </w:tcBorders>
            <w:shd w:val="clear" w:color="auto" w:fill="auto"/>
            <w:vAlign w:val="center"/>
          </w:tcPr>
          <w:p w14:paraId="40C7FA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合同进度管理中，对合同的各个进度进行全程的管理，业务功能包括合同的查询、合同的相关信息显示、合同的进度显示、履约保证金管理、质保金管理等。</w:t>
            </w:r>
          </w:p>
        </w:tc>
      </w:tr>
      <w:tr w14:paraId="5C8CB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73415E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185</w:t>
            </w:r>
          </w:p>
        </w:tc>
        <w:tc>
          <w:tcPr>
            <w:tcW w:w="497" w:type="dxa"/>
            <w:vMerge w:val="continue"/>
            <w:tcBorders>
              <w:top w:val="nil"/>
              <w:left w:val="nil"/>
              <w:bottom w:val="single" w:color="000000" w:sz="8" w:space="0"/>
              <w:right w:val="single" w:color="000000" w:sz="8" w:space="0"/>
            </w:tcBorders>
            <w:shd w:val="clear" w:color="auto" w:fill="auto"/>
            <w:vAlign w:val="center"/>
          </w:tcPr>
          <w:p w14:paraId="01F4644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7A53145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8" w:space="0"/>
              <w:right w:val="single" w:color="000000" w:sz="8" w:space="0"/>
            </w:tcBorders>
            <w:shd w:val="clear" w:color="auto" w:fill="auto"/>
            <w:vAlign w:val="center"/>
          </w:tcPr>
          <w:p w14:paraId="12FDFF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合同财务管理业务</w:t>
            </w:r>
          </w:p>
        </w:tc>
        <w:tc>
          <w:tcPr>
            <w:tcW w:w="4234" w:type="dxa"/>
            <w:tcBorders>
              <w:top w:val="nil"/>
              <w:left w:val="nil"/>
              <w:bottom w:val="single" w:color="000000" w:sz="8" w:space="0"/>
              <w:right w:val="single" w:color="000000" w:sz="8" w:space="0"/>
            </w:tcBorders>
            <w:shd w:val="clear" w:color="auto" w:fill="auto"/>
            <w:vAlign w:val="center"/>
          </w:tcPr>
          <w:p w14:paraId="023668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合同的财务相关的业务</w:t>
            </w:r>
            <w:r>
              <w:rPr>
                <w:rFonts w:hint="eastAsia" w:ascii="宋体" w:hAnsi="宋体" w:cs="宋体"/>
                <w:i w:val="0"/>
                <w:iCs w:val="0"/>
                <w:color w:val="000000"/>
                <w:kern w:val="0"/>
                <w:sz w:val="20"/>
                <w:szCs w:val="20"/>
                <w:u w:val="none"/>
                <w:lang w:val="en-US" w:eastAsia="zh-CN" w:bidi="ar"/>
              </w:rPr>
              <w:t>。</w:t>
            </w:r>
          </w:p>
        </w:tc>
      </w:tr>
      <w:tr w14:paraId="3F34C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16" w:type="dxa"/>
            <w:vMerge w:val="restart"/>
            <w:tcBorders>
              <w:top w:val="nil"/>
              <w:left w:val="single" w:color="000000" w:sz="8" w:space="0"/>
              <w:bottom w:val="single" w:color="000000" w:sz="8" w:space="0"/>
              <w:right w:val="single" w:color="000000" w:sz="8" w:space="0"/>
            </w:tcBorders>
            <w:shd w:val="clear" w:color="auto" w:fill="auto"/>
            <w:vAlign w:val="center"/>
          </w:tcPr>
          <w:p w14:paraId="720466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186</w:t>
            </w:r>
          </w:p>
        </w:tc>
        <w:tc>
          <w:tcPr>
            <w:tcW w:w="497" w:type="dxa"/>
            <w:vMerge w:val="continue"/>
            <w:tcBorders>
              <w:top w:val="nil"/>
              <w:left w:val="nil"/>
              <w:bottom w:val="single" w:color="000000" w:sz="8" w:space="0"/>
              <w:right w:val="single" w:color="000000" w:sz="8" w:space="0"/>
            </w:tcBorders>
            <w:shd w:val="clear" w:color="auto" w:fill="auto"/>
            <w:vAlign w:val="center"/>
          </w:tcPr>
          <w:p w14:paraId="5AE4D26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0D9D1E1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vMerge w:val="restart"/>
            <w:tcBorders>
              <w:top w:val="nil"/>
              <w:left w:val="nil"/>
              <w:bottom w:val="single" w:color="000000" w:sz="8" w:space="0"/>
              <w:right w:val="single" w:color="000000" w:sz="8" w:space="0"/>
            </w:tcBorders>
            <w:shd w:val="clear" w:color="auto" w:fill="auto"/>
            <w:vAlign w:val="center"/>
          </w:tcPr>
          <w:p w14:paraId="5B3828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合同查询业务</w:t>
            </w:r>
          </w:p>
        </w:tc>
        <w:tc>
          <w:tcPr>
            <w:tcW w:w="4234" w:type="dxa"/>
            <w:tcBorders>
              <w:top w:val="nil"/>
              <w:left w:val="nil"/>
              <w:bottom w:val="nil"/>
              <w:right w:val="single" w:color="000000" w:sz="8" w:space="0"/>
            </w:tcBorders>
            <w:shd w:val="clear" w:color="auto" w:fill="auto"/>
            <w:vAlign w:val="center"/>
          </w:tcPr>
          <w:p w14:paraId="6232DF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（1）要求可以按合同所有要素进行筛选查询。</w:t>
            </w:r>
          </w:p>
        </w:tc>
      </w:tr>
      <w:tr w14:paraId="3B8D4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16" w:type="dxa"/>
            <w:vMerge w:val="continue"/>
            <w:tcBorders>
              <w:top w:val="nil"/>
              <w:left w:val="single" w:color="000000" w:sz="8" w:space="0"/>
              <w:bottom w:val="single" w:color="000000" w:sz="8" w:space="0"/>
              <w:right w:val="single" w:color="000000" w:sz="8" w:space="0"/>
            </w:tcBorders>
            <w:shd w:val="clear" w:color="auto" w:fill="auto"/>
            <w:vAlign w:val="center"/>
          </w:tcPr>
          <w:p w14:paraId="1C19353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97" w:type="dxa"/>
            <w:vMerge w:val="continue"/>
            <w:tcBorders>
              <w:top w:val="nil"/>
              <w:left w:val="nil"/>
              <w:bottom w:val="single" w:color="000000" w:sz="8" w:space="0"/>
              <w:right w:val="single" w:color="000000" w:sz="8" w:space="0"/>
            </w:tcBorders>
            <w:shd w:val="clear" w:color="auto" w:fill="auto"/>
            <w:vAlign w:val="center"/>
          </w:tcPr>
          <w:p w14:paraId="3A29202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0566602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vMerge w:val="continue"/>
            <w:tcBorders>
              <w:top w:val="nil"/>
              <w:left w:val="nil"/>
              <w:bottom w:val="single" w:color="000000" w:sz="8" w:space="0"/>
              <w:right w:val="single" w:color="000000" w:sz="8" w:space="0"/>
            </w:tcBorders>
            <w:shd w:val="clear" w:color="auto" w:fill="auto"/>
            <w:vAlign w:val="center"/>
          </w:tcPr>
          <w:p w14:paraId="779B1AA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234" w:type="dxa"/>
            <w:tcBorders>
              <w:top w:val="nil"/>
              <w:left w:val="nil"/>
              <w:bottom w:val="nil"/>
              <w:right w:val="single" w:color="000000" w:sz="8" w:space="0"/>
            </w:tcBorders>
            <w:shd w:val="clear" w:color="auto" w:fill="auto"/>
            <w:vAlign w:val="center"/>
          </w:tcPr>
          <w:p w14:paraId="7AED27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（2）合同的查询结果要求可以导出到EXCEL文件。</w:t>
            </w:r>
          </w:p>
        </w:tc>
      </w:tr>
      <w:tr w14:paraId="1FE40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16" w:type="dxa"/>
            <w:vMerge w:val="continue"/>
            <w:tcBorders>
              <w:top w:val="nil"/>
              <w:left w:val="single" w:color="000000" w:sz="8" w:space="0"/>
              <w:bottom w:val="single" w:color="000000" w:sz="8" w:space="0"/>
              <w:right w:val="single" w:color="000000" w:sz="8" w:space="0"/>
            </w:tcBorders>
            <w:shd w:val="clear" w:color="auto" w:fill="auto"/>
            <w:vAlign w:val="center"/>
          </w:tcPr>
          <w:p w14:paraId="2602500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97" w:type="dxa"/>
            <w:vMerge w:val="continue"/>
            <w:tcBorders>
              <w:top w:val="nil"/>
              <w:left w:val="nil"/>
              <w:bottom w:val="single" w:color="000000" w:sz="8" w:space="0"/>
              <w:right w:val="single" w:color="000000" w:sz="8" w:space="0"/>
            </w:tcBorders>
            <w:shd w:val="clear" w:color="auto" w:fill="auto"/>
            <w:vAlign w:val="center"/>
          </w:tcPr>
          <w:p w14:paraId="2BBAEAA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5078346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35" w:type="dxa"/>
            <w:vMerge w:val="continue"/>
            <w:tcBorders>
              <w:top w:val="nil"/>
              <w:left w:val="nil"/>
              <w:bottom w:val="single" w:color="000000" w:sz="8" w:space="0"/>
              <w:right w:val="single" w:color="000000" w:sz="8" w:space="0"/>
            </w:tcBorders>
            <w:shd w:val="clear" w:color="auto" w:fill="auto"/>
            <w:vAlign w:val="center"/>
          </w:tcPr>
          <w:p w14:paraId="5DE7344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234" w:type="dxa"/>
            <w:tcBorders>
              <w:top w:val="nil"/>
              <w:left w:val="nil"/>
              <w:bottom w:val="single" w:color="000000" w:sz="8" w:space="0"/>
              <w:right w:val="single" w:color="000000" w:sz="8" w:space="0"/>
            </w:tcBorders>
            <w:shd w:val="clear" w:color="auto" w:fill="auto"/>
            <w:vAlign w:val="center"/>
          </w:tcPr>
          <w:p w14:paraId="46D7E7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（3）要求可以对扫描件的文件进行查看。</w:t>
            </w:r>
          </w:p>
        </w:tc>
      </w:tr>
      <w:tr w14:paraId="2D681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4FF59E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187</w:t>
            </w:r>
          </w:p>
        </w:tc>
        <w:tc>
          <w:tcPr>
            <w:tcW w:w="497" w:type="dxa"/>
            <w:vMerge w:val="restart"/>
            <w:tcBorders>
              <w:top w:val="nil"/>
              <w:left w:val="nil"/>
              <w:bottom w:val="single" w:color="000000" w:sz="8" w:space="0"/>
              <w:right w:val="single" w:color="000000" w:sz="8" w:space="0"/>
            </w:tcBorders>
            <w:shd w:val="clear" w:color="auto" w:fill="auto"/>
            <w:vAlign w:val="center"/>
          </w:tcPr>
          <w:p w14:paraId="0EC8DE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东站周边建筑亮化二级控制平台</w:t>
            </w:r>
          </w:p>
        </w:tc>
        <w:tc>
          <w:tcPr>
            <w:tcW w:w="3272" w:type="dxa"/>
            <w:gridSpan w:val="2"/>
            <w:tcBorders>
              <w:top w:val="nil"/>
              <w:left w:val="nil"/>
              <w:bottom w:val="single" w:color="000000" w:sz="8" w:space="0"/>
              <w:right w:val="single" w:color="000000" w:sz="8" w:space="0"/>
            </w:tcBorders>
            <w:shd w:val="clear" w:color="auto" w:fill="auto"/>
            <w:vAlign w:val="center"/>
          </w:tcPr>
          <w:p w14:paraId="5FF6CF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配电箱综合管理适配改造</w:t>
            </w:r>
          </w:p>
        </w:tc>
        <w:tc>
          <w:tcPr>
            <w:tcW w:w="4234" w:type="dxa"/>
            <w:tcBorders>
              <w:top w:val="nil"/>
              <w:left w:val="nil"/>
              <w:bottom w:val="single" w:color="000000" w:sz="8" w:space="0"/>
              <w:right w:val="single" w:color="000000" w:sz="8" w:space="0"/>
            </w:tcBorders>
            <w:shd w:val="clear" w:color="auto" w:fill="auto"/>
            <w:vAlign w:val="center"/>
          </w:tcPr>
          <w:p w14:paraId="6DCE5B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1)具备宏命令编辑管理功能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2)总控软件与节点智能网关具备自动时钟校时功能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3)具备二次逻辑层编辑功能，可实现对已分逻辑区的设备进行二次控制</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4)支持对控制节点的添加、删除、修改等操作；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5)具备对所有控制节点进行分区管理，便于分区中心部署及权限控制</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6)具备对控制节点的分组管理功能控制，能实现强电控制节点的统一配置管理功能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备日程表管理功能，具备对智能照明配电箱注册信息管理功能，通过总控客户端能完成对强电控制节点IP、物理位置、控制设备配置、控制设备数量、节点控制回路数量、节点回路类型等信息进行管理和存储。</w:t>
            </w:r>
          </w:p>
        </w:tc>
      </w:tr>
      <w:tr w14:paraId="6FFC4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7602EF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188</w:t>
            </w:r>
          </w:p>
        </w:tc>
        <w:tc>
          <w:tcPr>
            <w:tcW w:w="497" w:type="dxa"/>
            <w:vMerge w:val="continue"/>
            <w:tcBorders>
              <w:top w:val="nil"/>
              <w:left w:val="nil"/>
              <w:bottom w:val="single" w:color="000000" w:sz="8" w:space="0"/>
              <w:right w:val="single" w:color="000000" w:sz="8" w:space="0"/>
            </w:tcBorders>
            <w:shd w:val="clear" w:color="auto" w:fill="auto"/>
            <w:vAlign w:val="center"/>
          </w:tcPr>
          <w:p w14:paraId="1CA5C53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272" w:type="dxa"/>
            <w:gridSpan w:val="2"/>
            <w:tcBorders>
              <w:top w:val="nil"/>
              <w:left w:val="nil"/>
              <w:bottom w:val="single" w:color="000000" w:sz="8" w:space="0"/>
              <w:right w:val="single" w:color="000000" w:sz="8" w:space="0"/>
            </w:tcBorders>
            <w:shd w:val="clear" w:color="auto" w:fill="auto"/>
            <w:vAlign w:val="center"/>
          </w:tcPr>
          <w:p w14:paraId="1DC006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强电控制适配改造</w:t>
            </w:r>
          </w:p>
        </w:tc>
        <w:tc>
          <w:tcPr>
            <w:tcW w:w="4234" w:type="dxa"/>
            <w:tcBorders>
              <w:top w:val="nil"/>
              <w:left w:val="nil"/>
              <w:bottom w:val="single" w:color="000000" w:sz="8" w:space="0"/>
              <w:right w:val="single" w:color="000000" w:sz="8" w:space="0"/>
            </w:tcBorders>
            <w:shd w:val="clear" w:color="auto" w:fill="auto"/>
            <w:vAlign w:val="center"/>
          </w:tcPr>
          <w:p w14:paraId="792384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1)可实现手动控制、远程集中控制、联动控制等功能</w:t>
            </w:r>
            <w:r>
              <w:rPr>
                <w:rFonts w:hint="eastAsia" w:ascii="宋体" w:hAnsi="宋体" w:cs="宋体"/>
                <w:i w:val="0"/>
                <w:iCs w:val="0"/>
                <w:color w:val="000000"/>
                <w:kern w:val="0"/>
                <w:sz w:val="20"/>
                <w:szCs w:val="20"/>
                <w:u w:val="none"/>
                <w:lang w:val="en-US" w:eastAsia="zh-CN" w:bidi="ar"/>
              </w:rPr>
              <w:t>。</w:t>
            </w:r>
          </w:p>
          <w:p w14:paraId="0A75ED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2)光照度控制：通过采集的光照度阈值自动控制回路开关</w:t>
            </w:r>
            <w:r>
              <w:rPr>
                <w:rFonts w:hint="eastAsia" w:ascii="宋体" w:hAnsi="宋体" w:cs="宋体"/>
                <w:i w:val="0"/>
                <w:iCs w:val="0"/>
                <w:color w:val="000000"/>
                <w:kern w:val="0"/>
                <w:sz w:val="20"/>
                <w:szCs w:val="20"/>
                <w:u w:val="none"/>
                <w:lang w:val="en-US" w:eastAsia="zh-CN" w:bidi="ar"/>
              </w:rPr>
              <w:t>。</w:t>
            </w:r>
          </w:p>
          <w:p w14:paraId="39499E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3)配电系统断开与总控连接时，每个节点可独立脱机定时运行</w:t>
            </w:r>
            <w:r>
              <w:rPr>
                <w:rFonts w:hint="eastAsia" w:ascii="宋体" w:hAnsi="宋体" w:cs="宋体"/>
                <w:i w:val="0"/>
                <w:iCs w:val="0"/>
                <w:color w:val="000000"/>
                <w:kern w:val="0"/>
                <w:sz w:val="20"/>
                <w:szCs w:val="20"/>
                <w:u w:val="none"/>
                <w:lang w:val="en-US" w:eastAsia="zh-CN" w:bidi="ar"/>
              </w:rPr>
              <w:t>。</w:t>
            </w:r>
          </w:p>
          <w:p w14:paraId="1E8297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4)可按照回路带载的灯具类型进行分类，如点光源回路、线条灯回路、投光灯回路、控制器回路等</w:t>
            </w:r>
            <w:r>
              <w:rPr>
                <w:rFonts w:hint="eastAsia" w:ascii="宋体" w:hAnsi="宋体" w:cs="宋体"/>
                <w:i w:val="0"/>
                <w:iCs w:val="0"/>
                <w:color w:val="000000"/>
                <w:kern w:val="0"/>
                <w:sz w:val="20"/>
                <w:szCs w:val="20"/>
                <w:u w:val="none"/>
                <w:lang w:val="en-US" w:eastAsia="zh-CN" w:bidi="ar"/>
              </w:rPr>
              <w:t>。</w:t>
            </w:r>
          </w:p>
          <w:p w14:paraId="28E1FC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5)配电系统开关模块采用分布式结构，系统具备扩展性，每台设备均具备数据存储功能</w:t>
            </w:r>
            <w:r>
              <w:rPr>
                <w:rFonts w:hint="eastAsia" w:ascii="宋体" w:hAnsi="宋体" w:cs="宋体"/>
                <w:i w:val="0"/>
                <w:iCs w:val="0"/>
                <w:color w:val="000000"/>
                <w:kern w:val="0"/>
                <w:sz w:val="20"/>
                <w:szCs w:val="20"/>
                <w:u w:val="none"/>
                <w:lang w:val="en-US" w:eastAsia="zh-CN" w:bidi="ar"/>
              </w:rPr>
              <w:t>。</w:t>
            </w:r>
          </w:p>
          <w:p w14:paraId="4911AB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6)可按照不同的需求配置不同的回路控制照明模式，如平日模式、节日模式（重要节目、重大活动）、节能模式等。</w:t>
            </w:r>
          </w:p>
        </w:tc>
      </w:tr>
      <w:tr w14:paraId="5FCD0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5"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14:paraId="770579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189</w:t>
            </w:r>
          </w:p>
        </w:tc>
        <w:tc>
          <w:tcPr>
            <w:tcW w:w="497" w:type="dxa"/>
            <w:vMerge w:val="continue"/>
            <w:tcBorders>
              <w:top w:val="nil"/>
              <w:left w:val="nil"/>
              <w:bottom w:val="single" w:color="000000" w:sz="8" w:space="0"/>
              <w:right w:val="single" w:color="000000" w:sz="8" w:space="0"/>
            </w:tcBorders>
            <w:shd w:val="clear" w:color="auto" w:fill="auto"/>
            <w:vAlign w:val="center"/>
          </w:tcPr>
          <w:p w14:paraId="74D6A12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272" w:type="dxa"/>
            <w:gridSpan w:val="2"/>
            <w:tcBorders>
              <w:top w:val="nil"/>
              <w:left w:val="nil"/>
              <w:bottom w:val="single" w:color="000000" w:sz="8" w:space="0"/>
              <w:right w:val="single" w:color="000000" w:sz="8" w:space="0"/>
            </w:tcBorders>
            <w:shd w:val="clear" w:color="auto" w:fill="auto"/>
            <w:vAlign w:val="center"/>
          </w:tcPr>
          <w:p w14:paraId="14886E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数据采集告警及能耗分析适配改造</w:t>
            </w:r>
          </w:p>
        </w:tc>
        <w:tc>
          <w:tcPr>
            <w:tcW w:w="4234" w:type="dxa"/>
            <w:tcBorders>
              <w:top w:val="nil"/>
              <w:left w:val="nil"/>
              <w:bottom w:val="single" w:color="000000" w:sz="8" w:space="0"/>
              <w:right w:val="single" w:color="000000" w:sz="8" w:space="0"/>
            </w:tcBorders>
            <w:shd w:val="clear" w:color="auto" w:fill="auto"/>
            <w:vAlign w:val="center"/>
          </w:tcPr>
          <w:p w14:paraId="1F9FC9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1)具备对配电箱的运行状况进行检测功能</w:t>
            </w:r>
            <w:r>
              <w:rPr>
                <w:rFonts w:hint="eastAsia" w:ascii="宋体" w:hAnsi="宋体" w:cs="宋体"/>
                <w:i w:val="0"/>
                <w:iCs w:val="0"/>
                <w:color w:val="000000"/>
                <w:kern w:val="0"/>
                <w:sz w:val="20"/>
                <w:szCs w:val="20"/>
                <w:u w:val="none"/>
                <w:lang w:val="en-US" w:eastAsia="zh-CN" w:bidi="ar"/>
              </w:rPr>
              <w:t>。</w:t>
            </w:r>
          </w:p>
          <w:p w14:paraId="1A45C4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2)系统应能对智能照明配电箱内的告警进行统计分析，能进行过滤、查询、导出功能</w:t>
            </w:r>
            <w:r>
              <w:rPr>
                <w:rFonts w:hint="eastAsia" w:ascii="宋体" w:hAnsi="宋体" w:cs="宋体"/>
                <w:i w:val="0"/>
                <w:iCs w:val="0"/>
                <w:color w:val="000000"/>
                <w:kern w:val="0"/>
                <w:sz w:val="20"/>
                <w:szCs w:val="20"/>
                <w:u w:val="none"/>
                <w:lang w:val="en-US" w:eastAsia="zh-CN" w:bidi="ar"/>
              </w:rPr>
              <w:t>。</w:t>
            </w:r>
          </w:p>
          <w:p w14:paraId="4B18A0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3)具备对每一个供电回路的当前开关状态进行监控</w:t>
            </w:r>
            <w:r>
              <w:rPr>
                <w:rFonts w:hint="eastAsia" w:ascii="宋体" w:hAnsi="宋体" w:cs="宋体"/>
                <w:i w:val="0"/>
                <w:iCs w:val="0"/>
                <w:color w:val="000000"/>
                <w:kern w:val="0"/>
                <w:sz w:val="20"/>
                <w:szCs w:val="20"/>
                <w:u w:val="none"/>
                <w:lang w:val="en-US" w:eastAsia="zh-CN" w:bidi="ar"/>
              </w:rPr>
              <w:t>。</w:t>
            </w:r>
          </w:p>
          <w:p w14:paraId="00F0B8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4)具备对配电箱内的多功能电表实现能耗远程抄表功能，支持抄表间隔时间可配置，可记录所有时段的配电箱能耗数据</w:t>
            </w:r>
            <w:r>
              <w:rPr>
                <w:rFonts w:hint="eastAsia" w:ascii="宋体" w:hAnsi="宋体" w:cs="宋体"/>
                <w:i w:val="0"/>
                <w:iCs w:val="0"/>
                <w:color w:val="000000"/>
                <w:kern w:val="0"/>
                <w:sz w:val="20"/>
                <w:szCs w:val="20"/>
                <w:u w:val="none"/>
                <w:lang w:val="en-US" w:eastAsia="zh-CN" w:bidi="ar"/>
              </w:rPr>
              <w:t>。</w:t>
            </w:r>
          </w:p>
        </w:tc>
      </w:tr>
      <w:tr w14:paraId="69359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516" w:type="dxa"/>
            <w:tcBorders>
              <w:top w:val="nil"/>
              <w:left w:val="single" w:color="000000" w:sz="8" w:space="0"/>
              <w:bottom w:val="single" w:color="auto" w:sz="4" w:space="0"/>
              <w:right w:val="single" w:color="000000" w:sz="8" w:space="0"/>
            </w:tcBorders>
            <w:shd w:val="clear" w:color="auto" w:fill="auto"/>
            <w:vAlign w:val="center"/>
          </w:tcPr>
          <w:p w14:paraId="4362EA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190</w:t>
            </w:r>
          </w:p>
        </w:tc>
        <w:tc>
          <w:tcPr>
            <w:tcW w:w="497" w:type="dxa"/>
            <w:vMerge w:val="continue"/>
            <w:tcBorders>
              <w:top w:val="nil"/>
              <w:left w:val="nil"/>
              <w:bottom w:val="single" w:color="auto" w:sz="4" w:space="0"/>
              <w:right w:val="single" w:color="000000" w:sz="8" w:space="0"/>
            </w:tcBorders>
            <w:shd w:val="clear" w:color="auto" w:fill="auto"/>
            <w:vAlign w:val="center"/>
          </w:tcPr>
          <w:p w14:paraId="2065B41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272" w:type="dxa"/>
            <w:gridSpan w:val="2"/>
            <w:tcBorders>
              <w:top w:val="nil"/>
              <w:left w:val="nil"/>
              <w:bottom w:val="single" w:color="auto" w:sz="4" w:space="0"/>
              <w:right w:val="single" w:color="000000" w:sz="8" w:space="0"/>
            </w:tcBorders>
            <w:shd w:val="clear" w:color="auto" w:fill="auto"/>
            <w:vAlign w:val="center"/>
          </w:tcPr>
          <w:p w14:paraId="1E7FD3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权限管理适配改造</w:t>
            </w:r>
          </w:p>
        </w:tc>
        <w:tc>
          <w:tcPr>
            <w:tcW w:w="4234" w:type="dxa"/>
            <w:tcBorders>
              <w:top w:val="nil"/>
              <w:left w:val="nil"/>
              <w:bottom w:val="single" w:color="auto" w:sz="4" w:space="0"/>
              <w:right w:val="single" w:color="000000" w:sz="8" w:space="0"/>
            </w:tcBorders>
            <w:shd w:val="clear" w:color="auto" w:fill="auto"/>
            <w:vAlign w:val="center"/>
          </w:tcPr>
          <w:p w14:paraId="09B75A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1)权限管理原则：权限管理遵循向下兼容原则，即组织机构高的用户可对组织机构低的设备进行管理和控制。组织机构低的用户访问组织机构高的设备，需授权。</w:t>
            </w:r>
          </w:p>
          <w:p w14:paraId="132CD7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2)权限管理：软件功能权限和设备数据权限，以列表的形式进行展示，在创建角色时，可对软件的操作权限和数据操作权限进行配置。</w:t>
            </w:r>
          </w:p>
          <w:p w14:paraId="19DC5D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3)人员、用户和角色关系：创建用户时，必须绑定人员，且必须为实名制（超级管理员除外）。一个用户可以对应多个角色。</w:t>
            </w:r>
          </w:p>
        </w:tc>
      </w:tr>
      <w:tr w14:paraId="2A5D7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5A2132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color w:val="000000"/>
                <w:sz w:val="20"/>
                <w:szCs w:val="20"/>
                <w:lang w:val="en-US" w:eastAsia="zh-CN"/>
              </w:rPr>
              <w:t>191</w:t>
            </w:r>
          </w:p>
        </w:tc>
        <w:tc>
          <w:tcPr>
            <w:tcW w:w="4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E51A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一单位一平台</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2F73CF9E">
            <w:pPr>
              <w:pStyle w:val="969"/>
              <w:keepNext w:val="0"/>
              <w:keepLines w:val="0"/>
              <w:suppressLineNumbers w:val="0"/>
              <w:spacing w:before="0" w:beforeAutospacing="0" w:after="0" w:afterAutospacing="0"/>
              <w:ind w:left="0" w:right="0" w:firstLine="0" w:firstLineChars="0"/>
              <w:rPr>
                <w:rFonts w:hint="eastAsia" w:ascii="宋体" w:hAnsi="宋体" w:eastAsia="宋体" w:cs="宋体"/>
                <w:i w:val="0"/>
                <w:iCs w:val="0"/>
                <w:color w:val="000000"/>
                <w:kern w:val="0"/>
                <w:sz w:val="20"/>
                <w:szCs w:val="20"/>
                <w:u w:val="none"/>
                <w:lang w:bidi="ar"/>
              </w:rPr>
            </w:pPr>
            <w:r>
              <w:rPr>
                <w:rFonts w:hint="eastAsia" w:ascii="宋体" w:hAnsi="宋体" w:eastAsia="宋体" w:cs="宋体"/>
                <w:color w:val="000000"/>
                <w:kern w:val="0"/>
                <w:sz w:val="20"/>
                <w:szCs w:val="20"/>
                <w:u w:val="none"/>
                <w:lang w:bidi="ar"/>
              </w:rPr>
              <w:t>统一门户集成</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3A2DD15F">
            <w:pPr>
              <w:pStyle w:val="969"/>
              <w:keepNext w:val="0"/>
              <w:keepLines w:val="0"/>
              <w:suppressLineNumbers w:val="0"/>
              <w:spacing w:before="0" w:beforeAutospacing="0" w:after="0" w:afterAutospacing="0"/>
              <w:ind w:left="0" w:right="0" w:firstLine="0" w:firstLineChars="0"/>
              <w:rPr>
                <w:rFonts w:hint="eastAsia" w:ascii="宋体" w:hAnsi="宋体" w:eastAsia="宋体" w:cs="宋体"/>
                <w:i w:val="0"/>
                <w:iCs w:val="0"/>
                <w:color w:val="000000"/>
                <w:kern w:val="0"/>
                <w:sz w:val="20"/>
                <w:szCs w:val="20"/>
                <w:u w:val="none"/>
                <w:lang w:bidi="ar"/>
              </w:rPr>
            </w:pPr>
            <w:r>
              <w:rPr>
                <w:rFonts w:hint="eastAsia" w:ascii="宋体" w:hAnsi="宋体" w:eastAsia="宋体" w:cs="宋体"/>
                <w:color w:val="000000"/>
                <w:kern w:val="0"/>
                <w:sz w:val="20"/>
                <w:szCs w:val="20"/>
                <w:u w:val="none"/>
                <w:lang w:val="en-US" w:eastAsia="zh-CN" w:bidi="ar"/>
              </w:rPr>
              <w:t>门户集成</w:t>
            </w:r>
          </w:p>
        </w:tc>
        <w:tc>
          <w:tcPr>
            <w:tcW w:w="4234" w:type="dxa"/>
            <w:tcBorders>
              <w:top w:val="single" w:color="auto" w:sz="4" w:space="0"/>
              <w:left w:val="single" w:color="auto" w:sz="4" w:space="0"/>
              <w:bottom w:val="single" w:color="auto" w:sz="4" w:space="0"/>
              <w:right w:val="single" w:color="auto" w:sz="4" w:space="0"/>
            </w:tcBorders>
            <w:shd w:val="clear" w:color="auto" w:fill="auto"/>
            <w:vAlign w:val="center"/>
          </w:tcPr>
          <w:p w14:paraId="4E7F7F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足城市治理现代化发展大局，将所有应用子系统以模块方式进行系统性整合集成，构建标准化、规范化的统一访问体系。所有应用系统严格遵循统一登录地址访问机制，深度依托统一用户体系，全面实现对用户身份的精准标识与动态管理。用户登录后，基于精细化的权限管控逻辑，可清晰查看且仅能查看自身权限范围内的所有模块，有效保障系统访问的安全性与有序性，为城市管理智治平台的高效运行奠定坚实的门户集成基础。</w:t>
            </w:r>
          </w:p>
        </w:tc>
      </w:tr>
      <w:tr w14:paraId="24FA8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3200E4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color w:val="000000"/>
                <w:sz w:val="20"/>
                <w:szCs w:val="20"/>
                <w:lang w:val="en-US" w:eastAsia="zh-CN"/>
              </w:rPr>
              <w:t>192</w:t>
            </w:r>
          </w:p>
        </w:tc>
        <w:tc>
          <w:tcPr>
            <w:tcW w:w="4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E810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13C451">
            <w:pPr>
              <w:pStyle w:val="969"/>
              <w:keepNext w:val="0"/>
              <w:keepLines w:val="0"/>
              <w:suppressLineNumbers w:val="0"/>
              <w:spacing w:before="0" w:beforeAutospacing="0" w:after="0" w:afterAutospacing="0"/>
              <w:ind w:left="0" w:right="0" w:firstLine="0" w:firstLineChars="0"/>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u w:val="none"/>
                <w:lang w:bidi="ar"/>
              </w:rPr>
              <w:t>统一用户管理</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317AD29D">
            <w:pPr>
              <w:pStyle w:val="969"/>
              <w:keepNext w:val="0"/>
              <w:keepLines w:val="0"/>
              <w:suppressLineNumbers w:val="0"/>
              <w:spacing w:before="0" w:beforeAutospacing="0" w:after="0" w:afterAutospacing="0"/>
              <w:ind w:left="0" w:right="0" w:firstLine="0" w:firstLineChars="0"/>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u w:val="none"/>
                <w:lang w:bidi="ar"/>
              </w:rPr>
              <w:t>用户体系</w:t>
            </w:r>
          </w:p>
        </w:tc>
        <w:tc>
          <w:tcPr>
            <w:tcW w:w="4234" w:type="dxa"/>
            <w:tcBorders>
              <w:top w:val="single" w:color="auto" w:sz="4" w:space="0"/>
              <w:left w:val="single" w:color="auto" w:sz="4" w:space="0"/>
              <w:bottom w:val="single" w:color="auto" w:sz="4" w:space="0"/>
              <w:right w:val="single" w:color="auto" w:sz="4" w:space="0"/>
            </w:tcBorders>
            <w:shd w:val="clear" w:color="auto" w:fill="auto"/>
            <w:vAlign w:val="center"/>
          </w:tcPr>
          <w:p w14:paraId="69B2F8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紧密围绕浙政钉用户登录认证体系核心框架，通过与浙政钉用户体系的深度对接与协同联动，构建覆盖用户信息、凭证管理、组织机构等信息的全方位同步机制。以统一用户认证作为用户管理及授权的核心服务支撑，将其贯穿于用户管理全流程，为所有应用提供标准化的统一用户认证和授权服务，着力实现用户账号的全生命周期流程化管理，全面提升用户管理的规范性与科学性，为平台的稳定运行提供可靠的用户体系保障。</w:t>
            </w:r>
          </w:p>
        </w:tc>
      </w:tr>
      <w:tr w14:paraId="28510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36ECE6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color w:val="000000"/>
                <w:sz w:val="20"/>
                <w:szCs w:val="20"/>
                <w:lang w:val="en-US" w:eastAsia="zh-CN"/>
              </w:rPr>
              <w:t>193</w:t>
            </w:r>
          </w:p>
        </w:tc>
        <w:tc>
          <w:tcPr>
            <w:tcW w:w="4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C9BE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AD01CC">
            <w:pPr>
              <w:pStyle w:val="969"/>
              <w:keepNext w:val="0"/>
              <w:keepLines w:val="0"/>
              <w:suppressLineNumbers w:val="0"/>
              <w:spacing w:before="0" w:beforeAutospacing="0" w:after="0" w:afterAutospacing="0"/>
              <w:ind w:left="0" w:right="0" w:firstLine="0" w:firstLineChars="0"/>
              <w:rPr>
                <w:rFonts w:hint="eastAsia" w:ascii="宋体" w:hAnsi="宋体" w:eastAsia="宋体" w:cs="宋体"/>
                <w:i w:val="0"/>
                <w:iCs w:val="0"/>
                <w:color w:val="000000"/>
                <w:kern w:val="0"/>
                <w:sz w:val="20"/>
                <w:szCs w:val="20"/>
                <w:u w:val="none"/>
                <w:lang w:val="en-US" w:eastAsia="zh-CN" w:bidi="ar"/>
              </w:rPr>
            </w:pP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59AFFC9B">
            <w:pPr>
              <w:pStyle w:val="969"/>
              <w:keepNext w:val="0"/>
              <w:keepLines w:val="0"/>
              <w:suppressLineNumbers w:val="0"/>
              <w:spacing w:before="0" w:beforeAutospacing="0" w:after="0" w:afterAutospacing="0"/>
              <w:ind w:left="0" w:right="0" w:firstLine="0" w:firstLineChars="0"/>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u w:val="none"/>
                <w:lang w:bidi="ar"/>
              </w:rPr>
              <w:t>机构管理</w:t>
            </w:r>
          </w:p>
        </w:tc>
        <w:tc>
          <w:tcPr>
            <w:tcW w:w="4234" w:type="dxa"/>
            <w:tcBorders>
              <w:top w:val="single" w:color="auto" w:sz="4" w:space="0"/>
              <w:left w:val="single" w:color="auto" w:sz="4" w:space="0"/>
              <w:bottom w:val="single" w:color="auto" w:sz="4" w:space="0"/>
              <w:right w:val="single" w:color="auto" w:sz="4" w:space="0"/>
            </w:tcBorders>
            <w:shd w:val="clear" w:color="auto" w:fill="auto"/>
            <w:vAlign w:val="center"/>
          </w:tcPr>
          <w:p w14:paraId="341508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与浙政钉组织架构的实时同步机制，完整涵盖上级机构、机构简称、机构全称、组织类型关联角色等核心要素。为平台应用子系统提供组织架构全量同步接口。要求子系统厂商严格按照组织架构同步接口要求规范接入，确保组织架构信息的一致性与准确性，实现对组织架构的统一化、标准化管理，为平台各子系统的协同工作提供清晰的组织架构支撑。</w:t>
            </w:r>
          </w:p>
        </w:tc>
      </w:tr>
      <w:tr w14:paraId="627D5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4B114A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color w:val="000000"/>
                <w:sz w:val="20"/>
                <w:szCs w:val="20"/>
                <w:lang w:val="en-US" w:eastAsia="zh-CN"/>
              </w:rPr>
              <w:t>194</w:t>
            </w:r>
          </w:p>
        </w:tc>
        <w:tc>
          <w:tcPr>
            <w:tcW w:w="4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609C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45A386">
            <w:pPr>
              <w:pStyle w:val="969"/>
              <w:keepNext w:val="0"/>
              <w:keepLines w:val="0"/>
              <w:suppressLineNumbers w:val="0"/>
              <w:spacing w:before="0" w:beforeAutospacing="0" w:after="0" w:afterAutospacing="0"/>
              <w:ind w:left="0" w:right="0" w:firstLine="0" w:firstLineChars="0"/>
              <w:rPr>
                <w:rFonts w:hint="eastAsia" w:ascii="宋体" w:hAnsi="宋体" w:eastAsia="宋体" w:cs="宋体"/>
                <w:i w:val="0"/>
                <w:iCs w:val="0"/>
                <w:color w:val="000000"/>
                <w:kern w:val="0"/>
                <w:sz w:val="20"/>
                <w:szCs w:val="20"/>
                <w:u w:val="none"/>
                <w:lang w:val="en-US" w:eastAsia="zh-CN" w:bidi="ar"/>
              </w:rPr>
            </w:pP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7EBDE911">
            <w:pPr>
              <w:pStyle w:val="969"/>
              <w:keepNext w:val="0"/>
              <w:keepLines w:val="0"/>
              <w:suppressLineNumbers w:val="0"/>
              <w:spacing w:before="0" w:beforeAutospacing="0" w:after="0" w:afterAutospacing="0"/>
              <w:ind w:left="0" w:right="0" w:firstLine="0" w:firstLineChars="0"/>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u w:val="none"/>
                <w:lang w:bidi="ar"/>
              </w:rPr>
              <w:t>账号管理</w:t>
            </w:r>
          </w:p>
        </w:tc>
        <w:tc>
          <w:tcPr>
            <w:tcW w:w="4234" w:type="dxa"/>
            <w:tcBorders>
              <w:top w:val="single" w:color="auto" w:sz="4" w:space="0"/>
              <w:left w:val="single" w:color="auto" w:sz="4" w:space="0"/>
              <w:bottom w:val="single" w:color="auto" w:sz="4" w:space="0"/>
              <w:right w:val="single" w:color="auto" w:sz="4" w:space="0"/>
            </w:tcBorders>
            <w:shd w:val="clear" w:color="auto" w:fill="auto"/>
            <w:vAlign w:val="center"/>
          </w:tcPr>
          <w:p w14:paraId="484A76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为平台应用子系统提供用户全量同步接口。子系统厂商根据用户同步接口要求进行接入，实现用户开通、变更、停用、注销的统一管理。</w:t>
            </w:r>
          </w:p>
        </w:tc>
      </w:tr>
      <w:tr w14:paraId="09313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36144C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color w:val="000000"/>
                <w:sz w:val="20"/>
                <w:szCs w:val="20"/>
                <w:lang w:val="en-US" w:eastAsia="zh-CN"/>
              </w:rPr>
              <w:t>195</w:t>
            </w:r>
          </w:p>
        </w:tc>
        <w:tc>
          <w:tcPr>
            <w:tcW w:w="4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DC26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9C83C2">
            <w:pPr>
              <w:pStyle w:val="969"/>
              <w:keepNext w:val="0"/>
              <w:keepLines w:val="0"/>
              <w:suppressLineNumbers w:val="0"/>
              <w:spacing w:before="0" w:beforeAutospacing="0" w:after="0" w:afterAutospacing="0"/>
              <w:ind w:left="0" w:right="0" w:firstLine="0" w:firstLineChars="0"/>
              <w:rPr>
                <w:rFonts w:hint="eastAsia" w:ascii="宋体" w:hAnsi="宋体" w:eastAsia="宋体" w:cs="宋体"/>
                <w:i w:val="0"/>
                <w:iCs w:val="0"/>
                <w:color w:val="000000"/>
                <w:kern w:val="0"/>
                <w:sz w:val="20"/>
                <w:szCs w:val="20"/>
                <w:u w:val="none"/>
                <w:lang w:val="en-US" w:eastAsia="zh-CN" w:bidi="ar"/>
              </w:rPr>
            </w:pP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78154564">
            <w:pPr>
              <w:pStyle w:val="969"/>
              <w:keepNext w:val="0"/>
              <w:keepLines w:val="0"/>
              <w:suppressLineNumbers w:val="0"/>
              <w:spacing w:before="0" w:beforeAutospacing="0" w:after="0" w:afterAutospacing="0"/>
              <w:ind w:left="0" w:right="0" w:firstLine="0" w:firstLineChars="0"/>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u w:val="none"/>
                <w:lang w:bidi="ar"/>
              </w:rPr>
              <w:t>身份认证</w:t>
            </w:r>
          </w:p>
        </w:tc>
        <w:tc>
          <w:tcPr>
            <w:tcW w:w="4234" w:type="dxa"/>
            <w:tcBorders>
              <w:top w:val="single" w:color="auto" w:sz="4" w:space="0"/>
              <w:left w:val="single" w:color="auto" w:sz="4" w:space="0"/>
              <w:bottom w:val="single" w:color="auto" w:sz="4" w:space="0"/>
              <w:right w:val="single" w:color="auto" w:sz="4" w:space="0"/>
            </w:tcBorders>
            <w:shd w:val="clear" w:color="auto" w:fill="auto"/>
            <w:vAlign w:val="center"/>
          </w:tcPr>
          <w:p w14:paraId="216F42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采用token 技术对登录用户进行精准身份认证，提供用户访问权限配置功能，可根据不同用户角色与职责需求，精细化设置访问权限。全面支持对登录系统的账号进行严格的身份鉴别，通过单点登录机制，大幅提升用户操作的便捷性与系统访问的安全性，为平台的智能化管理提供可靠的身份认证支撑。</w:t>
            </w:r>
          </w:p>
        </w:tc>
      </w:tr>
      <w:tr w14:paraId="3610E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630293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color w:val="000000"/>
                <w:sz w:val="20"/>
                <w:szCs w:val="20"/>
                <w:lang w:val="en-US" w:eastAsia="zh-CN"/>
              </w:rPr>
              <w:t>196</w:t>
            </w:r>
          </w:p>
        </w:tc>
        <w:tc>
          <w:tcPr>
            <w:tcW w:w="4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6729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7B8309D7">
            <w:pPr>
              <w:pStyle w:val="969"/>
              <w:keepNext w:val="0"/>
              <w:keepLines w:val="0"/>
              <w:suppressLineNumbers w:val="0"/>
              <w:spacing w:before="0" w:beforeAutospacing="0" w:after="0" w:afterAutospacing="0"/>
              <w:ind w:left="0" w:right="0" w:firstLine="0" w:firstLineChars="0"/>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u w:val="none"/>
                <w:lang w:bidi="ar"/>
              </w:rPr>
              <w:t>统一授权管理</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7DC80035">
            <w:pPr>
              <w:pStyle w:val="969"/>
              <w:keepNext w:val="0"/>
              <w:keepLines w:val="0"/>
              <w:suppressLineNumbers w:val="0"/>
              <w:spacing w:before="0" w:beforeAutospacing="0" w:after="0" w:afterAutospacing="0"/>
              <w:ind w:left="0" w:right="0" w:firstLine="0" w:firstLineChars="0"/>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u w:val="none"/>
                <w:lang w:bidi="ar"/>
              </w:rPr>
              <w:t>系统授权</w:t>
            </w:r>
          </w:p>
        </w:tc>
        <w:tc>
          <w:tcPr>
            <w:tcW w:w="4234" w:type="dxa"/>
            <w:tcBorders>
              <w:top w:val="single" w:color="auto" w:sz="4" w:space="0"/>
              <w:left w:val="single" w:color="auto" w:sz="4" w:space="0"/>
              <w:bottom w:val="single" w:color="auto" w:sz="4" w:space="0"/>
              <w:right w:val="single" w:color="auto" w:sz="4" w:space="0"/>
            </w:tcBorders>
            <w:shd w:val="clear" w:color="auto" w:fill="auto"/>
            <w:vAlign w:val="center"/>
          </w:tcPr>
          <w:p w14:paraId="564BB3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从平台整体管理视角出发，对接入平台的应用子系统实施统一的应用授权管理机制。通过规范化的授权流程，使被授权用户能够在统一门户页面便捷查看相应应用，实现对应用访问权限的集中化、精细化管理，确保平台应用资源的合理分配与安全使用，为平台的高效协同运行提供有力的授权管理保障。</w:t>
            </w:r>
          </w:p>
        </w:tc>
      </w:tr>
      <w:tr w14:paraId="694B6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1B1DD7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color w:val="000000"/>
                <w:sz w:val="20"/>
                <w:szCs w:val="20"/>
                <w:lang w:val="en-US" w:eastAsia="zh-CN"/>
              </w:rPr>
              <w:t>197</w:t>
            </w:r>
          </w:p>
        </w:tc>
        <w:tc>
          <w:tcPr>
            <w:tcW w:w="4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763D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51A6F4">
            <w:pPr>
              <w:pStyle w:val="969"/>
              <w:keepNext w:val="0"/>
              <w:keepLines w:val="0"/>
              <w:suppressLineNumbers w:val="0"/>
              <w:spacing w:before="0" w:beforeAutospacing="0" w:after="0" w:afterAutospacing="0"/>
              <w:ind w:left="0" w:right="0" w:firstLine="0" w:firstLineChars="0"/>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u w:val="none"/>
                <w:lang w:bidi="ar"/>
              </w:rPr>
              <w:t>统一接入管理</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42354CB5">
            <w:pPr>
              <w:pStyle w:val="969"/>
              <w:keepNext w:val="0"/>
              <w:keepLines w:val="0"/>
              <w:suppressLineNumbers w:val="0"/>
              <w:spacing w:before="0" w:beforeAutospacing="0" w:after="0" w:afterAutospacing="0"/>
              <w:ind w:left="0" w:right="0" w:firstLine="0" w:firstLineChars="0"/>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u w:val="none"/>
                <w:lang w:bidi="ar"/>
              </w:rPr>
              <w:t>数据接口</w:t>
            </w:r>
          </w:p>
        </w:tc>
        <w:tc>
          <w:tcPr>
            <w:tcW w:w="4234" w:type="dxa"/>
            <w:tcBorders>
              <w:top w:val="single" w:color="auto" w:sz="4" w:space="0"/>
              <w:left w:val="single" w:color="auto" w:sz="4" w:space="0"/>
              <w:bottom w:val="single" w:color="auto" w:sz="4" w:space="0"/>
              <w:right w:val="single" w:color="auto" w:sz="4" w:space="0"/>
            </w:tcBorders>
            <w:shd w:val="clear" w:color="auto" w:fill="auto"/>
            <w:vAlign w:val="center"/>
          </w:tcPr>
          <w:p w14:paraId="4F1014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制定统一的数据命名规范、格式和交换协议，设计接口的URL路径、请求方法、请求参数和响应格式，并制定接口的错误码和错误信息处理机制，方便开发者或其他接口调用者查阅。</w:t>
            </w:r>
          </w:p>
        </w:tc>
      </w:tr>
      <w:tr w14:paraId="07F10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2742A3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color w:val="000000"/>
                <w:sz w:val="20"/>
                <w:szCs w:val="20"/>
                <w:lang w:val="en-US" w:eastAsia="zh-CN"/>
              </w:rPr>
              <w:t>198</w:t>
            </w:r>
          </w:p>
        </w:tc>
        <w:tc>
          <w:tcPr>
            <w:tcW w:w="4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E1A5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CC511C">
            <w:pPr>
              <w:pStyle w:val="969"/>
              <w:keepNext w:val="0"/>
              <w:keepLines w:val="0"/>
              <w:suppressLineNumbers w:val="0"/>
              <w:spacing w:before="0" w:beforeAutospacing="0" w:after="0" w:afterAutospacing="0"/>
              <w:ind w:left="0" w:right="0" w:firstLine="0" w:firstLineChars="0"/>
              <w:rPr>
                <w:rFonts w:hint="eastAsia" w:ascii="宋体" w:hAnsi="宋体" w:eastAsia="宋体" w:cs="宋体"/>
                <w:i w:val="0"/>
                <w:iCs w:val="0"/>
                <w:color w:val="000000"/>
                <w:kern w:val="0"/>
                <w:sz w:val="20"/>
                <w:szCs w:val="20"/>
                <w:u w:val="none"/>
                <w:lang w:val="en-US" w:eastAsia="zh-CN" w:bidi="ar"/>
              </w:rPr>
            </w:pP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54AEADD0">
            <w:pPr>
              <w:pStyle w:val="969"/>
              <w:keepNext w:val="0"/>
              <w:keepLines w:val="0"/>
              <w:suppressLineNumbers w:val="0"/>
              <w:spacing w:before="0" w:beforeAutospacing="0" w:after="0" w:afterAutospacing="0"/>
              <w:ind w:left="0" w:right="0" w:firstLine="0" w:firstLineChars="0"/>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u w:val="none"/>
                <w:lang w:val="en-US" w:eastAsia="zh-CN" w:bidi="ar"/>
              </w:rPr>
              <w:t>智治综合</w:t>
            </w:r>
            <w:r>
              <w:rPr>
                <w:rFonts w:hint="eastAsia" w:ascii="宋体" w:hAnsi="宋体" w:eastAsia="宋体" w:cs="宋体"/>
                <w:color w:val="000000"/>
                <w:kern w:val="0"/>
                <w:sz w:val="20"/>
                <w:szCs w:val="20"/>
                <w:u w:val="none"/>
                <w:lang w:bidi="ar"/>
              </w:rPr>
              <w:t>展示</w:t>
            </w:r>
          </w:p>
        </w:tc>
        <w:tc>
          <w:tcPr>
            <w:tcW w:w="4234" w:type="dxa"/>
            <w:tcBorders>
              <w:top w:val="single" w:color="auto" w:sz="4" w:space="0"/>
              <w:left w:val="single" w:color="auto" w:sz="4" w:space="0"/>
              <w:bottom w:val="single" w:color="auto" w:sz="4" w:space="0"/>
              <w:right w:val="single" w:color="auto" w:sz="4" w:space="0"/>
            </w:tcBorders>
            <w:shd w:val="clear" w:color="auto" w:fill="auto"/>
            <w:vAlign w:val="center"/>
          </w:tcPr>
          <w:p w14:paraId="7D87EC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度聚焦城市管理领域及应急保障领域，将模块化信息展示与智治平台建设紧密结合，充分彰显与各子系统的协同联动效应，强化与各子系统的深度关联性。全面梳理各应用子系统的关键数据，以用户体系和数据统一管理为核心，构建高效的数据整合与交换机制，实现与各应用子系统之间业务数据的实时传递。在此基础上，深入开展智治分析，通过对数据统计、数据整合、关键指标等内容的可视化呈现与分析，为城市管理与应急保障提供直观、精准的数据支撑，实现"一屏知全局"的智治大脑，助力提升城市治理的智能化、科学化水平。</w:t>
            </w:r>
          </w:p>
        </w:tc>
      </w:tr>
    </w:tbl>
    <w:p w14:paraId="0C6DF608">
      <w:pPr>
        <w:bidi w:val="0"/>
        <w:rPr>
          <w:rFonts w:hint="eastAsia" w:ascii="宋体" w:hAnsi="宋体" w:cs="宋体"/>
          <w:sz w:val="20"/>
          <w:szCs w:val="20"/>
        </w:rPr>
      </w:pPr>
    </w:p>
    <w:p w14:paraId="581840F9">
      <w:pPr>
        <w:spacing w:line="360" w:lineRule="auto"/>
        <w:ind w:firstLine="402" w:firstLineChars="200"/>
        <w:outlineLvl w:val="0"/>
        <w:rPr>
          <w:rFonts w:hint="eastAsia" w:ascii="宋体" w:hAnsi="宋体" w:cs="宋体"/>
          <w:b/>
          <w:bCs/>
          <w:color w:val="auto"/>
          <w:sz w:val="20"/>
          <w:szCs w:val="20"/>
          <w:highlight w:val="none"/>
        </w:rPr>
      </w:pPr>
      <w:r>
        <w:rPr>
          <w:rFonts w:hint="eastAsia" w:ascii="宋体" w:hAnsi="宋体" w:cs="宋体"/>
          <w:b/>
          <w:bCs/>
          <w:color w:val="auto"/>
          <w:sz w:val="20"/>
          <w:szCs w:val="20"/>
          <w:highlight w:val="none"/>
        </w:rPr>
        <w:t>三、</w:t>
      </w:r>
      <w:r>
        <w:rPr>
          <w:rFonts w:hint="default" w:ascii="宋体" w:hAnsi="宋体" w:cs="宋体"/>
          <w:b/>
          <w:bCs/>
          <w:color w:val="auto"/>
          <w:sz w:val="20"/>
          <w:szCs w:val="20"/>
          <w:highlight w:val="none"/>
        </w:rPr>
        <w:t>项目服务</w:t>
      </w:r>
      <w:r>
        <w:rPr>
          <w:rFonts w:hint="eastAsia" w:ascii="宋体" w:hAnsi="宋体" w:cs="宋体"/>
          <w:b/>
          <w:bCs/>
          <w:color w:val="auto"/>
          <w:sz w:val="20"/>
          <w:szCs w:val="20"/>
          <w:highlight w:val="none"/>
        </w:rPr>
        <w:t>周期及付款</w:t>
      </w:r>
    </w:p>
    <w:p w14:paraId="46D5FB19">
      <w:pPr>
        <w:spacing w:line="360" w:lineRule="auto"/>
        <w:ind w:firstLine="400" w:firstLineChars="200"/>
        <w:rPr>
          <w:rFonts w:hint="eastAsia" w:ascii="宋体" w:hAnsi="宋体" w:cs="宋体"/>
          <w:color w:val="auto"/>
          <w:sz w:val="20"/>
          <w:szCs w:val="20"/>
          <w:highlight w:val="none"/>
        </w:rPr>
      </w:pPr>
      <w:r>
        <w:rPr>
          <w:rFonts w:hint="eastAsia" w:ascii="宋体" w:hAnsi="宋体" w:cs="宋体"/>
          <w:color w:val="auto"/>
          <w:sz w:val="20"/>
          <w:szCs w:val="20"/>
          <w:highlight w:val="none"/>
        </w:rPr>
        <w:t>（1）</w:t>
      </w:r>
      <w:r>
        <w:rPr>
          <w:rFonts w:hint="default" w:ascii="宋体" w:hAnsi="宋体" w:cs="宋体"/>
          <w:color w:val="auto"/>
          <w:sz w:val="20"/>
          <w:szCs w:val="20"/>
          <w:highlight w:val="none"/>
        </w:rPr>
        <w:t>服务周期</w:t>
      </w:r>
      <w:r>
        <w:rPr>
          <w:rFonts w:hint="eastAsia" w:ascii="宋体" w:hAnsi="宋体" w:cs="宋体"/>
          <w:color w:val="auto"/>
          <w:sz w:val="20"/>
          <w:szCs w:val="20"/>
          <w:highlight w:val="none"/>
        </w:rPr>
        <w:t>：自签订服务合同后，</w:t>
      </w:r>
      <w:r>
        <w:rPr>
          <w:rFonts w:hint="default" w:ascii="宋体" w:hAnsi="宋体" w:cs="宋体"/>
          <w:color w:val="auto"/>
          <w:sz w:val="20"/>
          <w:szCs w:val="20"/>
          <w:highlight w:val="none"/>
        </w:rPr>
        <w:t>在</w:t>
      </w:r>
      <w:r>
        <w:rPr>
          <w:rFonts w:hint="eastAsia" w:ascii="宋体" w:hAnsi="宋体" w:cs="宋体"/>
          <w:color w:val="auto"/>
          <w:sz w:val="20"/>
          <w:szCs w:val="20"/>
          <w:highlight w:val="none"/>
        </w:rPr>
        <w:t>2025年</w:t>
      </w:r>
      <w:r>
        <w:rPr>
          <w:rFonts w:hint="eastAsia" w:ascii="宋体" w:hAnsi="宋体" w:cs="宋体"/>
          <w:color w:val="auto"/>
          <w:sz w:val="20"/>
          <w:szCs w:val="20"/>
          <w:highlight w:val="none"/>
          <w:lang w:val="en-US" w:eastAsia="zh-CN"/>
        </w:rPr>
        <w:t>9</w:t>
      </w:r>
      <w:r>
        <w:rPr>
          <w:rFonts w:hint="eastAsia" w:ascii="宋体" w:hAnsi="宋体" w:cs="宋体"/>
          <w:color w:val="auto"/>
          <w:sz w:val="20"/>
          <w:szCs w:val="20"/>
          <w:highlight w:val="none"/>
        </w:rPr>
        <w:t>月3</w:t>
      </w:r>
      <w:r>
        <w:rPr>
          <w:rFonts w:hint="eastAsia" w:ascii="宋体" w:hAnsi="宋体" w:cs="宋体"/>
          <w:color w:val="auto"/>
          <w:sz w:val="20"/>
          <w:szCs w:val="20"/>
          <w:highlight w:val="none"/>
          <w:lang w:val="en-US" w:eastAsia="zh-CN"/>
        </w:rPr>
        <w:t>0</w:t>
      </w:r>
      <w:r>
        <w:rPr>
          <w:rFonts w:hint="eastAsia" w:ascii="宋体" w:hAnsi="宋体" w:cs="宋体"/>
          <w:color w:val="auto"/>
          <w:sz w:val="20"/>
          <w:szCs w:val="20"/>
          <w:highlight w:val="none"/>
        </w:rPr>
        <w:t>日前完成项目</w:t>
      </w:r>
      <w:r>
        <w:rPr>
          <w:rFonts w:hint="eastAsia" w:ascii="宋体" w:hAnsi="宋体" w:cs="宋体"/>
          <w:color w:val="auto"/>
          <w:sz w:val="20"/>
          <w:szCs w:val="20"/>
          <w:highlight w:val="none"/>
          <w:lang w:val="en-US" w:eastAsia="zh-CN"/>
        </w:rPr>
        <w:t>初验</w:t>
      </w: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lang w:val="en-US" w:eastAsia="zh-CN"/>
        </w:rPr>
        <w:t>试运行不少于30日，并于</w:t>
      </w:r>
      <w:r>
        <w:rPr>
          <w:rFonts w:hint="eastAsia" w:ascii="宋体" w:hAnsi="宋体" w:cs="宋体"/>
          <w:color w:val="auto"/>
          <w:sz w:val="20"/>
          <w:szCs w:val="20"/>
          <w:highlight w:val="none"/>
        </w:rPr>
        <w:t>2025年10月31日前完成项目终验。</w:t>
      </w:r>
    </w:p>
    <w:p w14:paraId="6D8F00B7">
      <w:pPr>
        <w:autoSpaceDE w:val="0"/>
        <w:autoSpaceDN w:val="0"/>
        <w:spacing w:line="360" w:lineRule="auto"/>
        <w:ind w:firstLine="400" w:firstLineChars="200"/>
        <w:rPr>
          <w:rFonts w:hint="eastAsia" w:ascii="宋体" w:hAnsi="宋体" w:cs="宋体"/>
          <w:snapToGrid w:val="0"/>
          <w:color w:val="auto"/>
          <w:kern w:val="0"/>
          <w:sz w:val="20"/>
          <w:szCs w:val="20"/>
          <w:highlight w:val="green"/>
        </w:rPr>
      </w:pPr>
      <w:r>
        <w:rPr>
          <w:rFonts w:hint="eastAsia" w:ascii="宋体" w:hAnsi="宋体" w:cs="宋体"/>
          <w:color w:val="auto"/>
          <w:sz w:val="20"/>
          <w:szCs w:val="20"/>
          <w:highlight w:val="none"/>
        </w:rPr>
        <w:t>（2）付款方式：</w:t>
      </w:r>
      <w:r>
        <w:rPr>
          <w:rFonts w:hint="eastAsia" w:ascii="宋体" w:hAnsi="宋体" w:cs="宋体"/>
          <w:snapToGrid/>
          <w:color w:val="auto"/>
          <w:kern w:val="2"/>
          <w:sz w:val="20"/>
          <w:szCs w:val="20"/>
          <w:highlight w:val="none"/>
        </w:rPr>
        <w:t>合同签订且本项目具备</w:t>
      </w:r>
      <w:r>
        <w:rPr>
          <w:rFonts w:hint="eastAsia" w:ascii="宋体" w:hAnsi="宋体" w:cs="宋体"/>
          <w:snapToGrid/>
          <w:color w:val="auto"/>
          <w:kern w:val="2"/>
          <w:sz w:val="20"/>
          <w:szCs w:val="20"/>
          <w:highlight w:val="none"/>
          <w:lang w:val="en-US" w:eastAsia="zh-CN"/>
        </w:rPr>
        <w:t>支付</w:t>
      </w:r>
      <w:r>
        <w:rPr>
          <w:rFonts w:hint="eastAsia" w:ascii="宋体" w:hAnsi="宋体" w:cs="宋体"/>
          <w:snapToGrid/>
          <w:color w:val="auto"/>
          <w:kern w:val="2"/>
          <w:sz w:val="20"/>
          <w:szCs w:val="20"/>
          <w:highlight w:val="none"/>
        </w:rPr>
        <w:t>条件后10个工作日内，采购人向供应商支付合同总金额的40%</w:t>
      </w:r>
      <w:r>
        <w:rPr>
          <w:rFonts w:hint="eastAsia" w:ascii="宋体" w:hAnsi="宋体" w:cs="宋体"/>
          <w:snapToGrid/>
          <w:color w:val="auto"/>
          <w:kern w:val="2"/>
          <w:sz w:val="20"/>
          <w:szCs w:val="20"/>
          <w:highlight w:val="none"/>
          <w:lang w:eastAsia="zh-CN"/>
        </w:rPr>
        <w:t>；</w:t>
      </w:r>
      <w:r>
        <w:rPr>
          <w:rFonts w:hint="eastAsia" w:ascii="宋体" w:hAnsi="宋体" w:cs="宋体"/>
          <w:snapToGrid/>
          <w:color w:val="auto"/>
          <w:kern w:val="2"/>
          <w:sz w:val="20"/>
          <w:szCs w:val="20"/>
          <w:highlight w:val="none"/>
        </w:rPr>
        <w:t>系统功能开发完成，</w:t>
      </w:r>
      <w:r>
        <w:rPr>
          <w:rFonts w:hint="default" w:ascii="宋体" w:hAnsi="宋体" w:cs="宋体"/>
          <w:snapToGrid/>
          <w:color w:val="auto"/>
          <w:kern w:val="2"/>
          <w:sz w:val="20"/>
          <w:szCs w:val="20"/>
          <w:highlight w:val="none"/>
        </w:rPr>
        <w:t>且</w:t>
      </w:r>
      <w:r>
        <w:rPr>
          <w:rFonts w:hint="eastAsia" w:ascii="宋体" w:hAnsi="宋体" w:cs="宋体"/>
          <w:snapToGrid/>
          <w:color w:val="auto"/>
          <w:kern w:val="2"/>
          <w:sz w:val="20"/>
          <w:szCs w:val="20"/>
          <w:highlight w:val="none"/>
        </w:rPr>
        <w:t>项目通过初验后</w:t>
      </w:r>
      <w:r>
        <w:rPr>
          <w:rFonts w:hint="eastAsia" w:ascii="宋体" w:hAnsi="宋体" w:cs="宋体"/>
          <w:snapToGrid/>
          <w:color w:val="auto"/>
          <w:kern w:val="2"/>
          <w:sz w:val="20"/>
          <w:szCs w:val="20"/>
          <w:highlight w:val="none"/>
          <w:lang w:eastAsia="zh-CN"/>
        </w:rPr>
        <w:t>；</w:t>
      </w:r>
      <w:r>
        <w:rPr>
          <w:rFonts w:hint="eastAsia" w:ascii="宋体" w:hAnsi="宋体" w:cs="宋体"/>
          <w:snapToGrid/>
          <w:color w:val="auto"/>
          <w:kern w:val="2"/>
          <w:sz w:val="20"/>
          <w:szCs w:val="20"/>
          <w:highlight w:val="none"/>
        </w:rPr>
        <w:t>供应商提供发票，10个工作日内，采购人向供应商支付合同总金额的30%</w:t>
      </w:r>
      <w:r>
        <w:rPr>
          <w:rFonts w:hint="eastAsia" w:ascii="宋体" w:hAnsi="宋体" w:cs="宋体"/>
          <w:snapToGrid/>
          <w:color w:val="auto"/>
          <w:kern w:val="2"/>
          <w:sz w:val="20"/>
          <w:szCs w:val="20"/>
          <w:highlight w:val="none"/>
          <w:lang w:eastAsia="zh-CN"/>
        </w:rPr>
        <w:t>；</w:t>
      </w:r>
      <w:r>
        <w:rPr>
          <w:rFonts w:hint="eastAsia" w:ascii="宋体" w:hAnsi="宋体" w:cs="宋体"/>
          <w:snapToGrid/>
          <w:color w:val="auto"/>
          <w:kern w:val="2"/>
          <w:sz w:val="20"/>
          <w:szCs w:val="20"/>
          <w:highlight w:val="none"/>
        </w:rPr>
        <w:t>项目通过终验且具备支付条件后10个工作日内采购人支付合同总金额的30%，每次付款前供应商须提供对应金额</w:t>
      </w:r>
      <w:r>
        <w:rPr>
          <w:rFonts w:hint="default" w:ascii="宋体" w:hAnsi="宋体" w:cs="宋体"/>
          <w:snapToGrid/>
          <w:color w:val="auto"/>
          <w:kern w:val="2"/>
          <w:sz w:val="20"/>
          <w:szCs w:val="20"/>
          <w:highlight w:val="none"/>
        </w:rPr>
        <w:t>正规</w:t>
      </w:r>
      <w:r>
        <w:rPr>
          <w:rFonts w:hint="eastAsia" w:ascii="宋体" w:hAnsi="宋体" w:cs="宋体"/>
          <w:snapToGrid/>
          <w:color w:val="auto"/>
          <w:kern w:val="2"/>
          <w:sz w:val="20"/>
          <w:szCs w:val="20"/>
          <w:highlight w:val="none"/>
        </w:rPr>
        <w:t>发票。</w:t>
      </w:r>
    </w:p>
    <w:p w14:paraId="06805A02">
      <w:pPr>
        <w:spacing w:line="360" w:lineRule="auto"/>
        <w:ind w:firstLine="402" w:firstLineChars="200"/>
        <w:rPr>
          <w:rFonts w:hint="eastAsia" w:ascii="宋体" w:hAnsi="宋体" w:cs="宋体"/>
          <w:color w:val="auto"/>
          <w:sz w:val="20"/>
          <w:szCs w:val="20"/>
          <w:highlight w:val="none"/>
        </w:rPr>
      </w:pPr>
      <w:r>
        <w:rPr>
          <w:rFonts w:hint="eastAsia" w:ascii="宋体" w:hAnsi="宋体" w:cs="宋体"/>
          <w:b/>
          <w:bCs/>
          <w:color w:val="auto"/>
          <w:sz w:val="20"/>
          <w:szCs w:val="20"/>
          <w:highlight w:val="none"/>
          <w:lang w:bidi="ar"/>
        </w:rPr>
        <w:t>★</w:t>
      </w:r>
      <w:r>
        <w:rPr>
          <w:rFonts w:hint="eastAsia" w:ascii="宋体" w:hAnsi="宋体" w:cs="宋体"/>
          <w:color w:val="auto"/>
          <w:sz w:val="20"/>
          <w:szCs w:val="20"/>
          <w:highlight w:val="none"/>
        </w:rPr>
        <w:t>（3）维护期：提供</w:t>
      </w:r>
      <w:r>
        <w:rPr>
          <w:rFonts w:hint="eastAsia" w:ascii="宋体" w:hAnsi="宋体" w:cs="宋体"/>
          <w:color w:val="auto"/>
          <w:sz w:val="20"/>
          <w:szCs w:val="20"/>
          <w:highlight w:val="none"/>
          <w:lang w:eastAsia="zh-CN"/>
        </w:rPr>
        <w:t>2</w:t>
      </w:r>
      <w:r>
        <w:rPr>
          <w:rFonts w:hint="eastAsia" w:ascii="宋体" w:hAnsi="宋体" w:cs="宋体"/>
          <w:color w:val="auto"/>
          <w:sz w:val="20"/>
          <w:szCs w:val="20"/>
          <w:highlight w:val="none"/>
        </w:rPr>
        <w:t>年</w:t>
      </w:r>
      <w:r>
        <w:rPr>
          <w:rFonts w:hint="eastAsia" w:ascii="宋体" w:hAnsi="宋体" w:cs="宋体"/>
          <w:color w:val="auto"/>
          <w:sz w:val="20"/>
          <w:szCs w:val="20"/>
          <w:highlight w:val="none"/>
          <w:lang w:eastAsia="zh-CN"/>
        </w:rPr>
        <w:t>的</w:t>
      </w:r>
      <w:r>
        <w:rPr>
          <w:rFonts w:hint="eastAsia" w:ascii="宋体" w:hAnsi="宋体" w:cs="宋体"/>
          <w:color w:val="auto"/>
          <w:sz w:val="20"/>
          <w:szCs w:val="20"/>
          <w:highlight w:val="none"/>
          <w:lang w:val="en-US" w:eastAsia="zh-CN"/>
        </w:rPr>
        <w:t>免费</w:t>
      </w:r>
      <w:r>
        <w:rPr>
          <w:rFonts w:hint="eastAsia" w:ascii="宋体" w:hAnsi="宋体" w:cs="宋体"/>
          <w:color w:val="auto"/>
          <w:sz w:val="20"/>
          <w:szCs w:val="20"/>
          <w:highlight w:val="none"/>
        </w:rPr>
        <w:t>维护服务，维护期自通过终验之日</w:t>
      </w:r>
      <w:r>
        <w:rPr>
          <w:rFonts w:hint="default" w:ascii="宋体" w:hAnsi="宋体" w:cs="宋体"/>
          <w:color w:val="auto"/>
          <w:sz w:val="20"/>
          <w:szCs w:val="20"/>
          <w:highlight w:val="none"/>
        </w:rPr>
        <w:t>起算</w:t>
      </w:r>
      <w:r>
        <w:rPr>
          <w:rFonts w:hint="eastAsia" w:ascii="宋体" w:hAnsi="宋体" w:cs="宋体"/>
          <w:color w:val="auto"/>
          <w:sz w:val="20"/>
          <w:szCs w:val="20"/>
          <w:highlight w:val="none"/>
          <w:lang w:eastAsia="zh-CN"/>
        </w:rPr>
        <w:t>。</w:t>
      </w:r>
    </w:p>
    <w:p w14:paraId="55BF6C74">
      <w:pPr>
        <w:pStyle w:val="5"/>
        <w:numPr>
          <w:ilvl w:val="0"/>
          <w:numId w:val="0"/>
        </w:numPr>
        <w:tabs>
          <w:tab w:val="left" w:pos="-839"/>
          <w:tab w:val="left" w:pos="720"/>
          <w:tab w:val="clear" w:pos="900"/>
        </w:tabs>
        <w:ind w:left="0" w:firstLine="402" w:firstLineChars="20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四、</w:t>
      </w:r>
      <w:r>
        <w:rPr>
          <w:rFonts w:hint="eastAsia" w:ascii="宋体" w:hAnsi="宋体" w:eastAsia="宋体" w:cs="宋体"/>
          <w:color w:val="auto"/>
          <w:sz w:val="20"/>
          <w:szCs w:val="20"/>
          <w:highlight w:val="none"/>
          <w:lang w:val="en-US" w:eastAsia="zh-CN"/>
        </w:rPr>
        <w:t>数据与网络安全等</w:t>
      </w:r>
      <w:r>
        <w:rPr>
          <w:rFonts w:hint="eastAsia" w:ascii="宋体" w:hAnsi="宋体" w:eastAsia="宋体" w:cs="宋体"/>
          <w:color w:val="auto"/>
          <w:sz w:val="20"/>
          <w:szCs w:val="20"/>
          <w:highlight w:val="none"/>
        </w:rPr>
        <w:t>需求</w:t>
      </w:r>
    </w:p>
    <w:p w14:paraId="1C236598">
      <w:pPr>
        <w:numPr>
          <w:ilvl w:val="-1"/>
          <w:numId w:val="0"/>
        </w:numPr>
        <w:snapToGrid/>
        <w:spacing w:line="360" w:lineRule="auto"/>
        <w:ind w:left="0" w:leftChars="0" w:firstLine="400" w:firstLineChars="200"/>
        <w:contextualSpacing w:val="0"/>
        <w:rPr>
          <w:rFonts w:hint="eastAsia" w:ascii="宋体" w:hAnsi="宋体" w:cs="宋体"/>
          <w:color w:val="auto"/>
          <w:sz w:val="20"/>
          <w:szCs w:val="20"/>
          <w:highlight w:val="none"/>
        </w:rPr>
      </w:pPr>
      <w:r>
        <w:rPr>
          <w:rFonts w:hint="eastAsia" w:ascii="宋体" w:hAnsi="宋体" w:eastAsia="宋体" w:cs="宋体"/>
          <w:color w:val="auto"/>
          <w:sz w:val="20"/>
          <w:szCs w:val="20"/>
          <w:highlight w:val="none"/>
          <w:lang w:val="en-US" w:eastAsia="zh-CN"/>
        </w:rPr>
        <w:t>（</w:t>
      </w:r>
      <w:r>
        <w:rPr>
          <w:rFonts w:hint="eastAsia" w:ascii="宋体" w:hAnsi="宋体" w:cs="宋体"/>
          <w:color w:val="auto"/>
          <w:sz w:val="20"/>
          <w:szCs w:val="20"/>
          <w:highlight w:val="none"/>
          <w:lang w:val="en-US" w:eastAsia="zh-CN"/>
        </w:rPr>
        <w:t>1</w:t>
      </w:r>
      <w:r>
        <w:rPr>
          <w:rFonts w:hint="eastAsia" w:ascii="宋体" w:hAnsi="宋体" w:eastAsia="宋体" w:cs="宋体"/>
          <w:color w:val="auto"/>
          <w:sz w:val="20"/>
          <w:szCs w:val="20"/>
          <w:highlight w:val="none"/>
          <w:lang w:val="en-US" w:eastAsia="zh-CN"/>
        </w:rPr>
        <w:t>）</w:t>
      </w:r>
      <w:r>
        <w:rPr>
          <w:rFonts w:hint="eastAsia" w:ascii="宋体" w:hAnsi="宋体" w:cs="宋体"/>
          <w:color w:val="auto"/>
          <w:sz w:val="20"/>
          <w:szCs w:val="20"/>
          <w:highlight w:val="none"/>
          <w:lang w:val="en-US" w:eastAsia="zh-CN"/>
        </w:rPr>
        <w:t>服务器、数据库及中间件等需求</w:t>
      </w:r>
    </w:p>
    <w:p w14:paraId="42FDF40C">
      <w:pPr>
        <w:snapToGrid/>
        <w:spacing w:line="360" w:lineRule="auto"/>
        <w:ind w:firstLine="402" w:firstLineChars="200"/>
        <w:contextualSpacing w:val="0"/>
        <w:rPr>
          <w:rFonts w:hint="eastAsia" w:ascii="宋体" w:hAnsi="宋体" w:eastAsia="宋体" w:cs="宋体"/>
          <w:color w:val="auto"/>
          <w:sz w:val="20"/>
          <w:szCs w:val="20"/>
          <w:highlight w:val="none"/>
          <w:lang w:val="en-US" w:eastAsia="zh-CN"/>
        </w:rPr>
      </w:pPr>
      <w:r>
        <w:rPr>
          <w:rFonts w:hint="eastAsia" w:ascii="宋体" w:hAnsi="宋体" w:cs="宋体"/>
          <w:b/>
          <w:bCs/>
          <w:color w:val="auto"/>
          <w:sz w:val="20"/>
          <w:szCs w:val="20"/>
          <w:highlight w:val="none"/>
        </w:rPr>
        <w:t>▲</w:t>
      </w:r>
      <w:r>
        <w:rPr>
          <w:rFonts w:hint="eastAsia" w:ascii="宋体" w:hAnsi="宋体" w:cs="宋体"/>
          <w:color w:val="auto"/>
          <w:sz w:val="20"/>
          <w:szCs w:val="20"/>
          <w:highlight w:val="none"/>
          <w:lang w:val="en-US" w:eastAsia="zh-CN"/>
        </w:rPr>
        <w:t>一是本</w:t>
      </w:r>
      <w:r>
        <w:rPr>
          <w:rFonts w:hint="eastAsia" w:ascii="宋体" w:hAnsi="宋体" w:eastAsia="宋体" w:cs="宋体"/>
          <w:color w:val="auto"/>
          <w:sz w:val="20"/>
          <w:szCs w:val="20"/>
          <w:highlight w:val="none"/>
          <w:lang w:val="en-US" w:eastAsia="zh-CN"/>
        </w:rPr>
        <w:t>项目需部署在信创云服务器上，并使用国产化数据库及国产化中间件等，确保服务器</w:t>
      </w:r>
      <w:r>
        <w:rPr>
          <w:rFonts w:hint="default" w:ascii="宋体" w:hAnsi="宋体" w:eastAsia="宋体" w:cs="宋体"/>
          <w:color w:val="auto"/>
          <w:sz w:val="20"/>
          <w:szCs w:val="20"/>
          <w:highlight w:val="none"/>
          <w:lang w:eastAsia="zh-CN"/>
        </w:rPr>
        <w:t>在</w:t>
      </w:r>
      <w:r>
        <w:rPr>
          <w:rFonts w:hint="eastAsia" w:ascii="宋体" w:hAnsi="宋体" w:eastAsia="宋体" w:cs="宋体"/>
          <w:color w:val="auto"/>
          <w:sz w:val="20"/>
          <w:szCs w:val="20"/>
          <w:highlight w:val="none"/>
          <w:lang w:val="en-US" w:eastAsia="zh-CN"/>
        </w:rPr>
        <w:t>迁移过程中数据安全、完整，确保数据规范化，实现数据编目、数据归集、数据共享。</w:t>
      </w:r>
    </w:p>
    <w:p w14:paraId="2D9AB4C8">
      <w:pPr>
        <w:snapToGrid/>
        <w:spacing w:line="360" w:lineRule="auto"/>
        <w:ind w:firstLine="402" w:firstLineChars="200"/>
        <w:contextualSpacing w:val="0"/>
        <w:rPr>
          <w:rFonts w:hint="eastAsia" w:ascii="宋体" w:hAnsi="宋体" w:cs="宋体"/>
          <w:kern w:val="2"/>
          <w:sz w:val="20"/>
          <w:szCs w:val="20"/>
          <w:lang w:val="en-US" w:eastAsia="zh-CN" w:bidi="ar"/>
        </w:rPr>
      </w:pPr>
      <w:r>
        <w:rPr>
          <w:rFonts w:hint="eastAsia" w:ascii="宋体" w:hAnsi="宋体" w:cs="宋体"/>
          <w:b/>
          <w:bCs/>
          <w:color w:val="auto"/>
          <w:sz w:val="20"/>
          <w:szCs w:val="20"/>
          <w:highlight w:val="none"/>
        </w:rPr>
        <w:t>▲</w:t>
      </w:r>
      <w:r>
        <w:rPr>
          <w:rFonts w:hint="eastAsia" w:ascii="宋体" w:hAnsi="宋体" w:cs="宋体"/>
          <w:kern w:val="2"/>
          <w:sz w:val="20"/>
          <w:szCs w:val="20"/>
          <w:lang w:val="en-US" w:eastAsia="zh-CN" w:bidi="ar"/>
        </w:rPr>
        <w:t>二是</w:t>
      </w:r>
      <w:r>
        <w:rPr>
          <w:rFonts w:hint="eastAsia" w:ascii="宋体" w:hAnsi="宋体" w:eastAsia="宋体" w:cs="宋体"/>
          <w:color w:val="auto"/>
          <w:sz w:val="20"/>
          <w:szCs w:val="20"/>
          <w:highlight w:val="none"/>
        </w:rPr>
        <w:t>针对本次项目提供应用系统建设内容</w:t>
      </w:r>
      <w:r>
        <w:rPr>
          <w:rFonts w:hint="eastAsia" w:ascii="宋体" w:hAnsi="宋体" w:eastAsia="宋体" w:cs="宋体"/>
          <w:color w:val="auto"/>
          <w:sz w:val="20"/>
          <w:szCs w:val="20"/>
          <w:highlight w:val="none"/>
          <w:lang w:val="en-US" w:eastAsia="zh-CN"/>
        </w:rPr>
        <w:t>，提供信创测评服务，并获取相应测评认证报告，相关</w:t>
      </w:r>
      <w:r>
        <w:rPr>
          <w:rFonts w:hint="eastAsia" w:ascii="宋体" w:hAnsi="宋体" w:eastAsia="宋体" w:cs="宋体"/>
          <w:color w:val="auto"/>
          <w:sz w:val="20"/>
          <w:szCs w:val="20"/>
          <w:highlight w:val="none"/>
          <w:lang w:eastAsia="zh-CN"/>
        </w:rPr>
        <w:t>费用均已含在项目费用内。</w:t>
      </w:r>
    </w:p>
    <w:p w14:paraId="574688E3">
      <w:pPr>
        <w:snapToGrid/>
        <w:spacing w:line="360" w:lineRule="auto"/>
        <w:ind w:firstLine="402" w:firstLineChars="200"/>
        <w:contextualSpacing w:val="0"/>
        <w:rPr>
          <w:rFonts w:hint="eastAsia" w:ascii="宋体" w:hAnsi="宋体" w:eastAsia="宋体" w:cs="宋体"/>
          <w:color w:val="auto"/>
          <w:sz w:val="20"/>
          <w:szCs w:val="20"/>
          <w:highlight w:val="none"/>
        </w:rPr>
      </w:pPr>
      <w:r>
        <w:rPr>
          <w:rFonts w:hint="eastAsia" w:ascii="宋体" w:hAnsi="宋体" w:cs="宋体"/>
          <w:b/>
          <w:bCs/>
          <w:color w:val="auto"/>
          <w:sz w:val="20"/>
          <w:szCs w:val="20"/>
          <w:highlight w:val="none"/>
        </w:rPr>
        <w:t>▲</w:t>
      </w:r>
      <w:r>
        <w:rPr>
          <w:rFonts w:hint="eastAsia" w:ascii="宋体" w:hAnsi="宋体" w:cs="宋体"/>
          <w:kern w:val="2"/>
          <w:sz w:val="20"/>
          <w:szCs w:val="20"/>
          <w:lang w:val="en-US" w:eastAsia="zh-CN" w:bidi="ar"/>
        </w:rPr>
        <w:t>三</w:t>
      </w:r>
      <w:r>
        <w:rPr>
          <w:rFonts w:hint="eastAsia" w:ascii="宋体" w:hAnsi="宋体" w:eastAsia="宋体" w:cs="宋体"/>
          <w:color w:val="auto"/>
          <w:sz w:val="20"/>
          <w:szCs w:val="20"/>
          <w:highlight w:val="none"/>
          <w:lang w:val="en-US" w:eastAsia="zh-CN"/>
        </w:rPr>
        <w:t>是</w:t>
      </w:r>
      <w:r>
        <w:rPr>
          <w:rFonts w:hint="eastAsia" w:ascii="宋体" w:hAnsi="宋体" w:eastAsia="宋体" w:cs="宋体"/>
          <w:color w:val="auto"/>
          <w:sz w:val="20"/>
          <w:szCs w:val="20"/>
          <w:highlight w:val="none"/>
        </w:rPr>
        <w:t>针对本次项目提供应用系统建设内容</w:t>
      </w:r>
      <w:r>
        <w:rPr>
          <w:rFonts w:hint="eastAsia" w:ascii="宋体" w:hAnsi="宋体" w:eastAsia="宋体" w:cs="宋体"/>
          <w:color w:val="auto"/>
          <w:sz w:val="20"/>
          <w:szCs w:val="20"/>
          <w:highlight w:val="none"/>
          <w:lang w:val="en-US" w:eastAsia="zh-CN"/>
        </w:rPr>
        <w:t>，提供渗透测试服务并获取相应测评认证报告，相关</w:t>
      </w:r>
      <w:r>
        <w:rPr>
          <w:rFonts w:hint="eastAsia" w:ascii="宋体" w:hAnsi="宋体" w:eastAsia="宋体" w:cs="宋体"/>
          <w:color w:val="auto"/>
          <w:sz w:val="20"/>
          <w:szCs w:val="20"/>
          <w:highlight w:val="none"/>
          <w:lang w:eastAsia="zh-CN"/>
        </w:rPr>
        <w:t>费用均已含在项目费用内。</w:t>
      </w:r>
    </w:p>
    <w:p w14:paraId="06EF5ED0">
      <w:pPr>
        <w:numPr>
          <w:ilvl w:val="-1"/>
          <w:numId w:val="0"/>
        </w:numPr>
        <w:snapToGrid w:val="0"/>
        <w:spacing w:line="360" w:lineRule="auto"/>
        <w:ind w:left="420" w:leftChars="200" w:firstLine="0" w:firstLineChars="0"/>
        <w:contextualSpacing/>
        <w:rPr>
          <w:rFonts w:hint="eastAsia" w:ascii="宋体" w:hAnsi="宋体" w:cs="宋体"/>
          <w:color w:val="auto"/>
          <w:sz w:val="20"/>
          <w:szCs w:val="20"/>
          <w:highlight w:val="none"/>
        </w:rPr>
      </w:pP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lang w:val="en-US" w:eastAsia="zh-CN"/>
        </w:rPr>
        <w:t>2</w:t>
      </w: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rPr>
        <w:t>网络安全需求</w:t>
      </w:r>
    </w:p>
    <w:p w14:paraId="361243B6">
      <w:pPr>
        <w:snapToGrid w:val="0"/>
        <w:spacing w:line="360" w:lineRule="auto"/>
        <w:ind w:firstLine="400" w:firstLineChars="200"/>
        <w:contextualSpacing/>
        <w:rPr>
          <w:rFonts w:hint="eastAsia" w:ascii="宋体" w:hAnsi="宋体" w:cs="宋体"/>
          <w:color w:val="auto"/>
          <w:sz w:val="20"/>
          <w:szCs w:val="20"/>
          <w:highlight w:val="none"/>
        </w:rPr>
      </w:pPr>
      <w:r>
        <w:rPr>
          <w:rFonts w:hint="eastAsia" w:ascii="宋体" w:hAnsi="宋体" w:cs="宋体"/>
          <w:color w:val="auto"/>
          <w:sz w:val="20"/>
          <w:szCs w:val="20"/>
          <w:highlight w:val="none"/>
        </w:rPr>
        <w:t>一是严格控制网络间的访问。系统将运行在</w:t>
      </w:r>
      <w:r>
        <w:rPr>
          <w:rFonts w:hint="eastAsia" w:ascii="宋体" w:hAnsi="宋体" w:cs="宋体"/>
          <w:color w:val="auto"/>
          <w:sz w:val="20"/>
          <w:szCs w:val="20"/>
          <w:highlight w:val="none"/>
          <w:lang w:val="en-US" w:eastAsia="zh-CN"/>
        </w:rPr>
        <w:t>云数据资源</w:t>
      </w:r>
      <w:r>
        <w:rPr>
          <w:rFonts w:hint="eastAsia" w:ascii="宋体" w:hAnsi="宋体" w:cs="宋体"/>
          <w:color w:val="auto"/>
          <w:sz w:val="20"/>
          <w:szCs w:val="20"/>
          <w:highlight w:val="none"/>
        </w:rPr>
        <w:t>上，因此，要求部署和执行网络访问控制策略，</w:t>
      </w:r>
      <w:r>
        <w:rPr>
          <w:rFonts w:hint="eastAsia" w:ascii="宋体" w:hAnsi="宋体" w:cs="宋体"/>
          <w:color w:val="auto"/>
          <w:sz w:val="20"/>
          <w:szCs w:val="20"/>
          <w:highlight w:val="none"/>
          <w:lang w:val="en-US" w:eastAsia="zh-CN"/>
        </w:rPr>
        <w:t>需要</w:t>
      </w:r>
      <w:r>
        <w:rPr>
          <w:rFonts w:hint="eastAsia" w:ascii="宋体" w:hAnsi="宋体" w:cs="宋体"/>
          <w:color w:val="auto"/>
          <w:sz w:val="20"/>
          <w:szCs w:val="20"/>
          <w:highlight w:val="none"/>
        </w:rPr>
        <w:t>严格控制对互联网的访问与信息交换</w:t>
      </w: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rPr>
        <w:t>为确保数据安全访问，</w:t>
      </w:r>
      <w:r>
        <w:rPr>
          <w:rFonts w:hint="eastAsia" w:ascii="宋体" w:hAnsi="宋体" w:cs="宋体"/>
          <w:color w:val="auto"/>
          <w:sz w:val="20"/>
          <w:szCs w:val="20"/>
          <w:highlight w:val="none"/>
          <w:lang w:val="en-US" w:eastAsia="zh-CN"/>
        </w:rPr>
        <w:t>拟</w:t>
      </w:r>
      <w:r>
        <w:rPr>
          <w:rFonts w:hint="eastAsia" w:ascii="宋体" w:hAnsi="宋体" w:cs="宋体"/>
          <w:color w:val="auto"/>
          <w:sz w:val="20"/>
          <w:szCs w:val="20"/>
          <w:highlight w:val="none"/>
        </w:rPr>
        <w:t>采用先进的身份验证和权限管理机制，严格限制对数据的访问权限</w:t>
      </w: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rPr>
        <w:t>防止未授权访问。</w:t>
      </w:r>
    </w:p>
    <w:p w14:paraId="572E1712">
      <w:pPr>
        <w:snapToGrid w:val="0"/>
        <w:spacing w:line="360" w:lineRule="auto"/>
        <w:ind w:firstLine="400" w:firstLineChars="200"/>
        <w:contextualSpacing/>
        <w:rPr>
          <w:rFonts w:hint="eastAsia" w:ascii="宋体" w:hAnsi="宋体" w:eastAsia="宋体" w:cs="宋体"/>
          <w:color w:val="auto"/>
          <w:sz w:val="20"/>
          <w:szCs w:val="20"/>
          <w:highlight w:val="green"/>
          <w:lang w:eastAsia="zh-CN"/>
        </w:rPr>
      </w:pPr>
      <w:r>
        <w:rPr>
          <w:rFonts w:hint="eastAsia" w:ascii="宋体" w:hAnsi="宋体" w:cs="宋体"/>
          <w:color w:val="auto"/>
          <w:sz w:val="20"/>
          <w:szCs w:val="20"/>
          <w:highlight w:val="none"/>
        </w:rPr>
        <w:t>二是为重要信息的传输提供安全通道。为网络上传输信息资源提供专门的安全通道，采用访问控制、路由</w:t>
      </w:r>
      <w:r>
        <w:rPr>
          <w:rFonts w:hint="eastAsia" w:ascii="宋体" w:hAnsi="宋体" w:cs="宋体"/>
          <w:color w:val="auto"/>
          <w:sz w:val="20"/>
          <w:szCs w:val="20"/>
          <w:highlight w:val="none"/>
          <w:lang w:val="en-US" w:eastAsia="zh-CN"/>
        </w:rPr>
        <w:t>协议</w:t>
      </w:r>
      <w:r>
        <w:rPr>
          <w:rFonts w:hint="eastAsia" w:ascii="宋体" w:hAnsi="宋体" w:cs="宋体"/>
          <w:color w:val="auto"/>
          <w:sz w:val="20"/>
          <w:szCs w:val="20"/>
          <w:highlight w:val="none"/>
        </w:rPr>
        <w:t>加密等技术在公共环境中保护重要的项目信息</w:t>
      </w: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rPr>
        <w:t>对于敏感信息</w:t>
      </w:r>
      <w:r>
        <w:rPr>
          <w:rFonts w:hint="eastAsia" w:ascii="宋体" w:hAnsi="宋体" w:cs="宋体"/>
          <w:color w:val="auto"/>
          <w:sz w:val="20"/>
          <w:szCs w:val="20"/>
          <w:highlight w:val="none"/>
          <w:lang w:val="en-US" w:eastAsia="zh-CN"/>
        </w:rPr>
        <w:t>进行脱敏传输等</w:t>
      </w:r>
      <w:r>
        <w:rPr>
          <w:rFonts w:hint="eastAsia" w:ascii="宋体" w:hAnsi="宋体" w:cs="宋体"/>
          <w:color w:val="auto"/>
          <w:sz w:val="20"/>
          <w:szCs w:val="20"/>
          <w:highlight w:val="none"/>
        </w:rPr>
        <w:t>，提高数据在网上传输过程中的安全性</w:t>
      </w: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lang w:val="en-US" w:eastAsia="zh-CN"/>
        </w:rPr>
        <w:t>防止</w:t>
      </w:r>
      <w:r>
        <w:rPr>
          <w:rFonts w:hint="eastAsia" w:ascii="宋体" w:hAnsi="宋体" w:cs="宋体"/>
          <w:color w:val="auto"/>
          <w:sz w:val="20"/>
          <w:szCs w:val="20"/>
          <w:highlight w:val="none"/>
        </w:rPr>
        <w:t>数据泄露</w:t>
      </w:r>
      <w:r>
        <w:rPr>
          <w:rFonts w:hint="eastAsia" w:ascii="宋体" w:hAnsi="宋体" w:cs="宋体"/>
          <w:color w:val="auto"/>
          <w:sz w:val="20"/>
          <w:szCs w:val="20"/>
          <w:highlight w:val="none"/>
          <w:lang w:eastAsia="zh-CN"/>
        </w:rPr>
        <w:t>。</w:t>
      </w:r>
    </w:p>
    <w:p w14:paraId="11B6E93E">
      <w:pPr>
        <w:numPr>
          <w:ilvl w:val="0"/>
          <w:numId w:val="0"/>
        </w:numPr>
        <w:snapToGrid w:val="0"/>
        <w:spacing w:line="360" w:lineRule="auto"/>
        <w:ind w:left="420" w:firstLine="0" w:firstLineChars="0"/>
        <w:contextualSpacing/>
        <w:rPr>
          <w:rFonts w:hint="eastAsia" w:ascii="宋体" w:hAnsi="宋体" w:cs="宋体"/>
          <w:color w:val="auto"/>
          <w:sz w:val="20"/>
          <w:szCs w:val="20"/>
          <w:highlight w:val="none"/>
        </w:rPr>
      </w:pP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lang w:val="en-US" w:eastAsia="zh-CN"/>
        </w:rPr>
        <w:t>3</w:t>
      </w: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rPr>
        <w:t>其他需求</w:t>
      </w:r>
    </w:p>
    <w:p w14:paraId="1E53A0D1">
      <w:pPr>
        <w:keepNext w:val="0"/>
        <w:keepLines w:val="0"/>
        <w:widowControl w:val="0"/>
        <w:suppressLineNumbers w:val="0"/>
        <w:snapToGrid w:val="0"/>
        <w:spacing w:before="0" w:beforeAutospacing="0" w:after="0" w:afterAutospacing="0" w:line="360" w:lineRule="auto"/>
        <w:ind w:left="0" w:right="0" w:firstLine="400" w:firstLineChars="200"/>
        <w:contextualSpacing/>
        <w:jc w:val="both"/>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一是数据备份，系统应实现数据备份功能，所有静态数据表和录入的资料在运行机器外必须有一个数据库的备份和一个通用格式文件的备份；每日发生数据变更应在运行机器外至少保存有数据库的增量备份和对应的通用格式文件的备份。</w:t>
      </w:r>
    </w:p>
    <w:p w14:paraId="10AE2E57">
      <w:pPr>
        <w:keepNext w:val="0"/>
        <w:keepLines w:val="0"/>
        <w:widowControl w:val="0"/>
        <w:suppressLineNumbers w:val="0"/>
        <w:snapToGrid w:val="0"/>
        <w:spacing w:before="0" w:beforeAutospacing="0" w:after="0" w:afterAutospacing="0" w:line="360" w:lineRule="auto"/>
        <w:ind w:left="0" w:right="0" w:firstLine="400" w:firstLineChars="200"/>
        <w:contextualSpacing/>
        <w:jc w:val="both"/>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二是管理安全，与安全技术措施相配套的风险分析与安全评估、安全证书与密钥管理、数据备份、安全监控与审计等制度，以及机构和人员管理。</w:t>
      </w:r>
    </w:p>
    <w:p w14:paraId="0DFA2F73">
      <w:pPr>
        <w:pStyle w:val="5"/>
        <w:numPr>
          <w:ilvl w:val="0"/>
          <w:numId w:val="0"/>
        </w:numPr>
        <w:tabs>
          <w:tab w:val="left" w:pos="-839"/>
          <w:tab w:val="left" w:pos="720"/>
          <w:tab w:val="clear" w:pos="900"/>
        </w:tabs>
        <w:ind w:left="0" w:firstLine="402" w:firstLineChars="20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五、人员要求</w:t>
      </w:r>
    </w:p>
    <w:p w14:paraId="7AE2965D">
      <w:pPr>
        <w:snapToGrid w:val="0"/>
        <w:spacing w:line="360" w:lineRule="auto"/>
        <w:ind w:firstLine="400" w:firstLineChars="200"/>
        <w:contextualSpacing/>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本</w:t>
      </w:r>
      <w:r>
        <w:rPr>
          <w:rFonts w:hint="eastAsia" w:ascii="宋体" w:hAnsi="宋体" w:cs="宋体"/>
          <w:color w:val="auto"/>
          <w:sz w:val="20"/>
          <w:szCs w:val="20"/>
          <w:highlight w:val="none"/>
          <w:lang w:eastAsia="zh-CN"/>
        </w:rPr>
        <w:t>项目</w:t>
      </w:r>
      <w:r>
        <w:rPr>
          <w:rFonts w:hint="eastAsia" w:ascii="宋体" w:hAnsi="宋体" w:eastAsia="宋体" w:cs="宋体"/>
          <w:color w:val="auto"/>
          <w:sz w:val="20"/>
          <w:szCs w:val="20"/>
          <w:highlight w:val="none"/>
          <w:lang w:val="en-US" w:eastAsia="zh-CN"/>
        </w:rPr>
        <w:t>应设置项目</w:t>
      </w:r>
      <w:r>
        <w:rPr>
          <w:rFonts w:hint="eastAsia" w:ascii="宋体" w:hAnsi="宋体" w:eastAsia="宋体" w:cs="宋体"/>
          <w:color w:val="auto"/>
          <w:sz w:val="20"/>
          <w:szCs w:val="20"/>
          <w:highlight w:val="none"/>
        </w:rPr>
        <w:t>总体负责人</w:t>
      </w:r>
      <w:r>
        <w:rPr>
          <w:rFonts w:hint="eastAsia" w:ascii="宋体" w:hAnsi="宋体" w:cs="宋体"/>
          <w:color w:val="auto"/>
          <w:sz w:val="20"/>
          <w:szCs w:val="20"/>
          <w:highlight w:val="none"/>
        </w:rPr>
        <w:t>员、</w:t>
      </w:r>
      <w:r>
        <w:rPr>
          <w:rFonts w:hint="eastAsia" w:ascii="宋体" w:hAnsi="宋体" w:eastAsia="宋体" w:cs="宋体"/>
          <w:color w:val="auto"/>
          <w:sz w:val="20"/>
          <w:szCs w:val="20"/>
          <w:highlight w:val="none"/>
        </w:rPr>
        <w:t>技术负责人</w:t>
      </w:r>
      <w:r>
        <w:rPr>
          <w:rFonts w:hint="eastAsia" w:ascii="宋体" w:hAnsi="宋体" w:cs="宋体"/>
          <w:color w:val="auto"/>
          <w:sz w:val="20"/>
          <w:szCs w:val="20"/>
          <w:highlight w:val="none"/>
        </w:rPr>
        <w:t>员</w:t>
      </w:r>
      <w:r>
        <w:rPr>
          <w:rFonts w:hint="eastAsia" w:ascii="宋体" w:hAnsi="宋体" w:cs="宋体"/>
          <w:color w:val="auto"/>
          <w:sz w:val="20"/>
          <w:szCs w:val="20"/>
          <w:highlight w:val="none"/>
          <w:lang w:eastAsia="zh-CN"/>
        </w:rPr>
        <w:t>等，</w:t>
      </w:r>
      <w:r>
        <w:rPr>
          <w:rFonts w:hint="eastAsia" w:ascii="宋体" w:hAnsi="宋体" w:eastAsia="宋体" w:cs="宋体"/>
          <w:color w:val="auto"/>
          <w:sz w:val="20"/>
          <w:szCs w:val="20"/>
          <w:highlight w:val="none"/>
        </w:rPr>
        <w:t>人员要求相对稳定，更换人员需经</w:t>
      </w:r>
      <w:r>
        <w:rPr>
          <w:rFonts w:hint="default" w:ascii="宋体" w:hAnsi="宋体" w:cs="宋体"/>
          <w:color w:val="auto"/>
          <w:sz w:val="20"/>
          <w:szCs w:val="20"/>
          <w:highlight w:val="none"/>
        </w:rPr>
        <w:t>采购人</w:t>
      </w:r>
      <w:r>
        <w:rPr>
          <w:rFonts w:hint="eastAsia" w:ascii="宋体" w:hAnsi="宋体" w:eastAsia="宋体" w:cs="宋体"/>
          <w:color w:val="auto"/>
          <w:sz w:val="20"/>
          <w:szCs w:val="20"/>
          <w:highlight w:val="none"/>
        </w:rPr>
        <w:t>同意，技术负责人</w:t>
      </w:r>
      <w:r>
        <w:rPr>
          <w:rFonts w:hint="eastAsia" w:ascii="宋体" w:hAnsi="宋体" w:cs="宋体"/>
          <w:color w:val="auto"/>
          <w:sz w:val="20"/>
          <w:szCs w:val="20"/>
          <w:highlight w:val="none"/>
        </w:rPr>
        <w:t>员</w:t>
      </w:r>
      <w:r>
        <w:rPr>
          <w:rFonts w:hint="eastAsia" w:ascii="宋体" w:hAnsi="宋体" w:eastAsia="宋体" w:cs="宋体"/>
          <w:color w:val="auto"/>
          <w:sz w:val="20"/>
          <w:szCs w:val="20"/>
          <w:highlight w:val="none"/>
        </w:rPr>
        <w:t>应具备相关专业</w:t>
      </w:r>
      <w:r>
        <w:rPr>
          <w:rFonts w:hint="default" w:ascii="宋体" w:hAnsi="宋体" w:cs="宋体"/>
          <w:color w:val="auto"/>
          <w:sz w:val="20"/>
          <w:szCs w:val="20"/>
          <w:highlight w:val="none"/>
        </w:rPr>
        <w:t>技能</w:t>
      </w:r>
      <w:r>
        <w:rPr>
          <w:rFonts w:hint="eastAsia" w:ascii="宋体" w:hAnsi="宋体" w:eastAsia="宋体" w:cs="宋体"/>
          <w:color w:val="auto"/>
          <w:sz w:val="20"/>
          <w:szCs w:val="20"/>
          <w:highlight w:val="none"/>
        </w:rPr>
        <w:t>，并具有</w:t>
      </w:r>
      <w:r>
        <w:rPr>
          <w:rFonts w:hint="eastAsia" w:ascii="宋体" w:hAnsi="宋体" w:cs="宋体"/>
          <w:color w:val="auto"/>
          <w:sz w:val="20"/>
          <w:szCs w:val="20"/>
          <w:highlight w:val="none"/>
          <w:lang w:val="en-US" w:eastAsia="zh-CN"/>
        </w:rPr>
        <w:t>信创改造</w:t>
      </w:r>
      <w:r>
        <w:rPr>
          <w:rFonts w:hint="eastAsia" w:ascii="宋体" w:hAnsi="宋体" w:eastAsia="宋体" w:cs="宋体"/>
          <w:color w:val="auto"/>
          <w:sz w:val="20"/>
          <w:szCs w:val="20"/>
          <w:highlight w:val="none"/>
        </w:rPr>
        <w:t>相关</w:t>
      </w:r>
      <w:r>
        <w:rPr>
          <w:rFonts w:hint="default" w:ascii="宋体" w:hAnsi="宋体" w:cs="宋体"/>
          <w:color w:val="auto"/>
          <w:sz w:val="20"/>
          <w:szCs w:val="20"/>
          <w:highlight w:val="none"/>
        </w:rPr>
        <w:t>经</w:t>
      </w:r>
      <w:r>
        <w:rPr>
          <w:rFonts w:hint="eastAsia" w:ascii="宋体" w:hAnsi="宋体" w:eastAsia="宋体" w:cs="宋体"/>
          <w:color w:val="auto"/>
          <w:sz w:val="20"/>
          <w:szCs w:val="20"/>
          <w:highlight w:val="none"/>
        </w:rPr>
        <w:t>验。</w:t>
      </w:r>
    </w:p>
    <w:p w14:paraId="47586D02">
      <w:pPr>
        <w:pStyle w:val="5"/>
        <w:numPr>
          <w:ilvl w:val="0"/>
          <w:numId w:val="0"/>
        </w:numPr>
        <w:tabs>
          <w:tab w:val="left" w:pos="-839"/>
          <w:tab w:val="left" w:pos="720"/>
          <w:tab w:val="clear" w:pos="900"/>
        </w:tabs>
        <w:ind w:left="0" w:firstLine="402" w:firstLineChars="20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六、软件调测、实施及文档要求</w:t>
      </w:r>
    </w:p>
    <w:p w14:paraId="58381BD8">
      <w:pPr>
        <w:numPr>
          <w:ilvl w:val="-1"/>
          <w:numId w:val="0"/>
        </w:numPr>
        <w:snapToGrid w:val="0"/>
        <w:spacing w:line="360" w:lineRule="auto"/>
        <w:ind w:left="0" w:leftChars="0" w:firstLine="400" w:firstLineChars="200"/>
        <w:contextualSpacing/>
        <w:rPr>
          <w:rFonts w:hint="eastAsia" w:ascii="宋体" w:hAnsi="宋体" w:cs="宋体"/>
          <w:color w:val="auto"/>
          <w:sz w:val="20"/>
          <w:szCs w:val="20"/>
          <w:highlight w:val="none"/>
        </w:rPr>
      </w:pPr>
      <w:r>
        <w:rPr>
          <w:rFonts w:hint="eastAsia" w:ascii="宋体" w:hAnsi="宋体" w:cs="宋体"/>
          <w:color w:val="auto"/>
          <w:sz w:val="20"/>
          <w:szCs w:val="20"/>
          <w:highlight w:val="none"/>
        </w:rPr>
        <w:t>（1）</w:t>
      </w:r>
      <w:r>
        <w:rPr>
          <w:rFonts w:hint="eastAsia" w:ascii="宋体" w:hAnsi="宋体" w:cs="宋体"/>
          <w:color w:val="auto"/>
          <w:sz w:val="20"/>
          <w:szCs w:val="20"/>
          <w:highlight w:val="none"/>
          <w:lang w:eastAsia="zh-CN"/>
        </w:rPr>
        <w:t>供应商</w:t>
      </w:r>
      <w:r>
        <w:rPr>
          <w:rFonts w:hint="eastAsia" w:ascii="宋体" w:hAnsi="宋体" w:cs="宋体"/>
          <w:color w:val="auto"/>
          <w:sz w:val="20"/>
          <w:szCs w:val="20"/>
          <w:highlight w:val="none"/>
        </w:rPr>
        <w:t>应向采购</w:t>
      </w:r>
      <w:r>
        <w:rPr>
          <w:rFonts w:hint="eastAsia" w:ascii="宋体" w:hAnsi="宋体" w:cs="宋体"/>
          <w:color w:val="auto"/>
          <w:sz w:val="20"/>
          <w:szCs w:val="20"/>
          <w:highlight w:val="none"/>
          <w:lang w:val="en-US" w:eastAsia="zh-CN"/>
        </w:rPr>
        <w:t>人</w:t>
      </w:r>
      <w:r>
        <w:rPr>
          <w:rFonts w:hint="eastAsia" w:ascii="宋体" w:hAnsi="宋体" w:cs="宋体"/>
          <w:color w:val="auto"/>
          <w:sz w:val="20"/>
          <w:szCs w:val="20"/>
          <w:highlight w:val="none"/>
        </w:rPr>
        <w:t>提交测试内容和方法。移交测试计划和技术内容由</w:t>
      </w:r>
      <w:r>
        <w:rPr>
          <w:rFonts w:hint="eastAsia" w:ascii="宋体" w:hAnsi="宋体" w:cs="宋体"/>
          <w:color w:val="auto"/>
          <w:sz w:val="20"/>
          <w:szCs w:val="20"/>
          <w:highlight w:val="none"/>
          <w:lang w:eastAsia="zh-CN"/>
        </w:rPr>
        <w:t>供应商</w:t>
      </w:r>
      <w:r>
        <w:rPr>
          <w:rFonts w:hint="eastAsia" w:ascii="宋体" w:hAnsi="宋体" w:cs="宋体"/>
          <w:color w:val="auto"/>
          <w:sz w:val="20"/>
          <w:szCs w:val="20"/>
          <w:highlight w:val="none"/>
        </w:rPr>
        <w:t>拟定，经采购人确认。</w:t>
      </w:r>
    </w:p>
    <w:p w14:paraId="38670185">
      <w:pPr>
        <w:numPr>
          <w:ilvl w:val="-1"/>
          <w:numId w:val="0"/>
        </w:numPr>
        <w:snapToGrid w:val="0"/>
        <w:spacing w:line="360" w:lineRule="auto"/>
        <w:ind w:left="0" w:leftChars="0" w:firstLine="400" w:firstLineChars="200"/>
        <w:contextualSpacing/>
        <w:rPr>
          <w:rFonts w:hint="eastAsia" w:ascii="宋体" w:hAnsi="宋体" w:cs="宋体"/>
          <w:color w:val="auto"/>
          <w:sz w:val="20"/>
          <w:szCs w:val="20"/>
          <w:highlight w:val="none"/>
        </w:rPr>
      </w:pPr>
      <w:r>
        <w:rPr>
          <w:rFonts w:hint="eastAsia" w:ascii="宋体" w:hAnsi="宋体" w:cs="宋体"/>
          <w:color w:val="auto"/>
          <w:sz w:val="20"/>
          <w:szCs w:val="20"/>
          <w:highlight w:val="none"/>
        </w:rPr>
        <w:t>（</w:t>
      </w:r>
      <w:r>
        <w:rPr>
          <w:rFonts w:hint="eastAsia" w:ascii="宋体" w:hAnsi="宋体" w:cs="宋体"/>
          <w:color w:val="auto"/>
          <w:sz w:val="20"/>
          <w:szCs w:val="20"/>
          <w:highlight w:val="none"/>
          <w:lang w:val="en-US" w:eastAsia="zh-CN"/>
        </w:rPr>
        <w:t>2</w:t>
      </w:r>
      <w:r>
        <w:rPr>
          <w:rFonts w:hint="eastAsia" w:ascii="宋体" w:hAnsi="宋体" w:cs="宋体"/>
          <w:color w:val="auto"/>
          <w:sz w:val="20"/>
          <w:szCs w:val="20"/>
          <w:highlight w:val="none"/>
        </w:rPr>
        <w:t>）实施要求：</w:t>
      </w:r>
    </w:p>
    <w:p w14:paraId="73651FF1">
      <w:pPr>
        <w:spacing w:before="157" w:beforeLines="50" w:line="360" w:lineRule="auto"/>
        <w:ind w:firstLine="400" w:firstLineChars="200"/>
        <w:rPr>
          <w:rFonts w:hint="eastAsia" w:ascii="宋体" w:hAnsi="宋体" w:cs="宋体"/>
          <w:color w:val="auto"/>
          <w:sz w:val="20"/>
          <w:szCs w:val="20"/>
          <w:highlight w:val="none"/>
        </w:rPr>
      </w:pPr>
      <w:r>
        <w:rPr>
          <w:rFonts w:hint="eastAsia" w:ascii="宋体" w:hAnsi="宋体" w:cs="宋体"/>
          <w:color w:val="auto"/>
          <w:sz w:val="20"/>
          <w:szCs w:val="20"/>
          <w:highlight w:val="none"/>
        </w:rPr>
        <w:t>a.</w:t>
      </w:r>
      <w:r>
        <w:rPr>
          <w:rFonts w:hint="eastAsia" w:ascii="宋体" w:hAnsi="宋体" w:cs="宋体"/>
          <w:color w:val="auto"/>
          <w:sz w:val="20"/>
          <w:szCs w:val="20"/>
          <w:highlight w:val="none"/>
          <w:lang w:eastAsia="zh-CN"/>
        </w:rPr>
        <w:t>供应商</w:t>
      </w:r>
      <w:r>
        <w:rPr>
          <w:rFonts w:hint="eastAsia" w:ascii="宋体" w:hAnsi="宋体" w:cs="宋体"/>
          <w:color w:val="auto"/>
          <w:sz w:val="20"/>
          <w:szCs w:val="20"/>
          <w:highlight w:val="none"/>
        </w:rPr>
        <w:t>应在实施前提供详细的实施方案，并提交采购人认可。</w:t>
      </w:r>
    </w:p>
    <w:p w14:paraId="1FC2D36B">
      <w:pPr>
        <w:spacing w:before="157" w:beforeLines="50" w:line="360" w:lineRule="auto"/>
        <w:ind w:firstLine="400" w:firstLineChars="200"/>
        <w:rPr>
          <w:rFonts w:hint="eastAsia" w:ascii="宋体" w:hAnsi="宋体" w:cs="宋体"/>
          <w:color w:val="auto"/>
          <w:sz w:val="20"/>
          <w:szCs w:val="20"/>
          <w:highlight w:val="none"/>
        </w:rPr>
      </w:pPr>
      <w:r>
        <w:rPr>
          <w:rFonts w:hint="eastAsia" w:ascii="宋体" w:hAnsi="宋体" w:cs="宋体"/>
          <w:color w:val="auto"/>
          <w:sz w:val="20"/>
          <w:szCs w:val="20"/>
          <w:highlight w:val="none"/>
        </w:rPr>
        <w:t>b.实施过程应严格执行相关的规范，并保证安全。</w:t>
      </w:r>
    </w:p>
    <w:p w14:paraId="00D239EA">
      <w:pPr>
        <w:spacing w:before="157" w:beforeLines="50" w:line="360" w:lineRule="auto"/>
        <w:ind w:firstLine="400" w:firstLineChars="200"/>
        <w:rPr>
          <w:rFonts w:hint="eastAsia" w:ascii="宋体" w:hAnsi="宋体" w:cs="宋体"/>
          <w:color w:val="auto"/>
          <w:sz w:val="20"/>
          <w:szCs w:val="20"/>
          <w:highlight w:val="none"/>
        </w:rPr>
      </w:pPr>
      <w:r>
        <w:rPr>
          <w:rFonts w:hint="eastAsia" w:ascii="宋体" w:hAnsi="宋体" w:cs="宋体"/>
          <w:color w:val="auto"/>
          <w:sz w:val="20"/>
          <w:szCs w:val="20"/>
          <w:highlight w:val="none"/>
        </w:rPr>
        <w:t>c.</w:t>
      </w:r>
      <w:r>
        <w:rPr>
          <w:rFonts w:hint="eastAsia" w:ascii="宋体" w:hAnsi="宋体" w:cs="宋体"/>
          <w:color w:val="auto"/>
          <w:sz w:val="20"/>
          <w:szCs w:val="20"/>
          <w:highlight w:val="none"/>
          <w:lang w:eastAsia="zh-CN"/>
        </w:rPr>
        <w:t>供应商</w:t>
      </w:r>
      <w:r>
        <w:rPr>
          <w:rFonts w:hint="eastAsia" w:ascii="宋体" w:hAnsi="宋体" w:cs="宋体"/>
          <w:color w:val="auto"/>
          <w:sz w:val="20"/>
          <w:szCs w:val="20"/>
          <w:highlight w:val="none"/>
        </w:rPr>
        <w:t>应根据采购人的需要，在规定的时间内，保证质量，完成系统建设。</w:t>
      </w:r>
    </w:p>
    <w:p w14:paraId="052FED60">
      <w:pPr>
        <w:spacing w:before="157" w:beforeLines="50" w:line="360" w:lineRule="auto"/>
        <w:ind w:firstLine="400" w:firstLineChars="200"/>
        <w:rPr>
          <w:rFonts w:hint="eastAsia" w:ascii="宋体" w:hAnsi="宋体" w:cs="宋体"/>
          <w:color w:val="auto"/>
          <w:sz w:val="20"/>
          <w:szCs w:val="20"/>
          <w:highlight w:val="none"/>
        </w:rPr>
      </w:pPr>
      <w:r>
        <w:rPr>
          <w:rFonts w:hint="eastAsia" w:ascii="宋体" w:hAnsi="宋体" w:cs="宋体"/>
          <w:color w:val="auto"/>
          <w:sz w:val="20"/>
          <w:szCs w:val="20"/>
          <w:highlight w:val="none"/>
        </w:rPr>
        <w:t>d.实施过程中应科学、合理地掌握与其他工作的协调、交叉。</w:t>
      </w:r>
    </w:p>
    <w:p w14:paraId="23224692">
      <w:pPr>
        <w:numPr>
          <w:ilvl w:val="-1"/>
          <w:numId w:val="0"/>
        </w:numPr>
        <w:snapToGrid w:val="0"/>
        <w:spacing w:line="360" w:lineRule="auto"/>
        <w:ind w:left="0" w:leftChars="0" w:firstLine="400" w:firstLineChars="200"/>
        <w:contextualSpacing/>
        <w:rPr>
          <w:rFonts w:hint="eastAsia" w:ascii="宋体" w:hAnsi="宋体" w:cs="宋体"/>
          <w:color w:val="auto"/>
          <w:sz w:val="20"/>
          <w:szCs w:val="20"/>
          <w:highlight w:val="none"/>
        </w:rPr>
      </w:pPr>
      <w:r>
        <w:rPr>
          <w:rFonts w:hint="eastAsia" w:ascii="宋体" w:hAnsi="宋体" w:cs="宋体"/>
          <w:color w:val="auto"/>
          <w:sz w:val="20"/>
          <w:szCs w:val="20"/>
          <w:highlight w:val="none"/>
        </w:rPr>
        <w:t>（</w:t>
      </w:r>
      <w:r>
        <w:rPr>
          <w:rFonts w:hint="eastAsia" w:ascii="宋体" w:hAnsi="宋体" w:cs="宋体"/>
          <w:color w:val="auto"/>
          <w:sz w:val="20"/>
          <w:szCs w:val="20"/>
          <w:highlight w:val="none"/>
          <w:lang w:val="en-US" w:eastAsia="zh-CN"/>
        </w:rPr>
        <w:t>3</w:t>
      </w:r>
      <w:r>
        <w:rPr>
          <w:rFonts w:hint="eastAsia" w:ascii="宋体" w:hAnsi="宋体" w:cs="宋体"/>
          <w:color w:val="auto"/>
          <w:sz w:val="20"/>
          <w:szCs w:val="20"/>
          <w:highlight w:val="none"/>
        </w:rPr>
        <w:t>）</w:t>
      </w:r>
      <w:r>
        <w:rPr>
          <w:rFonts w:hint="eastAsia" w:ascii="宋体" w:hAnsi="宋体" w:cs="宋体"/>
          <w:color w:val="auto"/>
          <w:sz w:val="20"/>
          <w:szCs w:val="20"/>
          <w:highlight w:val="none"/>
          <w:lang w:eastAsia="zh-CN"/>
        </w:rPr>
        <w:t>供应商</w:t>
      </w:r>
      <w:r>
        <w:rPr>
          <w:rFonts w:hint="eastAsia" w:ascii="宋体" w:hAnsi="宋体" w:cs="宋体"/>
          <w:color w:val="auto"/>
          <w:sz w:val="20"/>
          <w:szCs w:val="20"/>
          <w:highlight w:val="none"/>
        </w:rPr>
        <w:t>提供的书面技术资料应能满足确保系统正常运行所需的管理、运营及维护有关的全套文件。</w:t>
      </w:r>
      <w:r>
        <w:rPr>
          <w:rFonts w:hint="eastAsia" w:ascii="宋体" w:hAnsi="宋体" w:cs="宋体"/>
          <w:color w:val="auto"/>
          <w:sz w:val="20"/>
          <w:szCs w:val="20"/>
          <w:highlight w:val="none"/>
          <w:lang w:eastAsia="zh-CN"/>
        </w:rPr>
        <w:t>供应商</w:t>
      </w:r>
      <w:r>
        <w:rPr>
          <w:rFonts w:hint="eastAsia" w:ascii="宋体" w:hAnsi="宋体" w:cs="宋体"/>
          <w:color w:val="auto"/>
          <w:sz w:val="20"/>
          <w:szCs w:val="20"/>
          <w:highlight w:val="none"/>
        </w:rPr>
        <w:t>提供的技术文件至少应包括：</w:t>
      </w:r>
    </w:p>
    <w:p w14:paraId="358EB13F">
      <w:pPr>
        <w:spacing w:before="157" w:beforeLines="50" w:line="360" w:lineRule="auto"/>
        <w:ind w:firstLine="400" w:firstLineChars="200"/>
        <w:rPr>
          <w:rFonts w:hint="eastAsia" w:ascii="宋体" w:hAnsi="宋体" w:cs="宋体"/>
          <w:color w:val="auto"/>
          <w:sz w:val="20"/>
          <w:szCs w:val="20"/>
          <w:highlight w:val="none"/>
        </w:rPr>
      </w:pPr>
      <w:r>
        <w:rPr>
          <w:rFonts w:hint="eastAsia" w:ascii="宋体" w:hAnsi="宋体" w:cs="宋体"/>
          <w:color w:val="auto"/>
          <w:sz w:val="20"/>
          <w:szCs w:val="20"/>
          <w:highlight w:val="none"/>
        </w:rPr>
        <w:t>a.部署文档；b.详细设计文档；c.概要设计文档；d.测试用例；e.测试报告；f.用户操作手册；g.运维文档。</w:t>
      </w:r>
    </w:p>
    <w:p w14:paraId="72621664">
      <w:pPr>
        <w:numPr>
          <w:ilvl w:val="-1"/>
          <w:numId w:val="0"/>
        </w:numPr>
        <w:snapToGrid w:val="0"/>
        <w:spacing w:line="360" w:lineRule="auto"/>
        <w:ind w:left="0" w:leftChars="0" w:firstLine="400" w:firstLineChars="200"/>
        <w:contextualSpacing/>
        <w:rPr>
          <w:rFonts w:hint="eastAsia" w:ascii="宋体" w:hAnsi="宋体" w:cs="宋体"/>
          <w:color w:val="auto"/>
          <w:sz w:val="20"/>
          <w:szCs w:val="20"/>
          <w:highlight w:val="none"/>
        </w:rPr>
      </w:pPr>
      <w:r>
        <w:rPr>
          <w:rFonts w:hint="eastAsia" w:ascii="宋体" w:hAnsi="宋体" w:cs="宋体"/>
          <w:color w:val="auto"/>
          <w:sz w:val="20"/>
          <w:szCs w:val="20"/>
          <w:highlight w:val="none"/>
        </w:rPr>
        <w:t>（</w:t>
      </w:r>
      <w:r>
        <w:rPr>
          <w:rFonts w:hint="eastAsia" w:ascii="宋体" w:hAnsi="宋体" w:cs="宋体"/>
          <w:color w:val="auto"/>
          <w:sz w:val="20"/>
          <w:szCs w:val="20"/>
          <w:highlight w:val="none"/>
          <w:lang w:val="en-US" w:eastAsia="zh-CN"/>
        </w:rPr>
        <w:t>4</w:t>
      </w:r>
      <w:r>
        <w:rPr>
          <w:rFonts w:hint="eastAsia" w:ascii="宋体" w:hAnsi="宋体" w:cs="宋体"/>
          <w:color w:val="auto"/>
          <w:sz w:val="20"/>
          <w:szCs w:val="20"/>
          <w:highlight w:val="none"/>
        </w:rPr>
        <w:t>）</w:t>
      </w:r>
      <w:r>
        <w:rPr>
          <w:rFonts w:hint="eastAsia" w:ascii="宋体" w:hAnsi="宋体" w:cs="宋体"/>
          <w:color w:val="auto"/>
          <w:sz w:val="20"/>
          <w:szCs w:val="20"/>
          <w:highlight w:val="none"/>
          <w:lang w:eastAsia="zh-CN"/>
        </w:rPr>
        <w:t>供应商</w:t>
      </w:r>
      <w:r>
        <w:rPr>
          <w:rFonts w:hint="eastAsia" w:ascii="宋体" w:hAnsi="宋体" w:cs="宋体"/>
          <w:color w:val="auto"/>
          <w:sz w:val="20"/>
          <w:szCs w:val="20"/>
          <w:highlight w:val="none"/>
        </w:rPr>
        <w:t>应针对采购人的网络信息资料严格保密，否则将负法律责任。</w:t>
      </w:r>
    </w:p>
    <w:p w14:paraId="6466A75E">
      <w:pPr>
        <w:pStyle w:val="5"/>
        <w:numPr>
          <w:ilvl w:val="0"/>
          <w:numId w:val="0"/>
        </w:numPr>
        <w:tabs>
          <w:tab w:val="left" w:pos="-839"/>
          <w:tab w:val="left" w:pos="720"/>
          <w:tab w:val="clear" w:pos="900"/>
        </w:tabs>
        <w:ind w:left="0" w:firstLine="402" w:firstLineChars="20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七、测试和验收</w:t>
      </w:r>
    </w:p>
    <w:p w14:paraId="7B18AAC6">
      <w:pPr>
        <w:spacing w:before="157" w:beforeLines="50" w:line="360" w:lineRule="auto"/>
        <w:ind w:firstLine="400" w:firstLineChars="200"/>
        <w:rPr>
          <w:rFonts w:hint="default"/>
        </w:rPr>
      </w:pPr>
      <w:r>
        <w:rPr>
          <w:rFonts w:hint="eastAsia" w:ascii="宋体" w:hAnsi="宋体" w:cs="宋体"/>
          <w:color w:val="auto"/>
          <w:sz w:val="20"/>
          <w:szCs w:val="20"/>
          <w:highlight w:val="none"/>
        </w:rPr>
        <w:t>采购人根据本招标文件的相关规定组织验收，要求如下：</w:t>
      </w:r>
    </w:p>
    <w:p w14:paraId="0CF69ECF">
      <w:pPr>
        <w:numPr>
          <w:ilvl w:val="-1"/>
          <w:numId w:val="0"/>
        </w:numPr>
        <w:snapToGrid w:val="0"/>
        <w:spacing w:line="360" w:lineRule="auto"/>
        <w:ind w:left="0" w:leftChars="0" w:firstLine="400" w:firstLineChars="200"/>
        <w:contextualSpacing/>
        <w:rPr>
          <w:rFonts w:hint="default" w:ascii="宋体" w:hAnsi="宋体" w:cs="宋体"/>
          <w:color w:val="auto"/>
          <w:sz w:val="20"/>
          <w:szCs w:val="20"/>
          <w:highlight w:val="none"/>
        </w:rPr>
      </w:pPr>
      <w:r>
        <w:rPr>
          <w:rFonts w:hint="eastAsia" w:ascii="宋体" w:hAnsi="宋体" w:cs="宋体"/>
          <w:color w:val="auto"/>
          <w:sz w:val="20"/>
          <w:szCs w:val="20"/>
          <w:highlight w:val="none"/>
        </w:rPr>
        <w:t>（1）</w:t>
      </w:r>
      <w:r>
        <w:rPr>
          <w:rFonts w:hint="default" w:ascii="宋体" w:hAnsi="宋体" w:cs="宋体"/>
          <w:color w:val="auto"/>
          <w:sz w:val="20"/>
          <w:szCs w:val="20"/>
          <w:highlight w:val="none"/>
        </w:rPr>
        <w:t>项目建设完成后，由中标方提出初验申请</w:t>
      </w:r>
      <w:r>
        <w:rPr>
          <w:rFonts w:hint="eastAsia" w:ascii="宋体" w:hAnsi="宋体" w:cs="宋体"/>
          <w:color w:val="auto"/>
          <w:sz w:val="20"/>
          <w:szCs w:val="20"/>
          <w:highlight w:val="none"/>
        </w:rPr>
        <w:t>，</w:t>
      </w:r>
      <w:r>
        <w:rPr>
          <w:rFonts w:hint="default" w:ascii="宋体" w:hAnsi="宋体" w:cs="宋体"/>
          <w:color w:val="auto"/>
          <w:sz w:val="20"/>
          <w:szCs w:val="20"/>
          <w:highlight w:val="none"/>
        </w:rPr>
        <w:t>采购人邀请专家成立验收组开展项目初验，初验通过后进入试运行。</w:t>
      </w:r>
    </w:p>
    <w:p w14:paraId="5108864C">
      <w:pPr>
        <w:numPr>
          <w:ilvl w:val="-1"/>
          <w:numId w:val="0"/>
        </w:numPr>
        <w:snapToGrid w:val="0"/>
        <w:spacing w:line="360" w:lineRule="auto"/>
        <w:ind w:left="0" w:leftChars="0" w:firstLine="400" w:firstLineChars="200"/>
        <w:contextualSpacing/>
        <w:rPr>
          <w:rFonts w:hint="eastAsia" w:ascii="宋体" w:hAnsi="宋体" w:cs="宋体"/>
          <w:color w:val="auto"/>
          <w:sz w:val="20"/>
          <w:szCs w:val="20"/>
          <w:highlight w:val="none"/>
        </w:rPr>
      </w:pPr>
      <w:r>
        <w:rPr>
          <w:rFonts w:hint="eastAsia" w:ascii="宋体" w:hAnsi="宋体" w:cs="宋体"/>
          <w:color w:val="auto"/>
          <w:sz w:val="20"/>
          <w:szCs w:val="20"/>
          <w:highlight w:val="none"/>
        </w:rPr>
        <w:t>（</w:t>
      </w:r>
      <w:r>
        <w:rPr>
          <w:rFonts w:hint="eastAsia" w:ascii="宋体" w:hAnsi="宋体" w:cs="宋体"/>
          <w:color w:val="auto"/>
          <w:sz w:val="20"/>
          <w:szCs w:val="20"/>
          <w:highlight w:val="none"/>
          <w:lang w:val="en-US" w:eastAsia="zh-CN"/>
        </w:rPr>
        <w:t>2</w:t>
      </w:r>
      <w:r>
        <w:rPr>
          <w:rFonts w:hint="eastAsia" w:ascii="宋体" w:hAnsi="宋体" w:cs="宋体"/>
          <w:color w:val="auto"/>
          <w:sz w:val="20"/>
          <w:szCs w:val="20"/>
          <w:highlight w:val="none"/>
        </w:rPr>
        <w:t>）</w:t>
      </w:r>
      <w:r>
        <w:rPr>
          <w:rFonts w:hint="default" w:ascii="宋体" w:hAnsi="宋体" w:cs="宋体"/>
          <w:color w:val="auto"/>
          <w:sz w:val="20"/>
          <w:szCs w:val="20"/>
          <w:highlight w:val="none"/>
        </w:rPr>
        <w:t>试运行</w:t>
      </w:r>
      <w:r>
        <w:rPr>
          <w:rFonts w:hint="default" w:ascii="宋体" w:hAnsi="宋体" w:eastAsia="宋体" w:cs="宋体"/>
          <w:color w:val="auto"/>
          <w:sz w:val="20"/>
          <w:szCs w:val="20"/>
          <w:highlight w:val="none"/>
        </w:rPr>
        <w:t>正常且满足终验条件后，由中标方提出终验申请</w:t>
      </w:r>
      <w:r>
        <w:rPr>
          <w:rFonts w:hint="eastAsia" w:ascii="宋体" w:hAnsi="宋体" w:eastAsia="宋体" w:cs="宋体"/>
          <w:color w:val="auto"/>
          <w:sz w:val="20"/>
          <w:szCs w:val="20"/>
          <w:highlight w:val="none"/>
        </w:rPr>
        <w:t>，</w:t>
      </w:r>
      <w:r>
        <w:rPr>
          <w:rFonts w:hint="default" w:ascii="宋体" w:hAnsi="宋体" w:eastAsia="宋体" w:cs="宋体"/>
          <w:color w:val="auto"/>
          <w:sz w:val="20"/>
          <w:szCs w:val="20"/>
          <w:highlight w:val="none"/>
        </w:rPr>
        <w:t>终验时中标方</w:t>
      </w:r>
      <w:r>
        <w:rPr>
          <w:rFonts w:hint="default" w:ascii="宋体" w:hAnsi="宋体" w:eastAsia="宋体" w:cs="宋体"/>
          <w:color w:val="auto"/>
          <w:sz w:val="20"/>
          <w:szCs w:val="20"/>
          <w:highlight w:val="none"/>
          <w:lang w:eastAsia="zh-CN"/>
        </w:rPr>
        <w:t>应</w:t>
      </w:r>
      <w:r>
        <w:rPr>
          <w:rFonts w:hint="eastAsia" w:ascii="宋体" w:hAnsi="宋体" w:eastAsia="宋体" w:cs="宋体"/>
          <w:color w:val="auto"/>
          <w:sz w:val="20"/>
          <w:szCs w:val="20"/>
          <w:highlight w:val="none"/>
        </w:rPr>
        <w:t>将所有项目文档（包括需求规格说明书、用户手册、操作手册、测试报告、数据字典、试运行报告、渗透测试报告、信息安全等级保护二级测评报告、信创符合性测评报告、密码测评、密码方案评审、密码应用服务、运维文档等） 完整移</w:t>
      </w:r>
      <w:r>
        <w:rPr>
          <w:rFonts w:hint="eastAsia" w:ascii="宋体" w:hAnsi="宋体" w:cs="宋体"/>
          <w:color w:val="auto"/>
          <w:sz w:val="20"/>
          <w:szCs w:val="20"/>
          <w:highlight w:val="none"/>
        </w:rPr>
        <w:t>交采购人。</w:t>
      </w:r>
    </w:p>
    <w:p w14:paraId="6B8346A0">
      <w:pPr>
        <w:pStyle w:val="5"/>
        <w:numPr>
          <w:ilvl w:val="0"/>
          <w:numId w:val="0"/>
        </w:numPr>
        <w:tabs>
          <w:tab w:val="left" w:pos="-839"/>
          <w:tab w:val="left" w:pos="720"/>
          <w:tab w:val="clear" w:pos="900"/>
        </w:tabs>
        <w:ind w:left="0" w:firstLine="402" w:firstLineChars="20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八、培训要求</w:t>
      </w:r>
    </w:p>
    <w:p w14:paraId="6897537F">
      <w:pPr>
        <w:numPr>
          <w:ilvl w:val="-1"/>
          <w:numId w:val="0"/>
        </w:numPr>
        <w:snapToGrid w:val="0"/>
        <w:spacing w:line="360" w:lineRule="auto"/>
        <w:ind w:left="0" w:leftChars="0" w:firstLine="400" w:firstLineChars="200"/>
        <w:contextualSpacing/>
        <w:rPr>
          <w:rFonts w:hint="eastAsia" w:ascii="宋体" w:hAnsi="宋体" w:cs="宋体"/>
          <w:color w:val="auto"/>
          <w:sz w:val="20"/>
          <w:szCs w:val="20"/>
          <w:highlight w:val="none"/>
        </w:rPr>
      </w:pPr>
      <w:r>
        <w:rPr>
          <w:rFonts w:hint="eastAsia" w:ascii="宋体" w:hAnsi="宋体" w:cs="宋体"/>
          <w:color w:val="auto"/>
          <w:sz w:val="20"/>
          <w:szCs w:val="20"/>
          <w:highlight w:val="none"/>
        </w:rPr>
        <w:t>（1）</w:t>
      </w:r>
      <w:r>
        <w:rPr>
          <w:rFonts w:hint="eastAsia" w:ascii="宋体" w:hAnsi="宋体" w:cs="宋体"/>
          <w:color w:val="auto"/>
          <w:sz w:val="20"/>
          <w:szCs w:val="20"/>
          <w:highlight w:val="none"/>
          <w:lang w:val="en-US" w:eastAsia="zh-CN"/>
        </w:rPr>
        <w:t>供应商</w:t>
      </w:r>
      <w:r>
        <w:rPr>
          <w:rFonts w:hint="eastAsia" w:ascii="宋体" w:hAnsi="宋体" w:cs="宋体"/>
          <w:color w:val="auto"/>
          <w:sz w:val="20"/>
          <w:szCs w:val="20"/>
          <w:highlight w:val="none"/>
        </w:rPr>
        <w:t>必须为</w:t>
      </w:r>
      <w:r>
        <w:rPr>
          <w:rFonts w:hint="eastAsia" w:ascii="宋体" w:hAnsi="宋体" w:cs="宋体"/>
          <w:color w:val="auto"/>
          <w:sz w:val="20"/>
          <w:szCs w:val="20"/>
          <w:highlight w:val="none"/>
          <w:lang w:val="en-US" w:eastAsia="zh-CN"/>
        </w:rPr>
        <w:t>采购</w:t>
      </w:r>
      <w:r>
        <w:rPr>
          <w:rFonts w:hint="eastAsia" w:ascii="宋体" w:hAnsi="宋体" w:cs="宋体"/>
          <w:color w:val="auto"/>
          <w:sz w:val="20"/>
          <w:szCs w:val="20"/>
          <w:highlight w:val="none"/>
        </w:rPr>
        <w:t>人提供系统使用、系统操作和管理维护培训，培训形式包括现场操作培训、上机操作培训、理论基础知识培训等。</w:t>
      </w:r>
    </w:p>
    <w:p w14:paraId="51281696">
      <w:pPr>
        <w:numPr>
          <w:ilvl w:val="-1"/>
          <w:numId w:val="0"/>
        </w:numPr>
        <w:snapToGrid w:val="0"/>
        <w:spacing w:line="360" w:lineRule="auto"/>
        <w:ind w:left="0" w:leftChars="0" w:firstLine="400" w:firstLineChars="200"/>
        <w:contextualSpacing/>
        <w:rPr>
          <w:rFonts w:hint="eastAsia" w:ascii="宋体" w:hAnsi="宋体" w:cs="宋体"/>
          <w:color w:val="auto"/>
          <w:sz w:val="20"/>
          <w:szCs w:val="20"/>
          <w:highlight w:val="none"/>
        </w:rPr>
      </w:pPr>
      <w:r>
        <w:rPr>
          <w:rFonts w:hint="eastAsia" w:ascii="宋体" w:hAnsi="宋体" w:cs="宋体"/>
          <w:color w:val="auto"/>
          <w:sz w:val="20"/>
          <w:szCs w:val="20"/>
          <w:highlight w:val="none"/>
        </w:rPr>
        <w:t>（</w:t>
      </w:r>
      <w:r>
        <w:rPr>
          <w:rFonts w:hint="eastAsia" w:ascii="宋体" w:hAnsi="宋体" w:cs="宋体"/>
          <w:color w:val="auto"/>
          <w:sz w:val="20"/>
          <w:szCs w:val="20"/>
          <w:highlight w:val="none"/>
          <w:lang w:val="en-US" w:eastAsia="zh-CN"/>
        </w:rPr>
        <w:t>2</w:t>
      </w:r>
      <w:r>
        <w:rPr>
          <w:rFonts w:hint="eastAsia" w:ascii="宋体" w:hAnsi="宋体" w:cs="宋体"/>
          <w:color w:val="auto"/>
          <w:sz w:val="20"/>
          <w:szCs w:val="20"/>
          <w:highlight w:val="none"/>
        </w:rPr>
        <w:t>）</w:t>
      </w:r>
      <w:r>
        <w:rPr>
          <w:rFonts w:hint="eastAsia" w:ascii="宋体" w:hAnsi="宋体" w:cs="宋体"/>
          <w:color w:val="auto"/>
          <w:sz w:val="20"/>
          <w:szCs w:val="20"/>
          <w:highlight w:val="none"/>
          <w:lang w:val="en-US" w:eastAsia="zh-CN"/>
        </w:rPr>
        <w:t>供应商</w:t>
      </w:r>
      <w:r>
        <w:rPr>
          <w:rFonts w:hint="eastAsia" w:ascii="宋体" w:hAnsi="宋体" w:cs="宋体"/>
          <w:color w:val="auto"/>
          <w:sz w:val="20"/>
          <w:szCs w:val="20"/>
          <w:highlight w:val="none"/>
        </w:rPr>
        <w:t>应在投标文件中提供详细的培训计划，包括培训项目、人数、地点、日程、资料、其它等详细内容，为所有被培训人员提供培训用文字资料和讲义等相关用品。</w:t>
      </w:r>
    </w:p>
    <w:p w14:paraId="3F05786C">
      <w:pPr>
        <w:numPr>
          <w:ilvl w:val="-1"/>
          <w:numId w:val="0"/>
        </w:numPr>
        <w:snapToGrid w:val="0"/>
        <w:spacing w:line="360" w:lineRule="auto"/>
        <w:ind w:left="0" w:leftChars="0" w:firstLine="400" w:firstLineChars="200"/>
        <w:contextualSpacing/>
        <w:rPr>
          <w:rFonts w:hint="eastAsia" w:ascii="宋体" w:hAnsi="宋体" w:cs="宋体"/>
          <w:color w:val="auto"/>
          <w:sz w:val="20"/>
          <w:szCs w:val="20"/>
          <w:highlight w:val="none"/>
        </w:rPr>
      </w:pPr>
      <w:r>
        <w:rPr>
          <w:rFonts w:hint="eastAsia" w:ascii="宋体" w:hAnsi="宋体" w:cs="宋体"/>
          <w:color w:val="auto"/>
          <w:sz w:val="20"/>
          <w:szCs w:val="20"/>
          <w:highlight w:val="none"/>
        </w:rPr>
        <w:t>（</w:t>
      </w:r>
      <w:r>
        <w:rPr>
          <w:rFonts w:hint="eastAsia" w:ascii="宋体" w:hAnsi="宋体" w:cs="宋体"/>
          <w:color w:val="auto"/>
          <w:sz w:val="20"/>
          <w:szCs w:val="20"/>
          <w:highlight w:val="none"/>
          <w:lang w:val="en-US" w:eastAsia="zh-CN"/>
        </w:rPr>
        <w:t>3</w:t>
      </w:r>
      <w:r>
        <w:rPr>
          <w:rFonts w:hint="eastAsia" w:ascii="宋体" w:hAnsi="宋体" w:cs="宋体"/>
          <w:color w:val="auto"/>
          <w:sz w:val="20"/>
          <w:szCs w:val="20"/>
          <w:highlight w:val="none"/>
        </w:rPr>
        <w:t>）培训目的：在培训后</w:t>
      </w:r>
      <w:r>
        <w:rPr>
          <w:rFonts w:hint="default" w:ascii="宋体" w:hAnsi="宋体" w:cs="宋体"/>
          <w:color w:val="auto"/>
          <w:sz w:val="20"/>
          <w:szCs w:val="20"/>
          <w:highlight w:val="none"/>
        </w:rPr>
        <w:t>确保系统使用人员</w:t>
      </w:r>
      <w:r>
        <w:rPr>
          <w:rFonts w:hint="eastAsia" w:ascii="宋体" w:hAnsi="宋体" w:cs="宋体"/>
          <w:color w:val="auto"/>
          <w:sz w:val="20"/>
          <w:szCs w:val="20"/>
          <w:highlight w:val="none"/>
        </w:rPr>
        <w:t>能够独立地使用和操作系统，使管理方系统维护人员能够独立进行系统管理、维护的效果。</w:t>
      </w:r>
    </w:p>
    <w:p w14:paraId="25677ABA">
      <w:pPr>
        <w:numPr>
          <w:ilvl w:val="-1"/>
          <w:numId w:val="0"/>
        </w:numPr>
        <w:snapToGrid w:val="0"/>
        <w:spacing w:line="360" w:lineRule="auto"/>
        <w:ind w:left="0" w:leftChars="0" w:firstLine="400" w:firstLineChars="200"/>
        <w:contextualSpacing/>
        <w:rPr>
          <w:rFonts w:hint="eastAsia" w:ascii="宋体" w:hAnsi="宋体" w:cs="宋体"/>
          <w:color w:val="auto"/>
          <w:sz w:val="20"/>
          <w:szCs w:val="20"/>
          <w:highlight w:val="none"/>
        </w:rPr>
      </w:pPr>
      <w:r>
        <w:rPr>
          <w:rFonts w:hint="eastAsia" w:ascii="宋体" w:hAnsi="宋体" w:cs="宋体"/>
          <w:color w:val="auto"/>
          <w:sz w:val="20"/>
          <w:szCs w:val="20"/>
          <w:highlight w:val="none"/>
        </w:rPr>
        <w:t>（</w:t>
      </w:r>
      <w:r>
        <w:rPr>
          <w:rFonts w:hint="eastAsia" w:ascii="宋体" w:hAnsi="宋体" w:cs="宋体"/>
          <w:color w:val="auto"/>
          <w:sz w:val="20"/>
          <w:szCs w:val="20"/>
          <w:highlight w:val="none"/>
          <w:lang w:val="en-US" w:eastAsia="zh-CN"/>
        </w:rPr>
        <w:t>4</w:t>
      </w:r>
      <w:r>
        <w:rPr>
          <w:rFonts w:hint="eastAsia" w:ascii="宋体" w:hAnsi="宋体" w:cs="宋体"/>
          <w:color w:val="auto"/>
          <w:sz w:val="20"/>
          <w:szCs w:val="20"/>
          <w:highlight w:val="none"/>
        </w:rPr>
        <w:t>）</w:t>
      </w:r>
      <w:r>
        <w:rPr>
          <w:rFonts w:hint="eastAsia" w:ascii="宋体" w:hAnsi="宋体" w:cs="宋体"/>
          <w:color w:val="auto"/>
          <w:sz w:val="20"/>
          <w:szCs w:val="20"/>
          <w:highlight w:val="none"/>
          <w:lang w:eastAsia="zh-CN"/>
        </w:rPr>
        <w:t>供应商</w:t>
      </w:r>
      <w:r>
        <w:rPr>
          <w:rFonts w:hint="eastAsia" w:ascii="宋体" w:hAnsi="宋体" w:cs="宋体"/>
          <w:color w:val="auto"/>
          <w:sz w:val="20"/>
          <w:szCs w:val="20"/>
          <w:highlight w:val="none"/>
        </w:rPr>
        <w:t>培训人员须是资深工程师,应保证提供有参与系统开发和丰富授课经验的教员。</w:t>
      </w:r>
    </w:p>
    <w:p w14:paraId="2634633F">
      <w:pPr>
        <w:numPr>
          <w:ilvl w:val="-1"/>
          <w:numId w:val="0"/>
        </w:numPr>
        <w:snapToGrid w:val="0"/>
        <w:spacing w:line="360" w:lineRule="auto"/>
        <w:ind w:left="0" w:leftChars="0" w:firstLine="400" w:firstLineChars="200"/>
        <w:contextualSpacing/>
        <w:rPr>
          <w:rFonts w:hint="eastAsia" w:ascii="宋体" w:hAnsi="宋体" w:cs="宋体"/>
          <w:color w:val="auto"/>
          <w:sz w:val="20"/>
          <w:szCs w:val="20"/>
          <w:highlight w:val="none"/>
        </w:rPr>
      </w:pPr>
      <w:r>
        <w:rPr>
          <w:rFonts w:hint="eastAsia" w:ascii="宋体" w:hAnsi="宋体" w:cs="宋体"/>
          <w:color w:val="auto"/>
          <w:sz w:val="20"/>
          <w:szCs w:val="20"/>
          <w:highlight w:val="none"/>
        </w:rPr>
        <w:t>（</w:t>
      </w:r>
      <w:r>
        <w:rPr>
          <w:rFonts w:hint="eastAsia" w:ascii="宋体" w:hAnsi="宋体" w:cs="宋体"/>
          <w:color w:val="auto"/>
          <w:sz w:val="20"/>
          <w:szCs w:val="20"/>
          <w:highlight w:val="none"/>
          <w:lang w:val="en-US" w:eastAsia="zh-CN"/>
        </w:rPr>
        <w:t>5</w:t>
      </w:r>
      <w:r>
        <w:rPr>
          <w:rFonts w:hint="eastAsia" w:ascii="宋体" w:hAnsi="宋体" w:cs="宋体"/>
          <w:color w:val="auto"/>
          <w:sz w:val="20"/>
          <w:szCs w:val="20"/>
          <w:highlight w:val="none"/>
        </w:rPr>
        <w:t>）培训总时间要求：建设基本完工后，项目试运行</w:t>
      </w:r>
      <w:r>
        <w:rPr>
          <w:rFonts w:hint="default" w:ascii="宋体" w:hAnsi="宋体" w:cs="宋体"/>
          <w:color w:val="auto"/>
          <w:sz w:val="20"/>
          <w:szCs w:val="20"/>
          <w:highlight w:val="none"/>
        </w:rPr>
        <w:t>现场</w:t>
      </w:r>
      <w:r>
        <w:rPr>
          <w:rFonts w:hint="eastAsia" w:ascii="宋体" w:hAnsi="宋体" w:cs="宋体"/>
          <w:color w:val="auto"/>
          <w:sz w:val="20"/>
          <w:szCs w:val="20"/>
          <w:highlight w:val="none"/>
        </w:rPr>
        <w:t>培训要求不少于1次。</w:t>
      </w:r>
    </w:p>
    <w:p w14:paraId="2B4FB909">
      <w:pPr>
        <w:numPr>
          <w:ilvl w:val="-1"/>
          <w:numId w:val="0"/>
        </w:numPr>
        <w:snapToGrid w:val="0"/>
        <w:spacing w:line="360" w:lineRule="auto"/>
        <w:ind w:left="0" w:leftChars="0" w:firstLine="400" w:firstLineChars="200"/>
        <w:contextualSpacing/>
        <w:rPr>
          <w:rFonts w:hint="eastAsia" w:ascii="宋体" w:hAnsi="宋体" w:cs="宋体"/>
          <w:color w:val="auto"/>
          <w:sz w:val="20"/>
          <w:szCs w:val="20"/>
          <w:highlight w:val="none"/>
        </w:rPr>
      </w:pPr>
      <w:r>
        <w:rPr>
          <w:rFonts w:hint="eastAsia" w:ascii="宋体" w:hAnsi="宋体" w:cs="宋体"/>
          <w:color w:val="auto"/>
          <w:sz w:val="20"/>
          <w:szCs w:val="20"/>
          <w:highlight w:val="none"/>
        </w:rPr>
        <w:t>（</w:t>
      </w:r>
      <w:r>
        <w:rPr>
          <w:rFonts w:hint="eastAsia" w:ascii="宋体" w:hAnsi="宋体" w:cs="宋体"/>
          <w:color w:val="auto"/>
          <w:sz w:val="20"/>
          <w:szCs w:val="20"/>
          <w:highlight w:val="none"/>
          <w:lang w:val="en-US" w:eastAsia="zh-CN"/>
        </w:rPr>
        <w:t>6</w:t>
      </w:r>
      <w:r>
        <w:rPr>
          <w:rFonts w:hint="eastAsia" w:ascii="宋体" w:hAnsi="宋体" w:cs="宋体"/>
          <w:color w:val="auto"/>
          <w:sz w:val="20"/>
          <w:szCs w:val="20"/>
          <w:highlight w:val="none"/>
        </w:rPr>
        <w:t>）应准备培训教材和培训资料的电子材料和纸质材料，培训教材和培训资料的语言应为简体中文。所有培训费用（含培训教材费），已包括在投标总价中。</w:t>
      </w:r>
    </w:p>
    <w:p w14:paraId="693722B2">
      <w:pPr>
        <w:numPr>
          <w:ilvl w:val="-1"/>
          <w:numId w:val="0"/>
        </w:numPr>
        <w:snapToGrid w:val="0"/>
        <w:spacing w:line="360" w:lineRule="auto"/>
        <w:ind w:left="0" w:leftChars="0" w:firstLine="400" w:firstLineChars="200"/>
        <w:contextualSpacing/>
        <w:rPr>
          <w:rFonts w:hint="eastAsia" w:ascii="宋体" w:hAnsi="宋体" w:cs="宋体"/>
          <w:color w:val="auto"/>
          <w:sz w:val="20"/>
          <w:szCs w:val="20"/>
          <w:highlight w:val="none"/>
        </w:rPr>
      </w:pPr>
      <w:r>
        <w:rPr>
          <w:rFonts w:hint="eastAsia" w:ascii="宋体" w:hAnsi="宋体" w:cs="宋体"/>
          <w:color w:val="auto"/>
          <w:sz w:val="20"/>
          <w:szCs w:val="20"/>
          <w:highlight w:val="none"/>
        </w:rPr>
        <w:t>（</w:t>
      </w:r>
      <w:r>
        <w:rPr>
          <w:rFonts w:hint="eastAsia" w:ascii="宋体" w:hAnsi="宋体" w:cs="宋体"/>
          <w:color w:val="auto"/>
          <w:sz w:val="20"/>
          <w:szCs w:val="20"/>
          <w:highlight w:val="none"/>
          <w:lang w:val="en-US" w:eastAsia="zh-CN"/>
        </w:rPr>
        <w:t>7</w:t>
      </w:r>
      <w:r>
        <w:rPr>
          <w:rFonts w:hint="eastAsia" w:ascii="宋体" w:hAnsi="宋体" w:cs="宋体"/>
          <w:color w:val="auto"/>
          <w:sz w:val="20"/>
          <w:szCs w:val="20"/>
          <w:highlight w:val="none"/>
        </w:rPr>
        <w:t>）每次培训需在杭州市范围内举行，如需对培训次数、培训场地等变更，则实际培训时间、人数和地点按</w:t>
      </w:r>
      <w:r>
        <w:rPr>
          <w:rFonts w:hint="eastAsia" w:ascii="宋体" w:hAnsi="宋体" w:cs="宋体"/>
          <w:color w:val="auto"/>
          <w:sz w:val="20"/>
          <w:szCs w:val="20"/>
          <w:highlight w:val="none"/>
          <w:lang w:eastAsia="zh-CN"/>
        </w:rPr>
        <w:t>供应商</w:t>
      </w:r>
      <w:r>
        <w:rPr>
          <w:rFonts w:hint="eastAsia" w:ascii="宋体" w:hAnsi="宋体" w:cs="宋体"/>
          <w:color w:val="auto"/>
          <w:sz w:val="20"/>
          <w:szCs w:val="20"/>
          <w:highlight w:val="none"/>
        </w:rPr>
        <w:t>与项目招标人商定的为准。培训人数应满足管理方的实际需要。</w:t>
      </w:r>
    </w:p>
    <w:p w14:paraId="0AE1619D">
      <w:pPr>
        <w:pStyle w:val="5"/>
        <w:numPr>
          <w:ilvl w:val="0"/>
          <w:numId w:val="0"/>
        </w:numPr>
        <w:tabs>
          <w:tab w:val="left" w:pos="-839"/>
          <w:tab w:val="left" w:pos="720"/>
          <w:tab w:val="clear" w:pos="900"/>
        </w:tabs>
        <w:ind w:left="0" w:firstLine="402" w:firstLineChars="200"/>
        <w:jc w:val="both"/>
        <w:rPr>
          <w:rFonts w:hint="eastAsia" w:ascii="宋体" w:hAnsi="宋体" w:eastAsia="宋体" w:cs="宋体"/>
          <w:color w:val="auto"/>
          <w:sz w:val="20"/>
          <w:szCs w:val="20"/>
          <w:highlight w:val="none"/>
        </w:rPr>
      </w:pPr>
      <w:r>
        <w:rPr>
          <w:rFonts w:hint="eastAsia" w:ascii="宋体" w:hAnsi="宋体" w:cs="宋体"/>
          <w:b/>
          <w:bCs/>
          <w:color w:val="auto"/>
          <w:sz w:val="20"/>
          <w:szCs w:val="20"/>
          <w:highlight w:val="none"/>
          <w:lang w:bidi="ar"/>
        </w:rPr>
        <w:t>★</w:t>
      </w:r>
      <w:r>
        <w:rPr>
          <w:rFonts w:hint="eastAsia" w:ascii="宋体" w:hAnsi="宋体" w:eastAsia="宋体" w:cs="宋体"/>
          <w:color w:val="auto"/>
          <w:sz w:val="20"/>
          <w:szCs w:val="20"/>
          <w:highlight w:val="none"/>
        </w:rPr>
        <w:t>九、保密要求</w:t>
      </w:r>
    </w:p>
    <w:p w14:paraId="26FFBA7F">
      <w:pPr>
        <w:keepNext w:val="0"/>
        <w:keepLines w:val="0"/>
        <w:widowControl w:val="0"/>
        <w:numPr>
          <w:ilvl w:val="-1"/>
          <w:numId w:val="0"/>
        </w:numPr>
        <w:suppressLineNumbers w:val="0"/>
        <w:adjustRightInd w:val="0"/>
        <w:snapToGrid w:val="0"/>
        <w:spacing w:before="0" w:beforeAutospacing="0" w:after="0" w:afterAutospacing="0" w:line="360" w:lineRule="auto"/>
        <w:ind w:left="0" w:leftChars="0" w:right="0" w:firstLine="400" w:firstLineChars="200"/>
        <w:contextualSpacing/>
        <w:jc w:val="both"/>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（1）</w:t>
      </w:r>
      <w:r>
        <w:rPr>
          <w:rFonts w:hint="eastAsia" w:ascii="宋体" w:hAnsi="宋体" w:eastAsia="宋体" w:cs="宋体"/>
          <w:color w:val="auto"/>
          <w:sz w:val="20"/>
          <w:szCs w:val="20"/>
          <w:highlight w:val="none"/>
          <w:lang w:val="en-US" w:eastAsia="zh-CN"/>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0E74CE3">
      <w:pPr>
        <w:numPr>
          <w:ilvl w:val="-1"/>
          <w:numId w:val="0"/>
        </w:numPr>
        <w:snapToGrid w:val="0"/>
        <w:spacing w:line="360" w:lineRule="auto"/>
        <w:ind w:left="0" w:leftChars="0" w:firstLine="400" w:firstLineChars="200"/>
        <w:contextualSpacing/>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w:t>
      </w:r>
      <w:r>
        <w:rPr>
          <w:rFonts w:hint="eastAsia" w:ascii="宋体" w:hAnsi="宋体" w:cs="宋体"/>
          <w:color w:val="auto"/>
          <w:sz w:val="20"/>
          <w:szCs w:val="20"/>
          <w:highlight w:val="none"/>
          <w:lang w:val="en-US" w:eastAsia="zh-CN"/>
        </w:rPr>
        <w:t>2</w:t>
      </w:r>
      <w:r>
        <w:rPr>
          <w:rFonts w:hint="eastAsia" w:ascii="宋体" w:hAnsi="宋体" w:cs="宋体"/>
          <w:color w:val="auto"/>
          <w:sz w:val="20"/>
          <w:szCs w:val="20"/>
          <w:highlight w:val="none"/>
        </w:rPr>
        <w:t>）</w:t>
      </w:r>
      <w:r>
        <w:rPr>
          <w:rFonts w:hint="eastAsia" w:ascii="宋体" w:hAnsi="宋体" w:cs="宋体"/>
          <w:color w:val="auto"/>
          <w:sz w:val="20"/>
          <w:szCs w:val="20"/>
          <w:highlight w:val="none"/>
          <w:lang w:val="en-US" w:eastAsia="zh-CN"/>
        </w:rPr>
        <w:t>中标方</w:t>
      </w:r>
      <w:r>
        <w:rPr>
          <w:rFonts w:hint="eastAsia" w:ascii="宋体" w:hAnsi="宋体" w:cs="宋体"/>
          <w:color w:val="auto"/>
          <w:sz w:val="20"/>
          <w:szCs w:val="20"/>
          <w:highlight w:val="none"/>
        </w:rPr>
        <w:t>应遵循采购人各项安全保密制度和规章，所有信息数据在迁移、处理等过程中严禁私自复制、传输，完</w:t>
      </w:r>
      <w:r>
        <w:rPr>
          <w:rFonts w:hint="eastAsia" w:ascii="宋体" w:hAnsi="宋体" w:eastAsia="宋体" w:cs="宋体"/>
          <w:color w:val="auto"/>
          <w:sz w:val="20"/>
          <w:szCs w:val="20"/>
          <w:highlight w:val="none"/>
        </w:rPr>
        <w:t>成建设任务后，档案信息数据必须物理清除。</w:t>
      </w:r>
    </w:p>
    <w:p w14:paraId="23A06A82">
      <w:pPr>
        <w:numPr>
          <w:ilvl w:val="-1"/>
          <w:numId w:val="0"/>
        </w:numPr>
        <w:snapToGrid w:val="0"/>
        <w:spacing w:line="360" w:lineRule="auto"/>
        <w:ind w:left="0" w:leftChars="0" w:firstLine="400" w:firstLineChars="200"/>
        <w:contextualSpacing/>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w:t>
      </w:r>
      <w:r>
        <w:rPr>
          <w:rFonts w:hint="eastAsia" w:ascii="宋体" w:hAnsi="宋体" w:cs="宋体"/>
          <w:color w:val="auto"/>
          <w:sz w:val="20"/>
          <w:szCs w:val="20"/>
          <w:highlight w:val="none"/>
          <w:lang w:val="en-US" w:eastAsia="zh-CN"/>
        </w:rPr>
        <w:t>3</w:t>
      </w:r>
      <w:r>
        <w:rPr>
          <w:rFonts w:hint="eastAsia" w:ascii="宋体" w:hAnsi="宋体" w:cs="宋体"/>
          <w:color w:val="auto"/>
          <w:sz w:val="20"/>
          <w:szCs w:val="20"/>
          <w:highlight w:val="none"/>
        </w:rPr>
        <w:t>）</w:t>
      </w:r>
      <w:r>
        <w:rPr>
          <w:rFonts w:hint="eastAsia" w:ascii="宋体" w:hAnsi="宋体" w:cs="宋体"/>
          <w:color w:val="auto"/>
          <w:sz w:val="20"/>
          <w:szCs w:val="20"/>
          <w:highlight w:val="none"/>
          <w:lang w:val="en-US" w:eastAsia="zh-CN"/>
        </w:rPr>
        <w:t>中标方</w:t>
      </w:r>
      <w:r>
        <w:rPr>
          <w:rFonts w:hint="eastAsia" w:ascii="宋体" w:hAnsi="宋体" w:eastAsia="宋体" w:cs="宋体"/>
          <w:color w:val="auto"/>
          <w:sz w:val="20"/>
          <w:szCs w:val="20"/>
          <w:highlight w:val="none"/>
          <w:lang w:val="en-US" w:eastAsia="zh-CN"/>
        </w:rPr>
        <w:t>应与采购人</w:t>
      </w:r>
      <w:r>
        <w:rPr>
          <w:rFonts w:hint="eastAsia" w:ascii="宋体" w:hAnsi="宋体" w:eastAsia="宋体" w:cs="宋体"/>
          <w:color w:val="auto"/>
          <w:sz w:val="20"/>
          <w:szCs w:val="20"/>
          <w:highlight w:val="none"/>
        </w:rPr>
        <w:t>签定项目保密协议、网络与数据安全保密承诺书、数据资源安全责任书等。</w:t>
      </w:r>
    </w:p>
    <w:p w14:paraId="48EAAFA1">
      <w:pPr>
        <w:pStyle w:val="4"/>
        <w:numPr>
          <w:ilvl w:val="0"/>
          <w:numId w:val="0"/>
        </w:numPr>
        <w:tabs>
          <w:tab w:val="left" w:pos="706"/>
          <w:tab w:val="left" w:pos="1110"/>
          <w:tab w:val="clear" w:pos="432"/>
        </w:tabs>
        <w:ind w:firstLine="402" w:firstLineChars="200"/>
        <w:rPr>
          <w:rFonts w:hint="eastAsia" w:ascii="宋体" w:hAnsi="宋体" w:eastAsia="宋体" w:cs="宋体"/>
          <w:b/>
          <w:bCs/>
          <w:color w:val="auto"/>
          <w:sz w:val="20"/>
          <w:szCs w:val="20"/>
          <w:highlight w:val="none"/>
          <w:lang w:eastAsia="zh-Hans"/>
        </w:rPr>
      </w:pPr>
      <w:r>
        <w:rPr>
          <w:rFonts w:hint="eastAsia" w:ascii="宋体" w:hAnsi="宋体" w:eastAsia="宋体" w:cs="宋体"/>
          <w:b/>
          <w:bCs/>
          <w:color w:val="auto"/>
          <w:sz w:val="20"/>
          <w:szCs w:val="20"/>
          <w:highlight w:val="none"/>
        </w:rPr>
        <w:t>十、</w:t>
      </w:r>
      <w:r>
        <w:rPr>
          <w:rFonts w:hint="eastAsia" w:ascii="宋体" w:hAnsi="宋体" w:eastAsia="宋体" w:cs="宋体"/>
          <w:b/>
          <w:bCs/>
          <w:color w:val="auto"/>
          <w:sz w:val="20"/>
          <w:szCs w:val="20"/>
          <w:highlight w:val="none"/>
          <w:lang w:eastAsia="zh-Hans"/>
        </w:rPr>
        <w:t>售后服务与质量保证</w:t>
      </w:r>
    </w:p>
    <w:p w14:paraId="2EEBD8D4">
      <w:pPr>
        <w:pStyle w:val="5"/>
        <w:numPr>
          <w:ilvl w:val="0"/>
          <w:numId w:val="5"/>
        </w:numPr>
        <w:tabs>
          <w:tab w:val="left" w:pos="-839"/>
          <w:tab w:val="left" w:pos="425"/>
          <w:tab w:val="left" w:pos="720"/>
          <w:tab w:val="clear" w:pos="900"/>
        </w:tabs>
        <w:ind w:firstLine="400" w:firstLineChars="200"/>
        <w:jc w:val="left"/>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维护期要求</w:t>
      </w:r>
    </w:p>
    <w:p w14:paraId="69474E5F">
      <w:pPr>
        <w:pStyle w:val="258"/>
        <w:numPr>
          <w:ilvl w:val="0"/>
          <w:numId w:val="0"/>
        </w:numPr>
        <w:spacing w:line="360" w:lineRule="auto"/>
        <w:ind w:firstLine="400" w:firstLineChars="20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项目验收后，</w:t>
      </w:r>
      <w:r>
        <w:rPr>
          <w:rFonts w:hint="default" w:ascii="宋体" w:hAnsi="宋体" w:eastAsia="宋体" w:cs="宋体"/>
          <w:color w:val="auto"/>
          <w:sz w:val="20"/>
          <w:szCs w:val="20"/>
          <w:highlight w:val="none"/>
        </w:rPr>
        <w:t>中标</w:t>
      </w:r>
      <w:r>
        <w:rPr>
          <w:rFonts w:hint="eastAsia" w:ascii="宋体" w:hAnsi="宋体" w:eastAsia="宋体" w:cs="宋体"/>
          <w:color w:val="auto"/>
          <w:sz w:val="20"/>
          <w:szCs w:val="20"/>
          <w:highlight w:val="none"/>
          <w:lang w:eastAsia="zh-CN"/>
        </w:rPr>
        <w:t>供应商</w:t>
      </w:r>
      <w:r>
        <w:rPr>
          <w:rFonts w:hint="eastAsia" w:ascii="宋体" w:hAnsi="宋体" w:eastAsia="宋体" w:cs="宋体"/>
          <w:color w:val="auto"/>
          <w:sz w:val="20"/>
          <w:szCs w:val="20"/>
          <w:highlight w:val="none"/>
        </w:rPr>
        <w:t>为本项目提供</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年运维服务，</w:t>
      </w:r>
      <w:r>
        <w:rPr>
          <w:rFonts w:hint="eastAsia" w:ascii="宋体" w:hAnsi="宋体" w:eastAsia="宋体" w:cs="宋体"/>
          <w:color w:val="auto"/>
          <w:sz w:val="20"/>
          <w:szCs w:val="20"/>
          <w:highlight w:val="none"/>
          <w:lang w:val="en-US" w:eastAsia="zh-CN"/>
        </w:rPr>
        <w:t>供应商</w:t>
      </w:r>
      <w:r>
        <w:rPr>
          <w:rFonts w:hint="eastAsia" w:ascii="宋体" w:hAnsi="宋体" w:eastAsia="宋体" w:cs="宋体"/>
          <w:color w:val="auto"/>
          <w:sz w:val="20"/>
          <w:szCs w:val="20"/>
          <w:highlight w:val="none"/>
        </w:rPr>
        <w:t>针对各类故障必须提供7*24小时立即响应服务，在出现系统问题的</w:t>
      </w:r>
      <w:r>
        <w:rPr>
          <w:rFonts w:hint="default" w:ascii="宋体" w:hAnsi="宋体" w:eastAsia="宋体" w:cs="宋体"/>
          <w:color w:val="auto"/>
          <w:sz w:val="20"/>
          <w:szCs w:val="20"/>
          <w:highlight w:val="none"/>
        </w:rPr>
        <w:t>1</w:t>
      </w:r>
      <w:r>
        <w:rPr>
          <w:rFonts w:hint="eastAsia" w:ascii="宋体" w:hAnsi="宋体" w:eastAsia="宋体" w:cs="宋体"/>
          <w:color w:val="auto"/>
          <w:sz w:val="20"/>
          <w:szCs w:val="20"/>
          <w:highlight w:val="none"/>
        </w:rPr>
        <w:t>小时内给予问题的反馈，如需现场解决，在故障发生的</w:t>
      </w: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rPr>
        <w:t>小时内，派技术人员到达现场；承诺尽力在最短时间内恢复系统正常运行，并分析故障原因，提出书面故障分析报告及防范措施，如果故障不能在24小时内排除，则应提供技术团队达到现场进行处理。相关费用投标供应商考虑在本次投标报价中。</w:t>
      </w:r>
    </w:p>
    <w:p w14:paraId="0A241758">
      <w:pPr>
        <w:pStyle w:val="5"/>
        <w:numPr>
          <w:ilvl w:val="0"/>
          <w:numId w:val="5"/>
        </w:numPr>
        <w:tabs>
          <w:tab w:val="left" w:pos="-839"/>
          <w:tab w:val="left" w:pos="425"/>
          <w:tab w:val="left" w:pos="720"/>
          <w:tab w:val="clear" w:pos="900"/>
        </w:tabs>
        <w:ind w:firstLine="400" w:firstLineChars="200"/>
        <w:jc w:val="left"/>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服务保证</w:t>
      </w:r>
    </w:p>
    <w:bookmarkEnd w:id="28"/>
    <w:p w14:paraId="220A3F70">
      <w:pPr>
        <w:pStyle w:val="258"/>
        <w:numPr>
          <w:ilvl w:val="0"/>
          <w:numId w:val="0"/>
        </w:numPr>
        <w:spacing w:line="360" w:lineRule="auto"/>
        <w:ind w:firstLine="400" w:firstLineChars="200"/>
        <w:jc w:val="both"/>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（1）</w:t>
      </w:r>
      <w:r>
        <w:rPr>
          <w:rFonts w:hint="eastAsia" w:ascii="宋体" w:hAnsi="宋体" w:eastAsia="宋体" w:cs="宋体"/>
          <w:color w:val="auto"/>
          <w:sz w:val="20"/>
          <w:szCs w:val="20"/>
          <w:highlight w:val="none"/>
        </w:rPr>
        <w:t>中标</w:t>
      </w:r>
      <w:r>
        <w:rPr>
          <w:rFonts w:hint="eastAsia" w:ascii="宋体" w:hAnsi="宋体" w:eastAsia="宋体" w:cs="宋体"/>
          <w:color w:val="auto"/>
          <w:sz w:val="20"/>
          <w:szCs w:val="20"/>
          <w:highlight w:val="none"/>
          <w:lang w:eastAsia="zh-CN"/>
        </w:rPr>
        <w:t>供应商</w:t>
      </w:r>
      <w:r>
        <w:rPr>
          <w:rFonts w:hint="eastAsia" w:ascii="宋体" w:hAnsi="宋体" w:eastAsia="宋体" w:cs="宋体"/>
          <w:color w:val="auto"/>
          <w:sz w:val="20"/>
          <w:szCs w:val="20"/>
          <w:highlight w:val="none"/>
        </w:rPr>
        <w:t>所提供产品符合国家有关规定。所提供软硬件产品为全新设备且具有合法的版权或使用权，本项目采购的产品，如在本项目范围内使用过程中出现版权或使用权纠纷，应由</w:t>
      </w:r>
      <w:r>
        <w:rPr>
          <w:rFonts w:hint="default" w:ascii="宋体" w:hAnsi="宋体" w:eastAsia="宋体" w:cs="宋体"/>
          <w:color w:val="auto"/>
          <w:sz w:val="20"/>
          <w:szCs w:val="20"/>
          <w:highlight w:val="none"/>
        </w:rPr>
        <w:t>中标</w:t>
      </w:r>
      <w:r>
        <w:rPr>
          <w:rFonts w:hint="eastAsia" w:ascii="宋体" w:hAnsi="宋体" w:eastAsia="宋体" w:cs="宋体"/>
          <w:color w:val="auto"/>
          <w:sz w:val="20"/>
          <w:szCs w:val="20"/>
          <w:highlight w:val="none"/>
          <w:lang w:eastAsia="zh-CN"/>
        </w:rPr>
        <w:t>供应商</w:t>
      </w:r>
      <w:r>
        <w:rPr>
          <w:rFonts w:hint="eastAsia" w:ascii="宋体" w:hAnsi="宋体" w:eastAsia="宋体" w:cs="宋体"/>
          <w:color w:val="auto"/>
          <w:sz w:val="20"/>
          <w:szCs w:val="20"/>
          <w:highlight w:val="none"/>
        </w:rPr>
        <w:t>负责，采购人不承担责任。</w:t>
      </w:r>
    </w:p>
    <w:p w14:paraId="353D12F0">
      <w:pPr>
        <w:pStyle w:val="258"/>
        <w:numPr>
          <w:ilvl w:val="0"/>
          <w:numId w:val="0"/>
        </w:numPr>
        <w:spacing w:line="360" w:lineRule="auto"/>
        <w:ind w:firstLine="400" w:firstLineChars="20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w:t>
      </w:r>
      <w:r>
        <w:rPr>
          <w:rFonts w:hint="default" w:ascii="宋体" w:hAnsi="宋体" w:eastAsia="宋体" w:cs="宋体"/>
          <w:color w:val="auto"/>
          <w:sz w:val="20"/>
          <w:szCs w:val="20"/>
          <w:highlight w:val="none"/>
        </w:rPr>
        <w:t>中标</w:t>
      </w:r>
      <w:r>
        <w:rPr>
          <w:rFonts w:hint="eastAsia" w:ascii="宋体" w:hAnsi="宋体" w:eastAsia="宋体" w:cs="宋体"/>
          <w:color w:val="auto"/>
          <w:sz w:val="20"/>
          <w:szCs w:val="20"/>
          <w:highlight w:val="none"/>
          <w:lang w:eastAsia="zh-CN"/>
        </w:rPr>
        <w:t>供应商</w:t>
      </w:r>
      <w:r>
        <w:rPr>
          <w:rFonts w:hint="eastAsia" w:ascii="宋体" w:hAnsi="宋体" w:eastAsia="宋体" w:cs="宋体"/>
          <w:color w:val="auto"/>
          <w:sz w:val="20"/>
          <w:szCs w:val="20"/>
          <w:highlight w:val="none"/>
        </w:rPr>
        <w:t>必须保证解决项目所涉及的技术问题，如因技术原因无法满足采购人需求，由此产生的风险由</w:t>
      </w:r>
      <w:r>
        <w:rPr>
          <w:rFonts w:hint="eastAsia" w:ascii="宋体" w:hAnsi="宋体" w:eastAsia="宋体" w:cs="宋体"/>
          <w:color w:val="auto"/>
          <w:sz w:val="20"/>
          <w:szCs w:val="20"/>
          <w:highlight w:val="none"/>
          <w:lang w:eastAsia="zh-CN"/>
        </w:rPr>
        <w:t>供应商</w:t>
      </w:r>
      <w:r>
        <w:rPr>
          <w:rFonts w:hint="eastAsia" w:ascii="宋体" w:hAnsi="宋体" w:eastAsia="宋体" w:cs="宋体"/>
          <w:color w:val="auto"/>
          <w:sz w:val="20"/>
          <w:szCs w:val="20"/>
          <w:highlight w:val="none"/>
        </w:rPr>
        <w:t>承担。</w:t>
      </w:r>
    </w:p>
    <w:p w14:paraId="39DDBD6F">
      <w:pPr>
        <w:pStyle w:val="258"/>
        <w:numPr>
          <w:ilvl w:val="0"/>
          <w:numId w:val="0"/>
        </w:numPr>
        <w:spacing w:line="360" w:lineRule="auto"/>
        <w:ind w:firstLine="400" w:firstLineChars="20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rPr>
        <w:t>）</w:t>
      </w:r>
      <w:r>
        <w:rPr>
          <w:rFonts w:hint="default" w:ascii="宋体" w:hAnsi="宋体" w:eastAsia="宋体" w:cs="宋体"/>
          <w:color w:val="auto"/>
          <w:sz w:val="20"/>
          <w:szCs w:val="20"/>
          <w:highlight w:val="none"/>
        </w:rPr>
        <w:t>中标</w:t>
      </w:r>
      <w:r>
        <w:rPr>
          <w:rFonts w:hint="eastAsia" w:ascii="宋体" w:hAnsi="宋体" w:eastAsia="宋体" w:cs="宋体"/>
          <w:color w:val="auto"/>
          <w:sz w:val="20"/>
          <w:szCs w:val="20"/>
          <w:highlight w:val="none"/>
          <w:lang w:eastAsia="zh-CN"/>
        </w:rPr>
        <w:t>供应商</w:t>
      </w:r>
      <w:r>
        <w:rPr>
          <w:rFonts w:hint="eastAsia" w:ascii="宋体" w:hAnsi="宋体" w:eastAsia="宋体" w:cs="宋体"/>
          <w:color w:val="auto"/>
          <w:sz w:val="20"/>
          <w:szCs w:val="20"/>
          <w:highlight w:val="none"/>
        </w:rPr>
        <w:t>在维护期内，如遇软件产品升级、改版，应免费提供更新、升级服务。</w:t>
      </w:r>
    </w:p>
    <w:p w14:paraId="1A1D9A6C">
      <w:pPr>
        <w:pStyle w:val="258"/>
        <w:numPr>
          <w:ilvl w:val="0"/>
          <w:numId w:val="0"/>
        </w:numPr>
        <w:spacing w:line="360" w:lineRule="auto"/>
        <w:ind w:firstLine="400" w:firstLineChars="20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）特别提示1：</w:t>
      </w:r>
      <w:r>
        <w:rPr>
          <w:rFonts w:hint="eastAsia" w:ascii="宋体" w:hAnsi="宋体" w:eastAsia="宋体" w:cs="宋体"/>
          <w:color w:val="auto"/>
          <w:sz w:val="20"/>
          <w:szCs w:val="20"/>
          <w:highlight w:val="none"/>
          <w:lang w:eastAsia="zh-CN"/>
        </w:rPr>
        <w:t>供应商</w:t>
      </w:r>
      <w:r>
        <w:rPr>
          <w:rFonts w:hint="eastAsia" w:ascii="宋体" w:hAnsi="宋体" w:eastAsia="宋体" w:cs="宋体"/>
          <w:color w:val="auto"/>
          <w:sz w:val="20"/>
          <w:szCs w:val="20"/>
          <w:highlight w:val="none"/>
        </w:rPr>
        <w:t>有义务保证采购人系统的完整性，如项目实施过程中因缺少设备、配件或服务导致采购人系统无法正常运行，</w:t>
      </w:r>
      <w:r>
        <w:rPr>
          <w:rFonts w:hint="eastAsia" w:ascii="宋体" w:hAnsi="宋体" w:eastAsia="宋体" w:cs="宋体"/>
          <w:color w:val="auto"/>
          <w:sz w:val="20"/>
          <w:szCs w:val="20"/>
          <w:highlight w:val="none"/>
          <w:lang w:eastAsia="zh-CN"/>
        </w:rPr>
        <w:t>供应商</w:t>
      </w:r>
      <w:r>
        <w:rPr>
          <w:rFonts w:hint="eastAsia" w:ascii="宋体" w:hAnsi="宋体" w:eastAsia="宋体" w:cs="宋体"/>
          <w:color w:val="auto"/>
          <w:sz w:val="20"/>
          <w:szCs w:val="20"/>
          <w:highlight w:val="none"/>
        </w:rPr>
        <w:t>须免费提供。</w:t>
      </w:r>
    </w:p>
    <w:p w14:paraId="00FD4EA7">
      <w:pPr>
        <w:pStyle w:val="258"/>
        <w:numPr>
          <w:ilvl w:val="0"/>
          <w:numId w:val="0"/>
        </w:numPr>
        <w:spacing w:line="360" w:lineRule="auto"/>
        <w:ind w:firstLine="400" w:firstLineChars="20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rPr>
        <w:t>）特别提示2：采购人需求在试运行期内，仍有可能不断完善，</w:t>
      </w:r>
      <w:r>
        <w:rPr>
          <w:rFonts w:hint="eastAsia" w:ascii="宋体" w:hAnsi="宋体" w:eastAsia="宋体" w:cs="宋体"/>
          <w:color w:val="auto"/>
          <w:sz w:val="20"/>
          <w:szCs w:val="20"/>
          <w:highlight w:val="none"/>
          <w:lang w:eastAsia="zh-CN"/>
        </w:rPr>
        <w:t>供应商</w:t>
      </w:r>
      <w:r>
        <w:rPr>
          <w:rFonts w:hint="eastAsia" w:ascii="宋体" w:hAnsi="宋体" w:eastAsia="宋体" w:cs="宋体"/>
          <w:color w:val="auto"/>
          <w:sz w:val="20"/>
          <w:szCs w:val="20"/>
          <w:highlight w:val="none"/>
        </w:rPr>
        <w:t>在采购需求或政策法规范围内，随着采购人需求的变动随时作出响应。</w:t>
      </w:r>
      <w:r>
        <w:rPr>
          <w:rFonts w:hint="default" w:ascii="宋体" w:hAnsi="宋体" w:eastAsia="宋体" w:cs="宋体"/>
          <w:color w:val="auto"/>
          <w:sz w:val="20"/>
          <w:szCs w:val="20"/>
          <w:highlight w:val="none"/>
        </w:rPr>
        <w:t>最终</w:t>
      </w:r>
      <w:r>
        <w:rPr>
          <w:rFonts w:hint="eastAsia" w:ascii="宋体" w:hAnsi="宋体" w:eastAsia="宋体" w:cs="宋体"/>
          <w:color w:val="auto"/>
          <w:sz w:val="20"/>
          <w:szCs w:val="20"/>
          <w:highlight w:val="none"/>
        </w:rPr>
        <w:t>验收通过后，若有需求变动，在维护期内，</w:t>
      </w:r>
      <w:r>
        <w:rPr>
          <w:rFonts w:hint="eastAsia" w:ascii="宋体" w:hAnsi="宋体" w:eastAsia="宋体" w:cs="宋体"/>
          <w:color w:val="auto"/>
          <w:sz w:val="20"/>
          <w:szCs w:val="20"/>
          <w:highlight w:val="none"/>
          <w:lang w:eastAsia="zh-CN"/>
        </w:rPr>
        <w:t>供应商</w:t>
      </w:r>
      <w:r>
        <w:rPr>
          <w:rFonts w:hint="eastAsia" w:ascii="宋体" w:hAnsi="宋体" w:eastAsia="宋体" w:cs="宋体"/>
          <w:color w:val="auto"/>
          <w:sz w:val="20"/>
          <w:szCs w:val="20"/>
          <w:highlight w:val="none"/>
        </w:rPr>
        <w:t>在采购需求和政策法规范围内，仍应免费按采购人需求对整个系统做出相应修改，以满足采购人的需求。版权归</w:t>
      </w:r>
      <w:r>
        <w:rPr>
          <w:rFonts w:hint="eastAsia" w:ascii="宋体" w:hAnsi="宋体" w:eastAsia="宋体" w:cs="宋体"/>
          <w:color w:val="auto"/>
          <w:sz w:val="20"/>
          <w:szCs w:val="20"/>
          <w:highlight w:val="none"/>
          <w:lang w:val="en-US" w:eastAsia="zh-CN"/>
        </w:rPr>
        <w:t>采购人</w:t>
      </w:r>
      <w:r>
        <w:rPr>
          <w:rFonts w:hint="eastAsia" w:ascii="宋体" w:hAnsi="宋体" w:eastAsia="宋体" w:cs="宋体"/>
          <w:color w:val="auto"/>
          <w:sz w:val="20"/>
          <w:szCs w:val="20"/>
          <w:highlight w:val="none"/>
        </w:rPr>
        <w:t>所有。</w:t>
      </w:r>
    </w:p>
    <w:p w14:paraId="30D916A5">
      <w:pPr>
        <w:pStyle w:val="4"/>
        <w:numPr>
          <w:ilvl w:val="0"/>
          <w:numId w:val="0"/>
        </w:numPr>
        <w:tabs>
          <w:tab w:val="left" w:pos="706"/>
          <w:tab w:val="left" w:pos="1110"/>
          <w:tab w:val="clear" w:pos="432"/>
        </w:tabs>
        <w:ind w:firstLine="402"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十一、</w:t>
      </w:r>
      <w:r>
        <w:rPr>
          <w:rFonts w:hint="eastAsia" w:ascii="宋体" w:hAnsi="宋体" w:eastAsia="宋体" w:cs="宋体"/>
          <w:color w:val="auto"/>
          <w:sz w:val="20"/>
          <w:szCs w:val="20"/>
          <w:highlight w:val="none"/>
          <w:lang w:eastAsia="zh-Hans"/>
        </w:rPr>
        <w:t>验收</w:t>
      </w:r>
    </w:p>
    <w:p w14:paraId="087FD2CA">
      <w:pPr>
        <w:pStyle w:val="970"/>
        <w:ind w:right="-512" w:firstLine="400" w:firstLineChars="200"/>
        <w:jc w:val="both"/>
        <w:rPr>
          <w:rFonts w:hint="eastAsia" w:ascii="宋体" w:hAnsi="宋体" w:cs="宋体"/>
          <w:color w:val="auto"/>
          <w:sz w:val="20"/>
          <w:szCs w:val="20"/>
          <w:highlight w:val="none"/>
        </w:rPr>
      </w:pPr>
      <w:bookmarkStart w:id="30" w:name="_Toc9028"/>
      <w:r>
        <w:rPr>
          <w:rFonts w:hint="eastAsia" w:ascii="宋体" w:hAnsi="宋体" w:cs="宋体"/>
          <w:color w:val="auto"/>
          <w:sz w:val="20"/>
          <w:szCs w:val="20"/>
          <w:highlight w:val="none"/>
        </w:rPr>
        <w:t>1、验收组织</w:t>
      </w:r>
      <w:bookmarkEnd w:id="30"/>
    </w:p>
    <w:p w14:paraId="0B9CA970">
      <w:pPr>
        <w:numPr>
          <w:ilvl w:val="-1"/>
          <w:numId w:val="0"/>
        </w:numPr>
        <w:snapToGrid w:val="0"/>
        <w:spacing w:line="360" w:lineRule="auto"/>
        <w:ind w:left="0" w:leftChars="0" w:firstLine="400" w:firstLineChars="200"/>
        <w:contextualSpacing/>
        <w:jc w:val="both"/>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1）根据《中华人民共和国政府采购法》、《中华人民共和国民法典》、《中华人民共和国政府采购法实施条例》、财政部《财政部关于进一步加强政府采购需求和履约验收管理的指导意见》（财库[2016]205号）、杭州市财政局《杭州</w:t>
      </w:r>
      <w:r>
        <w:rPr>
          <w:rFonts w:hint="eastAsia" w:ascii="宋体" w:hAnsi="宋体" w:eastAsia="宋体" w:cs="宋体"/>
          <w:color w:val="auto"/>
          <w:sz w:val="20"/>
          <w:szCs w:val="20"/>
          <w:highlight w:val="none"/>
        </w:rPr>
        <w:t>市政府采购履约验收暂行办法》（杭财采监[2019]10号）、《上城区</w:t>
      </w:r>
      <w:r>
        <w:rPr>
          <w:rFonts w:hint="default" w:ascii="宋体" w:hAnsi="宋体" w:cs="宋体"/>
          <w:color w:val="auto"/>
          <w:sz w:val="20"/>
          <w:szCs w:val="20"/>
          <w:highlight w:val="none"/>
        </w:rPr>
        <w:t>电子政务管理办法</w:t>
      </w:r>
      <w:r>
        <w:rPr>
          <w:rFonts w:hint="eastAsia" w:ascii="宋体" w:hAnsi="宋体" w:eastAsia="宋体" w:cs="宋体"/>
          <w:color w:val="auto"/>
          <w:sz w:val="20"/>
          <w:szCs w:val="20"/>
          <w:highlight w:val="none"/>
        </w:rPr>
        <w:t>》</w:t>
      </w:r>
      <w:r>
        <w:rPr>
          <w:rFonts w:hint="default" w:ascii="宋体" w:hAnsi="宋体" w:cs="宋体"/>
          <w:color w:val="auto"/>
          <w:sz w:val="20"/>
          <w:szCs w:val="20"/>
          <w:highlight w:val="none"/>
        </w:rPr>
        <w:t>（上政办函〔2024〕22号）</w:t>
      </w:r>
      <w:r>
        <w:rPr>
          <w:rFonts w:hint="eastAsia" w:ascii="宋体" w:hAnsi="宋体" w:eastAsia="宋体" w:cs="宋体"/>
          <w:color w:val="auto"/>
          <w:sz w:val="20"/>
          <w:szCs w:val="20"/>
          <w:highlight w:val="none"/>
        </w:rPr>
        <w:t>等相关法律、法规、规范性文件要求组织验收。</w:t>
      </w:r>
    </w:p>
    <w:p w14:paraId="726C7C80">
      <w:pPr>
        <w:numPr>
          <w:ilvl w:val="-1"/>
          <w:numId w:val="0"/>
        </w:numPr>
        <w:snapToGrid w:val="0"/>
        <w:spacing w:line="360" w:lineRule="auto"/>
        <w:ind w:left="0" w:leftChars="0" w:firstLine="400" w:firstLineChars="200"/>
        <w:contextualSpacing/>
        <w:jc w:val="both"/>
        <w:rPr>
          <w:rFonts w:hint="eastAsia" w:ascii="宋体" w:hAnsi="宋体" w:cs="宋体"/>
          <w:color w:val="auto"/>
          <w:sz w:val="20"/>
          <w:szCs w:val="20"/>
          <w:highlight w:val="none"/>
        </w:rPr>
      </w:pPr>
      <w:r>
        <w:rPr>
          <w:rFonts w:hint="eastAsia" w:ascii="宋体" w:hAnsi="宋体" w:cs="宋体"/>
          <w:color w:val="auto"/>
          <w:sz w:val="20"/>
          <w:szCs w:val="20"/>
          <w:highlight w:val="none"/>
        </w:rPr>
        <w:t>（</w:t>
      </w:r>
      <w:r>
        <w:rPr>
          <w:rFonts w:hint="eastAsia" w:ascii="宋体" w:hAnsi="宋体" w:cs="宋体"/>
          <w:color w:val="auto"/>
          <w:sz w:val="20"/>
          <w:szCs w:val="20"/>
          <w:highlight w:val="none"/>
          <w:lang w:val="en-US" w:eastAsia="zh-CN"/>
        </w:rPr>
        <w:t>2</w:t>
      </w:r>
      <w:r>
        <w:rPr>
          <w:rFonts w:hint="eastAsia" w:ascii="宋体" w:hAnsi="宋体" w:cs="宋体"/>
          <w:color w:val="auto"/>
          <w:sz w:val="20"/>
          <w:szCs w:val="20"/>
          <w:highlight w:val="none"/>
        </w:rPr>
        <w:t>）</w:t>
      </w:r>
      <w:r>
        <w:rPr>
          <w:rFonts w:hint="eastAsia" w:ascii="宋体" w:hAnsi="宋体" w:eastAsia="宋体" w:cs="宋体"/>
          <w:color w:val="auto"/>
          <w:sz w:val="20"/>
          <w:szCs w:val="20"/>
          <w:highlight w:val="none"/>
        </w:rPr>
        <w:t>供应商配合验收工作，并就验收实施过程</w:t>
      </w:r>
      <w:r>
        <w:rPr>
          <w:rFonts w:hint="eastAsia" w:ascii="宋体" w:hAnsi="宋体" w:cs="宋体"/>
          <w:color w:val="auto"/>
          <w:sz w:val="20"/>
          <w:szCs w:val="20"/>
          <w:highlight w:val="none"/>
        </w:rPr>
        <w:t>中的疑问进行解答和澄清。</w:t>
      </w:r>
    </w:p>
    <w:p w14:paraId="3FC2211B">
      <w:pPr>
        <w:numPr>
          <w:ilvl w:val="-1"/>
          <w:numId w:val="0"/>
        </w:numPr>
        <w:snapToGrid w:val="0"/>
        <w:spacing w:line="360" w:lineRule="auto"/>
        <w:ind w:left="0" w:leftChars="0" w:firstLine="400" w:firstLineChars="200"/>
        <w:contextualSpacing/>
        <w:jc w:val="both"/>
        <w:rPr>
          <w:rFonts w:hint="eastAsia" w:ascii="宋体" w:hAnsi="宋体" w:cs="宋体"/>
          <w:color w:val="auto"/>
          <w:sz w:val="20"/>
          <w:szCs w:val="20"/>
          <w:highlight w:val="none"/>
        </w:rPr>
      </w:pPr>
      <w:r>
        <w:rPr>
          <w:rFonts w:hint="eastAsia" w:ascii="宋体" w:hAnsi="宋体" w:cs="宋体"/>
          <w:color w:val="auto"/>
          <w:sz w:val="20"/>
          <w:szCs w:val="20"/>
          <w:highlight w:val="none"/>
        </w:rPr>
        <w:t>（</w:t>
      </w:r>
      <w:r>
        <w:rPr>
          <w:rFonts w:hint="eastAsia" w:ascii="宋体" w:hAnsi="宋体" w:cs="宋体"/>
          <w:color w:val="auto"/>
          <w:sz w:val="20"/>
          <w:szCs w:val="20"/>
          <w:highlight w:val="none"/>
          <w:lang w:val="en-US" w:eastAsia="zh-CN"/>
        </w:rPr>
        <w:t>3</w:t>
      </w:r>
      <w:r>
        <w:rPr>
          <w:rFonts w:hint="eastAsia" w:ascii="宋体" w:hAnsi="宋体" w:cs="宋体"/>
          <w:color w:val="auto"/>
          <w:sz w:val="20"/>
          <w:szCs w:val="20"/>
          <w:highlight w:val="none"/>
        </w:rPr>
        <w:t>）验收不合格的，采购人应责令供应商采取补救措施，向供应商发出整改通知书</w:t>
      </w:r>
      <w:r>
        <w:rPr>
          <w:rFonts w:hint="default" w:ascii="宋体" w:hAnsi="宋体" w:cs="宋体"/>
          <w:color w:val="auto"/>
          <w:sz w:val="20"/>
          <w:szCs w:val="20"/>
          <w:highlight w:val="none"/>
        </w:rPr>
        <w:t>并限期整改</w:t>
      </w:r>
      <w:r>
        <w:rPr>
          <w:rFonts w:hint="eastAsia" w:ascii="宋体" w:hAnsi="宋体" w:cs="宋体"/>
          <w:color w:val="auto"/>
          <w:sz w:val="20"/>
          <w:szCs w:val="20"/>
          <w:highlight w:val="none"/>
        </w:rPr>
        <w:t>，整改</w:t>
      </w:r>
      <w:r>
        <w:rPr>
          <w:rFonts w:hint="default" w:ascii="宋体" w:hAnsi="宋体" w:cs="宋体"/>
          <w:color w:val="auto"/>
          <w:sz w:val="20"/>
          <w:szCs w:val="20"/>
          <w:highlight w:val="none"/>
        </w:rPr>
        <w:t>完成</w:t>
      </w:r>
      <w:r>
        <w:rPr>
          <w:rFonts w:hint="eastAsia" w:ascii="宋体" w:hAnsi="宋体" w:cs="宋体"/>
          <w:color w:val="auto"/>
          <w:sz w:val="20"/>
          <w:szCs w:val="20"/>
          <w:highlight w:val="none"/>
        </w:rPr>
        <w:t>后，由供应商通知采购人或其委托的验收组织机构重新验收。</w:t>
      </w:r>
    </w:p>
    <w:p w14:paraId="7CCD44A6">
      <w:pPr>
        <w:spacing w:line="360" w:lineRule="auto"/>
        <w:ind w:firstLine="400" w:firstLineChars="200"/>
        <w:jc w:val="both"/>
        <w:rPr>
          <w:rFonts w:hint="eastAsia" w:ascii="宋体" w:hAnsi="宋体" w:cs="宋体"/>
          <w:color w:val="auto"/>
          <w:sz w:val="20"/>
          <w:szCs w:val="20"/>
          <w:highlight w:val="none"/>
        </w:rPr>
      </w:pPr>
      <w:bookmarkStart w:id="31" w:name="_Toc100838239"/>
      <w:bookmarkStart w:id="32" w:name="_Toc24191"/>
      <w:r>
        <w:rPr>
          <w:rFonts w:hint="eastAsia" w:ascii="宋体" w:hAnsi="宋体" w:cs="宋体"/>
          <w:color w:val="auto"/>
          <w:sz w:val="20"/>
          <w:szCs w:val="20"/>
          <w:highlight w:val="none"/>
        </w:rPr>
        <w:t>2、履约验收其他事项</w:t>
      </w:r>
      <w:bookmarkEnd w:id="31"/>
      <w:bookmarkEnd w:id="32"/>
    </w:p>
    <w:p w14:paraId="1E1C5A08">
      <w:pPr>
        <w:numPr>
          <w:ilvl w:val="-1"/>
          <w:numId w:val="0"/>
        </w:numPr>
        <w:snapToGrid w:val="0"/>
        <w:spacing w:line="360" w:lineRule="auto"/>
        <w:ind w:left="0" w:leftChars="0" w:firstLine="400" w:firstLineChars="200"/>
        <w:contextualSpacing/>
        <w:jc w:val="both"/>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（1）</w:t>
      </w:r>
      <w:r>
        <w:rPr>
          <w:rFonts w:hint="eastAsia" w:ascii="宋体" w:hAnsi="宋体" w:eastAsia="宋体" w:cs="宋体"/>
          <w:color w:val="auto"/>
          <w:sz w:val="20"/>
          <w:szCs w:val="20"/>
          <w:highlight w:val="none"/>
        </w:rPr>
        <w:t>采购人在供应商提供相关服务的过程中，有权不定期对服务内容和质量进行考核。供应商提供相关服务过程中有违反合同约定、不达约定标准情况的，采购人有权要求供应商限期整改，供应商未按采购人要求整改的，采购人有权拒绝验收，供应商应承担相应的违约责任。</w:t>
      </w:r>
    </w:p>
    <w:p w14:paraId="182D585A">
      <w:pPr>
        <w:numPr>
          <w:ilvl w:val="-1"/>
          <w:numId w:val="0"/>
        </w:numPr>
        <w:snapToGrid w:val="0"/>
        <w:spacing w:line="360" w:lineRule="auto"/>
        <w:ind w:left="0" w:leftChars="0" w:firstLine="400" w:firstLineChars="200"/>
        <w:contextualSpacing/>
        <w:jc w:val="both"/>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w:t>
      </w:r>
      <w:r>
        <w:rPr>
          <w:rFonts w:hint="eastAsia" w:ascii="宋体" w:hAnsi="宋体" w:cs="宋体"/>
          <w:color w:val="auto"/>
          <w:sz w:val="20"/>
          <w:szCs w:val="20"/>
          <w:highlight w:val="none"/>
          <w:lang w:val="en-US" w:eastAsia="zh-CN"/>
        </w:rPr>
        <w:t>2</w:t>
      </w:r>
      <w:r>
        <w:rPr>
          <w:rFonts w:hint="eastAsia" w:ascii="宋体" w:hAnsi="宋体" w:cs="宋体"/>
          <w:color w:val="auto"/>
          <w:sz w:val="20"/>
          <w:szCs w:val="20"/>
          <w:highlight w:val="none"/>
        </w:rPr>
        <w:t>）</w:t>
      </w:r>
      <w:r>
        <w:rPr>
          <w:rFonts w:hint="eastAsia" w:ascii="宋体" w:hAnsi="宋体" w:eastAsia="宋体" w:cs="宋体"/>
          <w:color w:val="auto"/>
          <w:sz w:val="20"/>
          <w:szCs w:val="20"/>
          <w:highlight w:val="none"/>
        </w:rPr>
        <w:t>供应商服务成果未通过采购人验收，采购人有权要求供应商进行整改，相关费用（包括但不限于重新组织验收等费用）由供应商承担；如供应商未在采购人要求期限内整改或整改后仍不合格或已经无法整改的，采购人有权要求供应商承担相应的违约责任。</w:t>
      </w:r>
    </w:p>
    <w:p w14:paraId="41FF903B">
      <w:pPr>
        <w:pageBreakBefore/>
        <w:numPr>
          <w:ilvl w:val="0"/>
          <w:numId w:val="6"/>
        </w:numPr>
        <w:shd w:val="clear" w:color="auto" w:fill="FFFFFF"/>
        <w:adjustRightInd w:val="0"/>
        <w:snapToGrid w:val="0"/>
        <w:spacing w:line="360" w:lineRule="auto"/>
        <w:ind w:firstLine="562" w:firstLineChars="200"/>
        <w:jc w:val="center"/>
        <w:outlineLvl w:val="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评标</w:t>
      </w:r>
      <w:r>
        <w:rPr>
          <w:rFonts w:hint="eastAsia" w:ascii="宋体" w:hAnsi="宋体" w:cs="宋体"/>
          <w:b/>
          <w:bCs/>
          <w:color w:val="auto"/>
          <w:sz w:val="28"/>
          <w:szCs w:val="28"/>
          <w:highlight w:val="none"/>
          <w:lang w:val="en-US" w:eastAsia="zh-CN"/>
        </w:rPr>
        <w:t>办法</w:t>
      </w:r>
      <w:r>
        <w:rPr>
          <w:rFonts w:hint="eastAsia" w:ascii="宋体" w:hAnsi="宋体" w:cs="宋体"/>
          <w:b/>
          <w:bCs/>
          <w:color w:val="auto"/>
          <w:sz w:val="28"/>
          <w:szCs w:val="28"/>
          <w:highlight w:val="none"/>
        </w:rPr>
        <w:t>（100分）</w:t>
      </w:r>
    </w:p>
    <w:bookmarkEnd w:id="29"/>
    <w:tbl>
      <w:tblPr>
        <w:tblStyle w:val="62"/>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314"/>
        <w:gridCol w:w="4911"/>
        <w:gridCol w:w="669"/>
        <w:gridCol w:w="780"/>
        <w:gridCol w:w="1294"/>
      </w:tblGrid>
      <w:tr w14:paraId="4FDF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jc w:val="center"/>
        </w:trPr>
        <w:tc>
          <w:tcPr>
            <w:tcW w:w="506" w:type="dxa"/>
            <w:vAlign w:val="center"/>
          </w:tcPr>
          <w:p w14:paraId="50BAEB55">
            <w:pPr>
              <w:keepNext w:val="0"/>
              <w:keepLines w:val="0"/>
              <w:suppressLineNumbers w:val="0"/>
              <w:snapToGrid w:val="0"/>
              <w:spacing w:before="0" w:beforeAutospacing="0" w:after="0" w:afterAutospacing="0" w:line="360" w:lineRule="auto"/>
              <w:ind w:left="0" w:right="0"/>
              <w:jc w:val="center"/>
              <w:rPr>
                <w:rFonts w:hint="eastAsia" w:ascii="宋体" w:hAnsi="宋体" w:cs="宋体"/>
                <w:b/>
                <w:bCs/>
                <w:color w:val="auto"/>
                <w:sz w:val="24"/>
                <w:highlight w:val="none"/>
              </w:rPr>
            </w:pPr>
            <w:r>
              <w:rPr>
                <w:rFonts w:hint="eastAsia" w:ascii="宋体" w:hAnsi="宋体" w:cs="宋体"/>
                <w:b/>
                <w:bCs/>
                <w:color w:val="auto"/>
                <w:sz w:val="24"/>
                <w:highlight w:val="none"/>
              </w:rPr>
              <w:t>序</w:t>
            </w:r>
          </w:p>
          <w:p w14:paraId="394923D4">
            <w:pPr>
              <w:keepNext w:val="0"/>
              <w:keepLines w:val="0"/>
              <w:suppressLineNumbers w:val="0"/>
              <w:snapToGrid w:val="0"/>
              <w:spacing w:before="0" w:beforeAutospacing="0" w:after="0" w:afterAutospacing="0" w:line="360" w:lineRule="auto"/>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号</w:t>
            </w:r>
          </w:p>
        </w:tc>
        <w:tc>
          <w:tcPr>
            <w:tcW w:w="1314" w:type="dxa"/>
            <w:vAlign w:val="center"/>
          </w:tcPr>
          <w:p w14:paraId="7389D50C">
            <w:pPr>
              <w:keepNext w:val="0"/>
              <w:keepLines w:val="0"/>
              <w:suppressLineNumbers w:val="0"/>
              <w:snapToGrid w:val="0"/>
              <w:spacing w:before="0" w:beforeAutospacing="0" w:after="0" w:afterAutospacing="0" w:line="360" w:lineRule="auto"/>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评分因素</w:t>
            </w:r>
          </w:p>
        </w:tc>
        <w:tc>
          <w:tcPr>
            <w:tcW w:w="4911" w:type="dxa"/>
            <w:vAlign w:val="center"/>
          </w:tcPr>
          <w:p w14:paraId="3590E8CE">
            <w:pPr>
              <w:keepNext w:val="0"/>
              <w:keepLines w:val="0"/>
              <w:suppressLineNumbers w:val="0"/>
              <w:snapToGrid w:val="0"/>
              <w:spacing w:before="0" w:beforeAutospacing="0" w:after="0" w:afterAutospacing="0" w:line="360" w:lineRule="auto"/>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评标标准</w:t>
            </w:r>
          </w:p>
        </w:tc>
        <w:tc>
          <w:tcPr>
            <w:tcW w:w="669" w:type="dxa"/>
            <w:vAlign w:val="center"/>
          </w:tcPr>
          <w:p w14:paraId="72053A45">
            <w:pPr>
              <w:keepNext w:val="0"/>
              <w:keepLines w:val="0"/>
              <w:suppressLineNumbers w:val="0"/>
              <w:snapToGrid w:val="0"/>
              <w:spacing w:before="0" w:beforeAutospacing="0" w:after="0" w:afterAutospacing="0" w:line="360" w:lineRule="auto"/>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权重</w:t>
            </w:r>
          </w:p>
        </w:tc>
        <w:tc>
          <w:tcPr>
            <w:tcW w:w="780" w:type="dxa"/>
            <w:vAlign w:val="center"/>
          </w:tcPr>
          <w:p w14:paraId="41D1F3CA">
            <w:pPr>
              <w:keepNext w:val="0"/>
              <w:keepLines w:val="0"/>
              <w:suppressLineNumbers w:val="0"/>
              <w:snapToGrid w:val="0"/>
              <w:spacing w:before="0" w:beforeAutospacing="0" w:after="0" w:afterAutospacing="0" w:line="360" w:lineRule="auto"/>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主观分/客观分属性</w:t>
            </w:r>
          </w:p>
        </w:tc>
        <w:tc>
          <w:tcPr>
            <w:tcW w:w="1294" w:type="dxa"/>
          </w:tcPr>
          <w:p w14:paraId="7E473696">
            <w:pPr>
              <w:keepNext w:val="0"/>
              <w:keepLines w:val="0"/>
              <w:suppressLineNumbers w:val="0"/>
              <w:snapToGrid w:val="0"/>
              <w:spacing w:before="0" w:beforeAutospacing="0" w:after="0" w:afterAutospacing="0" w:line="360" w:lineRule="auto"/>
              <w:ind w:left="0" w:right="0"/>
              <w:jc w:val="center"/>
              <w:rPr>
                <w:rFonts w:hint="default" w:ascii="宋体" w:hAnsi="宋体" w:cs="宋体"/>
                <w:b/>
                <w:bCs/>
                <w:color w:val="auto"/>
                <w:sz w:val="24"/>
                <w:highlight w:val="none"/>
              </w:rPr>
            </w:pPr>
            <w:r>
              <w:rPr>
                <w:rFonts w:hint="eastAsia" w:ascii="宋体" w:hAnsi="宋体" w:cs="宋体"/>
                <w:b/>
                <w:bCs/>
                <w:color w:val="auto"/>
                <w:sz w:val="21"/>
                <w:szCs w:val="21"/>
                <w:highlight w:val="none"/>
              </w:rPr>
              <w:t>投标文件中评标标准相应的商务技术资料目录*</w:t>
            </w:r>
          </w:p>
        </w:tc>
      </w:tr>
      <w:tr w14:paraId="7D94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jc w:val="center"/>
        </w:trPr>
        <w:tc>
          <w:tcPr>
            <w:tcW w:w="506" w:type="dxa"/>
            <w:vAlign w:val="center"/>
          </w:tcPr>
          <w:p w14:paraId="579F1B5A">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1314" w:type="dxa"/>
            <w:shd w:val="clear" w:color="auto" w:fill="auto"/>
            <w:vAlign w:val="center"/>
          </w:tcPr>
          <w:p w14:paraId="2FC14BA8">
            <w:pPr>
              <w:keepNext w:val="0"/>
              <w:keepLines w:val="0"/>
              <w:suppressLineNumbers w:val="0"/>
              <w:spacing w:before="0" w:beforeAutospacing="0" w:after="0" w:afterAutospacing="0" w:line="360" w:lineRule="auto"/>
              <w:ind w:left="0" w:right="0"/>
              <w:jc w:val="center"/>
              <w:rPr>
                <w:rFonts w:hint="default" w:ascii="宋体" w:hAnsi="宋体" w:cs="宋体"/>
                <w:bCs/>
                <w:color w:val="auto"/>
                <w:sz w:val="24"/>
                <w:highlight w:val="none"/>
              </w:rPr>
            </w:pPr>
            <w:r>
              <w:rPr>
                <w:rFonts w:hint="eastAsia" w:ascii="宋体" w:hAnsi="宋体" w:cs="宋体"/>
                <w:color w:val="auto"/>
                <w:sz w:val="24"/>
                <w:highlight w:val="none"/>
              </w:rPr>
              <w:t>投标人资信</w:t>
            </w:r>
          </w:p>
        </w:tc>
        <w:tc>
          <w:tcPr>
            <w:tcW w:w="4911" w:type="dxa"/>
            <w:shd w:val="clear" w:color="auto" w:fill="auto"/>
          </w:tcPr>
          <w:p w14:paraId="461E036F">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kern w:val="0"/>
                <w:sz w:val="24"/>
                <w:highlight w:val="none"/>
              </w:rPr>
            </w:pPr>
            <w:r>
              <w:rPr>
                <w:rFonts w:hint="eastAsia" w:ascii="宋体" w:hAnsi="宋体" w:cs="宋体"/>
                <w:color w:val="auto"/>
                <w:sz w:val="24"/>
                <w:highlight w:val="none"/>
                <w:lang w:bidi="ar"/>
              </w:rPr>
              <w:t>投标人具有ISO27001信息安全管理体系标准证书</w:t>
            </w:r>
            <w:r>
              <w:rPr>
                <w:rFonts w:hint="eastAsia" w:ascii="宋体" w:hAnsi="宋体" w:cs="宋体"/>
                <w:color w:val="auto"/>
                <w:kern w:val="0"/>
                <w:sz w:val="24"/>
                <w:highlight w:val="none"/>
                <w:lang w:bidi="ar"/>
              </w:rPr>
              <w:t>、</w:t>
            </w:r>
            <w:r>
              <w:rPr>
                <w:rFonts w:hint="eastAsia" w:ascii="宋体" w:hAnsi="宋体" w:cs="宋体"/>
                <w:color w:val="auto"/>
                <w:sz w:val="24"/>
                <w:highlight w:val="none"/>
                <w:lang w:bidi="ar"/>
              </w:rPr>
              <w:t>具有</w:t>
            </w:r>
            <w:r>
              <w:rPr>
                <w:rFonts w:hint="eastAsia" w:ascii="宋体" w:hAnsi="宋体" w:cs="宋体"/>
                <w:color w:val="auto"/>
                <w:kern w:val="0"/>
                <w:sz w:val="24"/>
                <w:highlight w:val="none"/>
                <w:lang w:bidi="ar"/>
              </w:rPr>
              <w:t>ISO20000信息技术服务管理体系证书</w:t>
            </w:r>
            <w:r>
              <w:rPr>
                <w:rFonts w:hint="eastAsia" w:ascii="宋体" w:hAnsi="宋体" w:cs="宋体"/>
                <w:color w:val="auto"/>
                <w:sz w:val="24"/>
                <w:highlight w:val="none"/>
                <w:lang w:bidi="ar"/>
              </w:rPr>
              <w:t>的</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bidi="ar"/>
              </w:rPr>
              <w:t>每提供一个得</w:t>
            </w:r>
            <w:r>
              <w:rPr>
                <w:rFonts w:hint="eastAsia" w:ascii="宋体" w:hAnsi="宋体" w:cs="宋体"/>
                <w:color w:val="auto"/>
                <w:sz w:val="24"/>
                <w:highlight w:val="none"/>
                <w:lang w:val="en-US" w:eastAsia="zh-CN" w:bidi="ar"/>
              </w:rPr>
              <w:t>1</w:t>
            </w:r>
            <w:r>
              <w:rPr>
                <w:rFonts w:hint="eastAsia" w:ascii="宋体" w:hAnsi="宋体" w:cs="宋体"/>
                <w:color w:val="auto"/>
                <w:sz w:val="24"/>
                <w:highlight w:val="none"/>
                <w:lang w:bidi="ar"/>
              </w:rPr>
              <w:t>分，</w:t>
            </w:r>
            <w:r>
              <w:rPr>
                <w:rFonts w:hint="eastAsia" w:ascii="宋体" w:hAnsi="宋体" w:cs="宋体"/>
                <w:color w:val="auto"/>
                <w:kern w:val="0"/>
                <w:sz w:val="24"/>
                <w:highlight w:val="none"/>
                <w:lang w:bidi="ar"/>
              </w:rPr>
              <w:t>最高得</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分。</w:t>
            </w:r>
          </w:p>
          <w:p w14:paraId="205080E6">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b/>
                <w:bCs/>
                <w:color w:val="auto"/>
                <w:kern w:val="0"/>
                <w:sz w:val="24"/>
                <w:highlight w:val="none"/>
              </w:rPr>
              <w:t>说明：</w:t>
            </w:r>
            <w:r>
              <w:rPr>
                <w:rFonts w:hint="eastAsia" w:ascii="宋体" w:hAnsi="宋体" w:eastAsia="宋体" w:cs="宋体"/>
                <w:color w:val="auto"/>
                <w:sz w:val="24"/>
                <w:szCs w:val="24"/>
                <w:highlight w:val="none"/>
              </w:rPr>
              <w:t>（</w:t>
            </w:r>
            <w:r>
              <w:rPr>
                <w:rFonts w:hint="eastAsia" w:ascii="宋体" w:hAnsi="宋体" w:eastAsia="宋体" w:cs="宋体"/>
                <w:kern w:val="0"/>
                <w:sz w:val="24"/>
                <w:szCs w:val="24"/>
              </w:rPr>
              <w:t>提供在有效期内</w:t>
            </w:r>
            <w:r>
              <w:rPr>
                <w:rFonts w:hint="eastAsia" w:ascii="宋体" w:hAnsi="宋体" w:eastAsia="宋体" w:cs="宋体"/>
                <w:kern w:val="0"/>
                <w:sz w:val="24"/>
                <w:szCs w:val="24"/>
                <w:lang w:eastAsia="zh-CN"/>
              </w:rPr>
              <w:t>的证书</w:t>
            </w:r>
            <w:r>
              <w:rPr>
                <w:rFonts w:hint="eastAsia" w:ascii="宋体" w:hAnsi="宋体" w:eastAsia="宋体" w:cs="宋体"/>
                <w:kern w:val="0"/>
                <w:sz w:val="24"/>
                <w:szCs w:val="24"/>
              </w:rPr>
              <w:t>并提供全国认证认可信息公共服务平台查询</w:t>
            </w:r>
            <w:r>
              <w:rPr>
                <w:rFonts w:hint="eastAsia" w:ascii="宋体" w:hAnsi="宋体" w:eastAsia="宋体" w:cs="宋体"/>
                <w:kern w:val="0"/>
                <w:sz w:val="24"/>
                <w:szCs w:val="24"/>
                <w:lang w:eastAsia="zh-CN"/>
              </w:rPr>
              <w:t>的截图</w:t>
            </w:r>
            <w:r>
              <w:rPr>
                <w:rFonts w:hint="eastAsia" w:ascii="宋体" w:hAnsi="宋体" w:eastAsia="宋体" w:cs="宋体"/>
                <w:color w:val="000000"/>
                <w:kern w:val="0"/>
                <w:sz w:val="24"/>
                <w:szCs w:val="24"/>
              </w:rPr>
              <w:t>，未</w:t>
            </w:r>
            <w:r>
              <w:rPr>
                <w:rFonts w:hint="eastAsia" w:ascii="宋体" w:hAnsi="宋体" w:eastAsia="宋体" w:cs="宋体"/>
                <w:color w:val="000000"/>
                <w:kern w:val="0"/>
                <w:sz w:val="24"/>
                <w:szCs w:val="24"/>
                <w:lang w:eastAsia="zh-CN"/>
              </w:rPr>
              <w:t>提供</w:t>
            </w:r>
            <w:r>
              <w:rPr>
                <w:rFonts w:hint="eastAsia" w:ascii="宋体" w:hAnsi="宋体" w:eastAsia="宋体" w:cs="宋体"/>
                <w:color w:val="000000"/>
                <w:kern w:val="0"/>
                <w:sz w:val="24"/>
                <w:szCs w:val="24"/>
              </w:rPr>
              <w:t>的，不得分</w:t>
            </w:r>
            <w:r>
              <w:rPr>
                <w:rFonts w:hint="eastAsia" w:ascii="宋体" w:hAnsi="宋体" w:eastAsia="宋体" w:cs="宋体"/>
                <w:color w:val="auto"/>
                <w:sz w:val="24"/>
                <w:szCs w:val="24"/>
                <w:highlight w:val="none"/>
              </w:rPr>
              <w:t>）</w:t>
            </w:r>
          </w:p>
        </w:tc>
        <w:tc>
          <w:tcPr>
            <w:tcW w:w="669" w:type="dxa"/>
            <w:shd w:val="clear" w:color="auto" w:fill="auto"/>
            <w:vAlign w:val="center"/>
          </w:tcPr>
          <w:p w14:paraId="7E154E1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780" w:type="dxa"/>
            <w:shd w:val="clear" w:color="auto" w:fill="auto"/>
            <w:vAlign w:val="center"/>
          </w:tcPr>
          <w:p w14:paraId="12E7183F">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kern w:val="0"/>
                <w:sz w:val="24"/>
                <w:highlight w:val="none"/>
                <w:lang w:bidi="ar"/>
              </w:rPr>
              <w:t>客观分</w:t>
            </w:r>
          </w:p>
        </w:tc>
        <w:tc>
          <w:tcPr>
            <w:tcW w:w="1294" w:type="dxa"/>
          </w:tcPr>
          <w:p w14:paraId="76CBE9DF">
            <w:pPr>
              <w:keepNext w:val="0"/>
              <w:keepLines w:val="0"/>
              <w:suppressLineNumbers w:val="0"/>
              <w:snapToGrid w:val="0"/>
              <w:spacing w:before="0" w:beforeAutospacing="0" w:after="0" w:afterAutospacing="0" w:line="360" w:lineRule="auto"/>
              <w:ind w:left="0" w:right="0"/>
              <w:jc w:val="center"/>
              <w:rPr>
                <w:rFonts w:hint="default" w:ascii="宋体" w:hAnsi="宋体" w:cs="宋体"/>
                <w:b/>
                <w:bCs/>
                <w:color w:val="auto"/>
                <w:sz w:val="24"/>
                <w:highlight w:val="none"/>
              </w:rPr>
            </w:pPr>
          </w:p>
        </w:tc>
      </w:tr>
      <w:tr w14:paraId="3C04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506" w:type="dxa"/>
            <w:vAlign w:val="center"/>
          </w:tcPr>
          <w:p w14:paraId="451ADF7C">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1314" w:type="dxa"/>
            <w:shd w:val="clear" w:color="auto" w:fill="auto"/>
            <w:vAlign w:val="center"/>
          </w:tcPr>
          <w:p w14:paraId="15A01798">
            <w:pPr>
              <w:keepNext w:val="0"/>
              <w:keepLines w:val="0"/>
              <w:suppressLineNumbers w:val="0"/>
              <w:spacing w:before="0" w:beforeAutospacing="0" w:after="0" w:afterAutospacing="0" w:line="360" w:lineRule="auto"/>
              <w:ind w:left="0" w:right="0"/>
              <w:jc w:val="center"/>
              <w:outlineLvl w:val="0"/>
              <w:rPr>
                <w:rFonts w:hint="default" w:ascii="宋体" w:hAnsi="宋体" w:cs="宋体"/>
                <w:color w:val="auto"/>
                <w:sz w:val="24"/>
                <w:highlight w:val="none"/>
              </w:rPr>
            </w:pPr>
            <w:r>
              <w:rPr>
                <w:rFonts w:hint="eastAsia" w:ascii="宋体" w:hAnsi="宋体" w:cs="宋体"/>
                <w:color w:val="auto"/>
                <w:sz w:val="24"/>
                <w:highlight w:val="none"/>
              </w:rPr>
              <w:t>投标人业绩</w:t>
            </w:r>
          </w:p>
        </w:tc>
        <w:tc>
          <w:tcPr>
            <w:tcW w:w="4911" w:type="dxa"/>
            <w:shd w:val="clear" w:color="auto" w:fill="auto"/>
            <w:vAlign w:val="center"/>
          </w:tcPr>
          <w:p w14:paraId="6E922E4B">
            <w:pPr>
              <w:pStyle w:val="2"/>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bCs/>
                <w:color w:val="auto"/>
                <w:sz w:val="24"/>
                <w:highlight w:val="none"/>
              </w:rPr>
              <w:t>投标人提供自2022年1月1日（以签订合同时间为准）至今承担过类似</w:t>
            </w:r>
            <w:r>
              <w:rPr>
                <w:rFonts w:hint="eastAsia" w:ascii="宋体" w:hAnsi="宋体" w:cs="宋体"/>
                <w:bCs/>
                <w:color w:val="auto"/>
                <w:sz w:val="24"/>
                <w:highlight w:val="none"/>
                <w:lang w:val="en-US" w:eastAsia="zh-CN"/>
              </w:rPr>
              <w:t>软件系统开发（或软件集成）</w:t>
            </w:r>
            <w:r>
              <w:rPr>
                <w:rFonts w:hint="eastAsia" w:ascii="宋体" w:hAnsi="宋体" w:cs="宋体"/>
                <w:color w:val="auto"/>
                <w:kern w:val="0"/>
                <w:sz w:val="24"/>
                <w:highlight w:val="none"/>
                <w:lang w:bidi="ar"/>
              </w:rPr>
              <w:t>实施的成功经验情况</w:t>
            </w:r>
            <w:r>
              <w:rPr>
                <w:rFonts w:hint="eastAsia" w:hAnsi="宋体" w:cs="宋体"/>
                <w:color w:val="auto"/>
                <w:kern w:val="0"/>
                <w:sz w:val="24"/>
                <w:highlight w:val="none"/>
                <w:lang w:eastAsia="zh-CN" w:bidi="ar"/>
              </w:rPr>
              <w:t>，</w:t>
            </w:r>
            <w:r>
              <w:rPr>
                <w:rFonts w:hint="eastAsia" w:hAnsi="宋体" w:cs="宋体"/>
                <w:color w:val="auto"/>
                <w:kern w:val="0"/>
                <w:sz w:val="24"/>
                <w:highlight w:val="none"/>
                <w:lang w:val="en-US" w:eastAsia="zh-CN" w:bidi="ar"/>
              </w:rPr>
              <w:t>每提供一个得0.5分，最多得1分</w:t>
            </w:r>
            <w:r>
              <w:rPr>
                <w:rFonts w:hint="eastAsia" w:ascii="宋体" w:hAnsi="宋体" w:cs="宋体"/>
                <w:color w:val="auto"/>
                <w:kern w:val="0"/>
                <w:sz w:val="24"/>
                <w:highlight w:val="none"/>
                <w:lang w:bidi="ar"/>
              </w:rPr>
              <w:t>。</w:t>
            </w:r>
            <w:r>
              <w:rPr>
                <w:rFonts w:hint="eastAsia" w:ascii="宋体" w:hAnsi="宋体" w:eastAsia="宋体" w:cs="宋体"/>
                <w:i w:val="0"/>
                <w:iCs w:val="0"/>
                <w:color w:val="000000"/>
                <w:kern w:val="0"/>
                <w:sz w:val="22"/>
                <w:szCs w:val="22"/>
                <w:u w:val="none"/>
                <w:lang w:val="en-US" w:eastAsia="zh-CN" w:bidi="ar"/>
              </w:rPr>
              <w:t>（证明材料：须提供合同</w:t>
            </w:r>
            <w:r>
              <w:rPr>
                <w:rFonts w:hint="eastAsia" w:hAnsi="宋体" w:cs="宋体"/>
                <w:i w:val="0"/>
                <w:iCs w:val="0"/>
                <w:color w:val="000000"/>
                <w:kern w:val="0"/>
                <w:sz w:val="22"/>
                <w:szCs w:val="22"/>
                <w:u w:val="none"/>
                <w:lang w:val="en-US" w:eastAsia="zh-CN" w:bidi="ar"/>
              </w:rPr>
              <w:t>及</w:t>
            </w:r>
            <w:r>
              <w:rPr>
                <w:rFonts w:hint="eastAsia" w:ascii="宋体" w:hAnsi="宋体" w:cs="宋体"/>
                <w:color w:val="auto"/>
                <w:kern w:val="0"/>
                <w:sz w:val="24"/>
                <w:highlight w:val="none"/>
                <w:lang w:bidi="ar"/>
              </w:rPr>
              <w:t>验收合格报告扫描件</w:t>
            </w:r>
            <w:r>
              <w:rPr>
                <w:rFonts w:hint="eastAsia" w:ascii="宋体" w:hAnsi="宋体" w:eastAsia="宋体" w:cs="宋体"/>
                <w:i w:val="0"/>
                <w:iCs w:val="0"/>
                <w:color w:val="000000"/>
                <w:kern w:val="0"/>
                <w:sz w:val="22"/>
                <w:szCs w:val="22"/>
                <w:u w:val="none"/>
                <w:lang w:val="en-US" w:eastAsia="zh-CN" w:bidi="ar"/>
              </w:rPr>
              <w:t>，否则不得分）</w:t>
            </w:r>
            <w:r>
              <w:rPr>
                <w:rFonts w:hint="eastAsia" w:ascii="宋体" w:hAnsi="宋体" w:cs="宋体"/>
                <w:b/>
                <w:bCs/>
                <w:color w:val="auto"/>
                <w:sz w:val="24"/>
                <w:highlight w:val="none"/>
              </w:rPr>
              <w:t>说明：</w:t>
            </w:r>
            <w:r>
              <w:rPr>
                <w:rFonts w:hint="eastAsia" w:ascii="宋体" w:hAnsi="宋体" w:cs="宋体"/>
                <w:b/>
                <w:bCs/>
                <w:color w:val="auto"/>
                <w:sz w:val="24"/>
                <w:highlight w:val="none"/>
                <w:lang w:val="en-US" w:eastAsia="zh-CN"/>
              </w:rPr>
              <w:t>时间</w:t>
            </w:r>
            <w:r>
              <w:rPr>
                <w:rFonts w:hint="eastAsia" w:ascii="宋体" w:hAnsi="宋体" w:cs="宋体"/>
                <w:b/>
                <w:bCs/>
                <w:color w:val="auto"/>
                <w:sz w:val="24"/>
                <w:highlight w:val="none"/>
              </w:rPr>
              <w:t>以合同签订时间为准</w:t>
            </w:r>
            <w:r>
              <w:rPr>
                <w:rFonts w:hint="eastAsia" w:hAnsi="宋体" w:cs="宋体"/>
                <w:b/>
                <w:bCs/>
                <w:color w:val="auto"/>
                <w:sz w:val="24"/>
                <w:highlight w:val="none"/>
                <w:lang w:eastAsia="zh-CN"/>
              </w:rPr>
              <w:t>，</w:t>
            </w:r>
            <w:r>
              <w:rPr>
                <w:rFonts w:hint="eastAsia" w:ascii="宋体" w:hAnsi="宋体" w:cs="宋体"/>
                <w:b/>
                <w:bCs/>
                <w:color w:val="auto"/>
                <w:kern w:val="0"/>
                <w:sz w:val="24"/>
                <w:highlight w:val="none"/>
              </w:rPr>
              <w:t>并加盖</w:t>
            </w:r>
            <w:r>
              <w:rPr>
                <w:rFonts w:hint="eastAsia" w:ascii="宋体" w:hAnsi="宋体" w:cs="宋体"/>
                <w:b/>
                <w:bCs/>
                <w:color w:val="auto"/>
                <w:kern w:val="0"/>
                <w:sz w:val="24"/>
                <w:highlight w:val="none"/>
                <w:lang w:val="en-US" w:eastAsia="zh-CN"/>
              </w:rPr>
              <w:t>电子</w:t>
            </w:r>
            <w:r>
              <w:rPr>
                <w:rFonts w:hint="eastAsia" w:ascii="宋体" w:hAnsi="宋体" w:cs="宋体"/>
                <w:b/>
                <w:bCs/>
                <w:color w:val="auto"/>
                <w:kern w:val="0"/>
                <w:sz w:val="24"/>
                <w:highlight w:val="none"/>
              </w:rPr>
              <w:t>章</w:t>
            </w:r>
            <w:r>
              <w:rPr>
                <w:rFonts w:hint="eastAsia" w:ascii="宋体" w:hAnsi="宋体" w:cs="宋体"/>
                <w:b/>
                <w:bCs/>
                <w:color w:val="auto"/>
                <w:sz w:val="24"/>
                <w:highlight w:val="none"/>
              </w:rPr>
              <w:t>。</w:t>
            </w:r>
          </w:p>
        </w:tc>
        <w:tc>
          <w:tcPr>
            <w:tcW w:w="669" w:type="dxa"/>
            <w:shd w:val="clear" w:color="auto" w:fill="auto"/>
            <w:vAlign w:val="center"/>
          </w:tcPr>
          <w:p w14:paraId="6F2DA55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780" w:type="dxa"/>
            <w:shd w:val="clear" w:color="auto" w:fill="auto"/>
            <w:vAlign w:val="center"/>
          </w:tcPr>
          <w:p w14:paraId="22A409A7">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kern w:val="0"/>
                <w:sz w:val="24"/>
                <w:highlight w:val="none"/>
                <w:lang w:bidi="ar"/>
              </w:rPr>
              <w:t>客观分</w:t>
            </w:r>
          </w:p>
        </w:tc>
        <w:tc>
          <w:tcPr>
            <w:tcW w:w="1294" w:type="dxa"/>
          </w:tcPr>
          <w:p w14:paraId="7668A9C2">
            <w:pPr>
              <w:keepNext w:val="0"/>
              <w:keepLines w:val="0"/>
              <w:suppressLineNumbers w:val="0"/>
              <w:snapToGrid w:val="0"/>
              <w:spacing w:before="0" w:beforeAutospacing="0" w:after="0" w:afterAutospacing="0" w:line="360" w:lineRule="auto"/>
              <w:ind w:left="0" w:right="0"/>
              <w:jc w:val="center"/>
              <w:rPr>
                <w:rFonts w:hint="default" w:ascii="宋体" w:hAnsi="宋体" w:cs="宋体"/>
                <w:b/>
                <w:bCs/>
                <w:color w:val="auto"/>
                <w:sz w:val="24"/>
                <w:highlight w:val="none"/>
              </w:rPr>
            </w:pPr>
          </w:p>
        </w:tc>
      </w:tr>
      <w:tr w14:paraId="18D64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506" w:type="dxa"/>
            <w:vAlign w:val="center"/>
          </w:tcPr>
          <w:p w14:paraId="37A3B670">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3</w:t>
            </w:r>
          </w:p>
        </w:tc>
        <w:tc>
          <w:tcPr>
            <w:tcW w:w="1314" w:type="dxa"/>
            <w:shd w:val="clear" w:color="auto" w:fill="auto"/>
            <w:vAlign w:val="center"/>
          </w:tcPr>
          <w:p w14:paraId="53428326">
            <w:pPr>
              <w:keepNext w:val="0"/>
              <w:keepLines w:val="0"/>
              <w:suppressLineNumbers w:val="0"/>
              <w:spacing w:before="0" w:beforeAutospacing="0" w:after="0" w:afterAutospacing="0" w:line="360" w:lineRule="auto"/>
              <w:ind w:left="0" w:right="0"/>
              <w:jc w:val="center"/>
              <w:rPr>
                <w:rFonts w:hint="default" w:ascii="宋体" w:hAnsi="宋体" w:cs="宋体"/>
                <w:snapToGrid w:val="0"/>
                <w:color w:val="auto"/>
                <w:sz w:val="24"/>
                <w:highlight w:val="none"/>
              </w:rPr>
            </w:pPr>
            <w:r>
              <w:rPr>
                <w:rFonts w:hint="eastAsia" w:ascii="宋体" w:hAnsi="宋体" w:cs="宋体"/>
                <w:snapToGrid w:val="0"/>
                <w:color w:val="auto"/>
                <w:sz w:val="24"/>
                <w:highlight w:val="none"/>
              </w:rPr>
              <w:t>投标方案的科学性和完整性</w:t>
            </w:r>
          </w:p>
        </w:tc>
        <w:tc>
          <w:tcPr>
            <w:tcW w:w="4911" w:type="dxa"/>
            <w:shd w:val="clear" w:color="auto" w:fill="auto"/>
          </w:tcPr>
          <w:p w14:paraId="7A1178EE">
            <w:pPr>
              <w:keepNext w:val="0"/>
              <w:keepLines w:val="0"/>
              <w:suppressLineNumbers w:val="0"/>
              <w:spacing w:before="0" w:beforeAutospacing="0" w:after="0" w:afterAutospacing="0" w:line="360" w:lineRule="auto"/>
              <w:ind w:left="0" w:right="0"/>
              <w:jc w:val="left"/>
              <w:rPr>
                <w:rFonts w:hint="default" w:ascii="宋体" w:hAnsi="宋体" w:eastAsia="宋体" w:cs="宋体"/>
                <w:b/>
                <w:bCs/>
                <w:snapToGrid w:val="0"/>
                <w:color w:val="auto"/>
                <w:kern w:val="0"/>
                <w:sz w:val="24"/>
                <w:highlight w:val="none"/>
                <w:lang w:val="en-US" w:eastAsia="zh-CN"/>
              </w:rPr>
            </w:pPr>
            <w:r>
              <w:rPr>
                <w:rFonts w:hint="eastAsia" w:ascii="宋体" w:hAnsi="宋体" w:cs="宋体"/>
                <w:snapToGrid w:val="0"/>
                <w:color w:val="auto"/>
                <w:kern w:val="0"/>
                <w:sz w:val="24"/>
                <w:highlight w:val="none"/>
              </w:rPr>
              <w:t>投标方案的科学性和完整性</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rPr>
              <w:t>投标人应提供总体设计方案</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lang w:val="en-US" w:eastAsia="zh-CN"/>
              </w:rPr>
              <w:t>①</w:t>
            </w:r>
            <w:r>
              <w:rPr>
                <w:rFonts w:hint="eastAsia" w:ascii="宋体" w:hAnsi="宋体" w:cs="宋体"/>
                <w:snapToGrid w:val="0"/>
                <w:color w:val="auto"/>
                <w:kern w:val="0"/>
                <w:sz w:val="24"/>
                <w:highlight w:val="none"/>
              </w:rPr>
              <w:t>项目建设原则</w:t>
            </w:r>
            <w:r>
              <w:rPr>
                <w:rFonts w:hint="eastAsia" w:ascii="宋体" w:hAnsi="宋体" w:cs="宋体"/>
                <w:snapToGrid w:val="0"/>
                <w:color w:val="auto"/>
                <w:kern w:val="0"/>
                <w:sz w:val="24"/>
                <w:highlight w:val="none"/>
                <w:lang w:val="en-US" w:eastAsia="zh-CN"/>
              </w:rPr>
              <w:t>与</w:t>
            </w:r>
            <w:r>
              <w:rPr>
                <w:rFonts w:hint="eastAsia" w:ascii="宋体" w:hAnsi="宋体" w:cs="宋体"/>
                <w:snapToGrid w:val="0"/>
                <w:color w:val="auto"/>
                <w:kern w:val="0"/>
                <w:sz w:val="24"/>
                <w:highlight w:val="none"/>
              </w:rPr>
              <w:t>项目建设目标、</w:t>
            </w:r>
            <w:r>
              <w:rPr>
                <w:rFonts w:hint="eastAsia" w:ascii="宋体" w:hAnsi="宋体" w:cs="宋体"/>
                <w:snapToGrid w:val="0"/>
                <w:color w:val="auto"/>
                <w:kern w:val="0"/>
                <w:sz w:val="24"/>
                <w:highlight w:val="none"/>
                <w:lang w:val="en-US" w:eastAsia="zh-CN"/>
              </w:rPr>
              <w:t>②</w:t>
            </w:r>
            <w:r>
              <w:rPr>
                <w:rFonts w:hint="eastAsia" w:ascii="宋体" w:hAnsi="宋体" w:cs="宋体"/>
                <w:snapToGrid w:val="0"/>
                <w:color w:val="auto"/>
                <w:kern w:val="0"/>
                <w:sz w:val="24"/>
                <w:highlight w:val="none"/>
              </w:rPr>
              <w:t>业务架构</w:t>
            </w:r>
            <w:r>
              <w:rPr>
                <w:rFonts w:hint="eastAsia" w:ascii="宋体" w:hAnsi="宋体" w:cs="宋体"/>
                <w:snapToGrid w:val="0"/>
                <w:color w:val="auto"/>
                <w:kern w:val="0"/>
                <w:sz w:val="24"/>
                <w:highlight w:val="none"/>
                <w:lang w:val="en-US" w:eastAsia="zh-CN"/>
              </w:rPr>
              <w:t>与</w:t>
            </w:r>
            <w:r>
              <w:rPr>
                <w:rFonts w:hint="eastAsia" w:ascii="宋体" w:hAnsi="宋体" w:cs="宋体"/>
                <w:snapToGrid w:val="0"/>
                <w:color w:val="auto"/>
                <w:kern w:val="0"/>
                <w:sz w:val="24"/>
                <w:highlight w:val="none"/>
              </w:rPr>
              <w:t>系统架构、</w:t>
            </w:r>
            <w:r>
              <w:rPr>
                <w:rFonts w:hint="eastAsia" w:ascii="宋体" w:hAnsi="宋体" w:cs="宋体"/>
                <w:snapToGrid w:val="0"/>
                <w:color w:val="auto"/>
                <w:kern w:val="0"/>
                <w:sz w:val="24"/>
                <w:highlight w:val="none"/>
                <w:lang w:val="en-US" w:eastAsia="zh-CN"/>
              </w:rPr>
              <w:t>③</w:t>
            </w:r>
            <w:r>
              <w:rPr>
                <w:rFonts w:hint="eastAsia" w:ascii="宋体" w:hAnsi="宋体" w:cs="宋体"/>
                <w:snapToGrid w:val="0"/>
                <w:color w:val="auto"/>
                <w:kern w:val="0"/>
                <w:sz w:val="24"/>
                <w:highlight w:val="none"/>
              </w:rPr>
              <w:t>数据架构、</w:t>
            </w:r>
            <w:r>
              <w:rPr>
                <w:rFonts w:hint="eastAsia" w:ascii="宋体" w:hAnsi="宋体" w:cs="宋体"/>
                <w:snapToGrid w:val="0"/>
                <w:color w:val="auto"/>
                <w:kern w:val="0"/>
                <w:sz w:val="24"/>
                <w:highlight w:val="none"/>
                <w:lang w:val="en-US" w:eastAsia="zh-CN"/>
              </w:rPr>
              <w:t>④</w:t>
            </w:r>
            <w:r>
              <w:rPr>
                <w:rFonts w:hint="eastAsia" w:ascii="宋体" w:hAnsi="宋体" w:cs="宋体"/>
                <w:snapToGrid w:val="0"/>
                <w:color w:val="auto"/>
                <w:kern w:val="0"/>
                <w:sz w:val="24"/>
                <w:highlight w:val="none"/>
              </w:rPr>
              <w:t>技术架构、</w:t>
            </w:r>
            <w:r>
              <w:rPr>
                <w:rFonts w:hint="eastAsia" w:ascii="宋体" w:hAnsi="宋体" w:eastAsia="宋体" w:cs="宋体"/>
                <w:snapToGrid w:val="0"/>
                <w:color w:val="auto"/>
                <w:kern w:val="0"/>
                <w:sz w:val="24"/>
                <w:highlight w:val="none"/>
                <w:lang w:val="en-US" w:eastAsia="zh-CN"/>
              </w:rPr>
              <w:t>⑤</w:t>
            </w:r>
            <w:r>
              <w:rPr>
                <w:rFonts w:hint="eastAsia" w:ascii="宋体" w:hAnsi="宋体" w:eastAsia="宋体" w:cs="宋体"/>
                <w:snapToGrid w:val="0"/>
                <w:color w:val="auto"/>
                <w:kern w:val="0"/>
                <w:sz w:val="24"/>
                <w:highlight w:val="none"/>
              </w:rPr>
              <w:t>建设内容与规模</w:t>
            </w:r>
            <w:r>
              <w:rPr>
                <w:rFonts w:hint="eastAsia" w:ascii="宋体" w:hAnsi="宋体" w:eastAsia="宋体" w:cs="宋体"/>
                <w:snapToGrid w:val="0"/>
                <w:color w:val="auto"/>
                <w:kern w:val="0"/>
                <w:sz w:val="24"/>
                <w:highlight w:val="none"/>
                <w:lang w:val="en-US" w:eastAsia="zh-CN"/>
              </w:rPr>
              <w:t>。</w:t>
            </w:r>
            <w:bookmarkStart w:id="33" w:name="OLE_LINK3"/>
            <w:r>
              <w:rPr>
                <w:rFonts w:hint="eastAsia" w:ascii="宋体" w:hAnsi="宋体" w:eastAsia="宋体" w:cs="宋体"/>
                <w:snapToGrid w:val="0"/>
                <w:color w:val="auto"/>
                <w:kern w:val="0"/>
                <w:sz w:val="24"/>
                <w:highlight w:val="none"/>
                <w:lang w:val="en-US" w:eastAsia="zh-CN"/>
              </w:rPr>
              <w:t>每一项内容完整、措施有效、满足要求各得1分，内容虽然进行了阐述但并未完全贴合项目需求理解情况，或理解的内容未包括细节或有效措施，</w:t>
            </w:r>
            <w:r>
              <w:rPr>
                <w:rFonts w:hint="eastAsia" w:ascii="宋体" w:hAnsi="宋体" w:cs="宋体"/>
                <w:snapToGrid w:val="0"/>
                <w:color w:val="auto"/>
                <w:kern w:val="0"/>
                <w:sz w:val="24"/>
                <w:highlight w:val="none"/>
                <w:lang w:val="en-US" w:eastAsia="zh-CN"/>
              </w:rPr>
              <w:t>各</w:t>
            </w:r>
            <w:r>
              <w:rPr>
                <w:rFonts w:hint="eastAsia" w:ascii="宋体" w:hAnsi="宋体" w:eastAsia="宋体" w:cs="宋体"/>
                <w:snapToGrid w:val="0"/>
                <w:color w:val="auto"/>
                <w:kern w:val="0"/>
                <w:sz w:val="24"/>
                <w:highlight w:val="none"/>
                <w:lang w:val="en-US" w:eastAsia="zh-CN"/>
              </w:rPr>
              <w:t>得0.5分；未进行阐述或阐述内容无法满足项目需求的</w:t>
            </w:r>
            <w:r>
              <w:rPr>
                <w:rFonts w:hint="eastAsia" w:ascii="宋体" w:hAnsi="宋体" w:cs="宋体"/>
                <w:snapToGrid w:val="0"/>
                <w:color w:val="auto"/>
                <w:kern w:val="0"/>
                <w:sz w:val="24"/>
                <w:highlight w:val="none"/>
                <w:lang w:val="en-US" w:eastAsia="zh-CN"/>
              </w:rPr>
              <w:t>不得分</w:t>
            </w:r>
            <w:r>
              <w:rPr>
                <w:rFonts w:hint="eastAsia" w:ascii="宋体" w:hAnsi="宋体" w:eastAsia="宋体" w:cs="宋体"/>
                <w:snapToGrid w:val="0"/>
                <w:color w:val="auto"/>
                <w:kern w:val="0"/>
                <w:sz w:val="24"/>
                <w:highlight w:val="none"/>
                <w:lang w:val="en-US" w:eastAsia="zh-CN"/>
              </w:rPr>
              <w:t>。</w:t>
            </w:r>
            <w:bookmarkEnd w:id="33"/>
            <w:r>
              <w:rPr>
                <w:rFonts w:hint="eastAsia" w:ascii="宋体" w:hAnsi="宋体" w:cs="宋体"/>
                <w:snapToGrid w:val="0"/>
                <w:color w:val="auto"/>
                <w:kern w:val="0"/>
                <w:sz w:val="24"/>
                <w:highlight w:val="none"/>
                <w:lang w:val="en-US" w:eastAsia="zh-CN"/>
              </w:rPr>
              <w:t>本项</w:t>
            </w:r>
            <w:r>
              <w:rPr>
                <w:rFonts w:hint="eastAsia" w:ascii="宋体" w:hAnsi="宋体" w:eastAsia="宋体" w:cs="宋体"/>
                <w:snapToGrid w:val="0"/>
                <w:color w:val="auto"/>
                <w:kern w:val="0"/>
                <w:sz w:val="24"/>
                <w:highlight w:val="none"/>
                <w:lang w:val="en-US" w:eastAsia="zh-CN"/>
              </w:rPr>
              <w:t>最高得5分。</w:t>
            </w:r>
          </w:p>
        </w:tc>
        <w:tc>
          <w:tcPr>
            <w:tcW w:w="669" w:type="dxa"/>
            <w:shd w:val="clear" w:color="auto" w:fill="auto"/>
            <w:vAlign w:val="center"/>
          </w:tcPr>
          <w:p w14:paraId="787F06B8">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5</w:t>
            </w:r>
          </w:p>
        </w:tc>
        <w:tc>
          <w:tcPr>
            <w:tcW w:w="780" w:type="dxa"/>
            <w:shd w:val="clear" w:color="auto" w:fill="auto"/>
            <w:vAlign w:val="center"/>
          </w:tcPr>
          <w:p w14:paraId="245AEC17">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 w:val="24"/>
                <w:highlight w:val="none"/>
                <w:lang w:bidi="ar"/>
              </w:rPr>
            </w:pPr>
            <w:r>
              <w:rPr>
                <w:rFonts w:hint="eastAsia" w:ascii="宋体" w:hAnsi="宋体" w:cs="宋体"/>
                <w:color w:val="auto"/>
                <w:kern w:val="0"/>
                <w:sz w:val="24"/>
                <w:highlight w:val="none"/>
                <w:lang w:bidi="ar"/>
              </w:rPr>
              <w:t>主观分</w:t>
            </w:r>
          </w:p>
        </w:tc>
        <w:tc>
          <w:tcPr>
            <w:tcW w:w="1294" w:type="dxa"/>
          </w:tcPr>
          <w:p w14:paraId="556A4A90">
            <w:pPr>
              <w:keepNext w:val="0"/>
              <w:keepLines w:val="0"/>
              <w:suppressLineNumbers w:val="0"/>
              <w:snapToGrid w:val="0"/>
              <w:spacing w:before="0" w:beforeAutospacing="0" w:after="0" w:afterAutospacing="0" w:line="360" w:lineRule="auto"/>
              <w:ind w:left="0" w:right="0"/>
              <w:jc w:val="center"/>
              <w:rPr>
                <w:rFonts w:hint="default" w:ascii="宋体" w:hAnsi="宋体" w:cs="宋体"/>
                <w:b/>
                <w:bCs/>
                <w:color w:val="auto"/>
                <w:sz w:val="24"/>
                <w:highlight w:val="none"/>
              </w:rPr>
            </w:pPr>
          </w:p>
        </w:tc>
      </w:tr>
      <w:tr w14:paraId="0832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6" w:type="dxa"/>
            <w:vAlign w:val="center"/>
          </w:tcPr>
          <w:p w14:paraId="6D47450B">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4</w:t>
            </w:r>
          </w:p>
        </w:tc>
        <w:tc>
          <w:tcPr>
            <w:tcW w:w="1314" w:type="dxa"/>
            <w:shd w:val="clear" w:color="auto" w:fill="auto"/>
            <w:vAlign w:val="center"/>
          </w:tcPr>
          <w:p w14:paraId="4A27B92A">
            <w:pPr>
              <w:keepNext w:val="0"/>
              <w:keepLines w:val="0"/>
              <w:suppressLineNumbers w:val="0"/>
              <w:snapToGrid w:val="0"/>
              <w:spacing w:before="0" w:beforeAutospacing="0" w:after="0" w:afterAutospacing="0" w:line="360" w:lineRule="auto"/>
              <w:ind w:left="0" w:right="0"/>
              <w:jc w:val="center"/>
              <w:rPr>
                <w:rFonts w:hint="default" w:ascii="宋体" w:hAnsi="宋体" w:cs="宋体"/>
                <w:snapToGrid w:val="0"/>
                <w:color w:val="auto"/>
                <w:sz w:val="24"/>
                <w:highlight w:val="none"/>
              </w:rPr>
            </w:pPr>
            <w:r>
              <w:rPr>
                <w:rFonts w:hint="eastAsia" w:ascii="宋体" w:hAnsi="宋体" w:cs="宋体"/>
                <w:color w:val="auto"/>
                <w:kern w:val="0"/>
                <w:sz w:val="24"/>
                <w:highlight w:val="none"/>
              </w:rPr>
              <w:t>投标产品的性能与需求的吻合程度</w:t>
            </w:r>
          </w:p>
        </w:tc>
        <w:tc>
          <w:tcPr>
            <w:tcW w:w="4911" w:type="dxa"/>
            <w:shd w:val="clear" w:color="auto" w:fill="auto"/>
          </w:tcPr>
          <w:p w14:paraId="02B8E5B8">
            <w:pPr>
              <w:keepNext w:val="0"/>
              <w:keepLines w:val="0"/>
              <w:suppressLineNumbers w:val="0"/>
              <w:snapToGrid w:val="0"/>
              <w:spacing w:before="0" w:beforeAutospacing="0" w:after="0" w:afterAutospacing="0" w:line="360" w:lineRule="auto"/>
              <w:ind w:left="0" w:right="0"/>
              <w:rPr>
                <w:rFonts w:hint="default" w:ascii="宋体" w:hAnsi="宋体" w:cs="宋体"/>
                <w:snapToGrid w:val="0"/>
                <w:color w:val="auto"/>
                <w:kern w:val="0"/>
                <w:sz w:val="24"/>
                <w:highlight w:val="none"/>
              </w:rPr>
            </w:pPr>
            <w:r>
              <w:rPr>
                <w:rFonts w:hint="eastAsia" w:ascii="宋体" w:hAnsi="宋体" w:cs="宋体"/>
                <w:snapToGrid w:val="0"/>
                <w:color w:val="auto"/>
                <w:kern w:val="0"/>
                <w:sz w:val="24"/>
                <w:highlight w:val="none"/>
              </w:rPr>
              <w:t>投标产品与需求的吻合程度，包括投标产品的基本功能、技术指标与需求的吻合程度和偏差情况（包括所投标主要参数、软件功能、性能指标等），是否能够满足招标文件要求</w:t>
            </w:r>
            <w:r>
              <w:rPr>
                <w:rFonts w:hint="eastAsia" w:ascii="宋体" w:hAnsi="宋体" w:cs="宋体"/>
                <w:snapToGrid w:val="0"/>
                <w:color w:val="auto"/>
                <w:kern w:val="0"/>
                <w:sz w:val="24"/>
                <w:highlight w:val="none"/>
                <w:lang w:eastAsia="zh-CN"/>
              </w:rPr>
              <w:t>，</w:t>
            </w:r>
            <w:r>
              <w:rPr>
                <w:rFonts w:hint="eastAsia" w:ascii="宋体" w:hAnsi="宋体" w:cs="宋体"/>
                <w:color w:val="auto"/>
                <w:kern w:val="0"/>
                <w:sz w:val="24"/>
                <w:highlight w:val="none"/>
              </w:rPr>
              <w:t>技术指标负偏离每一项扣减1分，扣完为止</w:t>
            </w:r>
            <w:r>
              <w:rPr>
                <w:rFonts w:hint="eastAsia" w:ascii="宋体" w:hAnsi="宋体" w:cs="宋体"/>
                <w:snapToGrid w:val="0"/>
                <w:color w:val="auto"/>
                <w:kern w:val="0"/>
                <w:sz w:val="24"/>
                <w:highlight w:val="none"/>
              </w:rPr>
              <w:t>。</w:t>
            </w:r>
          </w:p>
        </w:tc>
        <w:tc>
          <w:tcPr>
            <w:tcW w:w="669" w:type="dxa"/>
            <w:vAlign w:val="center"/>
          </w:tcPr>
          <w:p w14:paraId="3B0351E5">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10</w:t>
            </w:r>
          </w:p>
        </w:tc>
        <w:tc>
          <w:tcPr>
            <w:tcW w:w="780" w:type="dxa"/>
            <w:vAlign w:val="center"/>
          </w:tcPr>
          <w:p w14:paraId="4EE5ED9A">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客</w:t>
            </w:r>
            <w:r>
              <w:rPr>
                <w:rFonts w:hint="eastAsia" w:ascii="宋体" w:hAnsi="宋体" w:cs="宋体"/>
                <w:color w:val="auto"/>
                <w:kern w:val="0"/>
                <w:sz w:val="24"/>
                <w:highlight w:val="none"/>
                <w:lang w:bidi="ar"/>
              </w:rPr>
              <w:t>观分</w:t>
            </w:r>
          </w:p>
        </w:tc>
        <w:tc>
          <w:tcPr>
            <w:tcW w:w="1294" w:type="dxa"/>
          </w:tcPr>
          <w:p w14:paraId="15D22669">
            <w:pPr>
              <w:keepNext w:val="0"/>
              <w:keepLines w:val="0"/>
              <w:suppressLineNumbers w:val="0"/>
              <w:snapToGrid w:val="0"/>
              <w:spacing w:before="0" w:beforeAutospacing="0" w:after="0" w:afterAutospacing="0" w:line="360" w:lineRule="auto"/>
              <w:ind w:left="0" w:right="0"/>
              <w:jc w:val="center"/>
              <w:rPr>
                <w:rFonts w:hint="default" w:ascii="宋体" w:hAnsi="宋体" w:cs="宋体"/>
                <w:b/>
                <w:bCs/>
                <w:color w:val="auto"/>
                <w:sz w:val="24"/>
                <w:highlight w:val="none"/>
              </w:rPr>
            </w:pPr>
          </w:p>
        </w:tc>
      </w:tr>
      <w:tr w14:paraId="3DE2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506" w:type="dxa"/>
            <w:vAlign w:val="center"/>
          </w:tcPr>
          <w:p w14:paraId="483951A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highlight w:val="yellow"/>
                <w:lang w:val="en-US" w:eastAsia="zh-CN"/>
              </w:rPr>
            </w:pPr>
            <w:r>
              <w:rPr>
                <w:rFonts w:hint="eastAsia" w:ascii="宋体" w:hAnsi="宋体" w:cs="宋体"/>
                <w:color w:val="auto"/>
                <w:sz w:val="24"/>
                <w:highlight w:val="none"/>
                <w:lang w:val="en-US" w:eastAsia="zh-CN"/>
              </w:rPr>
              <w:t>5</w:t>
            </w:r>
          </w:p>
        </w:tc>
        <w:tc>
          <w:tcPr>
            <w:tcW w:w="1314" w:type="dxa"/>
            <w:shd w:val="clear" w:color="auto" w:fill="auto"/>
            <w:vAlign w:val="center"/>
          </w:tcPr>
          <w:p w14:paraId="47982D1B">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highlight w:val="yellow"/>
              </w:rPr>
            </w:pPr>
            <w:r>
              <w:rPr>
                <w:rFonts w:hint="eastAsia" w:ascii="宋体" w:hAnsi="宋体" w:cs="宋体"/>
                <w:snapToGrid w:val="0"/>
                <w:color w:val="auto"/>
                <w:kern w:val="0"/>
                <w:sz w:val="24"/>
                <w:highlight w:val="none"/>
                <w:lang w:val="en-US" w:eastAsia="zh-CN" w:bidi="ar"/>
              </w:rPr>
              <w:t>功能响应符合</w:t>
            </w:r>
          </w:p>
        </w:tc>
        <w:tc>
          <w:tcPr>
            <w:tcW w:w="4911" w:type="dxa"/>
            <w:shd w:val="clear" w:color="auto" w:fill="auto"/>
          </w:tcPr>
          <w:p w14:paraId="17C1960E">
            <w:pPr>
              <w:keepNext w:val="0"/>
              <w:keepLines w:val="0"/>
              <w:suppressLineNumbers w:val="0"/>
              <w:snapToGrid w:val="0"/>
              <w:spacing w:before="0" w:beforeAutospacing="0" w:after="0" w:afterAutospacing="0" w:line="360" w:lineRule="auto"/>
              <w:ind w:left="0" w:right="0"/>
              <w:rPr>
                <w:rFonts w:hint="default" w:ascii="宋体" w:hAnsi="宋体" w:eastAsia="宋体" w:cs="宋体"/>
                <w:i w:val="0"/>
                <w:iCs w:val="0"/>
                <w:snapToGrid w:val="0"/>
                <w:color w:val="auto"/>
                <w:kern w:val="0"/>
                <w:sz w:val="24"/>
                <w:szCs w:val="24"/>
                <w:highlight w:val="none"/>
                <w:u w:val="none"/>
                <w:lang w:val="en-US" w:eastAsia="zh-CN" w:bidi="ar"/>
              </w:rPr>
            </w:pPr>
            <w:r>
              <w:rPr>
                <w:rFonts w:hint="eastAsia" w:ascii="宋体" w:hAnsi="宋体" w:cs="宋体"/>
                <w:i w:val="0"/>
                <w:iCs w:val="0"/>
                <w:snapToGrid w:val="0"/>
                <w:color w:val="auto"/>
                <w:kern w:val="0"/>
                <w:sz w:val="24"/>
                <w:szCs w:val="24"/>
                <w:highlight w:val="none"/>
                <w:u w:val="none"/>
                <w:lang w:val="en-US" w:eastAsia="zh-CN" w:bidi="ar"/>
              </w:rPr>
              <w:t>投标人</w:t>
            </w:r>
            <w:r>
              <w:rPr>
                <w:rFonts w:hint="eastAsia" w:ascii="宋体" w:hAnsi="宋体" w:eastAsia="宋体" w:cs="宋体"/>
                <w:i w:val="0"/>
                <w:iCs w:val="0"/>
                <w:snapToGrid w:val="0"/>
                <w:color w:val="auto"/>
                <w:kern w:val="0"/>
                <w:sz w:val="24"/>
                <w:szCs w:val="24"/>
                <w:highlight w:val="none"/>
                <w:u w:val="none"/>
                <w:lang w:val="en-US" w:eastAsia="zh-CN" w:bidi="ar"/>
              </w:rPr>
              <w:t>阐述对软件功能实现</w:t>
            </w:r>
            <w:r>
              <w:rPr>
                <w:rFonts w:hint="default" w:ascii="宋体" w:hAnsi="宋体" w:cs="宋体"/>
                <w:i w:val="0"/>
                <w:iCs w:val="0"/>
                <w:snapToGrid w:val="0"/>
                <w:color w:val="auto"/>
                <w:kern w:val="0"/>
                <w:sz w:val="24"/>
                <w:szCs w:val="24"/>
                <w:highlight w:val="none"/>
                <w:u w:val="none"/>
                <w:lang w:eastAsia="zh-CN" w:bidi="ar"/>
              </w:rPr>
              <w:t>改造</w:t>
            </w:r>
            <w:r>
              <w:rPr>
                <w:rFonts w:hint="eastAsia" w:ascii="宋体" w:hAnsi="宋体" w:eastAsia="宋体" w:cs="宋体"/>
                <w:i w:val="0"/>
                <w:iCs w:val="0"/>
                <w:snapToGrid w:val="0"/>
                <w:color w:val="auto"/>
                <w:kern w:val="0"/>
                <w:sz w:val="24"/>
                <w:szCs w:val="24"/>
                <w:highlight w:val="none"/>
                <w:u w:val="none"/>
                <w:lang w:val="en-US" w:eastAsia="zh-CN" w:bidi="ar"/>
              </w:rPr>
              <w:t>方面的理解情况和所采取的技术水平，以及整体功能</w:t>
            </w:r>
            <w:r>
              <w:rPr>
                <w:rFonts w:hint="default" w:ascii="宋体" w:hAnsi="宋体" w:cs="宋体"/>
                <w:i w:val="0"/>
                <w:iCs w:val="0"/>
                <w:snapToGrid w:val="0"/>
                <w:color w:val="auto"/>
                <w:kern w:val="0"/>
                <w:sz w:val="24"/>
                <w:szCs w:val="24"/>
                <w:highlight w:val="none"/>
                <w:u w:val="none"/>
                <w:lang w:eastAsia="zh-CN" w:bidi="ar"/>
              </w:rPr>
              <w:t>须与改造前保持一致</w:t>
            </w:r>
            <w:r>
              <w:rPr>
                <w:rFonts w:hint="eastAsia" w:ascii="宋体" w:hAnsi="宋体" w:eastAsia="宋体" w:cs="宋体"/>
                <w:i w:val="0"/>
                <w:iCs w:val="0"/>
                <w:snapToGrid w:val="0"/>
                <w:color w:val="auto"/>
                <w:kern w:val="0"/>
                <w:sz w:val="24"/>
                <w:szCs w:val="24"/>
                <w:highlight w:val="none"/>
                <w:u w:val="none"/>
                <w:lang w:val="en-US" w:eastAsia="zh-CN" w:bidi="ar"/>
              </w:rPr>
              <w:t>，</w:t>
            </w:r>
            <w:r>
              <w:rPr>
                <w:rFonts w:hint="eastAsia" w:ascii="宋体" w:hAnsi="宋体" w:cs="宋体"/>
                <w:i w:val="0"/>
                <w:iCs w:val="0"/>
                <w:snapToGrid w:val="0"/>
                <w:color w:val="auto"/>
                <w:kern w:val="0"/>
                <w:sz w:val="24"/>
                <w:szCs w:val="24"/>
                <w:highlight w:val="none"/>
                <w:u w:val="none"/>
                <w:lang w:val="en-US" w:eastAsia="zh-CN" w:bidi="ar"/>
              </w:rPr>
              <w:t>供应商</w:t>
            </w:r>
            <w:r>
              <w:rPr>
                <w:rFonts w:hint="eastAsia" w:ascii="宋体" w:hAnsi="宋体" w:eastAsia="宋体" w:cs="宋体"/>
                <w:i w:val="0"/>
                <w:iCs w:val="0"/>
                <w:snapToGrid w:val="0"/>
                <w:color w:val="auto"/>
                <w:kern w:val="0"/>
                <w:sz w:val="24"/>
                <w:szCs w:val="24"/>
                <w:highlight w:val="none"/>
                <w:u w:val="none"/>
                <w:lang w:val="en-US" w:eastAsia="zh-CN" w:bidi="ar"/>
              </w:rPr>
              <w:t>针对本项目系统建设需求模块</w:t>
            </w:r>
            <w:r>
              <w:rPr>
                <w:rFonts w:hint="default" w:ascii="宋体" w:hAnsi="宋体" w:cs="宋体"/>
                <w:i w:val="0"/>
                <w:iCs w:val="0"/>
                <w:snapToGrid w:val="0"/>
                <w:color w:val="auto"/>
                <w:kern w:val="0"/>
                <w:sz w:val="24"/>
                <w:szCs w:val="24"/>
                <w:highlight w:val="none"/>
                <w:u w:val="none"/>
                <w:lang w:eastAsia="zh-CN" w:bidi="ar"/>
              </w:rPr>
              <w:t>和</w:t>
            </w:r>
            <w:r>
              <w:rPr>
                <w:rFonts w:hint="eastAsia" w:ascii="宋体" w:hAnsi="宋体" w:eastAsia="宋体" w:cs="宋体"/>
                <w:i w:val="0"/>
                <w:iCs w:val="0"/>
                <w:snapToGrid w:val="0"/>
                <w:color w:val="auto"/>
                <w:kern w:val="0"/>
                <w:sz w:val="24"/>
                <w:szCs w:val="24"/>
                <w:highlight w:val="none"/>
                <w:u w:val="none"/>
                <w:lang w:val="en-US" w:eastAsia="zh-CN" w:bidi="ar"/>
              </w:rPr>
              <w:t>功能模块提供文字、图片进行设计描述。主要包含以下9块</w:t>
            </w:r>
            <w:r>
              <w:rPr>
                <w:rFonts w:hint="default" w:ascii="宋体" w:hAnsi="宋体" w:cs="宋体"/>
                <w:i w:val="0"/>
                <w:iCs w:val="0"/>
                <w:snapToGrid w:val="0"/>
                <w:color w:val="auto"/>
                <w:kern w:val="0"/>
                <w:sz w:val="24"/>
                <w:szCs w:val="24"/>
                <w:highlight w:val="none"/>
                <w:u w:val="none"/>
                <w:lang w:eastAsia="zh-CN" w:bidi="ar"/>
              </w:rPr>
              <w:t>改造及开发</w:t>
            </w:r>
            <w:r>
              <w:rPr>
                <w:rFonts w:hint="eastAsia" w:ascii="宋体" w:hAnsi="宋体" w:eastAsia="宋体" w:cs="宋体"/>
                <w:i w:val="0"/>
                <w:iCs w:val="0"/>
                <w:snapToGrid w:val="0"/>
                <w:color w:val="auto"/>
                <w:kern w:val="0"/>
                <w:sz w:val="24"/>
                <w:szCs w:val="24"/>
                <w:highlight w:val="none"/>
                <w:u w:val="none"/>
                <w:lang w:val="en-US" w:eastAsia="zh-CN" w:bidi="ar"/>
              </w:rPr>
              <w:t>内容，</w:t>
            </w:r>
            <w:r>
              <w:rPr>
                <w:rFonts w:hint="eastAsia" w:ascii="宋体" w:hAnsi="宋体" w:eastAsia="宋体" w:cs="宋体"/>
                <w:snapToGrid w:val="0"/>
                <w:color w:val="auto"/>
                <w:kern w:val="0"/>
                <w:sz w:val="24"/>
                <w:highlight w:val="none"/>
                <w:lang w:val="en-US" w:eastAsia="zh-CN"/>
              </w:rPr>
              <w:t>每一项内容完整、措施有效、满足要求各得3分，内容虽然进行了阐述但并未完全贴合项目需求理解情况，或理解的内容未包括细节或有效措施，得1分；未进行阐述或阐述内容无法满足项目需求的</w:t>
            </w:r>
            <w:r>
              <w:rPr>
                <w:rFonts w:hint="eastAsia" w:ascii="宋体" w:hAnsi="宋体" w:cs="宋体"/>
                <w:snapToGrid w:val="0"/>
                <w:color w:val="auto"/>
                <w:kern w:val="0"/>
                <w:sz w:val="24"/>
                <w:highlight w:val="none"/>
                <w:lang w:val="en-US" w:eastAsia="zh-CN"/>
              </w:rPr>
              <w:t>不得分</w:t>
            </w:r>
            <w:r>
              <w:rPr>
                <w:rFonts w:hint="eastAsia" w:ascii="宋体" w:hAnsi="宋体" w:eastAsia="宋体" w:cs="宋体"/>
                <w:snapToGrid w:val="0"/>
                <w:color w:val="auto"/>
                <w:kern w:val="0"/>
                <w:sz w:val="24"/>
                <w:highlight w:val="none"/>
                <w:lang w:val="en-US" w:eastAsia="zh-CN"/>
              </w:rPr>
              <w:t>。</w:t>
            </w:r>
            <w:r>
              <w:rPr>
                <w:rFonts w:hint="eastAsia" w:ascii="宋体" w:hAnsi="宋体" w:cs="宋体"/>
                <w:snapToGrid w:val="0"/>
                <w:color w:val="auto"/>
                <w:kern w:val="0"/>
                <w:sz w:val="24"/>
                <w:highlight w:val="none"/>
                <w:lang w:val="en-US" w:eastAsia="zh-CN"/>
              </w:rPr>
              <w:t>本项</w:t>
            </w:r>
            <w:r>
              <w:rPr>
                <w:rFonts w:hint="eastAsia" w:ascii="宋体" w:hAnsi="宋体" w:eastAsia="宋体" w:cs="宋体"/>
                <w:snapToGrid w:val="0"/>
                <w:color w:val="auto"/>
                <w:kern w:val="0"/>
                <w:sz w:val="24"/>
                <w:highlight w:val="none"/>
                <w:lang w:val="en-US" w:eastAsia="zh-CN"/>
              </w:rPr>
              <w:t>最高得27分。</w:t>
            </w:r>
          </w:p>
          <w:p w14:paraId="3209E33F">
            <w:pPr>
              <w:keepNext w:val="0"/>
              <w:keepLines w:val="0"/>
              <w:suppressLineNumbers w:val="0"/>
              <w:snapToGrid w:val="0"/>
              <w:spacing w:before="0" w:beforeAutospacing="0" w:after="0" w:afterAutospacing="0" w:line="360" w:lineRule="auto"/>
              <w:ind w:left="0" w:right="0"/>
              <w:rPr>
                <w:rFonts w:hint="default"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1）清运管理系统</w:t>
            </w:r>
            <w:r>
              <w:rPr>
                <w:rFonts w:hint="default" w:ascii="宋体" w:hAnsi="宋体" w:cs="宋体"/>
                <w:snapToGrid w:val="0"/>
                <w:color w:val="auto"/>
                <w:kern w:val="0"/>
                <w:sz w:val="24"/>
                <w:highlight w:val="none"/>
              </w:rPr>
              <w:t>改造</w:t>
            </w:r>
          </w:p>
          <w:p w14:paraId="52ACBAED">
            <w:pPr>
              <w:keepNext w:val="0"/>
              <w:keepLines w:val="0"/>
              <w:suppressLineNumbers w:val="0"/>
              <w:snapToGrid w:val="0"/>
              <w:spacing w:before="0" w:beforeAutospacing="0" w:after="0" w:afterAutospacing="0" w:line="360" w:lineRule="auto"/>
              <w:ind w:left="0" w:right="0"/>
              <w:rPr>
                <w:rFonts w:hint="default"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2）城管e考通系统</w:t>
            </w:r>
            <w:r>
              <w:rPr>
                <w:rFonts w:hint="default" w:ascii="宋体" w:hAnsi="宋体" w:cs="宋体"/>
                <w:snapToGrid w:val="0"/>
                <w:color w:val="auto"/>
                <w:kern w:val="0"/>
                <w:sz w:val="24"/>
                <w:highlight w:val="none"/>
              </w:rPr>
              <w:t>改造</w:t>
            </w:r>
          </w:p>
          <w:p w14:paraId="37D6F1B2">
            <w:pPr>
              <w:keepNext w:val="0"/>
              <w:keepLines w:val="0"/>
              <w:suppressLineNumbers w:val="0"/>
              <w:snapToGrid w:val="0"/>
              <w:spacing w:before="0" w:beforeAutospacing="0" w:after="0" w:afterAutospacing="0" w:line="360" w:lineRule="auto"/>
              <w:ind w:left="0" w:right="0"/>
              <w:rPr>
                <w:rFonts w:hint="default"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3）非接触性执法平台</w:t>
            </w:r>
            <w:r>
              <w:rPr>
                <w:rFonts w:hint="default" w:ascii="宋体" w:hAnsi="宋体" w:cs="宋体"/>
                <w:snapToGrid w:val="0"/>
                <w:color w:val="auto"/>
                <w:kern w:val="0"/>
                <w:sz w:val="24"/>
                <w:highlight w:val="none"/>
              </w:rPr>
              <w:t>改造</w:t>
            </w:r>
          </w:p>
          <w:p w14:paraId="12135A48">
            <w:pPr>
              <w:keepNext w:val="0"/>
              <w:keepLines w:val="0"/>
              <w:suppressLineNumbers w:val="0"/>
              <w:snapToGrid w:val="0"/>
              <w:spacing w:before="0" w:beforeAutospacing="0" w:after="0" w:afterAutospacing="0" w:line="360" w:lineRule="auto"/>
              <w:ind w:left="0" w:right="0"/>
              <w:rPr>
                <w:rFonts w:hint="default"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4）云办公系统</w:t>
            </w:r>
            <w:r>
              <w:rPr>
                <w:rFonts w:hint="default" w:ascii="宋体" w:hAnsi="宋体" w:cs="宋体"/>
                <w:snapToGrid w:val="0"/>
                <w:color w:val="auto"/>
                <w:kern w:val="0"/>
                <w:sz w:val="24"/>
                <w:highlight w:val="none"/>
              </w:rPr>
              <w:t>改造</w:t>
            </w:r>
          </w:p>
          <w:p w14:paraId="5ED6DA52">
            <w:pPr>
              <w:keepNext w:val="0"/>
              <w:keepLines w:val="0"/>
              <w:suppressLineNumbers w:val="0"/>
              <w:snapToGrid w:val="0"/>
              <w:spacing w:before="0" w:beforeAutospacing="0" w:after="0" w:afterAutospacing="0" w:line="360" w:lineRule="auto"/>
              <w:ind w:left="0" w:right="0"/>
              <w:rPr>
                <w:rFonts w:hint="default"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5）可视化平台</w:t>
            </w:r>
            <w:r>
              <w:rPr>
                <w:rFonts w:hint="default" w:ascii="宋体" w:hAnsi="宋体" w:cs="宋体"/>
                <w:snapToGrid w:val="0"/>
                <w:color w:val="auto"/>
                <w:kern w:val="0"/>
                <w:sz w:val="24"/>
                <w:highlight w:val="none"/>
              </w:rPr>
              <w:t>改造</w:t>
            </w:r>
          </w:p>
          <w:p w14:paraId="4B859629">
            <w:pPr>
              <w:keepNext w:val="0"/>
              <w:keepLines w:val="0"/>
              <w:suppressLineNumbers w:val="0"/>
              <w:snapToGrid w:val="0"/>
              <w:spacing w:before="0" w:beforeAutospacing="0" w:after="0" w:afterAutospacing="0" w:line="360" w:lineRule="auto"/>
              <w:ind w:left="0" w:right="0"/>
              <w:rPr>
                <w:rFonts w:hint="default"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6）智慧河道系统</w:t>
            </w:r>
            <w:r>
              <w:rPr>
                <w:rFonts w:hint="default" w:ascii="宋体" w:hAnsi="宋体" w:cs="宋体"/>
                <w:snapToGrid w:val="0"/>
                <w:color w:val="auto"/>
                <w:kern w:val="0"/>
                <w:sz w:val="24"/>
                <w:highlight w:val="none"/>
              </w:rPr>
              <w:t>改造</w:t>
            </w:r>
          </w:p>
          <w:p w14:paraId="21669A10">
            <w:pPr>
              <w:keepNext w:val="0"/>
              <w:keepLines w:val="0"/>
              <w:suppressLineNumbers w:val="0"/>
              <w:snapToGrid w:val="0"/>
              <w:spacing w:before="0" w:beforeAutospacing="0" w:after="0" w:afterAutospacing="0" w:line="360" w:lineRule="auto"/>
              <w:ind w:left="0" w:right="0"/>
              <w:rPr>
                <w:rFonts w:hint="default"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7）合同支付系统</w:t>
            </w:r>
            <w:r>
              <w:rPr>
                <w:rFonts w:hint="default" w:ascii="宋体" w:hAnsi="宋体" w:cs="宋体"/>
                <w:snapToGrid w:val="0"/>
                <w:color w:val="auto"/>
                <w:kern w:val="0"/>
                <w:sz w:val="24"/>
                <w:highlight w:val="none"/>
              </w:rPr>
              <w:t>改造</w:t>
            </w:r>
          </w:p>
          <w:p w14:paraId="5139B97C">
            <w:pPr>
              <w:keepNext w:val="0"/>
              <w:keepLines w:val="0"/>
              <w:suppressLineNumbers w:val="0"/>
              <w:snapToGrid w:val="0"/>
              <w:spacing w:before="0" w:beforeAutospacing="0" w:after="0" w:afterAutospacing="0" w:line="360" w:lineRule="auto"/>
              <w:ind w:left="0" w:right="0"/>
              <w:rPr>
                <w:rFonts w:hint="default"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8）东站周边建筑亮化二级控制平台</w:t>
            </w:r>
            <w:r>
              <w:rPr>
                <w:rFonts w:hint="default" w:ascii="宋体" w:hAnsi="宋体" w:cs="宋体"/>
                <w:snapToGrid w:val="0"/>
                <w:color w:val="auto"/>
                <w:kern w:val="0"/>
                <w:sz w:val="24"/>
                <w:highlight w:val="none"/>
              </w:rPr>
              <w:t>改造</w:t>
            </w:r>
          </w:p>
          <w:p w14:paraId="36000176">
            <w:pPr>
              <w:keepNext w:val="0"/>
              <w:keepLines w:val="0"/>
              <w:suppressLineNumbers w:val="0"/>
              <w:snapToGrid w:val="0"/>
              <w:spacing w:before="0" w:beforeAutospacing="0" w:after="0" w:afterAutospacing="0" w:line="360" w:lineRule="auto"/>
              <w:ind w:left="0" w:right="0"/>
              <w:rPr>
                <w:rFonts w:hint="default" w:ascii="宋体" w:hAnsi="宋体" w:cs="宋体"/>
                <w:snapToGrid w:val="0"/>
                <w:color w:val="auto"/>
                <w:kern w:val="0"/>
                <w:sz w:val="24"/>
                <w:highlight w:val="none"/>
                <w:lang w:eastAsia="zh-CN"/>
              </w:rPr>
            </w:pPr>
            <w:r>
              <w:rPr>
                <w:rFonts w:hint="eastAsia" w:ascii="宋体" w:hAnsi="宋体" w:cs="宋体"/>
                <w:snapToGrid w:val="0"/>
                <w:color w:val="auto"/>
                <w:kern w:val="0"/>
                <w:sz w:val="24"/>
                <w:highlight w:val="none"/>
              </w:rPr>
              <w:t xml:space="preserve"> 9）</w:t>
            </w:r>
            <w:r>
              <w:rPr>
                <w:rFonts w:hint="eastAsia" w:ascii="宋体" w:hAnsi="宋体" w:cs="宋体"/>
                <w:snapToGrid w:val="0"/>
                <w:color w:val="auto"/>
                <w:kern w:val="0"/>
                <w:sz w:val="24"/>
                <w:highlight w:val="none"/>
                <w:lang w:val="en-US" w:eastAsia="zh-CN"/>
              </w:rPr>
              <w:t>一单位一平台</w:t>
            </w:r>
            <w:r>
              <w:rPr>
                <w:rFonts w:hint="default" w:ascii="宋体" w:hAnsi="宋体" w:cs="宋体"/>
                <w:snapToGrid w:val="0"/>
                <w:color w:val="auto"/>
                <w:kern w:val="0"/>
                <w:sz w:val="24"/>
                <w:highlight w:val="none"/>
                <w:lang w:eastAsia="zh-CN"/>
              </w:rPr>
              <w:t>综合集成</w:t>
            </w:r>
          </w:p>
          <w:p w14:paraId="5058BD95">
            <w:pPr>
              <w:keepNext w:val="0"/>
              <w:keepLines w:val="0"/>
              <w:suppressLineNumbers w:val="0"/>
              <w:snapToGrid w:val="0"/>
              <w:spacing w:before="0" w:beforeAutospacing="0" w:after="0" w:afterAutospacing="0" w:line="360" w:lineRule="auto"/>
              <w:ind w:left="0" w:right="0"/>
              <w:rPr>
                <w:rFonts w:hint="default"/>
              </w:rPr>
            </w:pPr>
            <w:r>
              <w:rPr>
                <w:rFonts w:hint="default" w:ascii="宋体" w:hAnsi="宋体" w:cs="宋体"/>
                <w:snapToGrid w:val="0"/>
                <w:color w:val="auto"/>
                <w:kern w:val="0"/>
                <w:sz w:val="24"/>
                <w:highlight w:val="none"/>
                <w:lang w:eastAsia="zh-CN"/>
              </w:rPr>
              <w:t>具体改造要求详见需求</w:t>
            </w:r>
          </w:p>
        </w:tc>
        <w:tc>
          <w:tcPr>
            <w:tcW w:w="669" w:type="dxa"/>
            <w:vAlign w:val="center"/>
          </w:tcPr>
          <w:p w14:paraId="1C687D0F">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snapToGrid w:val="0"/>
                <w:color w:val="auto"/>
                <w:kern w:val="0"/>
                <w:sz w:val="24"/>
                <w:highlight w:val="yellow"/>
                <w:lang w:val="en-US" w:eastAsia="zh-CN"/>
              </w:rPr>
            </w:pPr>
            <w:r>
              <w:rPr>
                <w:rFonts w:hint="eastAsia" w:ascii="宋体" w:hAnsi="宋体" w:cs="宋体"/>
                <w:snapToGrid w:val="0"/>
                <w:color w:val="auto"/>
                <w:kern w:val="0"/>
                <w:sz w:val="24"/>
                <w:highlight w:val="none"/>
                <w:lang w:val="en-US" w:eastAsia="zh-CN" w:bidi="ar"/>
              </w:rPr>
              <w:t>27</w:t>
            </w:r>
          </w:p>
        </w:tc>
        <w:tc>
          <w:tcPr>
            <w:tcW w:w="780" w:type="dxa"/>
            <w:vAlign w:val="center"/>
          </w:tcPr>
          <w:p w14:paraId="2CD62B2F">
            <w:pPr>
              <w:keepNext w:val="0"/>
              <w:keepLines w:val="0"/>
              <w:suppressLineNumbers w:val="0"/>
              <w:snapToGrid w:val="0"/>
              <w:spacing w:before="0" w:beforeAutospacing="0" w:after="0" w:afterAutospacing="0" w:line="360" w:lineRule="auto"/>
              <w:ind w:left="0" w:right="0"/>
              <w:jc w:val="center"/>
              <w:rPr>
                <w:rFonts w:hint="default" w:ascii="宋体" w:hAnsi="宋体" w:cs="宋体"/>
                <w:snapToGrid w:val="0"/>
                <w:color w:val="auto"/>
                <w:kern w:val="0"/>
                <w:sz w:val="24"/>
                <w:highlight w:val="none"/>
                <w:lang w:bidi="ar"/>
              </w:rPr>
            </w:pPr>
            <w:r>
              <w:rPr>
                <w:rFonts w:hint="default" w:ascii="宋体" w:hAnsi="宋体" w:cs="宋体"/>
                <w:snapToGrid w:val="0"/>
                <w:color w:val="auto"/>
                <w:kern w:val="0"/>
                <w:sz w:val="24"/>
                <w:highlight w:val="none"/>
                <w:lang w:bidi="ar"/>
              </w:rPr>
              <w:t>主观分</w:t>
            </w:r>
          </w:p>
          <w:p w14:paraId="3F5C0B9E">
            <w:pPr>
              <w:keepNext w:val="0"/>
              <w:keepLines w:val="0"/>
              <w:suppressLineNumbers w:val="0"/>
              <w:snapToGrid w:val="0"/>
              <w:spacing w:before="0" w:beforeAutospacing="0" w:after="0" w:afterAutospacing="0" w:line="360" w:lineRule="auto"/>
              <w:ind w:left="0" w:right="0"/>
              <w:jc w:val="center"/>
              <w:rPr>
                <w:rFonts w:hint="eastAsia" w:ascii="宋体" w:hAnsi="宋体" w:cs="宋体"/>
                <w:snapToGrid w:val="0"/>
                <w:color w:val="auto"/>
                <w:kern w:val="0"/>
                <w:sz w:val="24"/>
                <w:highlight w:val="yellow"/>
              </w:rPr>
            </w:pPr>
          </w:p>
        </w:tc>
        <w:tc>
          <w:tcPr>
            <w:tcW w:w="1294" w:type="dxa"/>
          </w:tcPr>
          <w:p w14:paraId="76D9E0BF">
            <w:pPr>
              <w:keepNext w:val="0"/>
              <w:keepLines w:val="0"/>
              <w:suppressLineNumbers w:val="0"/>
              <w:snapToGrid w:val="0"/>
              <w:spacing w:before="0" w:beforeAutospacing="0" w:after="0" w:afterAutospacing="0" w:line="360" w:lineRule="auto"/>
              <w:ind w:left="0" w:right="0"/>
              <w:jc w:val="center"/>
              <w:rPr>
                <w:rFonts w:hint="eastAsia" w:ascii="宋体" w:hAnsi="宋体" w:cs="宋体"/>
                <w:snapToGrid w:val="0"/>
                <w:color w:val="auto"/>
                <w:kern w:val="0"/>
                <w:sz w:val="24"/>
                <w:highlight w:val="yellow"/>
              </w:rPr>
            </w:pPr>
          </w:p>
        </w:tc>
      </w:tr>
      <w:tr w14:paraId="0A27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06" w:type="dxa"/>
            <w:shd w:val="clear" w:color="auto" w:fill="auto"/>
            <w:vAlign w:val="center"/>
          </w:tcPr>
          <w:p w14:paraId="5BF871F5">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6</w:t>
            </w:r>
          </w:p>
        </w:tc>
        <w:tc>
          <w:tcPr>
            <w:tcW w:w="1314" w:type="dxa"/>
            <w:shd w:val="clear" w:color="auto" w:fill="auto"/>
            <w:vAlign w:val="center"/>
          </w:tcPr>
          <w:p w14:paraId="07D6CAF9">
            <w:pPr>
              <w:keepNext w:val="0"/>
              <w:keepLines w:val="0"/>
              <w:widowControl/>
              <w:suppressLineNumbers w:val="0"/>
              <w:wordWrap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kern w:val="0"/>
                <w:sz w:val="24"/>
                <w:highlight w:val="none"/>
                <w:lang w:bidi="ar"/>
              </w:rPr>
              <w:t>组织实施方案</w:t>
            </w:r>
          </w:p>
        </w:tc>
        <w:tc>
          <w:tcPr>
            <w:tcW w:w="4911" w:type="dxa"/>
            <w:shd w:val="clear" w:color="auto" w:fill="auto"/>
            <w:vAlign w:val="center"/>
          </w:tcPr>
          <w:p w14:paraId="3129C8FB">
            <w:pPr>
              <w:keepNext w:val="0"/>
              <w:keepLines w:val="0"/>
              <w:widowControl/>
              <w:suppressLineNumbers w:val="0"/>
              <w:wordWrap w:val="0"/>
              <w:spacing w:before="0" w:beforeAutospacing="0" w:after="0" w:afterAutospacing="0" w:line="360" w:lineRule="auto"/>
              <w:ind w:left="0" w:right="0"/>
              <w:jc w:val="left"/>
              <w:textAlignment w:val="center"/>
              <w:rPr>
                <w:rFonts w:hint="default" w:ascii="宋体" w:hAnsi="宋体" w:cs="宋体"/>
                <w:color w:val="auto"/>
                <w:sz w:val="24"/>
                <w:highlight w:val="none"/>
              </w:rPr>
            </w:pPr>
            <w:r>
              <w:rPr>
                <w:rFonts w:hint="eastAsia" w:ascii="宋体" w:hAnsi="宋体" w:cs="宋体"/>
                <w:snapToGrid w:val="0"/>
                <w:color w:val="auto"/>
                <w:kern w:val="0"/>
                <w:sz w:val="24"/>
                <w:highlight w:val="none"/>
              </w:rPr>
              <w:t>投标人项目组织实施方案的科学性、合理性、规范性和可操作性</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rPr>
              <w:t>①系统设计、</w:t>
            </w:r>
            <w:bookmarkStart w:id="34" w:name="OLE_LINK4"/>
            <w:r>
              <w:rPr>
                <w:rFonts w:hint="eastAsia" w:ascii="宋体" w:hAnsi="宋体" w:cs="宋体"/>
                <w:snapToGrid w:val="0"/>
                <w:color w:val="auto"/>
                <w:kern w:val="0"/>
                <w:sz w:val="24"/>
                <w:highlight w:val="none"/>
              </w:rPr>
              <w:t>②</w:t>
            </w:r>
            <w:bookmarkEnd w:id="34"/>
            <w:r>
              <w:rPr>
                <w:rFonts w:hint="eastAsia" w:ascii="宋体" w:hAnsi="宋体" w:cs="宋体"/>
                <w:snapToGrid w:val="0"/>
                <w:color w:val="auto"/>
                <w:kern w:val="0"/>
                <w:sz w:val="24"/>
                <w:highlight w:val="none"/>
              </w:rPr>
              <w:t>设备供货、③调试调优、④组织机构、⑤工作时间进度表、⑥工作程序和步骤、⑦管理和协调方法、⑧关</w:t>
            </w:r>
            <w:r>
              <w:rPr>
                <w:rFonts w:hint="eastAsia" w:ascii="宋体" w:hAnsi="宋体" w:eastAsia="宋体" w:cs="宋体"/>
                <w:snapToGrid w:val="0"/>
                <w:color w:val="auto"/>
                <w:kern w:val="0"/>
                <w:sz w:val="24"/>
                <w:highlight w:val="none"/>
              </w:rPr>
              <w:t>键步骤的思路和要点。</w:t>
            </w:r>
            <w:r>
              <w:rPr>
                <w:rFonts w:hint="eastAsia" w:ascii="宋体" w:hAnsi="宋体" w:eastAsia="宋体" w:cs="宋体"/>
                <w:snapToGrid w:val="0"/>
                <w:color w:val="auto"/>
                <w:kern w:val="0"/>
                <w:sz w:val="24"/>
                <w:highlight w:val="none"/>
                <w:lang w:val="en-US" w:eastAsia="zh-CN"/>
              </w:rPr>
              <w:t>每一项内容完整、措施有效、满足要求各得0.5分，否则不得分。</w:t>
            </w:r>
            <w:r>
              <w:rPr>
                <w:rFonts w:hint="eastAsia" w:ascii="宋体" w:hAnsi="宋体" w:cs="宋体"/>
                <w:snapToGrid w:val="0"/>
                <w:color w:val="auto"/>
                <w:kern w:val="0"/>
                <w:sz w:val="24"/>
                <w:highlight w:val="none"/>
                <w:lang w:val="en-US" w:eastAsia="zh-CN"/>
              </w:rPr>
              <w:t>本项</w:t>
            </w:r>
            <w:r>
              <w:rPr>
                <w:rFonts w:hint="eastAsia" w:ascii="宋体" w:hAnsi="宋体" w:eastAsia="宋体" w:cs="宋体"/>
                <w:snapToGrid w:val="0"/>
                <w:color w:val="auto"/>
                <w:kern w:val="0"/>
                <w:sz w:val="24"/>
                <w:highlight w:val="none"/>
                <w:lang w:val="en-US" w:eastAsia="zh-CN"/>
              </w:rPr>
              <w:t>最高得4分。</w:t>
            </w:r>
          </w:p>
        </w:tc>
        <w:tc>
          <w:tcPr>
            <w:tcW w:w="669" w:type="dxa"/>
            <w:shd w:val="clear" w:color="auto" w:fill="auto"/>
            <w:vAlign w:val="center"/>
          </w:tcPr>
          <w:p w14:paraId="073CF4E1">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4</w:t>
            </w:r>
          </w:p>
        </w:tc>
        <w:tc>
          <w:tcPr>
            <w:tcW w:w="780" w:type="dxa"/>
            <w:shd w:val="clear" w:color="auto" w:fill="auto"/>
            <w:vAlign w:val="center"/>
          </w:tcPr>
          <w:p w14:paraId="0E992F85">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 w:val="24"/>
                <w:highlight w:val="none"/>
                <w:lang w:bidi="ar"/>
              </w:rPr>
            </w:pPr>
            <w:r>
              <w:rPr>
                <w:rFonts w:hint="eastAsia" w:ascii="宋体" w:hAnsi="宋体" w:cs="宋体"/>
                <w:color w:val="auto"/>
                <w:kern w:val="0"/>
                <w:sz w:val="24"/>
                <w:highlight w:val="none"/>
                <w:lang w:bidi="ar"/>
              </w:rPr>
              <w:t>主观分</w:t>
            </w:r>
          </w:p>
        </w:tc>
        <w:tc>
          <w:tcPr>
            <w:tcW w:w="1294" w:type="dxa"/>
          </w:tcPr>
          <w:p w14:paraId="4C24EAF5">
            <w:pPr>
              <w:keepNext w:val="0"/>
              <w:keepLines w:val="0"/>
              <w:suppressLineNumbers w:val="0"/>
              <w:snapToGrid w:val="0"/>
              <w:spacing w:before="0" w:beforeAutospacing="0" w:after="0" w:afterAutospacing="0" w:line="360" w:lineRule="auto"/>
              <w:ind w:left="0" w:right="0"/>
              <w:jc w:val="center"/>
              <w:rPr>
                <w:rFonts w:hint="default" w:ascii="宋体" w:hAnsi="宋体" w:cs="宋体"/>
                <w:b/>
                <w:bCs/>
                <w:color w:val="auto"/>
                <w:sz w:val="24"/>
                <w:highlight w:val="none"/>
              </w:rPr>
            </w:pPr>
          </w:p>
        </w:tc>
      </w:tr>
      <w:tr w14:paraId="20CAC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6" w:type="dxa"/>
            <w:vAlign w:val="center"/>
          </w:tcPr>
          <w:p w14:paraId="1CED0BAD">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7</w:t>
            </w:r>
          </w:p>
        </w:tc>
        <w:tc>
          <w:tcPr>
            <w:tcW w:w="1314" w:type="dxa"/>
            <w:shd w:val="clear" w:color="auto" w:fill="auto"/>
            <w:vAlign w:val="center"/>
          </w:tcPr>
          <w:p w14:paraId="4F525E7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color w:val="auto"/>
                <w:kern w:val="0"/>
                <w:sz w:val="24"/>
                <w:highlight w:val="none"/>
                <w:lang w:bidi="ar"/>
              </w:rPr>
            </w:pPr>
            <w:r>
              <w:rPr>
                <w:rFonts w:hint="eastAsia" w:ascii="宋体" w:hAnsi="宋体" w:cs="宋体"/>
                <w:color w:val="auto"/>
                <w:kern w:val="0"/>
                <w:sz w:val="24"/>
                <w:highlight w:val="none"/>
                <w:lang w:bidi="ar"/>
              </w:rPr>
              <w:t>信息安全措施</w:t>
            </w:r>
          </w:p>
        </w:tc>
        <w:tc>
          <w:tcPr>
            <w:tcW w:w="4911" w:type="dxa"/>
            <w:shd w:val="clear" w:color="auto" w:fill="auto"/>
            <w:vAlign w:val="center"/>
          </w:tcPr>
          <w:p w14:paraId="52F1EA19">
            <w:pPr>
              <w:keepNext w:val="0"/>
              <w:keepLines w:val="0"/>
              <w:widowControl/>
              <w:suppressLineNumbers w:val="0"/>
              <w:spacing w:before="0" w:beforeAutospacing="0" w:after="0" w:afterAutospacing="0" w:line="360" w:lineRule="auto"/>
              <w:ind w:left="0" w:right="0"/>
              <w:jc w:val="left"/>
              <w:textAlignment w:val="center"/>
              <w:rPr>
                <w:rFonts w:hint="default" w:ascii="宋体" w:hAnsi="宋体" w:eastAsia="宋体" w:cs="宋体"/>
                <w:snapToGrid w:val="0"/>
                <w:color w:val="auto"/>
                <w:kern w:val="0"/>
                <w:sz w:val="24"/>
                <w:highlight w:val="none"/>
                <w:lang w:val="en-US" w:eastAsia="zh-CN"/>
              </w:rPr>
            </w:pPr>
            <w:r>
              <w:rPr>
                <w:rFonts w:hint="eastAsia" w:ascii="宋体" w:hAnsi="宋体" w:cs="宋体"/>
                <w:color w:val="auto"/>
                <w:sz w:val="24"/>
                <w:highlight w:val="none"/>
              </w:rPr>
              <w:t>投标人提</w:t>
            </w:r>
            <w:r>
              <w:rPr>
                <w:rFonts w:hint="eastAsia" w:ascii="宋体" w:hAnsi="宋体" w:cs="宋体"/>
                <w:color w:val="auto"/>
                <w:kern w:val="0"/>
                <w:sz w:val="24"/>
                <w:highlight w:val="none"/>
              </w:rPr>
              <w:t>供</w:t>
            </w:r>
            <w:r>
              <w:rPr>
                <w:rFonts w:hint="eastAsia" w:ascii="宋体" w:hAnsi="宋体" w:cs="宋体"/>
                <w:color w:val="auto"/>
                <w:sz w:val="24"/>
                <w:highlight w:val="none"/>
              </w:rPr>
              <w:t>信息安全措施情况</w:t>
            </w:r>
            <w:r>
              <w:rPr>
                <w:rFonts w:hint="eastAsia" w:ascii="宋体" w:hAnsi="宋体" w:cs="宋体"/>
                <w:snapToGrid w:val="0"/>
                <w:color w:val="auto"/>
                <w:kern w:val="0"/>
                <w:sz w:val="24"/>
                <w:highlight w:val="none"/>
              </w:rPr>
              <w:t>的科学性、合理性和匹配度</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包括</w:t>
            </w:r>
            <w:r>
              <w:rPr>
                <w:rFonts w:hint="eastAsia" w:ascii="宋体" w:hAnsi="宋体" w:cs="宋体"/>
                <w:snapToGrid w:val="0"/>
                <w:color w:val="auto"/>
                <w:kern w:val="0"/>
                <w:sz w:val="24"/>
                <w:highlight w:val="none"/>
              </w:rPr>
              <w:t>①</w:t>
            </w:r>
            <w:r>
              <w:rPr>
                <w:rFonts w:hint="eastAsia" w:ascii="宋体" w:hAnsi="宋体" w:eastAsia="宋体" w:cs="宋体"/>
                <w:color w:val="auto"/>
                <w:sz w:val="24"/>
                <w:highlight w:val="none"/>
              </w:rPr>
              <w:t>业务信息安全</w:t>
            </w:r>
            <w:r>
              <w:rPr>
                <w:rFonts w:hint="eastAsia" w:ascii="宋体" w:hAnsi="宋体" w:cs="宋体"/>
                <w:snapToGrid w:val="0"/>
                <w:color w:val="auto"/>
                <w:kern w:val="0"/>
                <w:sz w:val="24"/>
                <w:highlight w:val="none"/>
              </w:rPr>
              <w:t>②</w:t>
            </w:r>
            <w:r>
              <w:rPr>
                <w:rFonts w:hint="eastAsia" w:ascii="宋体" w:hAnsi="宋体" w:eastAsia="宋体" w:cs="宋体"/>
                <w:color w:val="auto"/>
                <w:sz w:val="24"/>
                <w:highlight w:val="none"/>
              </w:rPr>
              <w:t>系统服务安全。每一项内容完整、措施有效、</w:t>
            </w:r>
            <w:r>
              <w:rPr>
                <w:rFonts w:hint="eastAsia" w:ascii="宋体" w:hAnsi="宋体" w:eastAsia="宋体" w:cs="宋体"/>
                <w:snapToGrid w:val="0"/>
                <w:color w:val="auto"/>
                <w:kern w:val="0"/>
                <w:sz w:val="24"/>
                <w:highlight w:val="none"/>
                <w:lang w:val="en-US" w:eastAsia="zh-CN"/>
              </w:rPr>
              <w:t>满足要求各</w:t>
            </w:r>
            <w:r>
              <w:rPr>
                <w:rFonts w:hint="eastAsia" w:ascii="宋体" w:hAnsi="宋体" w:eastAsia="宋体" w:cs="宋体"/>
                <w:color w:val="auto"/>
                <w:sz w:val="24"/>
                <w:highlight w:val="none"/>
              </w:rPr>
              <w:t>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.5分，内容虽然进行了阐述但并未完全贴合项目需求理解情况，或理解的内容未包括细节或有效措施，</w:t>
            </w:r>
            <w:r>
              <w:rPr>
                <w:rFonts w:hint="eastAsia" w:ascii="宋体" w:hAnsi="宋体" w:cs="宋体"/>
                <w:color w:val="auto"/>
                <w:sz w:val="24"/>
                <w:highlight w:val="none"/>
                <w:lang w:val="en-US" w:eastAsia="zh-CN"/>
              </w:rPr>
              <w:t>各</w:t>
            </w:r>
            <w:r>
              <w:rPr>
                <w:rFonts w:hint="eastAsia" w:ascii="宋体" w:hAnsi="宋体" w:eastAsia="宋体" w:cs="宋体"/>
                <w:color w:val="auto"/>
                <w:sz w:val="24"/>
                <w:highlight w:val="none"/>
              </w:rPr>
              <w:t>得</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rPr>
              <w:t>分；未进行阐述或阐述内容无法满足项目需求的</w:t>
            </w:r>
            <w:r>
              <w:rPr>
                <w:rFonts w:hint="eastAsia" w:ascii="宋体" w:hAnsi="宋体" w:cs="宋体"/>
                <w:color w:val="auto"/>
                <w:sz w:val="24"/>
                <w:highlight w:val="none"/>
                <w:lang w:val="en-US" w:eastAsia="zh-CN"/>
              </w:rPr>
              <w:t>不得分</w:t>
            </w:r>
            <w:r>
              <w:rPr>
                <w:rFonts w:hint="eastAsia" w:ascii="宋体" w:hAnsi="宋体" w:eastAsia="宋体" w:cs="宋体"/>
                <w:color w:val="auto"/>
                <w:sz w:val="24"/>
                <w:highlight w:val="none"/>
                <w:lang w:eastAsia="zh-CN"/>
              </w:rPr>
              <w:t>。</w:t>
            </w:r>
            <w:r>
              <w:rPr>
                <w:rFonts w:hint="eastAsia" w:ascii="宋体" w:hAnsi="宋体" w:cs="宋体"/>
                <w:snapToGrid w:val="0"/>
                <w:color w:val="auto"/>
                <w:kern w:val="0"/>
                <w:sz w:val="24"/>
                <w:highlight w:val="none"/>
                <w:lang w:val="en-US" w:eastAsia="zh-CN"/>
              </w:rPr>
              <w:t>本项</w:t>
            </w:r>
            <w:r>
              <w:rPr>
                <w:rFonts w:hint="eastAsia" w:ascii="宋体" w:hAnsi="宋体" w:eastAsia="宋体" w:cs="宋体"/>
                <w:color w:val="auto"/>
                <w:sz w:val="24"/>
                <w:highlight w:val="none"/>
                <w:lang w:val="en-US" w:eastAsia="zh-CN"/>
              </w:rPr>
              <w:t>最高得3分。</w:t>
            </w:r>
          </w:p>
        </w:tc>
        <w:tc>
          <w:tcPr>
            <w:tcW w:w="669" w:type="dxa"/>
            <w:shd w:val="clear" w:color="auto" w:fill="auto"/>
            <w:vAlign w:val="center"/>
          </w:tcPr>
          <w:p w14:paraId="2E391A2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780" w:type="dxa"/>
            <w:shd w:val="clear" w:color="auto" w:fill="auto"/>
            <w:vAlign w:val="center"/>
          </w:tcPr>
          <w:p w14:paraId="783A752E">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 w:val="24"/>
                <w:highlight w:val="none"/>
                <w:lang w:bidi="ar"/>
              </w:rPr>
            </w:pPr>
            <w:r>
              <w:rPr>
                <w:rFonts w:hint="eastAsia" w:ascii="宋体" w:hAnsi="宋体" w:cs="宋体"/>
                <w:color w:val="auto"/>
                <w:kern w:val="0"/>
                <w:sz w:val="24"/>
                <w:highlight w:val="none"/>
                <w:lang w:bidi="ar"/>
              </w:rPr>
              <w:t>主观分</w:t>
            </w:r>
          </w:p>
        </w:tc>
        <w:tc>
          <w:tcPr>
            <w:tcW w:w="1294" w:type="dxa"/>
          </w:tcPr>
          <w:p w14:paraId="49EB0A11">
            <w:pPr>
              <w:keepNext w:val="0"/>
              <w:keepLines w:val="0"/>
              <w:suppressLineNumbers w:val="0"/>
              <w:snapToGrid w:val="0"/>
              <w:spacing w:before="0" w:beforeAutospacing="0" w:after="0" w:afterAutospacing="0" w:line="360" w:lineRule="auto"/>
              <w:ind w:left="0" w:right="0"/>
              <w:jc w:val="center"/>
              <w:rPr>
                <w:rFonts w:hint="default" w:ascii="宋体" w:hAnsi="宋体" w:cs="宋体"/>
                <w:b/>
                <w:bCs/>
                <w:color w:val="auto"/>
                <w:sz w:val="24"/>
                <w:highlight w:val="none"/>
              </w:rPr>
            </w:pPr>
          </w:p>
        </w:tc>
      </w:tr>
      <w:tr w14:paraId="6B7F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506" w:type="dxa"/>
            <w:vAlign w:val="center"/>
          </w:tcPr>
          <w:p w14:paraId="4F2E0689">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8</w:t>
            </w:r>
          </w:p>
        </w:tc>
        <w:tc>
          <w:tcPr>
            <w:tcW w:w="1314" w:type="dxa"/>
            <w:shd w:val="clear" w:color="auto" w:fill="auto"/>
            <w:vAlign w:val="center"/>
          </w:tcPr>
          <w:p w14:paraId="4E27E29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4"/>
                <w:highlight w:val="none"/>
              </w:rPr>
            </w:pPr>
            <w:r>
              <w:rPr>
                <w:rFonts w:hint="eastAsia" w:ascii="宋体" w:hAnsi="宋体" w:cs="宋体"/>
                <w:color w:val="auto"/>
                <w:kern w:val="0"/>
                <w:sz w:val="24"/>
                <w:highlight w:val="none"/>
                <w:lang w:bidi="ar"/>
              </w:rPr>
              <w:t>售后服务</w:t>
            </w:r>
          </w:p>
        </w:tc>
        <w:tc>
          <w:tcPr>
            <w:tcW w:w="4911" w:type="dxa"/>
            <w:shd w:val="clear" w:color="auto" w:fill="auto"/>
            <w:vAlign w:val="center"/>
          </w:tcPr>
          <w:p w14:paraId="255AFAF0">
            <w:pPr>
              <w:keepNext w:val="0"/>
              <w:keepLines w:val="0"/>
              <w:widowControl/>
              <w:suppressLineNumbers w:val="0"/>
              <w:spacing w:before="0" w:beforeAutospacing="0" w:after="0" w:afterAutospacing="0" w:line="360" w:lineRule="auto"/>
              <w:ind w:left="0" w:right="0"/>
              <w:jc w:val="left"/>
              <w:textAlignment w:val="center"/>
              <w:rPr>
                <w:rFonts w:hint="default"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承诺</w:t>
            </w:r>
            <w:r>
              <w:rPr>
                <w:rFonts w:hint="eastAsia" w:ascii="宋体" w:hAnsi="宋体" w:cs="宋体"/>
                <w:snapToGrid w:val="0"/>
                <w:color w:val="auto"/>
                <w:kern w:val="0"/>
                <w:sz w:val="24"/>
                <w:highlight w:val="none"/>
              </w:rPr>
              <w:t>提供完整详尽的售后服务方案，服务内容包括本项目涉及所有软、硬件。投标方针对各类故障必须提供7*24小时立即响应服务，在出现系统问题的</w:t>
            </w:r>
            <w:r>
              <w:rPr>
                <w:rFonts w:hint="eastAsia" w:ascii="宋体" w:hAnsi="宋体" w:cs="宋体"/>
                <w:snapToGrid w:val="0"/>
                <w:color w:val="auto"/>
                <w:kern w:val="0"/>
                <w:sz w:val="24"/>
                <w:highlight w:val="none"/>
                <w:lang w:val="en-US" w:eastAsia="zh-CN"/>
              </w:rPr>
              <w:t>2</w:t>
            </w:r>
            <w:r>
              <w:rPr>
                <w:rFonts w:hint="eastAsia" w:ascii="宋体" w:hAnsi="宋体" w:cs="宋体"/>
                <w:snapToGrid w:val="0"/>
                <w:color w:val="auto"/>
                <w:kern w:val="0"/>
                <w:sz w:val="24"/>
                <w:highlight w:val="none"/>
              </w:rPr>
              <w:t>小时内给予问题的反馈，如需现场解决，在故障发生的</w:t>
            </w:r>
            <w:r>
              <w:rPr>
                <w:rFonts w:hint="eastAsia" w:ascii="宋体" w:hAnsi="宋体" w:cs="宋体"/>
                <w:snapToGrid w:val="0"/>
                <w:color w:val="auto"/>
                <w:kern w:val="0"/>
                <w:sz w:val="24"/>
                <w:highlight w:val="none"/>
                <w:lang w:val="en-US" w:eastAsia="zh-CN"/>
              </w:rPr>
              <w:t>6</w:t>
            </w:r>
            <w:r>
              <w:rPr>
                <w:rFonts w:hint="eastAsia" w:ascii="宋体" w:hAnsi="宋体" w:cs="宋体"/>
                <w:snapToGrid w:val="0"/>
                <w:color w:val="auto"/>
                <w:kern w:val="0"/>
                <w:sz w:val="24"/>
                <w:highlight w:val="none"/>
              </w:rPr>
              <w:t>小时内，派技术人员到达现场；承诺尽力在最短时间内恢复系统正常运行，并分析故障原因，提出书面故障分析报告及防范措施，如果故障不能在24小时内排除，则应提供技术团队达到现场进行处理。</w:t>
            </w:r>
            <w:r>
              <w:rPr>
                <w:rFonts w:hint="eastAsia" w:ascii="宋体" w:hAnsi="宋体" w:cs="宋体"/>
                <w:snapToGrid w:val="0"/>
                <w:color w:val="auto"/>
                <w:kern w:val="0"/>
                <w:sz w:val="24"/>
                <w:highlight w:val="none"/>
                <w:lang w:val="en-US" w:eastAsia="zh-CN"/>
              </w:rPr>
              <w:t>提供承诺书得3分，未提供不得分。</w:t>
            </w:r>
          </w:p>
        </w:tc>
        <w:tc>
          <w:tcPr>
            <w:tcW w:w="669" w:type="dxa"/>
            <w:vAlign w:val="center"/>
          </w:tcPr>
          <w:p w14:paraId="5928CF6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780" w:type="dxa"/>
            <w:vAlign w:val="center"/>
          </w:tcPr>
          <w:p w14:paraId="7A5C1C2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客观分</w:t>
            </w:r>
          </w:p>
        </w:tc>
        <w:tc>
          <w:tcPr>
            <w:tcW w:w="1294" w:type="dxa"/>
          </w:tcPr>
          <w:p w14:paraId="17AA84B9">
            <w:pPr>
              <w:keepNext w:val="0"/>
              <w:keepLines w:val="0"/>
              <w:suppressLineNumbers w:val="0"/>
              <w:snapToGrid w:val="0"/>
              <w:spacing w:before="0" w:beforeAutospacing="0" w:after="0" w:afterAutospacing="0" w:line="360" w:lineRule="auto"/>
              <w:ind w:left="0" w:right="0"/>
              <w:jc w:val="center"/>
              <w:rPr>
                <w:rFonts w:hint="default" w:ascii="宋体" w:hAnsi="宋体" w:cs="宋体"/>
                <w:b/>
                <w:bCs/>
                <w:color w:val="auto"/>
                <w:sz w:val="24"/>
                <w:highlight w:val="none"/>
              </w:rPr>
            </w:pPr>
          </w:p>
        </w:tc>
      </w:tr>
      <w:tr w14:paraId="6D4C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06" w:type="dxa"/>
            <w:vMerge w:val="restart"/>
            <w:vAlign w:val="center"/>
          </w:tcPr>
          <w:p w14:paraId="51E09A9C">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314" w:type="dxa"/>
            <w:vMerge w:val="restart"/>
            <w:shd w:val="clear" w:color="auto" w:fill="auto"/>
            <w:vAlign w:val="center"/>
          </w:tcPr>
          <w:p w14:paraId="32A520B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4"/>
                <w:highlight w:val="none"/>
              </w:rPr>
            </w:pPr>
            <w:r>
              <w:rPr>
                <w:rFonts w:hint="eastAsia" w:ascii="宋体" w:hAnsi="宋体" w:cs="宋体"/>
                <w:color w:val="auto"/>
                <w:kern w:val="0"/>
                <w:sz w:val="24"/>
                <w:highlight w:val="none"/>
                <w:lang w:bidi="ar"/>
              </w:rPr>
              <w:t>培训、测试、试运行、验收</w:t>
            </w:r>
          </w:p>
        </w:tc>
        <w:tc>
          <w:tcPr>
            <w:tcW w:w="4911" w:type="dxa"/>
            <w:shd w:val="clear" w:color="auto" w:fill="auto"/>
            <w:vAlign w:val="center"/>
          </w:tcPr>
          <w:p w14:paraId="3A2ECC7F">
            <w:pPr>
              <w:keepNext w:val="0"/>
              <w:keepLines w:val="0"/>
              <w:widowControl/>
              <w:suppressLineNumbers w:val="0"/>
              <w:spacing w:before="0" w:beforeAutospacing="0" w:after="0" w:afterAutospacing="0" w:line="360" w:lineRule="auto"/>
              <w:ind w:left="0" w:right="0"/>
              <w:jc w:val="left"/>
              <w:textAlignment w:val="center"/>
              <w:rPr>
                <w:rFonts w:hint="default" w:ascii="宋体" w:hAnsi="宋体" w:cs="宋体"/>
                <w:snapToGrid w:val="0"/>
                <w:color w:val="auto"/>
                <w:kern w:val="0"/>
                <w:sz w:val="24"/>
                <w:highlight w:val="none"/>
              </w:rPr>
            </w:pPr>
            <w:r>
              <w:rPr>
                <w:rFonts w:hint="eastAsia" w:ascii="宋体" w:hAnsi="宋体" w:cs="宋体"/>
                <w:snapToGrid w:val="0"/>
                <w:color w:val="auto"/>
                <w:kern w:val="0"/>
                <w:sz w:val="24"/>
                <w:highlight w:val="none"/>
              </w:rPr>
              <w:t>投标人是否</w:t>
            </w:r>
            <w:r>
              <w:rPr>
                <w:rFonts w:hint="eastAsia" w:ascii="宋体" w:hAnsi="宋体" w:eastAsia="宋体" w:cs="宋体"/>
                <w:snapToGrid w:val="0"/>
                <w:color w:val="auto"/>
                <w:kern w:val="0"/>
                <w:sz w:val="24"/>
                <w:highlight w:val="none"/>
              </w:rPr>
              <w:t>提出合理性、可行性的</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①功能测试②验收方案。每一项内容完整、措施有效、</w:t>
            </w:r>
            <w:r>
              <w:rPr>
                <w:rFonts w:hint="eastAsia" w:ascii="宋体" w:hAnsi="宋体" w:eastAsia="宋体" w:cs="宋体"/>
                <w:snapToGrid w:val="0"/>
                <w:color w:val="auto"/>
                <w:kern w:val="0"/>
                <w:sz w:val="24"/>
                <w:highlight w:val="none"/>
                <w:lang w:val="en-US" w:eastAsia="zh-CN"/>
              </w:rPr>
              <w:t>满足要求各</w:t>
            </w:r>
            <w:r>
              <w:rPr>
                <w:rFonts w:hint="eastAsia" w:ascii="宋体" w:hAnsi="宋体" w:eastAsia="宋体" w:cs="宋体"/>
                <w:snapToGrid w:val="0"/>
                <w:color w:val="auto"/>
                <w:kern w:val="0"/>
                <w:sz w:val="24"/>
                <w:highlight w:val="none"/>
              </w:rPr>
              <w:t>得</w:t>
            </w:r>
            <w:r>
              <w:rPr>
                <w:rFonts w:hint="eastAsia" w:ascii="宋体" w:hAnsi="宋体" w:eastAsia="宋体" w:cs="宋体"/>
                <w:snapToGrid w:val="0"/>
                <w:color w:val="auto"/>
                <w:kern w:val="0"/>
                <w:sz w:val="24"/>
                <w:highlight w:val="none"/>
                <w:lang w:val="en-US" w:eastAsia="zh-CN"/>
              </w:rPr>
              <w:t>2</w:t>
            </w:r>
            <w:r>
              <w:rPr>
                <w:rFonts w:hint="eastAsia" w:ascii="宋体" w:hAnsi="宋体" w:eastAsia="宋体" w:cs="宋体"/>
                <w:snapToGrid w:val="0"/>
                <w:color w:val="auto"/>
                <w:kern w:val="0"/>
                <w:sz w:val="24"/>
                <w:highlight w:val="none"/>
              </w:rPr>
              <w:t>分，内容虽然进行了阐述但并未完全贴合项目需求理解情况，或理解的内容未包括细节或有效措施，</w:t>
            </w:r>
            <w:r>
              <w:rPr>
                <w:rFonts w:hint="eastAsia" w:ascii="宋体" w:hAnsi="宋体" w:eastAsia="宋体" w:cs="宋体"/>
                <w:snapToGrid w:val="0"/>
                <w:color w:val="auto"/>
                <w:kern w:val="0"/>
                <w:sz w:val="24"/>
                <w:highlight w:val="none"/>
                <w:lang w:val="en-US" w:eastAsia="zh-CN"/>
              </w:rPr>
              <w:t>各</w:t>
            </w:r>
            <w:r>
              <w:rPr>
                <w:rFonts w:hint="eastAsia" w:ascii="宋体" w:hAnsi="宋体" w:eastAsia="宋体" w:cs="宋体"/>
                <w:snapToGrid w:val="0"/>
                <w:color w:val="auto"/>
                <w:kern w:val="0"/>
                <w:sz w:val="24"/>
                <w:highlight w:val="none"/>
              </w:rPr>
              <w:t>得</w:t>
            </w:r>
            <w:r>
              <w:rPr>
                <w:rFonts w:hint="eastAsia" w:ascii="宋体" w:hAnsi="宋体" w:eastAsia="宋体" w:cs="宋体"/>
                <w:snapToGrid w:val="0"/>
                <w:color w:val="auto"/>
                <w:kern w:val="0"/>
                <w:sz w:val="24"/>
                <w:highlight w:val="none"/>
                <w:lang w:val="en-US" w:eastAsia="zh-CN"/>
              </w:rPr>
              <w:t>1</w:t>
            </w:r>
            <w:r>
              <w:rPr>
                <w:rFonts w:hint="eastAsia" w:ascii="宋体" w:hAnsi="宋体" w:eastAsia="宋体" w:cs="宋体"/>
                <w:snapToGrid w:val="0"/>
                <w:color w:val="auto"/>
                <w:kern w:val="0"/>
                <w:sz w:val="24"/>
                <w:highlight w:val="none"/>
              </w:rPr>
              <w:t>分；未进行阐述或阐述内容无法满足项目需求的</w:t>
            </w:r>
            <w:r>
              <w:rPr>
                <w:rFonts w:hint="eastAsia" w:ascii="宋体" w:hAnsi="宋体" w:cs="宋体"/>
                <w:snapToGrid w:val="0"/>
                <w:color w:val="auto"/>
                <w:kern w:val="0"/>
                <w:sz w:val="24"/>
                <w:highlight w:val="none"/>
                <w:lang w:val="en-US" w:eastAsia="zh-CN"/>
              </w:rPr>
              <w:t>不得分</w:t>
            </w:r>
            <w:r>
              <w:rPr>
                <w:rFonts w:hint="eastAsia" w:ascii="宋体" w:hAnsi="宋体" w:eastAsia="宋体" w:cs="宋体"/>
                <w:snapToGrid w:val="0"/>
                <w:color w:val="auto"/>
                <w:kern w:val="0"/>
                <w:sz w:val="24"/>
                <w:highlight w:val="none"/>
              </w:rPr>
              <w:t>。</w:t>
            </w:r>
            <w:r>
              <w:rPr>
                <w:rFonts w:hint="eastAsia" w:ascii="宋体" w:hAnsi="宋体" w:cs="宋体"/>
                <w:snapToGrid w:val="0"/>
                <w:color w:val="auto"/>
                <w:kern w:val="0"/>
                <w:sz w:val="24"/>
                <w:highlight w:val="none"/>
                <w:lang w:val="en-US" w:eastAsia="zh-CN"/>
              </w:rPr>
              <w:t>本项</w:t>
            </w:r>
            <w:r>
              <w:rPr>
                <w:rFonts w:hint="eastAsia" w:ascii="宋体" w:hAnsi="宋体" w:eastAsia="宋体" w:cs="宋体"/>
                <w:color w:val="auto"/>
                <w:sz w:val="24"/>
                <w:highlight w:val="none"/>
                <w:lang w:val="en-US" w:eastAsia="zh-CN"/>
              </w:rPr>
              <w:t>最高得4分。</w:t>
            </w:r>
          </w:p>
        </w:tc>
        <w:tc>
          <w:tcPr>
            <w:tcW w:w="669" w:type="dxa"/>
            <w:vAlign w:val="center"/>
          </w:tcPr>
          <w:p w14:paraId="711C353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780" w:type="dxa"/>
            <w:vAlign w:val="center"/>
          </w:tcPr>
          <w:p w14:paraId="46946B08">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 w:val="24"/>
                <w:highlight w:val="none"/>
                <w:lang w:bidi="ar"/>
              </w:rPr>
            </w:pPr>
            <w:r>
              <w:rPr>
                <w:rFonts w:hint="eastAsia" w:ascii="宋体" w:hAnsi="宋体" w:cs="宋体"/>
                <w:color w:val="auto"/>
                <w:kern w:val="0"/>
                <w:sz w:val="24"/>
                <w:highlight w:val="none"/>
                <w:lang w:bidi="ar"/>
              </w:rPr>
              <w:t>主观分</w:t>
            </w:r>
          </w:p>
        </w:tc>
        <w:tc>
          <w:tcPr>
            <w:tcW w:w="1294" w:type="dxa"/>
          </w:tcPr>
          <w:p w14:paraId="5A08FAC4">
            <w:pPr>
              <w:keepNext w:val="0"/>
              <w:keepLines w:val="0"/>
              <w:suppressLineNumbers w:val="0"/>
              <w:snapToGrid w:val="0"/>
              <w:spacing w:before="0" w:beforeAutospacing="0" w:after="0" w:afterAutospacing="0" w:line="360" w:lineRule="auto"/>
              <w:ind w:left="0" w:right="0"/>
              <w:jc w:val="center"/>
              <w:rPr>
                <w:rFonts w:hint="default" w:ascii="宋体" w:hAnsi="宋体" w:cs="宋体"/>
                <w:b/>
                <w:bCs/>
                <w:color w:val="auto"/>
                <w:sz w:val="24"/>
                <w:highlight w:val="none"/>
              </w:rPr>
            </w:pPr>
          </w:p>
        </w:tc>
      </w:tr>
      <w:tr w14:paraId="4D42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506" w:type="dxa"/>
            <w:vMerge w:val="continue"/>
            <w:vAlign w:val="center"/>
          </w:tcPr>
          <w:p w14:paraId="7165A388">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highlight w:val="none"/>
              </w:rPr>
            </w:pPr>
          </w:p>
        </w:tc>
        <w:tc>
          <w:tcPr>
            <w:tcW w:w="1314" w:type="dxa"/>
            <w:vMerge w:val="continue"/>
            <w:shd w:val="clear" w:color="auto" w:fill="auto"/>
            <w:vAlign w:val="center"/>
          </w:tcPr>
          <w:p w14:paraId="3A2485A2">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highlight w:val="none"/>
              </w:rPr>
            </w:pPr>
          </w:p>
        </w:tc>
        <w:tc>
          <w:tcPr>
            <w:tcW w:w="4911" w:type="dxa"/>
            <w:shd w:val="clear" w:color="auto" w:fill="auto"/>
            <w:vAlign w:val="center"/>
          </w:tcPr>
          <w:p w14:paraId="7A225365">
            <w:pPr>
              <w:keepNext w:val="0"/>
              <w:keepLines w:val="0"/>
              <w:suppressLineNumbers w:val="0"/>
              <w:snapToGrid w:val="0"/>
              <w:spacing w:before="0" w:beforeAutospacing="0" w:after="0" w:afterAutospacing="0" w:line="360" w:lineRule="auto"/>
              <w:ind w:left="0" w:right="0"/>
              <w:jc w:val="left"/>
              <w:rPr>
                <w:rFonts w:hint="default" w:ascii="宋体" w:hAnsi="宋体" w:cs="宋体"/>
                <w:snapToGrid w:val="0"/>
                <w:color w:val="auto"/>
                <w:kern w:val="0"/>
                <w:sz w:val="24"/>
                <w:highlight w:val="none"/>
              </w:rPr>
            </w:pPr>
            <w:r>
              <w:rPr>
                <w:rFonts w:hint="eastAsia" w:ascii="宋体" w:hAnsi="宋体" w:cs="宋体"/>
                <w:snapToGrid w:val="0"/>
                <w:color w:val="auto"/>
                <w:kern w:val="0"/>
                <w:sz w:val="24"/>
                <w:highlight w:val="none"/>
              </w:rPr>
              <w:t>投标人</w:t>
            </w:r>
            <w:r>
              <w:rPr>
                <w:rFonts w:hint="eastAsia" w:ascii="宋体" w:hAnsi="宋体" w:cs="宋体"/>
                <w:snapToGrid w:val="0"/>
                <w:color w:val="auto"/>
                <w:kern w:val="0"/>
                <w:sz w:val="24"/>
                <w:highlight w:val="none"/>
                <w:lang w:val="en-US" w:eastAsia="zh-CN"/>
              </w:rPr>
              <w:t>提供的对采购人</w:t>
            </w:r>
            <w:r>
              <w:rPr>
                <w:rFonts w:hint="eastAsia" w:ascii="宋体" w:hAnsi="宋体" w:cs="宋体"/>
                <w:snapToGrid w:val="0"/>
                <w:color w:val="auto"/>
                <w:kern w:val="0"/>
                <w:sz w:val="24"/>
                <w:highlight w:val="none"/>
              </w:rPr>
              <w:t>培训计划</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rPr>
              <w:t>①培训内容、②培训时间地点、③培训对象</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rPr>
              <w:t>④培训师资力量</w:t>
            </w:r>
            <w:r>
              <w:rPr>
                <w:rFonts w:hint="eastAsia" w:ascii="宋体" w:hAnsi="宋体" w:eastAsia="宋体" w:cs="宋体"/>
                <w:snapToGrid w:val="0"/>
                <w:color w:val="auto"/>
                <w:kern w:val="0"/>
                <w:sz w:val="24"/>
                <w:highlight w:val="none"/>
                <w:lang w:val="en-US" w:eastAsia="zh-CN"/>
              </w:rPr>
              <w:t>。每一项内容完整、措施有效、满足要求</w:t>
            </w:r>
            <w:r>
              <w:rPr>
                <w:rFonts w:hint="eastAsia" w:ascii="宋体" w:hAnsi="宋体" w:cs="宋体"/>
                <w:snapToGrid w:val="0"/>
                <w:color w:val="auto"/>
                <w:kern w:val="0"/>
                <w:sz w:val="24"/>
                <w:highlight w:val="none"/>
                <w:lang w:val="en-US" w:eastAsia="zh-CN"/>
              </w:rPr>
              <w:t>的</w:t>
            </w:r>
            <w:r>
              <w:rPr>
                <w:rFonts w:hint="eastAsia" w:ascii="宋体" w:hAnsi="宋体" w:eastAsia="宋体" w:cs="宋体"/>
                <w:snapToGrid w:val="0"/>
                <w:color w:val="auto"/>
                <w:kern w:val="0"/>
                <w:sz w:val="24"/>
                <w:highlight w:val="none"/>
                <w:lang w:val="en-US" w:eastAsia="zh-CN"/>
              </w:rPr>
              <w:t>各得0.5分，否则不得分。</w:t>
            </w:r>
            <w:r>
              <w:rPr>
                <w:rFonts w:hint="eastAsia" w:ascii="宋体" w:hAnsi="宋体" w:cs="宋体"/>
                <w:snapToGrid w:val="0"/>
                <w:color w:val="auto"/>
                <w:kern w:val="0"/>
                <w:sz w:val="24"/>
                <w:highlight w:val="none"/>
                <w:lang w:val="en-US" w:eastAsia="zh-CN"/>
              </w:rPr>
              <w:t>本项</w:t>
            </w:r>
            <w:r>
              <w:rPr>
                <w:rFonts w:hint="eastAsia" w:ascii="宋体" w:hAnsi="宋体" w:eastAsia="宋体" w:cs="宋体"/>
                <w:snapToGrid w:val="0"/>
                <w:color w:val="auto"/>
                <w:kern w:val="0"/>
                <w:sz w:val="24"/>
                <w:highlight w:val="none"/>
                <w:lang w:val="en-US" w:eastAsia="zh-CN"/>
              </w:rPr>
              <w:t>最高得2分。</w:t>
            </w:r>
          </w:p>
        </w:tc>
        <w:tc>
          <w:tcPr>
            <w:tcW w:w="669" w:type="dxa"/>
            <w:vAlign w:val="center"/>
          </w:tcPr>
          <w:p w14:paraId="4B7FB5A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napToGrid w:val="0"/>
                <w:color w:val="auto"/>
                <w:kern w:val="0"/>
                <w:sz w:val="24"/>
                <w:highlight w:val="none"/>
                <w:lang w:eastAsia="zh-CN"/>
              </w:rPr>
            </w:pPr>
            <w:r>
              <w:rPr>
                <w:rFonts w:hint="eastAsia" w:ascii="宋体" w:hAnsi="宋体" w:cs="宋体"/>
                <w:color w:val="auto"/>
                <w:sz w:val="24"/>
                <w:highlight w:val="none"/>
                <w:lang w:val="en-US" w:eastAsia="zh-CN"/>
              </w:rPr>
              <w:t>2</w:t>
            </w:r>
          </w:p>
        </w:tc>
        <w:tc>
          <w:tcPr>
            <w:tcW w:w="780" w:type="dxa"/>
            <w:vAlign w:val="center"/>
          </w:tcPr>
          <w:p w14:paraId="6AB5EF3F">
            <w:pPr>
              <w:keepNext w:val="0"/>
              <w:keepLines w:val="0"/>
              <w:suppressLineNumbers w:val="0"/>
              <w:snapToGrid w:val="0"/>
              <w:spacing w:before="0" w:beforeAutospacing="0" w:after="0" w:afterAutospacing="0" w:line="360" w:lineRule="auto"/>
              <w:ind w:left="0" w:right="0"/>
              <w:jc w:val="center"/>
              <w:rPr>
                <w:rFonts w:hint="default" w:ascii="宋体" w:hAnsi="宋体" w:cs="宋体"/>
                <w:snapToGrid w:val="0"/>
                <w:color w:val="auto"/>
                <w:kern w:val="0"/>
                <w:sz w:val="24"/>
                <w:highlight w:val="none"/>
              </w:rPr>
            </w:pPr>
            <w:r>
              <w:rPr>
                <w:rFonts w:hint="eastAsia" w:ascii="宋体" w:hAnsi="宋体" w:cs="宋体"/>
                <w:color w:val="auto"/>
                <w:kern w:val="0"/>
                <w:sz w:val="24"/>
                <w:highlight w:val="none"/>
                <w:lang w:bidi="ar"/>
              </w:rPr>
              <w:t>主观分</w:t>
            </w:r>
          </w:p>
        </w:tc>
        <w:tc>
          <w:tcPr>
            <w:tcW w:w="1294" w:type="dxa"/>
          </w:tcPr>
          <w:p w14:paraId="42DA091C">
            <w:pPr>
              <w:keepNext w:val="0"/>
              <w:keepLines w:val="0"/>
              <w:suppressLineNumbers w:val="0"/>
              <w:snapToGrid w:val="0"/>
              <w:spacing w:before="0" w:beforeAutospacing="0" w:after="0" w:afterAutospacing="0" w:line="360" w:lineRule="auto"/>
              <w:ind w:left="0" w:right="0"/>
              <w:jc w:val="center"/>
              <w:rPr>
                <w:rFonts w:hint="default" w:ascii="宋体" w:hAnsi="宋体" w:cs="宋体"/>
                <w:snapToGrid w:val="0"/>
                <w:color w:val="auto"/>
                <w:kern w:val="0"/>
                <w:sz w:val="24"/>
                <w:highlight w:val="none"/>
              </w:rPr>
            </w:pPr>
          </w:p>
        </w:tc>
      </w:tr>
      <w:tr w14:paraId="19B0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6" w:type="dxa"/>
            <w:vAlign w:val="center"/>
          </w:tcPr>
          <w:p w14:paraId="279755DD">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314" w:type="dxa"/>
            <w:shd w:val="clear" w:color="auto" w:fill="auto"/>
            <w:vAlign w:val="center"/>
          </w:tcPr>
          <w:p w14:paraId="32EAFCA6">
            <w:pPr>
              <w:keepNext w:val="0"/>
              <w:keepLines w:val="0"/>
              <w:suppressLineNumbers w:val="0"/>
              <w:snapToGrid w:val="0"/>
              <w:spacing w:before="0" w:beforeAutospacing="0" w:after="0" w:afterAutospacing="0" w:line="360" w:lineRule="auto"/>
              <w:ind w:left="0" w:right="0"/>
              <w:jc w:val="center"/>
              <w:rPr>
                <w:rFonts w:hint="default" w:ascii="宋体" w:hAnsi="宋体" w:cs="宋体"/>
                <w:snapToGrid w:val="0"/>
                <w:color w:val="auto"/>
                <w:sz w:val="24"/>
                <w:highlight w:val="none"/>
              </w:rPr>
            </w:pPr>
            <w:r>
              <w:rPr>
                <w:rFonts w:hint="eastAsia" w:ascii="宋体" w:hAnsi="宋体" w:cs="宋体"/>
                <w:snapToGrid w:val="0"/>
                <w:color w:val="auto"/>
                <w:sz w:val="24"/>
                <w:highlight w:val="none"/>
              </w:rPr>
              <w:t>项目组人员素质情况</w:t>
            </w:r>
          </w:p>
        </w:tc>
        <w:tc>
          <w:tcPr>
            <w:tcW w:w="4911" w:type="dxa"/>
            <w:shd w:val="clear" w:color="auto" w:fill="auto"/>
            <w:vAlign w:val="center"/>
          </w:tcPr>
          <w:p w14:paraId="07DF4086">
            <w:pPr>
              <w:keepNext w:val="0"/>
              <w:keepLines w:val="0"/>
              <w:widowControl/>
              <w:suppressLineNumbers w:val="0"/>
              <w:spacing w:before="0" w:beforeAutospacing="0" w:after="0" w:afterAutospacing="0" w:line="360" w:lineRule="auto"/>
              <w:ind w:left="0" w:right="0"/>
              <w:jc w:val="left"/>
              <w:textAlignment w:val="center"/>
              <w:rPr>
                <w:rFonts w:hint="default"/>
              </w:rPr>
            </w:pPr>
            <w:r>
              <w:rPr>
                <w:rFonts w:hint="eastAsia" w:ascii="宋体" w:hAnsi="宋体" w:cs="宋体"/>
                <w:color w:val="auto"/>
                <w:kern w:val="2"/>
                <w:sz w:val="24"/>
                <w:highlight w:val="none"/>
                <w:lang w:bidi="ar"/>
              </w:rPr>
              <w:t>项目负责人具有信息系统项目管理师证书</w:t>
            </w:r>
            <w:r>
              <w:rPr>
                <w:rFonts w:hint="eastAsia" w:ascii="宋体" w:hAnsi="宋体" w:cs="宋体"/>
                <w:color w:val="auto"/>
                <w:kern w:val="2"/>
                <w:sz w:val="24"/>
                <w:highlight w:val="none"/>
                <w:lang w:val="en-US" w:eastAsia="zh-CN" w:bidi="ar"/>
              </w:rPr>
              <w:t>或系统架构设计师</w:t>
            </w:r>
            <w:r>
              <w:rPr>
                <w:rFonts w:hint="eastAsia" w:ascii="宋体" w:hAnsi="宋体" w:cs="宋体"/>
                <w:color w:val="auto"/>
                <w:kern w:val="2"/>
                <w:sz w:val="24"/>
                <w:highlight w:val="none"/>
                <w:lang w:bidi="ar"/>
              </w:rPr>
              <w:t>证书得</w:t>
            </w:r>
            <w:r>
              <w:rPr>
                <w:rFonts w:hint="eastAsia" w:ascii="宋体" w:hAnsi="宋体" w:cs="宋体"/>
                <w:color w:val="auto"/>
                <w:kern w:val="2"/>
                <w:sz w:val="24"/>
                <w:highlight w:val="none"/>
                <w:shd w:val="clear" w:fill="auto"/>
                <w:lang w:val="en-US" w:eastAsia="zh-CN" w:bidi="ar"/>
              </w:rPr>
              <w:t>2</w:t>
            </w:r>
            <w:r>
              <w:rPr>
                <w:rFonts w:hint="eastAsia" w:ascii="宋体" w:hAnsi="宋体" w:cs="宋体"/>
                <w:color w:val="auto"/>
                <w:kern w:val="2"/>
                <w:sz w:val="24"/>
                <w:highlight w:val="none"/>
                <w:lang w:bidi="ar"/>
              </w:rPr>
              <w:t>分</w:t>
            </w:r>
            <w:r>
              <w:rPr>
                <w:rFonts w:hint="eastAsia" w:ascii="宋体" w:hAnsi="宋体" w:cs="宋体"/>
                <w:color w:val="auto"/>
                <w:kern w:val="2"/>
                <w:sz w:val="24"/>
                <w:highlight w:val="none"/>
                <w:lang w:eastAsia="zh-CN" w:bidi="ar"/>
              </w:rPr>
              <w:t>，</w:t>
            </w:r>
            <w:r>
              <w:rPr>
                <w:rFonts w:hint="eastAsia" w:ascii="宋体" w:hAnsi="宋体" w:cs="宋体"/>
                <w:color w:val="auto"/>
                <w:kern w:val="2"/>
                <w:sz w:val="24"/>
                <w:highlight w:val="none"/>
                <w:lang w:bidi="ar"/>
              </w:rPr>
              <w:t>提供相关证书复印件。</w:t>
            </w:r>
            <w:r>
              <w:rPr>
                <w:rFonts w:hint="eastAsia" w:ascii="宋体" w:hAnsi="宋体" w:cs="宋体"/>
                <w:b w:val="0"/>
                <w:bCs w:val="0"/>
                <w:color w:val="auto"/>
                <w:sz w:val="24"/>
                <w:highlight w:val="none"/>
              </w:rPr>
              <w:t>说明：</w:t>
            </w:r>
            <w:r>
              <w:rPr>
                <w:rFonts w:hint="eastAsia" w:ascii="宋体" w:hAnsi="宋体" w:cs="宋体"/>
                <w:b w:val="0"/>
                <w:bCs w:val="0"/>
                <w:color w:val="auto"/>
                <w:kern w:val="2"/>
                <w:sz w:val="24"/>
                <w:highlight w:val="none"/>
                <w:lang w:bidi="ar"/>
              </w:rPr>
              <w:t>提供项目负责人资格证书</w:t>
            </w:r>
            <w:r>
              <w:rPr>
                <w:rFonts w:hint="eastAsia" w:ascii="宋体" w:hAnsi="宋体" w:cs="宋体"/>
                <w:b w:val="0"/>
                <w:bCs w:val="0"/>
                <w:color w:val="auto"/>
                <w:kern w:val="2"/>
                <w:sz w:val="24"/>
                <w:highlight w:val="none"/>
                <w:lang w:eastAsia="zh-CN" w:bidi="ar"/>
              </w:rPr>
              <w:t>（</w:t>
            </w:r>
            <w:r>
              <w:rPr>
                <w:rFonts w:hint="eastAsia" w:ascii="宋体" w:hAnsi="宋体" w:cs="宋体"/>
                <w:b w:val="0"/>
                <w:bCs w:val="0"/>
                <w:color w:val="auto"/>
                <w:kern w:val="2"/>
                <w:sz w:val="24"/>
                <w:highlight w:val="none"/>
                <w:lang w:val="en-US" w:eastAsia="zh-CN" w:bidi="ar"/>
              </w:rPr>
              <w:t>人社部颁发</w:t>
            </w:r>
            <w:r>
              <w:rPr>
                <w:rFonts w:hint="eastAsia" w:ascii="宋体" w:hAnsi="宋体" w:cs="宋体"/>
                <w:b w:val="0"/>
                <w:bCs w:val="0"/>
                <w:color w:val="auto"/>
                <w:kern w:val="2"/>
                <w:sz w:val="24"/>
                <w:highlight w:val="none"/>
                <w:lang w:eastAsia="zh-CN" w:bidi="ar"/>
              </w:rPr>
              <w:t>）</w:t>
            </w:r>
            <w:r>
              <w:rPr>
                <w:rFonts w:hint="eastAsia" w:ascii="宋体" w:hAnsi="宋体" w:cs="宋体"/>
                <w:b w:val="0"/>
                <w:bCs w:val="0"/>
                <w:color w:val="auto"/>
                <w:kern w:val="2"/>
                <w:sz w:val="24"/>
                <w:highlight w:val="none"/>
                <w:lang w:bidi="ar"/>
              </w:rPr>
              <w:t>及在本公司</w:t>
            </w:r>
            <w:r>
              <w:rPr>
                <w:rFonts w:hint="eastAsia" w:ascii="宋体" w:hAnsi="宋体" w:cs="宋体"/>
                <w:b w:val="0"/>
                <w:bCs w:val="0"/>
                <w:color w:val="auto"/>
                <w:kern w:val="2"/>
                <w:sz w:val="24"/>
                <w:highlight w:val="none"/>
                <w:lang w:val="en-US" w:eastAsia="zh-CN" w:bidi="ar"/>
              </w:rPr>
              <w:t>近</w:t>
            </w:r>
            <w:r>
              <w:rPr>
                <w:rFonts w:hint="eastAsia" w:ascii="宋体" w:hAnsi="宋体" w:cs="宋体"/>
                <w:b w:val="0"/>
                <w:bCs w:val="0"/>
                <w:color w:val="auto"/>
                <w:kern w:val="2"/>
                <w:sz w:val="24"/>
                <w:highlight w:val="none"/>
                <w:lang w:bidi="ar"/>
              </w:rPr>
              <w:t>3个月内任意一个月社保缴纳证明或劳动合同并加盖公章，否则不得分。</w:t>
            </w:r>
          </w:p>
        </w:tc>
        <w:tc>
          <w:tcPr>
            <w:tcW w:w="669" w:type="dxa"/>
            <w:vAlign w:val="center"/>
          </w:tcPr>
          <w:p w14:paraId="770E94C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780" w:type="dxa"/>
            <w:vAlign w:val="center"/>
          </w:tcPr>
          <w:p w14:paraId="4B89C464">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 w:val="24"/>
                <w:highlight w:val="none"/>
                <w:lang w:bidi="ar"/>
              </w:rPr>
            </w:pPr>
            <w:r>
              <w:rPr>
                <w:rFonts w:hint="eastAsia" w:ascii="宋体" w:hAnsi="宋体" w:cs="宋体"/>
                <w:color w:val="auto"/>
                <w:kern w:val="0"/>
                <w:sz w:val="24"/>
                <w:highlight w:val="none"/>
                <w:lang w:bidi="ar"/>
              </w:rPr>
              <w:t>客观分</w:t>
            </w:r>
          </w:p>
        </w:tc>
        <w:tc>
          <w:tcPr>
            <w:tcW w:w="1294" w:type="dxa"/>
          </w:tcPr>
          <w:p w14:paraId="6CA0EA05">
            <w:pPr>
              <w:keepNext w:val="0"/>
              <w:keepLines w:val="0"/>
              <w:suppressLineNumbers w:val="0"/>
              <w:snapToGrid w:val="0"/>
              <w:spacing w:before="0" w:beforeAutospacing="0" w:after="0" w:afterAutospacing="0" w:line="360" w:lineRule="auto"/>
              <w:ind w:left="0" w:right="0"/>
              <w:jc w:val="center"/>
              <w:rPr>
                <w:rFonts w:hint="default" w:ascii="宋体" w:hAnsi="宋体" w:cs="宋体"/>
                <w:b/>
                <w:bCs/>
                <w:color w:val="auto"/>
                <w:sz w:val="24"/>
                <w:highlight w:val="none"/>
              </w:rPr>
            </w:pPr>
          </w:p>
        </w:tc>
      </w:tr>
      <w:tr w14:paraId="0E7D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506" w:type="dxa"/>
            <w:vAlign w:val="center"/>
          </w:tcPr>
          <w:p w14:paraId="58EC04C9">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314" w:type="dxa"/>
            <w:shd w:val="clear" w:color="auto" w:fill="auto"/>
            <w:vAlign w:val="center"/>
          </w:tcPr>
          <w:p w14:paraId="085969E7">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质量保证措施和建设工期情况</w:t>
            </w:r>
          </w:p>
        </w:tc>
        <w:tc>
          <w:tcPr>
            <w:tcW w:w="4911" w:type="dxa"/>
            <w:shd w:val="clear" w:color="auto" w:fill="auto"/>
          </w:tcPr>
          <w:p w14:paraId="376A0AA3">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投标人提供完善的质量保证措施和建设工期情况</w:t>
            </w:r>
            <w:r>
              <w:rPr>
                <w:rFonts w:hint="eastAsia" w:ascii="宋体" w:hAnsi="宋体" w:cs="宋体"/>
                <w:color w:val="auto"/>
                <w:sz w:val="24"/>
                <w:highlight w:val="none"/>
                <w:lang w:eastAsia="zh-CN"/>
              </w:rPr>
              <w:t>：</w:t>
            </w:r>
            <w:r>
              <w:rPr>
                <w:rFonts w:hint="eastAsia" w:ascii="宋体" w:hAnsi="宋体" w:cs="宋体"/>
                <w:color w:val="auto"/>
                <w:sz w:val="24"/>
                <w:highlight w:val="none"/>
              </w:rPr>
              <w:t>①是否有明确的建设质量目标，②是否有质量保证措施，③是否具有详细可行的实施</w:t>
            </w:r>
            <w:r>
              <w:rPr>
                <w:rFonts w:hint="eastAsia" w:ascii="宋体" w:hAnsi="宋体" w:eastAsia="宋体" w:cs="宋体"/>
                <w:color w:val="auto"/>
                <w:sz w:val="24"/>
                <w:highlight w:val="none"/>
              </w:rPr>
              <w:t>内容，④是否具有工期保证措施。每一项内容完整、措施有效、</w:t>
            </w:r>
            <w:r>
              <w:rPr>
                <w:rFonts w:hint="eastAsia" w:ascii="宋体" w:hAnsi="宋体" w:eastAsia="宋体" w:cs="宋体"/>
                <w:snapToGrid w:val="0"/>
                <w:color w:val="auto"/>
                <w:kern w:val="0"/>
                <w:sz w:val="24"/>
                <w:highlight w:val="none"/>
                <w:lang w:val="en-US" w:eastAsia="zh-CN"/>
              </w:rPr>
              <w:t>满足要求</w:t>
            </w:r>
            <w:r>
              <w:rPr>
                <w:rFonts w:hint="eastAsia" w:ascii="宋体" w:hAnsi="宋体" w:cs="宋体"/>
                <w:snapToGrid w:val="0"/>
                <w:color w:val="auto"/>
                <w:kern w:val="0"/>
                <w:sz w:val="24"/>
                <w:highlight w:val="none"/>
                <w:lang w:val="en-US" w:eastAsia="zh-CN"/>
              </w:rPr>
              <w:t>的</w:t>
            </w:r>
            <w:r>
              <w:rPr>
                <w:rFonts w:hint="eastAsia" w:ascii="宋体" w:hAnsi="宋体" w:eastAsia="宋体" w:cs="宋体"/>
                <w:snapToGrid w:val="0"/>
                <w:color w:val="auto"/>
                <w:kern w:val="0"/>
                <w:sz w:val="24"/>
                <w:highlight w:val="none"/>
                <w:lang w:val="en-US" w:eastAsia="zh-CN"/>
              </w:rPr>
              <w:t>各</w:t>
            </w:r>
            <w:r>
              <w:rPr>
                <w:rFonts w:hint="eastAsia" w:ascii="宋体" w:hAnsi="宋体" w:eastAsia="宋体" w:cs="宋体"/>
                <w:color w:val="auto"/>
                <w:sz w:val="24"/>
                <w:highlight w:val="none"/>
              </w:rPr>
              <w:t>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分，否则不得分。</w:t>
            </w:r>
            <w:r>
              <w:rPr>
                <w:rFonts w:hint="eastAsia" w:ascii="宋体" w:hAnsi="宋体" w:cs="宋体"/>
                <w:snapToGrid w:val="0"/>
                <w:color w:val="auto"/>
                <w:kern w:val="0"/>
                <w:sz w:val="24"/>
                <w:highlight w:val="none"/>
                <w:lang w:val="en-US" w:eastAsia="zh-CN"/>
              </w:rPr>
              <w:t>本项</w:t>
            </w:r>
            <w:r>
              <w:rPr>
                <w:rFonts w:hint="eastAsia" w:ascii="宋体" w:hAnsi="宋体" w:eastAsia="宋体" w:cs="宋体"/>
                <w:color w:val="auto"/>
                <w:sz w:val="24"/>
                <w:highlight w:val="none"/>
              </w:rPr>
              <w:t>最高得4分。</w:t>
            </w:r>
          </w:p>
        </w:tc>
        <w:tc>
          <w:tcPr>
            <w:tcW w:w="669" w:type="dxa"/>
            <w:shd w:val="clear" w:color="auto" w:fill="auto"/>
            <w:vAlign w:val="center"/>
          </w:tcPr>
          <w:p w14:paraId="7B5801DA">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4</w:t>
            </w:r>
          </w:p>
        </w:tc>
        <w:tc>
          <w:tcPr>
            <w:tcW w:w="780" w:type="dxa"/>
            <w:shd w:val="clear" w:color="auto" w:fill="auto"/>
            <w:vAlign w:val="center"/>
          </w:tcPr>
          <w:p w14:paraId="2CA8E2BC">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 w:val="24"/>
                <w:highlight w:val="none"/>
                <w:lang w:bidi="ar"/>
              </w:rPr>
            </w:pPr>
            <w:r>
              <w:rPr>
                <w:rFonts w:hint="eastAsia" w:ascii="宋体" w:hAnsi="宋体" w:cs="宋体"/>
                <w:color w:val="auto"/>
                <w:kern w:val="0"/>
                <w:sz w:val="24"/>
                <w:highlight w:val="none"/>
                <w:lang w:bidi="ar"/>
              </w:rPr>
              <w:t>主观分</w:t>
            </w:r>
          </w:p>
        </w:tc>
        <w:tc>
          <w:tcPr>
            <w:tcW w:w="1294" w:type="dxa"/>
          </w:tcPr>
          <w:p w14:paraId="41F155CC">
            <w:pPr>
              <w:keepNext w:val="0"/>
              <w:keepLines w:val="0"/>
              <w:suppressLineNumbers w:val="0"/>
              <w:snapToGrid w:val="0"/>
              <w:spacing w:before="0" w:beforeAutospacing="0" w:after="0" w:afterAutospacing="0" w:line="360" w:lineRule="auto"/>
              <w:ind w:left="0" w:right="0"/>
              <w:jc w:val="center"/>
              <w:rPr>
                <w:rFonts w:hint="default" w:ascii="宋体" w:hAnsi="宋体" w:cs="宋体"/>
                <w:b/>
                <w:bCs/>
                <w:color w:val="auto"/>
                <w:sz w:val="24"/>
                <w:highlight w:val="none"/>
              </w:rPr>
            </w:pPr>
          </w:p>
        </w:tc>
      </w:tr>
      <w:tr w14:paraId="7DEAB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506" w:type="dxa"/>
            <w:vAlign w:val="center"/>
          </w:tcPr>
          <w:p w14:paraId="6E459136">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314" w:type="dxa"/>
            <w:shd w:val="clear" w:color="auto" w:fill="auto"/>
            <w:vAlign w:val="center"/>
          </w:tcPr>
          <w:p w14:paraId="1FC155B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应急预案及重难点分析</w:t>
            </w:r>
          </w:p>
        </w:tc>
        <w:tc>
          <w:tcPr>
            <w:tcW w:w="4911" w:type="dxa"/>
            <w:shd w:val="clear" w:color="auto" w:fill="auto"/>
          </w:tcPr>
          <w:p w14:paraId="14D145A7">
            <w:pPr>
              <w:keepNext w:val="0"/>
              <w:keepLines w:val="0"/>
              <w:suppressLineNumbers w:val="0"/>
              <w:spacing w:before="0" w:beforeAutospacing="0" w:after="0" w:afterAutospacing="0" w:line="360" w:lineRule="auto"/>
              <w:ind w:left="0" w:right="0"/>
              <w:rPr>
                <w:rFonts w:hint="eastAsia" w:ascii="宋体" w:hAnsi="宋体" w:cs="宋体"/>
                <w:color w:val="auto"/>
                <w:sz w:val="24"/>
                <w:highlight w:val="none"/>
              </w:rPr>
            </w:pPr>
            <w:r>
              <w:rPr>
                <w:rFonts w:hint="eastAsia" w:ascii="宋体" w:hAnsi="宋体" w:cs="宋体"/>
                <w:color w:val="auto"/>
                <w:sz w:val="24"/>
                <w:highlight w:val="none"/>
                <w:lang w:val="en-US" w:eastAsia="zh-CN"/>
              </w:rPr>
              <w:t>投标人具有明确的应急预案及对本项目的重难点进行分析：</w:t>
            </w:r>
            <w:r>
              <w:rPr>
                <w:rFonts w:hint="eastAsia" w:ascii="宋体" w:hAnsi="宋体" w:cs="宋体"/>
                <w:color w:val="auto"/>
                <w:sz w:val="24"/>
                <w:highlight w:val="none"/>
              </w:rPr>
              <w:t>①多系统集成后数据异常</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或遇到网络攻击、有害程序等网络安全事件，</w:t>
            </w:r>
            <w:r>
              <w:rPr>
                <w:rFonts w:hint="eastAsia" w:ascii="宋体" w:hAnsi="宋体" w:cs="宋体"/>
                <w:color w:val="auto"/>
                <w:sz w:val="24"/>
                <w:highlight w:val="none"/>
              </w:rPr>
              <w:t>②</w:t>
            </w:r>
            <w:r>
              <w:rPr>
                <w:rFonts w:hint="eastAsia" w:ascii="宋体" w:hAnsi="宋体" w:cs="宋体"/>
                <w:color w:val="auto"/>
                <w:sz w:val="24"/>
                <w:highlight w:val="none"/>
                <w:lang w:val="en-US" w:eastAsia="zh-CN"/>
              </w:rPr>
              <w:t>如遇到系统崩溃、断电</w:t>
            </w:r>
            <w:r>
              <w:rPr>
                <w:rFonts w:hint="eastAsia" w:ascii="宋体" w:hAnsi="宋体" w:eastAsia="宋体" w:cs="宋体"/>
                <w:color w:val="auto"/>
                <w:sz w:val="24"/>
                <w:highlight w:val="none"/>
                <w:lang w:val="en-US" w:eastAsia="zh-CN"/>
              </w:rPr>
              <w:t>断网等应急事件。每一项内容完整、措施有效、</w:t>
            </w:r>
            <w:r>
              <w:rPr>
                <w:rFonts w:hint="eastAsia" w:ascii="宋体" w:hAnsi="宋体" w:eastAsia="宋体" w:cs="宋体"/>
                <w:snapToGrid w:val="0"/>
                <w:color w:val="auto"/>
                <w:kern w:val="0"/>
                <w:sz w:val="24"/>
                <w:highlight w:val="none"/>
                <w:lang w:val="en-US" w:eastAsia="zh-CN"/>
              </w:rPr>
              <w:t>满足要求各</w:t>
            </w:r>
            <w:r>
              <w:rPr>
                <w:rFonts w:hint="eastAsia" w:ascii="宋体" w:hAnsi="宋体" w:eastAsia="宋体" w:cs="宋体"/>
                <w:color w:val="auto"/>
                <w:sz w:val="24"/>
                <w:highlight w:val="none"/>
                <w:lang w:val="en-US" w:eastAsia="zh-CN"/>
              </w:rPr>
              <w:t>得2分，内容虽然进行了阐述但并未完全贴合项目需求理解情况，或理解的内容未包括细节或有效措施，</w:t>
            </w:r>
            <w:r>
              <w:rPr>
                <w:rFonts w:hint="eastAsia" w:ascii="宋体" w:hAnsi="宋体" w:eastAsia="宋体" w:cs="宋体"/>
                <w:snapToGrid w:val="0"/>
                <w:color w:val="auto"/>
                <w:kern w:val="0"/>
                <w:sz w:val="24"/>
                <w:highlight w:val="none"/>
                <w:lang w:val="en-US" w:eastAsia="zh-CN"/>
              </w:rPr>
              <w:t>各</w:t>
            </w:r>
            <w:r>
              <w:rPr>
                <w:rFonts w:hint="eastAsia" w:ascii="宋体" w:hAnsi="宋体" w:eastAsia="宋体" w:cs="宋体"/>
                <w:color w:val="auto"/>
                <w:sz w:val="24"/>
                <w:highlight w:val="none"/>
                <w:lang w:val="en-US" w:eastAsia="zh-CN"/>
              </w:rPr>
              <w:t>得1分；未进行阐述或阐述内容无法满足项目需求的</w:t>
            </w:r>
            <w:r>
              <w:rPr>
                <w:rFonts w:hint="eastAsia" w:ascii="宋体" w:hAnsi="宋体" w:cs="宋体"/>
                <w:color w:val="auto"/>
                <w:sz w:val="24"/>
                <w:highlight w:val="none"/>
                <w:lang w:val="en-US" w:eastAsia="zh-CN"/>
              </w:rPr>
              <w:t>不得分</w:t>
            </w:r>
            <w:r>
              <w:rPr>
                <w:rFonts w:hint="eastAsia" w:ascii="宋体" w:hAnsi="宋体" w:eastAsia="宋体" w:cs="宋体"/>
                <w:color w:val="auto"/>
                <w:sz w:val="24"/>
                <w:highlight w:val="none"/>
                <w:lang w:val="en-US" w:eastAsia="zh-CN"/>
              </w:rPr>
              <w:t>。</w:t>
            </w:r>
            <w:r>
              <w:rPr>
                <w:rFonts w:hint="eastAsia" w:ascii="宋体" w:hAnsi="宋体" w:cs="宋体"/>
                <w:snapToGrid w:val="0"/>
                <w:color w:val="auto"/>
                <w:kern w:val="0"/>
                <w:sz w:val="24"/>
                <w:highlight w:val="none"/>
                <w:lang w:val="en-US" w:eastAsia="zh-CN"/>
              </w:rPr>
              <w:t>本项</w:t>
            </w:r>
            <w:r>
              <w:rPr>
                <w:rFonts w:hint="eastAsia" w:ascii="宋体" w:hAnsi="宋体" w:eastAsia="宋体" w:cs="宋体"/>
                <w:color w:val="auto"/>
                <w:sz w:val="24"/>
                <w:highlight w:val="none"/>
                <w:lang w:val="en-US" w:eastAsia="zh-CN"/>
              </w:rPr>
              <w:t>最高得4分。</w:t>
            </w:r>
          </w:p>
        </w:tc>
        <w:tc>
          <w:tcPr>
            <w:tcW w:w="669" w:type="dxa"/>
            <w:shd w:val="clear" w:color="auto" w:fill="auto"/>
            <w:vAlign w:val="center"/>
          </w:tcPr>
          <w:p w14:paraId="17A396A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780" w:type="dxa"/>
            <w:shd w:val="clear" w:color="auto" w:fill="auto"/>
            <w:vAlign w:val="center"/>
          </w:tcPr>
          <w:p w14:paraId="5D062DA1">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主观分</w:t>
            </w:r>
          </w:p>
        </w:tc>
        <w:tc>
          <w:tcPr>
            <w:tcW w:w="1294" w:type="dxa"/>
          </w:tcPr>
          <w:p w14:paraId="5B3C08F9">
            <w:pPr>
              <w:keepNext w:val="0"/>
              <w:keepLines w:val="0"/>
              <w:suppressLineNumbers w:val="0"/>
              <w:snapToGrid w:val="0"/>
              <w:spacing w:before="0" w:beforeAutospacing="0" w:after="0" w:afterAutospacing="0" w:line="360" w:lineRule="auto"/>
              <w:ind w:left="0" w:right="0"/>
              <w:jc w:val="center"/>
              <w:rPr>
                <w:rFonts w:hint="default" w:ascii="宋体" w:hAnsi="宋体" w:cs="宋体"/>
                <w:b/>
                <w:bCs/>
                <w:color w:val="auto"/>
                <w:sz w:val="24"/>
                <w:highlight w:val="none"/>
              </w:rPr>
            </w:pPr>
          </w:p>
        </w:tc>
      </w:tr>
      <w:tr w14:paraId="23EC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506" w:type="dxa"/>
            <w:vMerge w:val="restart"/>
            <w:vAlign w:val="center"/>
          </w:tcPr>
          <w:p w14:paraId="27415112">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314" w:type="dxa"/>
            <w:vMerge w:val="restart"/>
            <w:shd w:val="clear" w:color="auto" w:fill="auto"/>
            <w:vAlign w:val="center"/>
          </w:tcPr>
          <w:p w14:paraId="503A141B">
            <w:pPr>
              <w:keepNext w:val="0"/>
              <w:keepLines w:val="0"/>
              <w:suppressLineNumbers w:val="0"/>
              <w:spacing w:before="0" w:beforeAutospacing="0" w:after="0" w:afterAutospacing="0" w:line="360" w:lineRule="auto"/>
              <w:ind w:left="0" w:right="0"/>
              <w:rPr>
                <w:rFonts w:hint="eastAsia" w:ascii="宋体" w:hAnsi="宋体" w:cs="宋体"/>
                <w:color w:val="auto"/>
                <w:sz w:val="24"/>
                <w:highlight w:val="none"/>
              </w:rPr>
            </w:pPr>
            <w:r>
              <w:rPr>
                <w:rFonts w:hint="eastAsia" w:ascii="宋体" w:hAnsi="宋体" w:cs="宋体"/>
                <w:color w:val="auto"/>
                <w:sz w:val="24"/>
                <w:highlight w:val="none"/>
              </w:rPr>
              <w:t>演示</w:t>
            </w:r>
            <w:r>
              <w:rPr>
                <w:rFonts w:hint="eastAsia" w:ascii="宋体" w:hAnsi="宋体" w:cs="宋体"/>
                <w:color w:val="auto"/>
                <w:sz w:val="24"/>
                <w:highlight w:val="none"/>
                <w:lang w:eastAsia="zh-CN"/>
              </w:rPr>
              <w:t>（</w:t>
            </w:r>
            <w:r>
              <w:rPr>
                <w:rFonts w:hint="eastAsia" w:ascii="宋体" w:hAnsi="宋体" w:cs="宋体"/>
                <w:color w:val="auto"/>
                <w:sz w:val="24"/>
                <w:highlight w:val="none"/>
              </w:rPr>
              <w:t>演示说明：根据投标人</w:t>
            </w:r>
            <w:r>
              <w:rPr>
                <w:rFonts w:hint="eastAsia" w:ascii="宋体" w:hAnsi="宋体" w:cs="宋体"/>
                <w:color w:val="auto"/>
                <w:sz w:val="24"/>
                <w:highlight w:val="none"/>
                <w:lang w:val="en-US" w:eastAsia="zh-CN"/>
              </w:rPr>
              <w:t>针对本项目</w:t>
            </w:r>
            <w:r>
              <w:rPr>
                <w:rFonts w:hint="eastAsia" w:ascii="宋体" w:hAnsi="宋体" w:cs="宋体"/>
                <w:color w:val="auto"/>
                <w:sz w:val="24"/>
                <w:highlight w:val="none"/>
              </w:rPr>
              <w:t>演示系统与应用需求的贴合程度、详细程度和流畅程度进行打分。本项目演示内容必须为真实应用系统（或提前视频录制）。</w:t>
            </w:r>
          </w:p>
          <w:p w14:paraId="5FAA172A">
            <w:pPr>
              <w:keepNext w:val="0"/>
              <w:keepLines w:val="0"/>
              <w:suppressLineNumbers w:val="0"/>
              <w:spacing w:before="0" w:beforeAutospacing="0" w:after="0" w:afterAutospacing="0" w:line="360" w:lineRule="auto"/>
              <w:ind w:left="0" w:right="0"/>
              <w:rPr>
                <w:rFonts w:hint="eastAsia" w:ascii="宋体" w:hAnsi="宋体" w:cs="宋体"/>
                <w:color w:val="auto"/>
                <w:sz w:val="24"/>
                <w:highlight w:val="none"/>
              </w:rPr>
            </w:pPr>
            <w:r>
              <w:rPr>
                <w:rFonts w:hint="eastAsia" w:ascii="宋体" w:hAnsi="宋体" w:cs="宋体"/>
                <w:color w:val="auto"/>
                <w:sz w:val="24"/>
                <w:highlight w:val="none"/>
                <w:lang w:eastAsia="zh-CN"/>
              </w:rPr>
              <w:t>）</w:t>
            </w:r>
          </w:p>
          <w:p w14:paraId="5EE2DBBE">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4911" w:type="dxa"/>
            <w:shd w:val="clear" w:color="auto" w:fill="auto"/>
            <w:vAlign w:val="center"/>
          </w:tcPr>
          <w:p w14:paraId="7E1793AB">
            <w:pPr>
              <w:keepNext w:val="0"/>
              <w:keepLines w:val="0"/>
              <w:widowControl/>
              <w:numPr>
                <w:ilvl w:val="-1"/>
                <w:numId w:val="0"/>
              </w:numPr>
              <w:suppressLineNumbers w:val="0"/>
              <w:spacing w:before="0" w:beforeAutospacing="0" w:after="0" w:afterAutospacing="0" w:line="360" w:lineRule="auto"/>
              <w:ind w:left="0" w:right="0"/>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cs="宋体"/>
                <w:i w:val="0"/>
                <w:iCs w:val="0"/>
                <w:color w:val="auto"/>
                <w:kern w:val="2"/>
                <w:sz w:val="24"/>
                <w:szCs w:val="24"/>
                <w:highlight w:val="none"/>
                <w:u w:val="none"/>
                <w:lang w:val="en-US" w:eastAsia="zh-CN" w:bidi="ar"/>
              </w:rPr>
              <w:t>1、</w:t>
            </w:r>
            <w:r>
              <w:rPr>
                <w:rFonts w:hint="eastAsia" w:ascii="宋体" w:hAnsi="宋体" w:eastAsia="宋体" w:cs="宋体"/>
                <w:i w:val="0"/>
                <w:iCs w:val="0"/>
                <w:color w:val="auto"/>
                <w:kern w:val="2"/>
                <w:sz w:val="24"/>
                <w:szCs w:val="24"/>
                <w:highlight w:val="none"/>
                <w:u w:val="none"/>
                <w:lang w:val="en-US" w:eastAsia="zh-CN" w:bidi="ar"/>
              </w:rPr>
              <w:t>清运管理系统（</w:t>
            </w:r>
            <w:r>
              <w:rPr>
                <w:rFonts w:hint="eastAsia" w:ascii="宋体" w:hAnsi="宋体" w:cs="宋体"/>
                <w:i w:val="0"/>
                <w:iCs w:val="0"/>
                <w:color w:val="auto"/>
                <w:kern w:val="2"/>
                <w:sz w:val="24"/>
                <w:szCs w:val="24"/>
                <w:highlight w:val="none"/>
                <w:u w:val="none"/>
                <w:lang w:val="en-US" w:eastAsia="zh-CN" w:bidi="ar"/>
              </w:rPr>
              <w:t>5</w:t>
            </w:r>
            <w:r>
              <w:rPr>
                <w:rFonts w:hint="eastAsia" w:ascii="宋体" w:hAnsi="宋体" w:eastAsia="宋体" w:cs="宋体"/>
                <w:i w:val="0"/>
                <w:iCs w:val="0"/>
                <w:color w:val="auto"/>
                <w:kern w:val="2"/>
                <w:sz w:val="24"/>
                <w:szCs w:val="24"/>
                <w:highlight w:val="none"/>
                <w:u w:val="none"/>
                <w:lang w:val="en-US" w:eastAsia="zh-CN" w:bidi="ar"/>
              </w:rPr>
              <w:t>分）</w:t>
            </w:r>
          </w:p>
          <w:p w14:paraId="41BA9F04">
            <w:pPr>
              <w:keepNext w:val="0"/>
              <w:keepLines w:val="0"/>
              <w:widowControl/>
              <w:numPr>
                <w:ilvl w:val="0"/>
                <w:numId w:val="0"/>
              </w:numPr>
              <w:suppressLineNumbers w:val="0"/>
              <w:spacing w:before="0" w:beforeAutospacing="0" w:after="0" w:afterAutospacing="0" w:line="360" w:lineRule="auto"/>
              <w:ind w:left="0" w:right="0"/>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cs="宋体"/>
                <w:i w:val="0"/>
                <w:iCs w:val="0"/>
                <w:color w:val="auto"/>
                <w:kern w:val="2"/>
                <w:sz w:val="24"/>
                <w:szCs w:val="24"/>
                <w:highlight w:val="none"/>
                <w:u w:val="none"/>
                <w:lang w:val="en-US" w:eastAsia="zh-CN" w:bidi="ar"/>
              </w:rPr>
              <w:t>（1）</w:t>
            </w:r>
            <w:r>
              <w:rPr>
                <w:rFonts w:hint="eastAsia" w:ascii="宋体" w:hAnsi="宋体" w:eastAsia="宋体" w:cs="宋体"/>
                <w:i w:val="0"/>
                <w:caps w:val="0"/>
                <w:color w:val="auto"/>
                <w:spacing w:val="0"/>
                <w:sz w:val="24"/>
                <w:szCs w:val="24"/>
                <w:highlight w:val="none"/>
                <w:u w:val="none"/>
                <w:shd w:val="clear" w:fill="auto"/>
                <w:lang w:bidi="ar"/>
              </w:rPr>
              <w:t>依托 GIS 地图，实现全区生活垃圾收运车辆动态监管，支持车辆、站点、线路多维度查询。</w:t>
            </w:r>
            <w:r>
              <w:rPr>
                <w:rFonts w:hint="eastAsia" w:ascii="宋体" w:hAnsi="宋体" w:eastAsia="宋体" w:cs="宋体"/>
                <w:i w:val="0"/>
                <w:caps w:val="0"/>
                <w:color w:val="auto"/>
                <w:spacing w:val="0"/>
                <w:sz w:val="24"/>
                <w:szCs w:val="24"/>
                <w:highlight w:val="none"/>
                <w:u w:val="none"/>
                <w:shd w:val="clear" w:fill="auto"/>
                <w:lang w:val="en-US" w:eastAsia="zh-CN" w:bidi="ar"/>
              </w:rPr>
              <w:t>演示</w:t>
            </w:r>
            <w:r>
              <w:rPr>
                <w:rFonts w:hint="eastAsia" w:ascii="宋体" w:hAnsi="宋体" w:eastAsia="宋体" w:cs="宋体"/>
                <w:snapToGrid w:val="0"/>
                <w:color w:val="auto"/>
                <w:kern w:val="0"/>
                <w:sz w:val="24"/>
                <w:highlight w:val="none"/>
                <w:lang w:val="en-US" w:eastAsia="zh-CN"/>
              </w:rPr>
              <w:t>满足</w:t>
            </w:r>
            <w:r>
              <w:rPr>
                <w:rFonts w:hint="eastAsia" w:ascii="宋体" w:hAnsi="宋体" w:cs="宋体"/>
                <w:snapToGrid w:val="0"/>
                <w:color w:val="auto"/>
                <w:kern w:val="0"/>
                <w:sz w:val="24"/>
                <w:highlight w:val="none"/>
                <w:lang w:val="en-US" w:eastAsia="zh-CN"/>
              </w:rPr>
              <w:t>该</w:t>
            </w:r>
            <w:r>
              <w:rPr>
                <w:rFonts w:hint="eastAsia" w:ascii="宋体" w:hAnsi="宋体" w:eastAsia="宋体" w:cs="宋体"/>
                <w:snapToGrid w:val="0"/>
                <w:color w:val="auto"/>
                <w:kern w:val="0"/>
                <w:sz w:val="24"/>
                <w:highlight w:val="none"/>
                <w:lang w:val="en-US" w:eastAsia="zh-CN"/>
              </w:rPr>
              <w:t>内容</w:t>
            </w:r>
            <w:r>
              <w:rPr>
                <w:rFonts w:hint="eastAsia" w:ascii="宋体" w:hAnsi="宋体" w:eastAsia="宋体" w:cs="宋体"/>
                <w:i w:val="0"/>
                <w:caps w:val="0"/>
                <w:color w:val="auto"/>
                <w:spacing w:val="0"/>
                <w:sz w:val="24"/>
                <w:szCs w:val="24"/>
                <w:highlight w:val="none"/>
                <w:u w:val="none"/>
                <w:shd w:val="clear" w:fill="auto"/>
                <w:lang w:val="en-US" w:eastAsia="zh-CN" w:bidi="ar"/>
              </w:rPr>
              <w:t>得</w:t>
            </w:r>
            <w:r>
              <w:rPr>
                <w:rFonts w:hint="eastAsia" w:ascii="宋体" w:hAnsi="宋体" w:cs="宋体"/>
                <w:i w:val="0"/>
                <w:caps w:val="0"/>
                <w:color w:val="auto"/>
                <w:spacing w:val="0"/>
                <w:sz w:val="24"/>
                <w:szCs w:val="24"/>
                <w:highlight w:val="none"/>
                <w:u w:val="none"/>
                <w:shd w:val="clear" w:fill="auto"/>
                <w:lang w:val="en-US" w:eastAsia="zh-CN" w:bidi="ar"/>
              </w:rPr>
              <w:t>1</w:t>
            </w:r>
            <w:r>
              <w:rPr>
                <w:rFonts w:hint="eastAsia" w:ascii="宋体" w:hAnsi="宋体" w:eastAsia="宋体" w:cs="宋体"/>
                <w:i w:val="0"/>
                <w:caps w:val="0"/>
                <w:color w:val="auto"/>
                <w:spacing w:val="0"/>
                <w:sz w:val="24"/>
                <w:szCs w:val="24"/>
                <w:highlight w:val="none"/>
                <w:u w:val="none"/>
                <w:shd w:val="clear" w:fill="auto"/>
                <w:lang w:val="en-US" w:eastAsia="zh-CN" w:bidi="ar"/>
              </w:rPr>
              <w:t>分，不</w:t>
            </w:r>
            <w:r>
              <w:rPr>
                <w:rFonts w:hint="eastAsia" w:ascii="宋体" w:hAnsi="宋体" w:cs="宋体"/>
                <w:i w:val="0"/>
                <w:caps w:val="0"/>
                <w:color w:val="auto"/>
                <w:spacing w:val="0"/>
                <w:sz w:val="24"/>
                <w:szCs w:val="24"/>
                <w:highlight w:val="none"/>
                <w:u w:val="none"/>
                <w:shd w:val="clear" w:fill="auto"/>
                <w:lang w:val="en-US" w:eastAsia="zh-CN" w:bidi="ar"/>
              </w:rPr>
              <w:t>满足</w:t>
            </w:r>
            <w:r>
              <w:rPr>
                <w:rFonts w:hint="eastAsia" w:ascii="宋体" w:hAnsi="宋体" w:eastAsia="宋体" w:cs="宋体"/>
                <w:i w:val="0"/>
                <w:caps w:val="0"/>
                <w:color w:val="auto"/>
                <w:spacing w:val="0"/>
                <w:sz w:val="24"/>
                <w:szCs w:val="24"/>
                <w:highlight w:val="none"/>
                <w:u w:val="none"/>
                <w:shd w:val="clear" w:fill="auto"/>
                <w:lang w:val="en-US" w:eastAsia="zh-CN" w:bidi="ar"/>
              </w:rPr>
              <w:t>不得分。</w:t>
            </w:r>
          </w:p>
          <w:p w14:paraId="1B1609DE">
            <w:pPr>
              <w:keepNext w:val="0"/>
              <w:keepLines w:val="0"/>
              <w:widowControl/>
              <w:numPr>
                <w:ilvl w:val="0"/>
                <w:numId w:val="0"/>
              </w:numPr>
              <w:suppressLineNumbers w:val="0"/>
              <w:spacing w:before="0" w:beforeAutospacing="0" w:after="0" w:afterAutospacing="0" w:line="360" w:lineRule="auto"/>
              <w:ind w:left="0" w:right="0"/>
              <w:jc w:val="left"/>
              <w:textAlignment w:val="auto"/>
              <w:rPr>
                <w:rFonts w:hint="eastAsia" w:ascii="宋体" w:hAnsi="宋体" w:eastAsia="宋体" w:cs="宋体"/>
                <w:i w:val="0"/>
                <w:caps w:val="0"/>
                <w:color w:val="auto"/>
                <w:spacing w:val="0"/>
                <w:sz w:val="24"/>
                <w:szCs w:val="24"/>
                <w:highlight w:val="none"/>
                <w:u w:val="none"/>
                <w:shd w:val="clear" w:fill="auto"/>
                <w:lang w:val="en-US" w:eastAsia="zh-CN" w:bidi="ar"/>
              </w:rPr>
            </w:pPr>
            <w:r>
              <w:rPr>
                <w:rFonts w:hint="eastAsia" w:ascii="宋体" w:hAnsi="宋体" w:cs="宋体"/>
                <w:i w:val="0"/>
                <w:caps w:val="0"/>
                <w:color w:val="auto"/>
                <w:spacing w:val="0"/>
                <w:sz w:val="24"/>
                <w:szCs w:val="24"/>
                <w:highlight w:val="none"/>
                <w:u w:val="none"/>
                <w:shd w:val="clear"/>
                <w:lang w:val="en-US" w:eastAsia="zh-CN" w:bidi="ar"/>
              </w:rPr>
              <w:t>（2）</w:t>
            </w:r>
            <w:r>
              <w:rPr>
                <w:rFonts w:hint="eastAsia" w:ascii="宋体" w:hAnsi="宋体" w:eastAsia="宋体" w:cs="宋体"/>
                <w:i w:val="0"/>
                <w:caps w:val="0"/>
                <w:color w:val="auto"/>
                <w:spacing w:val="0"/>
                <w:sz w:val="24"/>
                <w:szCs w:val="24"/>
                <w:highlight w:val="none"/>
                <w:u w:val="none"/>
                <w:shd w:val="clear" w:fill="auto"/>
                <w:lang w:bidi="ar"/>
              </w:rPr>
              <w:t>系统实时记录清运数据，可按车辆或区域查询清运量，数据列表展示，支持多条件检索。</w:t>
            </w:r>
            <w:r>
              <w:rPr>
                <w:rFonts w:hint="eastAsia" w:ascii="宋体" w:hAnsi="宋体" w:eastAsia="宋体" w:cs="宋体"/>
                <w:i w:val="0"/>
                <w:caps w:val="0"/>
                <w:color w:val="auto"/>
                <w:spacing w:val="0"/>
                <w:sz w:val="24"/>
                <w:szCs w:val="24"/>
                <w:highlight w:val="none"/>
                <w:u w:val="none"/>
                <w:shd w:val="clear" w:fill="auto"/>
                <w:lang w:val="en-US" w:eastAsia="zh-CN" w:bidi="ar"/>
              </w:rPr>
              <w:t>演示</w:t>
            </w:r>
            <w:r>
              <w:rPr>
                <w:rFonts w:hint="eastAsia" w:ascii="宋体" w:hAnsi="宋体" w:eastAsia="宋体" w:cs="宋体"/>
                <w:snapToGrid w:val="0"/>
                <w:color w:val="auto"/>
                <w:kern w:val="0"/>
                <w:sz w:val="24"/>
                <w:highlight w:val="none"/>
                <w:lang w:val="en-US" w:eastAsia="zh-CN"/>
              </w:rPr>
              <w:t>满足</w:t>
            </w:r>
            <w:r>
              <w:rPr>
                <w:rFonts w:hint="eastAsia" w:ascii="宋体" w:hAnsi="宋体" w:cs="宋体"/>
                <w:snapToGrid w:val="0"/>
                <w:color w:val="auto"/>
                <w:kern w:val="0"/>
                <w:sz w:val="24"/>
                <w:highlight w:val="none"/>
                <w:lang w:val="en-US" w:eastAsia="zh-CN"/>
              </w:rPr>
              <w:t>该</w:t>
            </w:r>
            <w:r>
              <w:rPr>
                <w:rFonts w:hint="eastAsia" w:ascii="宋体" w:hAnsi="宋体" w:eastAsia="宋体" w:cs="宋体"/>
                <w:snapToGrid w:val="0"/>
                <w:color w:val="auto"/>
                <w:kern w:val="0"/>
                <w:sz w:val="24"/>
                <w:highlight w:val="none"/>
                <w:lang w:val="en-US" w:eastAsia="zh-CN"/>
              </w:rPr>
              <w:t>内容</w:t>
            </w:r>
            <w:r>
              <w:rPr>
                <w:rFonts w:hint="eastAsia" w:ascii="宋体" w:hAnsi="宋体" w:eastAsia="宋体" w:cs="宋体"/>
                <w:i w:val="0"/>
                <w:caps w:val="0"/>
                <w:color w:val="auto"/>
                <w:spacing w:val="0"/>
                <w:sz w:val="24"/>
                <w:szCs w:val="24"/>
                <w:highlight w:val="none"/>
                <w:u w:val="none"/>
                <w:shd w:val="clear" w:fill="auto"/>
                <w:lang w:val="en-US" w:eastAsia="zh-CN" w:bidi="ar"/>
              </w:rPr>
              <w:t>得</w:t>
            </w:r>
            <w:r>
              <w:rPr>
                <w:rFonts w:hint="eastAsia" w:ascii="宋体" w:hAnsi="宋体" w:cs="宋体"/>
                <w:i w:val="0"/>
                <w:caps w:val="0"/>
                <w:color w:val="auto"/>
                <w:spacing w:val="0"/>
                <w:sz w:val="24"/>
                <w:szCs w:val="24"/>
                <w:highlight w:val="none"/>
                <w:u w:val="none"/>
                <w:shd w:val="clear" w:fill="auto"/>
                <w:lang w:val="en-US" w:eastAsia="zh-CN" w:bidi="ar"/>
              </w:rPr>
              <w:t>2</w:t>
            </w:r>
            <w:r>
              <w:rPr>
                <w:rFonts w:hint="eastAsia" w:ascii="宋体" w:hAnsi="宋体" w:eastAsia="宋体" w:cs="宋体"/>
                <w:i w:val="0"/>
                <w:caps w:val="0"/>
                <w:color w:val="auto"/>
                <w:spacing w:val="0"/>
                <w:sz w:val="24"/>
                <w:szCs w:val="24"/>
                <w:highlight w:val="none"/>
                <w:u w:val="none"/>
                <w:shd w:val="clear" w:fill="auto"/>
                <w:lang w:val="en-US" w:eastAsia="zh-CN" w:bidi="ar"/>
              </w:rPr>
              <w:t>分，不</w:t>
            </w:r>
            <w:r>
              <w:rPr>
                <w:rFonts w:hint="eastAsia" w:ascii="宋体" w:hAnsi="宋体" w:cs="宋体"/>
                <w:i w:val="0"/>
                <w:caps w:val="0"/>
                <w:color w:val="auto"/>
                <w:spacing w:val="0"/>
                <w:sz w:val="24"/>
                <w:szCs w:val="24"/>
                <w:highlight w:val="none"/>
                <w:u w:val="none"/>
                <w:shd w:val="clear" w:fill="auto"/>
                <w:lang w:val="en-US" w:eastAsia="zh-CN" w:bidi="ar"/>
              </w:rPr>
              <w:t>满足</w:t>
            </w:r>
            <w:r>
              <w:rPr>
                <w:rFonts w:hint="eastAsia" w:ascii="宋体" w:hAnsi="宋体" w:eastAsia="宋体" w:cs="宋体"/>
                <w:i w:val="0"/>
                <w:caps w:val="0"/>
                <w:color w:val="auto"/>
                <w:spacing w:val="0"/>
                <w:sz w:val="24"/>
                <w:szCs w:val="24"/>
                <w:highlight w:val="none"/>
                <w:u w:val="none"/>
                <w:shd w:val="clear" w:fill="auto"/>
                <w:lang w:val="en-US" w:eastAsia="zh-CN" w:bidi="ar"/>
              </w:rPr>
              <w:t>不得分。</w:t>
            </w:r>
          </w:p>
          <w:p w14:paraId="381A4A9F">
            <w:pPr>
              <w:keepNext w:val="0"/>
              <w:keepLines w:val="0"/>
              <w:widowControl/>
              <w:numPr>
                <w:ilvl w:val="0"/>
                <w:numId w:val="0"/>
              </w:numPr>
              <w:suppressLineNumbers w:val="0"/>
              <w:spacing w:before="0" w:beforeAutospacing="0" w:after="0" w:afterAutospacing="0" w:line="360" w:lineRule="auto"/>
              <w:ind w:left="0" w:right="0"/>
              <w:jc w:val="left"/>
              <w:textAlignment w:val="auto"/>
              <w:rPr>
                <w:rFonts w:hint="eastAsia" w:ascii="宋体" w:hAnsi="宋体" w:eastAsia="宋体" w:cs="宋体"/>
                <w:i w:val="0"/>
                <w:caps w:val="0"/>
                <w:color w:val="auto"/>
                <w:spacing w:val="0"/>
                <w:sz w:val="24"/>
                <w:szCs w:val="24"/>
                <w:highlight w:val="none"/>
                <w:u w:val="none"/>
                <w:shd w:val="clear" w:fill="auto"/>
                <w:lang w:val="en-US" w:eastAsia="zh-CN" w:bidi="ar"/>
              </w:rPr>
            </w:pPr>
            <w:r>
              <w:rPr>
                <w:rFonts w:hint="eastAsia" w:ascii="宋体" w:hAnsi="宋体" w:cs="宋体"/>
                <w:i w:val="0"/>
                <w:caps w:val="0"/>
                <w:color w:val="auto"/>
                <w:spacing w:val="0"/>
                <w:sz w:val="24"/>
                <w:szCs w:val="24"/>
                <w:highlight w:val="none"/>
                <w:u w:val="none"/>
                <w:shd w:val="clear" w:fill="auto"/>
                <w:lang w:val="en-US" w:eastAsia="zh-CN" w:bidi="ar"/>
              </w:rPr>
              <w:t>（3）</w:t>
            </w:r>
            <w:r>
              <w:rPr>
                <w:rFonts w:hint="eastAsia" w:ascii="宋体" w:hAnsi="宋体" w:eastAsia="宋体" w:cs="宋体"/>
                <w:i w:val="0"/>
                <w:caps w:val="0"/>
                <w:color w:val="auto"/>
                <w:spacing w:val="0"/>
                <w:sz w:val="24"/>
                <w:szCs w:val="24"/>
                <w:highlight w:val="none"/>
                <w:u w:val="none"/>
                <w:shd w:val="clear" w:fill="auto"/>
                <w:lang w:bidi="ar"/>
              </w:rPr>
              <w:t>系统支持车辆、企业、人员、区域四大类基础信息管理，提升监管效率。</w:t>
            </w:r>
            <w:r>
              <w:rPr>
                <w:rFonts w:hint="eastAsia" w:ascii="宋体" w:hAnsi="宋体" w:eastAsia="宋体" w:cs="宋体"/>
                <w:i w:val="0"/>
                <w:caps w:val="0"/>
                <w:color w:val="auto"/>
                <w:spacing w:val="0"/>
                <w:sz w:val="24"/>
                <w:szCs w:val="24"/>
                <w:highlight w:val="none"/>
                <w:u w:val="none"/>
                <w:shd w:val="clear" w:fill="auto"/>
                <w:lang w:val="en-US" w:eastAsia="zh-CN" w:bidi="ar"/>
              </w:rPr>
              <w:t>演示</w:t>
            </w:r>
            <w:r>
              <w:rPr>
                <w:rFonts w:hint="eastAsia" w:ascii="宋体" w:hAnsi="宋体" w:eastAsia="宋体" w:cs="宋体"/>
                <w:snapToGrid w:val="0"/>
                <w:color w:val="auto"/>
                <w:kern w:val="0"/>
                <w:sz w:val="24"/>
                <w:highlight w:val="none"/>
                <w:lang w:val="en-US" w:eastAsia="zh-CN"/>
              </w:rPr>
              <w:t>满足</w:t>
            </w:r>
            <w:r>
              <w:rPr>
                <w:rFonts w:hint="eastAsia" w:ascii="宋体" w:hAnsi="宋体" w:cs="宋体"/>
                <w:snapToGrid w:val="0"/>
                <w:color w:val="auto"/>
                <w:kern w:val="0"/>
                <w:sz w:val="24"/>
                <w:highlight w:val="none"/>
                <w:lang w:val="en-US" w:eastAsia="zh-CN"/>
              </w:rPr>
              <w:t>该</w:t>
            </w:r>
            <w:r>
              <w:rPr>
                <w:rFonts w:hint="eastAsia" w:ascii="宋体" w:hAnsi="宋体" w:eastAsia="宋体" w:cs="宋体"/>
                <w:snapToGrid w:val="0"/>
                <w:color w:val="auto"/>
                <w:kern w:val="0"/>
                <w:sz w:val="24"/>
                <w:highlight w:val="none"/>
                <w:lang w:val="en-US" w:eastAsia="zh-CN"/>
              </w:rPr>
              <w:t>内容</w:t>
            </w:r>
            <w:r>
              <w:rPr>
                <w:rFonts w:hint="eastAsia" w:ascii="宋体" w:hAnsi="宋体" w:eastAsia="宋体" w:cs="宋体"/>
                <w:i w:val="0"/>
                <w:caps w:val="0"/>
                <w:color w:val="auto"/>
                <w:spacing w:val="0"/>
                <w:sz w:val="24"/>
                <w:szCs w:val="24"/>
                <w:highlight w:val="none"/>
                <w:u w:val="none"/>
                <w:shd w:val="clear" w:fill="auto"/>
                <w:lang w:val="en-US" w:eastAsia="zh-CN" w:bidi="ar"/>
              </w:rPr>
              <w:t>得</w:t>
            </w:r>
            <w:r>
              <w:rPr>
                <w:rFonts w:hint="eastAsia" w:ascii="宋体" w:hAnsi="宋体" w:cs="宋体"/>
                <w:i w:val="0"/>
                <w:caps w:val="0"/>
                <w:color w:val="auto"/>
                <w:spacing w:val="0"/>
                <w:sz w:val="24"/>
                <w:szCs w:val="24"/>
                <w:highlight w:val="none"/>
                <w:u w:val="none"/>
                <w:shd w:val="clear" w:fill="auto"/>
                <w:lang w:val="en-US" w:eastAsia="zh-CN" w:bidi="ar"/>
              </w:rPr>
              <w:t>2</w:t>
            </w:r>
            <w:r>
              <w:rPr>
                <w:rFonts w:hint="eastAsia" w:ascii="宋体" w:hAnsi="宋体" w:eastAsia="宋体" w:cs="宋体"/>
                <w:i w:val="0"/>
                <w:caps w:val="0"/>
                <w:color w:val="auto"/>
                <w:spacing w:val="0"/>
                <w:sz w:val="24"/>
                <w:szCs w:val="24"/>
                <w:highlight w:val="none"/>
                <w:u w:val="none"/>
                <w:shd w:val="clear" w:fill="auto"/>
                <w:lang w:val="en-US" w:eastAsia="zh-CN" w:bidi="ar"/>
              </w:rPr>
              <w:t>分，不</w:t>
            </w:r>
            <w:r>
              <w:rPr>
                <w:rFonts w:hint="eastAsia" w:ascii="宋体" w:hAnsi="宋体" w:cs="宋体"/>
                <w:i w:val="0"/>
                <w:caps w:val="0"/>
                <w:color w:val="auto"/>
                <w:spacing w:val="0"/>
                <w:sz w:val="24"/>
                <w:szCs w:val="24"/>
                <w:highlight w:val="none"/>
                <w:u w:val="none"/>
                <w:shd w:val="clear" w:fill="auto"/>
                <w:lang w:val="en-US" w:eastAsia="zh-CN" w:bidi="ar"/>
              </w:rPr>
              <w:t>满足</w:t>
            </w:r>
            <w:r>
              <w:rPr>
                <w:rFonts w:hint="eastAsia" w:ascii="宋体" w:hAnsi="宋体" w:eastAsia="宋体" w:cs="宋体"/>
                <w:i w:val="0"/>
                <w:caps w:val="0"/>
                <w:color w:val="auto"/>
                <w:spacing w:val="0"/>
                <w:sz w:val="24"/>
                <w:szCs w:val="24"/>
                <w:highlight w:val="none"/>
                <w:u w:val="none"/>
                <w:shd w:val="clear" w:fill="auto"/>
                <w:lang w:val="en-US" w:eastAsia="zh-CN" w:bidi="ar"/>
              </w:rPr>
              <w:t>不得分。</w:t>
            </w:r>
          </w:p>
          <w:p w14:paraId="2493578B">
            <w:pPr>
              <w:keepNext w:val="0"/>
              <w:keepLines w:val="0"/>
              <w:widowControl/>
              <w:numPr>
                <w:ilvl w:val="0"/>
                <w:numId w:val="0"/>
              </w:numPr>
              <w:suppressLineNumbers w:val="0"/>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auto"/>
                <w:sz w:val="24"/>
                <w:highlight w:val="none"/>
                <w:lang w:val="en-US" w:eastAsia="zh-CN"/>
              </w:rPr>
              <w:t>本项</w:t>
            </w:r>
            <w:r>
              <w:rPr>
                <w:rFonts w:hint="eastAsia" w:ascii="宋体" w:hAnsi="宋体" w:eastAsia="宋体" w:cs="宋体"/>
                <w:color w:val="auto"/>
                <w:sz w:val="24"/>
                <w:highlight w:val="none"/>
                <w:lang w:val="en-US" w:eastAsia="zh-CN"/>
              </w:rPr>
              <w:t>最高</w:t>
            </w:r>
            <w:r>
              <w:rPr>
                <w:rFonts w:hint="eastAsia" w:ascii="宋体" w:hAnsi="宋体" w:cs="宋体"/>
                <w:color w:val="auto"/>
                <w:sz w:val="24"/>
                <w:highlight w:val="none"/>
                <w:lang w:val="en-US" w:eastAsia="zh-CN"/>
              </w:rPr>
              <w:t>分得</w:t>
            </w:r>
            <w:r>
              <w:rPr>
                <w:rFonts w:hint="eastAsia" w:ascii="宋体" w:hAnsi="宋体" w:eastAsia="宋体" w:cs="宋体"/>
                <w:color w:val="auto"/>
                <w:sz w:val="24"/>
                <w:highlight w:val="none"/>
                <w:lang w:val="en-US" w:eastAsia="zh-CN"/>
              </w:rPr>
              <w:t>5分。</w:t>
            </w:r>
          </w:p>
        </w:tc>
        <w:tc>
          <w:tcPr>
            <w:tcW w:w="669" w:type="dxa"/>
            <w:vAlign w:val="center"/>
          </w:tcPr>
          <w:p w14:paraId="4080DE7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780" w:type="dxa"/>
            <w:vAlign w:val="center"/>
          </w:tcPr>
          <w:p w14:paraId="07E40CA2">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主</w:t>
            </w:r>
            <w:r>
              <w:rPr>
                <w:rFonts w:hint="eastAsia" w:ascii="宋体" w:hAnsi="宋体" w:cs="宋体"/>
                <w:color w:val="auto"/>
                <w:kern w:val="0"/>
                <w:sz w:val="24"/>
                <w:highlight w:val="none"/>
                <w:lang w:bidi="ar"/>
              </w:rPr>
              <w:t>观分</w:t>
            </w:r>
          </w:p>
        </w:tc>
        <w:tc>
          <w:tcPr>
            <w:tcW w:w="1294" w:type="dxa"/>
          </w:tcPr>
          <w:p w14:paraId="61A09BFE">
            <w:pPr>
              <w:keepNext w:val="0"/>
              <w:keepLines w:val="0"/>
              <w:suppressLineNumbers w:val="0"/>
              <w:snapToGrid w:val="0"/>
              <w:spacing w:before="0" w:beforeAutospacing="0" w:after="0" w:afterAutospacing="0" w:line="360" w:lineRule="auto"/>
              <w:ind w:left="0" w:right="0"/>
              <w:jc w:val="center"/>
              <w:rPr>
                <w:rFonts w:hint="default" w:ascii="宋体" w:hAnsi="宋体" w:cs="宋体"/>
                <w:b/>
                <w:bCs/>
                <w:color w:val="auto"/>
                <w:sz w:val="24"/>
                <w:highlight w:val="none"/>
              </w:rPr>
            </w:pPr>
          </w:p>
          <w:p w14:paraId="3BF79B76">
            <w:pPr>
              <w:pStyle w:val="2"/>
              <w:keepNext w:val="0"/>
              <w:keepLines w:val="0"/>
              <w:suppressLineNumbers w:val="0"/>
              <w:spacing w:before="0" w:beforeAutospacing="0" w:after="0" w:afterAutospacing="0"/>
              <w:ind w:left="0" w:right="0"/>
              <w:rPr>
                <w:rFonts w:hint="default" w:ascii="宋体" w:hAnsi="宋体" w:cs="宋体"/>
                <w:b/>
                <w:bCs/>
                <w:color w:val="auto"/>
                <w:sz w:val="24"/>
                <w:highlight w:val="none"/>
              </w:rPr>
            </w:pPr>
          </w:p>
          <w:p w14:paraId="283FB504">
            <w:pPr>
              <w:pStyle w:val="2"/>
              <w:keepNext w:val="0"/>
              <w:keepLines w:val="0"/>
              <w:suppressLineNumbers w:val="0"/>
              <w:spacing w:before="0" w:beforeAutospacing="0" w:after="0" w:afterAutospacing="0"/>
              <w:ind w:left="0" w:right="0"/>
              <w:rPr>
                <w:rFonts w:hint="default" w:ascii="宋体" w:hAnsi="宋体" w:cs="宋体"/>
                <w:b/>
                <w:bCs/>
                <w:color w:val="auto"/>
                <w:sz w:val="24"/>
                <w:highlight w:val="none"/>
              </w:rPr>
            </w:pPr>
          </w:p>
        </w:tc>
      </w:tr>
      <w:tr w14:paraId="2E8B2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06" w:type="dxa"/>
            <w:vMerge w:val="continue"/>
            <w:vAlign w:val="center"/>
          </w:tcPr>
          <w:p w14:paraId="2292D854">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highlight w:val="none"/>
              </w:rPr>
            </w:pPr>
          </w:p>
        </w:tc>
        <w:tc>
          <w:tcPr>
            <w:tcW w:w="1314" w:type="dxa"/>
            <w:vMerge w:val="continue"/>
            <w:shd w:val="clear" w:color="auto" w:fill="auto"/>
            <w:vAlign w:val="center"/>
          </w:tcPr>
          <w:p w14:paraId="0D75D911">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4911" w:type="dxa"/>
            <w:shd w:val="clear" w:color="auto" w:fill="auto"/>
            <w:vAlign w:val="center"/>
          </w:tcPr>
          <w:p w14:paraId="5C59B9A8">
            <w:pPr>
              <w:keepNext w:val="0"/>
              <w:keepLines w:val="0"/>
              <w:widowControl/>
              <w:numPr>
                <w:ilvl w:val="-1"/>
                <w:numId w:val="0"/>
              </w:numPr>
              <w:suppressLineNumbers w:val="0"/>
              <w:spacing w:before="0" w:beforeAutospacing="0" w:after="0" w:afterAutospacing="0" w:line="360" w:lineRule="auto"/>
              <w:ind w:left="0" w:right="0"/>
              <w:jc w:val="left"/>
              <w:textAlignment w:val="auto"/>
              <w:rPr>
                <w:rFonts w:hint="default" w:ascii="宋体" w:hAnsi="宋体" w:eastAsia="宋体" w:cs="宋体"/>
                <w:i w:val="0"/>
                <w:iCs w:val="0"/>
                <w:color w:val="auto"/>
                <w:kern w:val="2"/>
                <w:sz w:val="24"/>
                <w:szCs w:val="24"/>
                <w:highlight w:val="none"/>
                <w:u w:val="none"/>
                <w:lang w:val="en-US" w:eastAsia="zh-CN" w:bidi="ar"/>
              </w:rPr>
            </w:pPr>
            <w:r>
              <w:rPr>
                <w:rFonts w:hint="eastAsia" w:ascii="宋体" w:hAnsi="宋体" w:cs="宋体"/>
                <w:i w:val="0"/>
                <w:iCs w:val="0"/>
                <w:color w:val="auto"/>
                <w:kern w:val="2"/>
                <w:sz w:val="24"/>
                <w:szCs w:val="24"/>
                <w:highlight w:val="none"/>
                <w:u w:val="none"/>
                <w:lang w:val="en-US" w:eastAsia="zh-CN" w:bidi="ar"/>
              </w:rPr>
              <w:t>2、</w:t>
            </w:r>
            <w:r>
              <w:rPr>
                <w:rFonts w:hint="eastAsia" w:ascii="宋体" w:hAnsi="宋体" w:eastAsia="宋体" w:cs="宋体"/>
                <w:i w:val="0"/>
                <w:iCs w:val="0"/>
                <w:color w:val="auto"/>
                <w:kern w:val="2"/>
                <w:sz w:val="24"/>
                <w:szCs w:val="24"/>
                <w:highlight w:val="none"/>
                <w:u w:val="none"/>
                <w:lang w:val="en-US" w:eastAsia="zh-CN" w:bidi="ar"/>
              </w:rPr>
              <w:t>智慧河道系统（</w:t>
            </w:r>
            <w:r>
              <w:rPr>
                <w:rFonts w:hint="eastAsia" w:ascii="宋体" w:hAnsi="宋体" w:cs="宋体"/>
                <w:i w:val="0"/>
                <w:iCs w:val="0"/>
                <w:color w:val="auto"/>
                <w:kern w:val="2"/>
                <w:sz w:val="24"/>
                <w:szCs w:val="24"/>
                <w:highlight w:val="none"/>
                <w:u w:val="none"/>
                <w:lang w:val="en-US" w:eastAsia="zh-CN" w:bidi="ar"/>
              </w:rPr>
              <w:t>5</w:t>
            </w:r>
            <w:r>
              <w:rPr>
                <w:rFonts w:hint="eastAsia" w:ascii="宋体" w:hAnsi="宋体" w:eastAsia="宋体" w:cs="宋体"/>
                <w:i w:val="0"/>
                <w:iCs w:val="0"/>
                <w:color w:val="auto"/>
                <w:kern w:val="2"/>
                <w:sz w:val="24"/>
                <w:szCs w:val="24"/>
                <w:highlight w:val="none"/>
                <w:u w:val="none"/>
                <w:lang w:val="en-US" w:eastAsia="zh-CN" w:bidi="ar"/>
              </w:rPr>
              <w:t>分）</w:t>
            </w:r>
          </w:p>
          <w:p w14:paraId="13715BBB">
            <w:pPr>
              <w:keepNext w:val="0"/>
              <w:keepLines w:val="0"/>
              <w:widowControl/>
              <w:numPr>
                <w:ilvl w:val="-1"/>
                <w:numId w:val="0"/>
              </w:numPr>
              <w:suppressLineNumbers w:val="0"/>
              <w:spacing w:before="0" w:beforeAutospacing="0" w:after="0" w:afterAutospacing="0" w:line="360" w:lineRule="auto"/>
              <w:ind w:left="0" w:right="0"/>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cs="宋体"/>
                <w:i w:val="0"/>
                <w:iCs w:val="0"/>
                <w:color w:val="auto"/>
                <w:kern w:val="2"/>
                <w:sz w:val="24"/>
                <w:szCs w:val="24"/>
                <w:highlight w:val="none"/>
                <w:u w:val="none"/>
                <w:lang w:val="en-US" w:eastAsia="zh-CN" w:bidi="ar"/>
              </w:rPr>
              <w:t>（1）</w:t>
            </w:r>
            <w:r>
              <w:rPr>
                <w:rFonts w:hint="eastAsia" w:ascii="宋体" w:hAnsi="宋体" w:eastAsia="宋体" w:cs="宋体"/>
                <w:i w:val="0"/>
                <w:iCs w:val="0"/>
                <w:color w:val="auto"/>
                <w:kern w:val="2"/>
                <w:sz w:val="24"/>
                <w:szCs w:val="24"/>
                <w:highlight w:val="none"/>
                <w:u w:val="none"/>
                <w:lang w:val="en-US" w:eastAsia="zh-CN" w:bidi="ar"/>
              </w:rPr>
              <w:t>闸泵站基本信息：以GIS地图展示各闸泵站点位，点击可查看闸泵站基本信息。</w:t>
            </w:r>
            <w:r>
              <w:rPr>
                <w:rFonts w:hint="eastAsia" w:ascii="宋体" w:hAnsi="宋体" w:eastAsia="宋体" w:cs="宋体"/>
                <w:i w:val="0"/>
                <w:caps w:val="0"/>
                <w:color w:val="auto"/>
                <w:spacing w:val="0"/>
                <w:sz w:val="24"/>
                <w:szCs w:val="24"/>
                <w:highlight w:val="none"/>
                <w:u w:val="none"/>
                <w:shd w:val="clear" w:fill="auto"/>
                <w:lang w:val="en-US" w:eastAsia="zh-CN" w:bidi="ar"/>
              </w:rPr>
              <w:t>演示</w:t>
            </w:r>
            <w:r>
              <w:rPr>
                <w:rFonts w:hint="eastAsia" w:ascii="宋体" w:hAnsi="宋体" w:eastAsia="宋体" w:cs="宋体"/>
                <w:snapToGrid w:val="0"/>
                <w:color w:val="auto"/>
                <w:kern w:val="0"/>
                <w:sz w:val="24"/>
                <w:highlight w:val="none"/>
                <w:lang w:val="en-US" w:eastAsia="zh-CN"/>
              </w:rPr>
              <w:t>满足</w:t>
            </w:r>
            <w:r>
              <w:rPr>
                <w:rFonts w:hint="eastAsia" w:ascii="宋体" w:hAnsi="宋体" w:cs="宋体"/>
                <w:snapToGrid w:val="0"/>
                <w:color w:val="auto"/>
                <w:kern w:val="0"/>
                <w:sz w:val="24"/>
                <w:highlight w:val="none"/>
                <w:lang w:val="en-US" w:eastAsia="zh-CN"/>
              </w:rPr>
              <w:t>该</w:t>
            </w:r>
            <w:r>
              <w:rPr>
                <w:rFonts w:hint="eastAsia" w:ascii="宋体" w:hAnsi="宋体" w:eastAsia="宋体" w:cs="宋体"/>
                <w:snapToGrid w:val="0"/>
                <w:color w:val="auto"/>
                <w:kern w:val="0"/>
                <w:sz w:val="24"/>
                <w:highlight w:val="none"/>
                <w:lang w:val="en-US" w:eastAsia="zh-CN"/>
              </w:rPr>
              <w:t>内容</w:t>
            </w:r>
            <w:r>
              <w:rPr>
                <w:rFonts w:hint="eastAsia" w:ascii="宋体" w:hAnsi="宋体" w:eastAsia="宋体" w:cs="宋体"/>
                <w:i w:val="0"/>
                <w:caps w:val="0"/>
                <w:color w:val="auto"/>
                <w:spacing w:val="0"/>
                <w:sz w:val="24"/>
                <w:szCs w:val="24"/>
                <w:highlight w:val="none"/>
                <w:u w:val="none"/>
                <w:shd w:val="clear" w:fill="auto"/>
                <w:lang w:val="en-US" w:eastAsia="zh-CN" w:bidi="ar"/>
              </w:rPr>
              <w:t>得</w:t>
            </w:r>
            <w:r>
              <w:rPr>
                <w:rFonts w:hint="eastAsia" w:ascii="宋体" w:hAnsi="宋体" w:cs="宋体"/>
                <w:i w:val="0"/>
                <w:caps w:val="0"/>
                <w:color w:val="auto"/>
                <w:spacing w:val="0"/>
                <w:sz w:val="24"/>
                <w:szCs w:val="24"/>
                <w:highlight w:val="none"/>
                <w:u w:val="none"/>
                <w:shd w:val="clear" w:fill="auto"/>
                <w:lang w:val="en-US" w:eastAsia="zh-CN" w:bidi="ar"/>
              </w:rPr>
              <w:t>1</w:t>
            </w:r>
            <w:r>
              <w:rPr>
                <w:rFonts w:hint="eastAsia" w:ascii="宋体" w:hAnsi="宋体" w:eastAsia="宋体" w:cs="宋体"/>
                <w:i w:val="0"/>
                <w:caps w:val="0"/>
                <w:color w:val="auto"/>
                <w:spacing w:val="0"/>
                <w:sz w:val="24"/>
                <w:szCs w:val="24"/>
                <w:highlight w:val="none"/>
                <w:u w:val="none"/>
                <w:shd w:val="clear" w:fill="auto"/>
                <w:lang w:val="en-US" w:eastAsia="zh-CN" w:bidi="ar"/>
              </w:rPr>
              <w:t>分，不</w:t>
            </w:r>
            <w:r>
              <w:rPr>
                <w:rFonts w:hint="eastAsia" w:ascii="宋体" w:hAnsi="宋体" w:cs="宋体"/>
                <w:i w:val="0"/>
                <w:caps w:val="0"/>
                <w:color w:val="auto"/>
                <w:spacing w:val="0"/>
                <w:sz w:val="24"/>
                <w:szCs w:val="24"/>
                <w:highlight w:val="none"/>
                <w:u w:val="none"/>
                <w:shd w:val="clear" w:fill="auto"/>
                <w:lang w:val="en-US" w:eastAsia="zh-CN" w:bidi="ar"/>
              </w:rPr>
              <w:t>满足</w:t>
            </w:r>
            <w:r>
              <w:rPr>
                <w:rFonts w:hint="eastAsia" w:ascii="宋体" w:hAnsi="宋体" w:eastAsia="宋体" w:cs="宋体"/>
                <w:i w:val="0"/>
                <w:caps w:val="0"/>
                <w:color w:val="auto"/>
                <w:spacing w:val="0"/>
                <w:sz w:val="24"/>
                <w:szCs w:val="24"/>
                <w:highlight w:val="none"/>
                <w:u w:val="none"/>
                <w:shd w:val="clear" w:fill="auto"/>
                <w:lang w:val="en-US" w:eastAsia="zh-CN" w:bidi="ar"/>
              </w:rPr>
              <w:t>不得分。</w:t>
            </w:r>
          </w:p>
          <w:p w14:paraId="1B34ACFC">
            <w:pPr>
              <w:keepNext w:val="0"/>
              <w:keepLines w:val="0"/>
              <w:widowControl/>
              <w:suppressLineNumbers w:val="0"/>
              <w:spacing w:before="0" w:beforeAutospacing="0" w:after="0" w:afterAutospacing="0" w:line="360" w:lineRule="auto"/>
              <w:ind w:left="0" w:right="0"/>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cs="宋体"/>
                <w:i w:val="0"/>
                <w:iCs w:val="0"/>
                <w:color w:val="auto"/>
                <w:kern w:val="2"/>
                <w:sz w:val="24"/>
                <w:szCs w:val="24"/>
                <w:highlight w:val="none"/>
                <w:u w:val="none"/>
                <w:lang w:val="en-US" w:eastAsia="zh-CN" w:bidi="ar"/>
              </w:rPr>
              <w:t>（2）</w:t>
            </w:r>
            <w:r>
              <w:rPr>
                <w:rFonts w:hint="eastAsia" w:ascii="宋体" w:hAnsi="宋体" w:eastAsia="宋体" w:cs="宋体"/>
                <w:i w:val="0"/>
                <w:iCs w:val="0"/>
                <w:color w:val="auto"/>
                <w:kern w:val="2"/>
                <w:sz w:val="24"/>
                <w:szCs w:val="24"/>
                <w:highlight w:val="none"/>
                <w:u w:val="none"/>
                <w:lang w:val="en-US" w:eastAsia="zh-CN" w:bidi="ar"/>
              </w:rPr>
              <w:t>抄告统计：可自定义日期查看抄告案件标段扣分排名、问题类型扣分排名；可通过搜索关键字快速查询闸泵站抄告事件详情等数据。</w:t>
            </w:r>
            <w:r>
              <w:rPr>
                <w:rFonts w:hint="eastAsia" w:ascii="宋体" w:hAnsi="宋体" w:eastAsia="宋体" w:cs="宋体"/>
                <w:i w:val="0"/>
                <w:caps w:val="0"/>
                <w:color w:val="auto"/>
                <w:spacing w:val="0"/>
                <w:sz w:val="24"/>
                <w:szCs w:val="24"/>
                <w:highlight w:val="none"/>
                <w:u w:val="none"/>
                <w:shd w:val="clear" w:fill="auto"/>
                <w:lang w:val="en-US" w:eastAsia="zh-CN" w:bidi="ar"/>
              </w:rPr>
              <w:t>演示</w:t>
            </w:r>
            <w:r>
              <w:rPr>
                <w:rFonts w:hint="eastAsia" w:ascii="宋体" w:hAnsi="宋体" w:eastAsia="宋体" w:cs="宋体"/>
                <w:snapToGrid w:val="0"/>
                <w:color w:val="auto"/>
                <w:kern w:val="0"/>
                <w:sz w:val="24"/>
                <w:highlight w:val="none"/>
                <w:lang w:val="en-US" w:eastAsia="zh-CN"/>
              </w:rPr>
              <w:t>满足</w:t>
            </w:r>
            <w:r>
              <w:rPr>
                <w:rFonts w:hint="eastAsia" w:ascii="宋体" w:hAnsi="宋体" w:cs="宋体"/>
                <w:snapToGrid w:val="0"/>
                <w:color w:val="auto"/>
                <w:kern w:val="0"/>
                <w:sz w:val="24"/>
                <w:highlight w:val="none"/>
                <w:lang w:val="en-US" w:eastAsia="zh-CN"/>
              </w:rPr>
              <w:t>该</w:t>
            </w:r>
            <w:r>
              <w:rPr>
                <w:rFonts w:hint="eastAsia" w:ascii="宋体" w:hAnsi="宋体" w:eastAsia="宋体" w:cs="宋体"/>
                <w:snapToGrid w:val="0"/>
                <w:color w:val="auto"/>
                <w:kern w:val="0"/>
                <w:sz w:val="24"/>
                <w:highlight w:val="none"/>
                <w:lang w:val="en-US" w:eastAsia="zh-CN"/>
              </w:rPr>
              <w:t>内容</w:t>
            </w:r>
            <w:r>
              <w:rPr>
                <w:rFonts w:hint="eastAsia" w:ascii="宋体" w:hAnsi="宋体" w:eastAsia="宋体" w:cs="宋体"/>
                <w:i w:val="0"/>
                <w:caps w:val="0"/>
                <w:color w:val="auto"/>
                <w:spacing w:val="0"/>
                <w:sz w:val="24"/>
                <w:szCs w:val="24"/>
                <w:highlight w:val="none"/>
                <w:u w:val="none"/>
                <w:shd w:val="clear" w:fill="auto"/>
                <w:lang w:val="en-US" w:eastAsia="zh-CN" w:bidi="ar"/>
              </w:rPr>
              <w:t>得</w:t>
            </w:r>
            <w:r>
              <w:rPr>
                <w:rFonts w:hint="eastAsia" w:ascii="宋体" w:hAnsi="宋体" w:cs="宋体"/>
                <w:i w:val="0"/>
                <w:caps w:val="0"/>
                <w:color w:val="auto"/>
                <w:spacing w:val="0"/>
                <w:sz w:val="24"/>
                <w:szCs w:val="24"/>
                <w:highlight w:val="none"/>
                <w:u w:val="none"/>
                <w:shd w:val="clear" w:fill="auto"/>
                <w:lang w:val="en-US" w:eastAsia="zh-CN" w:bidi="ar"/>
              </w:rPr>
              <w:t>2</w:t>
            </w:r>
            <w:r>
              <w:rPr>
                <w:rFonts w:hint="eastAsia" w:ascii="宋体" w:hAnsi="宋体" w:eastAsia="宋体" w:cs="宋体"/>
                <w:i w:val="0"/>
                <w:caps w:val="0"/>
                <w:color w:val="auto"/>
                <w:spacing w:val="0"/>
                <w:sz w:val="24"/>
                <w:szCs w:val="24"/>
                <w:highlight w:val="none"/>
                <w:u w:val="none"/>
                <w:shd w:val="clear" w:fill="auto"/>
                <w:lang w:val="en-US" w:eastAsia="zh-CN" w:bidi="ar"/>
              </w:rPr>
              <w:t>分，不</w:t>
            </w:r>
            <w:r>
              <w:rPr>
                <w:rFonts w:hint="eastAsia" w:ascii="宋体" w:hAnsi="宋体" w:cs="宋体"/>
                <w:i w:val="0"/>
                <w:caps w:val="0"/>
                <w:color w:val="auto"/>
                <w:spacing w:val="0"/>
                <w:sz w:val="24"/>
                <w:szCs w:val="24"/>
                <w:highlight w:val="none"/>
                <w:u w:val="none"/>
                <w:shd w:val="clear" w:fill="auto"/>
                <w:lang w:val="en-US" w:eastAsia="zh-CN" w:bidi="ar"/>
              </w:rPr>
              <w:t>满足</w:t>
            </w:r>
            <w:r>
              <w:rPr>
                <w:rFonts w:hint="eastAsia" w:ascii="宋体" w:hAnsi="宋体" w:eastAsia="宋体" w:cs="宋体"/>
                <w:i w:val="0"/>
                <w:caps w:val="0"/>
                <w:color w:val="auto"/>
                <w:spacing w:val="0"/>
                <w:sz w:val="24"/>
                <w:szCs w:val="24"/>
                <w:highlight w:val="none"/>
                <w:u w:val="none"/>
                <w:shd w:val="clear" w:fill="auto"/>
                <w:lang w:val="en-US" w:eastAsia="zh-CN" w:bidi="ar"/>
              </w:rPr>
              <w:t>不得分。</w:t>
            </w:r>
          </w:p>
          <w:p w14:paraId="1625113D">
            <w:pPr>
              <w:keepNext w:val="0"/>
              <w:keepLines w:val="0"/>
              <w:widowControl/>
              <w:suppressLineNumbers w:val="0"/>
              <w:spacing w:before="0" w:beforeAutospacing="0" w:after="0" w:afterAutospacing="0" w:line="360" w:lineRule="auto"/>
              <w:ind w:left="0" w:right="0"/>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cs="宋体"/>
                <w:i w:val="0"/>
                <w:iCs w:val="0"/>
                <w:color w:val="auto"/>
                <w:kern w:val="2"/>
                <w:sz w:val="24"/>
                <w:szCs w:val="24"/>
                <w:highlight w:val="none"/>
                <w:u w:val="none"/>
                <w:lang w:val="en-US" w:eastAsia="zh-CN" w:bidi="ar"/>
              </w:rPr>
              <w:t>（3）</w:t>
            </w:r>
            <w:r>
              <w:rPr>
                <w:rFonts w:hint="eastAsia" w:ascii="宋体" w:hAnsi="宋体" w:eastAsia="宋体" w:cs="宋体"/>
                <w:i w:val="0"/>
                <w:iCs w:val="0"/>
                <w:color w:val="auto"/>
                <w:kern w:val="2"/>
                <w:sz w:val="24"/>
                <w:szCs w:val="24"/>
                <w:highlight w:val="none"/>
                <w:u w:val="none"/>
                <w:lang w:val="en-US" w:eastAsia="zh-CN" w:bidi="ar"/>
              </w:rPr>
              <w:t>河道基础信息：业务编码、曾用名、河道类型、所属区域、整治情况、河道功能、目标水质、勘测信息等。</w:t>
            </w:r>
            <w:r>
              <w:rPr>
                <w:rFonts w:hint="eastAsia" w:ascii="宋体" w:hAnsi="宋体" w:eastAsia="宋体" w:cs="宋体"/>
                <w:i w:val="0"/>
                <w:caps w:val="0"/>
                <w:color w:val="auto"/>
                <w:spacing w:val="0"/>
                <w:sz w:val="24"/>
                <w:szCs w:val="24"/>
                <w:highlight w:val="none"/>
                <w:u w:val="none"/>
                <w:shd w:val="clear" w:fill="auto"/>
                <w:lang w:val="en-US" w:eastAsia="zh-CN" w:bidi="ar"/>
              </w:rPr>
              <w:t>演示</w:t>
            </w:r>
            <w:r>
              <w:rPr>
                <w:rFonts w:hint="eastAsia" w:ascii="宋体" w:hAnsi="宋体" w:eastAsia="宋体" w:cs="宋体"/>
                <w:snapToGrid w:val="0"/>
                <w:color w:val="auto"/>
                <w:kern w:val="0"/>
                <w:sz w:val="24"/>
                <w:highlight w:val="none"/>
                <w:lang w:val="en-US" w:eastAsia="zh-CN"/>
              </w:rPr>
              <w:t>满足</w:t>
            </w:r>
            <w:r>
              <w:rPr>
                <w:rFonts w:hint="eastAsia" w:ascii="宋体" w:hAnsi="宋体" w:cs="宋体"/>
                <w:snapToGrid w:val="0"/>
                <w:color w:val="auto"/>
                <w:kern w:val="0"/>
                <w:sz w:val="24"/>
                <w:highlight w:val="none"/>
                <w:lang w:val="en-US" w:eastAsia="zh-CN"/>
              </w:rPr>
              <w:t>该</w:t>
            </w:r>
            <w:r>
              <w:rPr>
                <w:rFonts w:hint="eastAsia" w:ascii="宋体" w:hAnsi="宋体" w:eastAsia="宋体" w:cs="宋体"/>
                <w:snapToGrid w:val="0"/>
                <w:color w:val="auto"/>
                <w:kern w:val="0"/>
                <w:sz w:val="24"/>
                <w:highlight w:val="none"/>
                <w:lang w:val="en-US" w:eastAsia="zh-CN"/>
              </w:rPr>
              <w:t>内容</w:t>
            </w:r>
            <w:r>
              <w:rPr>
                <w:rFonts w:hint="eastAsia" w:ascii="宋体" w:hAnsi="宋体" w:eastAsia="宋体" w:cs="宋体"/>
                <w:i w:val="0"/>
                <w:caps w:val="0"/>
                <w:color w:val="auto"/>
                <w:spacing w:val="0"/>
                <w:sz w:val="24"/>
                <w:szCs w:val="24"/>
                <w:highlight w:val="none"/>
                <w:u w:val="none"/>
                <w:shd w:val="clear" w:fill="auto"/>
                <w:lang w:val="en-US" w:eastAsia="zh-CN" w:bidi="ar"/>
              </w:rPr>
              <w:t>得</w:t>
            </w:r>
            <w:r>
              <w:rPr>
                <w:rFonts w:hint="eastAsia" w:ascii="宋体" w:hAnsi="宋体" w:cs="宋体"/>
                <w:i w:val="0"/>
                <w:caps w:val="0"/>
                <w:color w:val="auto"/>
                <w:spacing w:val="0"/>
                <w:sz w:val="24"/>
                <w:szCs w:val="24"/>
                <w:highlight w:val="none"/>
                <w:u w:val="none"/>
                <w:shd w:val="clear" w:fill="auto"/>
                <w:lang w:val="en-US" w:eastAsia="zh-CN" w:bidi="ar"/>
              </w:rPr>
              <w:t>2</w:t>
            </w:r>
            <w:r>
              <w:rPr>
                <w:rFonts w:hint="eastAsia" w:ascii="宋体" w:hAnsi="宋体" w:eastAsia="宋体" w:cs="宋体"/>
                <w:i w:val="0"/>
                <w:caps w:val="0"/>
                <w:color w:val="auto"/>
                <w:spacing w:val="0"/>
                <w:sz w:val="24"/>
                <w:szCs w:val="24"/>
                <w:highlight w:val="none"/>
                <w:u w:val="none"/>
                <w:shd w:val="clear" w:fill="auto"/>
                <w:lang w:val="en-US" w:eastAsia="zh-CN" w:bidi="ar"/>
              </w:rPr>
              <w:t>分，不</w:t>
            </w:r>
            <w:r>
              <w:rPr>
                <w:rFonts w:hint="eastAsia" w:ascii="宋体" w:hAnsi="宋体" w:cs="宋体"/>
                <w:i w:val="0"/>
                <w:caps w:val="0"/>
                <w:color w:val="auto"/>
                <w:spacing w:val="0"/>
                <w:sz w:val="24"/>
                <w:szCs w:val="24"/>
                <w:highlight w:val="none"/>
                <w:u w:val="none"/>
                <w:shd w:val="clear" w:fill="auto"/>
                <w:lang w:val="en-US" w:eastAsia="zh-CN" w:bidi="ar"/>
              </w:rPr>
              <w:t>满足</w:t>
            </w:r>
            <w:r>
              <w:rPr>
                <w:rFonts w:hint="eastAsia" w:ascii="宋体" w:hAnsi="宋体" w:eastAsia="宋体" w:cs="宋体"/>
                <w:i w:val="0"/>
                <w:caps w:val="0"/>
                <w:color w:val="auto"/>
                <w:spacing w:val="0"/>
                <w:sz w:val="24"/>
                <w:szCs w:val="24"/>
                <w:highlight w:val="none"/>
                <w:u w:val="none"/>
                <w:shd w:val="clear" w:fill="auto"/>
                <w:lang w:val="en-US" w:eastAsia="zh-CN" w:bidi="ar"/>
              </w:rPr>
              <w:t>不得分。</w:t>
            </w:r>
          </w:p>
          <w:p w14:paraId="55B2C16F">
            <w:pPr>
              <w:keepNext w:val="0"/>
              <w:keepLines w:val="0"/>
              <w:widowControl/>
              <w:suppressLineNumbers w:val="0"/>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auto"/>
                <w:sz w:val="24"/>
                <w:highlight w:val="none"/>
                <w:lang w:val="en-US" w:eastAsia="zh-CN"/>
              </w:rPr>
              <w:t>本项</w:t>
            </w:r>
            <w:r>
              <w:rPr>
                <w:rFonts w:hint="eastAsia" w:ascii="宋体" w:hAnsi="宋体" w:eastAsia="宋体" w:cs="宋体"/>
                <w:color w:val="auto"/>
                <w:sz w:val="24"/>
                <w:highlight w:val="none"/>
                <w:lang w:val="en-US" w:eastAsia="zh-CN"/>
              </w:rPr>
              <w:t>最高</w:t>
            </w:r>
            <w:r>
              <w:rPr>
                <w:rFonts w:hint="eastAsia" w:ascii="宋体" w:hAnsi="宋体" w:cs="宋体"/>
                <w:color w:val="auto"/>
                <w:sz w:val="24"/>
                <w:highlight w:val="none"/>
                <w:lang w:val="en-US" w:eastAsia="zh-CN"/>
              </w:rPr>
              <w:t>分得</w:t>
            </w:r>
            <w:r>
              <w:rPr>
                <w:rFonts w:hint="eastAsia" w:ascii="宋体" w:hAnsi="宋体" w:eastAsia="宋体" w:cs="宋体"/>
                <w:color w:val="auto"/>
                <w:sz w:val="24"/>
                <w:highlight w:val="none"/>
                <w:lang w:val="en-US" w:eastAsia="zh-CN"/>
              </w:rPr>
              <w:t>5分。</w:t>
            </w:r>
          </w:p>
        </w:tc>
        <w:tc>
          <w:tcPr>
            <w:tcW w:w="669" w:type="dxa"/>
            <w:vAlign w:val="center"/>
          </w:tcPr>
          <w:p w14:paraId="3DAD361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780" w:type="dxa"/>
            <w:vAlign w:val="center"/>
          </w:tcPr>
          <w:p w14:paraId="19A8CDFB">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kern w:val="0"/>
                <w:sz w:val="24"/>
                <w:highlight w:val="none"/>
                <w:lang w:val="en-US" w:eastAsia="zh-CN" w:bidi="ar"/>
              </w:rPr>
              <w:t>主</w:t>
            </w:r>
            <w:r>
              <w:rPr>
                <w:rFonts w:hint="eastAsia" w:ascii="宋体" w:hAnsi="宋体" w:cs="宋体"/>
                <w:color w:val="auto"/>
                <w:kern w:val="0"/>
                <w:sz w:val="24"/>
                <w:highlight w:val="none"/>
                <w:lang w:bidi="ar"/>
              </w:rPr>
              <w:t>观分</w:t>
            </w:r>
          </w:p>
        </w:tc>
        <w:tc>
          <w:tcPr>
            <w:tcW w:w="1294" w:type="dxa"/>
          </w:tcPr>
          <w:p w14:paraId="66EC6830">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r>
      <w:tr w14:paraId="7C8F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06" w:type="dxa"/>
            <w:vMerge w:val="continue"/>
            <w:vAlign w:val="center"/>
          </w:tcPr>
          <w:p w14:paraId="365230DC">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314" w:type="dxa"/>
            <w:vMerge w:val="continue"/>
            <w:shd w:val="clear" w:color="auto" w:fill="auto"/>
            <w:vAlign w:val="center"/>
          </w:tcPr>
          <w:p w14:paraId="0892A7C0">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4911" w:type="dxa"/>
            <w:shd w:val="clear" w:color="auto" w:fill="auto"/>
            <w:vAlign w:val="center"/>
          </w:tcPr>
          <w:p w14:paraId="3477DF27">
            <w:pPr>
              <w:keepNext w:val="0"/>
              <w:keepLines w:val="0"/>
              <w:widowControl/>
              <w:numPr>
                <w:ilvl w:val="-1"/>
                <w:numId w:val="0"/>
              </w:numPr>
              <w:suppressLineNumbers w:val="0"/>
              <w:spacing w:before="0" w:beforeAutospacing="0" w:after="0" w:afterAutospacing="0" w:line="360" w:lineRule="auto"/>
              <w:ind w:left="0" w:right="0"/>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cs="宋体"/>
                <w:i w:val="0"/>
                <w:iCs w:val="0"/>
                <w:color w:val="auto"/>
                <w:kern w:val="2"/>
                <w:sz w:val="24"/>
                <w:szCs w:val="24"/>
                <w:highlight w:val="none"/>
                <w:u w:val="none"/>
                <w:lang w:val="en-US" w:eastAsia="zh-CN" w:bidi="ar"/>
              </w:rPr>
              <w:t>3、非接触性执法</w:t>
            </w:r>
            <w:r>
              <w:rPr>
                <w:rFonts w:hint="eastAsia" w:ascii="宋体" w:hAnsi="宋体" w:eastAsia="宋体" w:cs="宋体"/>
                <w:i w:val="0"/>
                <w:iCs w:val="0"/>
                <w:color w:val="auto"/>
                <w:kern w:val="2"/>
                <w:sz w:val="24"/>
                <w:szCs w:val="24"/>
                <w:highlight w:val="none"/>
                <w:u w:val="none"/>
                <w:lang w:val="en-US" w:eastAsia="zh-CN" w:bidi="ar"/>
              </w:rPr>
              <w:t>平台（5分）</w:t>
            </w:r>
          </w:p>
          <w:p w14:paraId="091D0BB2">
            <w:pPr>
              <w:keepNext w:val="0"/>
              <w:keepLines w:val="0"/>
              <w:widowControl/>
              <w:numPr>
                <w:ilvl w:val="-1"/>
                <w:numId w:val="0"/>
              </w:numPr>
              <w:suppressLineNumbers w:val="0"/>
              <w:spacing w:before="0" w:beforeAutospacing="0" w:after="0" w:afterAutospacing="0" w:line="360" w:lineRule="auto"/>
              <w:ind w:left="0" w:right="0"/>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cs="宋体"/>
                <w:i w:val="0"/>
                <w:iCs w:val="0"/>
                <w:color w:val="auto"/>
                <w:kern w:val="2"/>
                <w:sz w:val="24"/>
                <w:szCs w:val="24"/>
                <w:highlight w:val="none"/>
                <w:u w:val="none"/>
                <w:lang w:val="en-US" w:eastAsia="zh-CN" w:bidi="ar"/>
              </w:rPr>
              <w:t>（1）</w:t>
            </w:r>
            <w:r>
              <w:rPr>
                <w:rFonts w:hint="eastAsia" w:ascii="宋体" w:hAnsi="宋体" w:eastAsia="宋体" w:cs="宋体"/>
                <w:i w:val="0"/>
                <w:iCs w:val="0"/>
                <w:color w:val="auto"/>
                <w:kern w:val="2"/>
                <w:sz w:val="24"/>
                <w:szCs w:val="24"/>
                <w:highlight w:val="none"/>
                <w:u w:val="none"/>
                <w:lang w:val="en-US" w:eastAsia="zh-CN" w:bidi="ar"/>
              </w:rPr>
              <w:t>事件流转：非接触性执法平台接收来自AI监控产生的报警数据并同步到数据库，</w:t>
            </w:r>
            <w:r>
              <w:rPr>
                <w:rFonts w:hint="eastAsia" w:ascii="宋体" w:hAnsi="宋体" w:eastAsia="宋体" w:cs="宋体"/>
                <w:i w:val="0"/>
                <w:iCs w:val="0"/>
                <w:strike w:val="0"/>
                <w:color w:val="auto"/>
                <w:kern w:val="2"/>
                <w:sz w:val="24"/>
                <w:szCs w:val="24"/>
                <w:highlight w:val="none"/>
                <w:u w:val="none"/>
                <w:lang w:val="en-US" w:eastAsia="zh-CN" w:bidi="ar"/>
              </w:rPr>
              <w:t>由指挥中心操</w:t>
            </w:r>
            <w:r>
              <w:rPr>
                <w:rFonts w:hint="eastAsia" w:ascii="宋体" w:hAnsi="宋体" w:eastAsia="宋体" w:cs="宋体"/>
                <w:i w:val="0"/>
                <w:iCs w:val="0"/>
                <w:color w:val="auto"/>
                <w:kern w:val="2"/>
                <w:sz w:val="24"/>
                <w:szCs w:val="24"/>
                <w:highlight w:val="none"/>
                <w:u w:val="none"/>
                <w:lang w:val="en-US" w:eastAsia="zh-CN" w:bidi="ar"/>
              </w:rPr>
              <w:t>作人员按照事件类别进行流转。</w:t>
            </w:r>
            <w:r>
              <w:rPr>
                <w:rFonts w:hint="eastAsia" w:ascii="宋体" w:hAnsi="宋体" w:eastAsia="宋体" w:cs="宋体"/>
                <w:i w:val="0"/>
                <w:caps w:val="0"/>
                <w:color w:val="auto"/>
                <w:spacing w:val="0"/>
                <w:sz w:val="24"/>
                <w:szCs w:val="24"/>
                <w:highlight w:val="none"/>
                <w:u w:val="none"/>
                <w:shd w:val="clear" w:fill="auto"/>
                <w:lang w:val="en-US" w:eastAsia="zh-CN" w:bidi="ar"/>
              </w:rPr>
              <w:t>演示</w:t>
            </w:r>
            <w:r>
              <w:rPr>
                <w:rFonts w:hint="eastAsia" w:ascii="宋体" w:hAnsi="宋体" w:eastAsia="宋体" w:cs="宋体"/>
                <w:snapToGrid w:val="0"/>
                <w:color w:val="auto"/>
                <w:kern w:val="0"/>
                <w:sz w:val="24"/>
                <w:highlight w:val="none"/>
                <w:lang w:val="en-US" w:eastAsia="zh-CN"/>
              </w:rPr>
              <w:t>满足</w:t>
            </w:r>
            <w:r>
              <w:rPr>
                <w:rFonts w:hint="eastAsia" w:ascii="宋体" w:hAnsi="宋体" w:cs="宋体"/>
                <w:snapToGrid w:val="0"/>
                <w:color w:val="auto"/>
                <w:kern w:val="0"/>
                <w:sz w:val="24"/>
                <w:highlight w:val="none"/>
                <w:lang w:val="en-US" w:eastAsia="zh-CN"/>
              </w:rPr>
              <w:t>该</w:t>
            </w:r>
            <w:r>
              <w:rPr>
                <w:rFonts w:hint="eastAsia" w:ascii="宋体" w:hAnsi="宋体" w:eastAsia="宋体" w:cs="宋体"/>
                <w:snapToGrid w:val="0"/>
                <w:color w:val="auto"/>
                <w:kern w:val="0"/>
                <w:sz w:val="24"/>
                <w:highlight w:val="none"/>
                <w:lang w:val="en-US" w:eastAsia="zh-CN"/>
              </w:rPr>
              <w:t>内容</w:t>
            </w:r>
            <w:r>
              <w:rPr>
                <w:rFonts w:hint="eastAsia" w:ascii="宋体" w:hAnsi="宋体" w:eastAsia="宋体" w:cs="宋体"/>
                <w:i w:val="0"/>
                <w:caps w:val="0"/>
                <w:color w:val="auto"/>
                <w:spacing w:val="0"/>
                <w:sz w:val="24"/>
                <w:szCs w:val="24"/>
                <w:highlight w:val="none"/>
                <w:u w:val="none"/>
                <w:shd w:val="clear" w:fill="auto"/>
                <w:lang w:val="en-US" w:eastAsia="zh-CN" w:bidi="ar"/>
              </w:rPr>
              <w:t>得</w:t>
            </w:r>
            <w:r>
              <w:rPr>
                <w:rFonts w:hint="eastAsia" w:ascii="宋体" w:hAnsi="宋体" w:cs="宋体"/>
                <w:i w:val="0"/>
                <w:caps w:val="0"/>
                <w:color w:val="auto"/>
                <w:spacing w:val="0"/>
                <w:sz w:val="24"/>
                <w:szCs w:val="24"/>
                <w:highlight w:val="none"/>
                <w:u w:val="none"/>
                <w:shd w:val="clear" w:fill="auto"/>
                <w:lang w:val="en-US" w:eastAsia="zh-CN" w:bidi="ar"/>
              </w:rPr>
              <w:t>1</w:t>
            </w:r>
            <w:r>
              <w:rPr>
                <w:rFonts w:hint="eastAsia" w:ascii="宋体" w:hAnsi="宋体" w:eastAsia="宋体" w:cs="宋体"/>
                <w:i w:val="0"/>
                <w:caps w:val="0"/>
                <w:color w:val="auto"/>
                <w:spacing w:val="0"/>
                <w:sz w:val="24"/>
                <w:szCs w:val="24"/>
                <w:highlight w:val="none"/>
                <w:u w:val="none"/>
                <w:shd w:val="clear" w:fill="auto"/>
                <w:lang w:val="en-US" w:eastAsia="zh-CN" w:bidi="ar"/>
              </w:rPr>
              <w:t>分，不</w:t>
            </w:r>
            <w:r>
              <w:rPr>
                <w:rFonts w:hint="eastAsia" w:ascii="宋体" w:hAnsi="宋体" w:cs="宋体"/>
                <w:i w:val="0"/>
                <w:caps w:val="0"/>
                <w:color w:val="auto"/>
                <w:spacing w:val="0"/>
                <w:sz w:val="24"/>
                <w:szCs w:val="24"/>
                <w:highlight w:val="none"/>
                <w:u w:val="none"/>
                <w:shd w:val="clear" w:fill="auto"/>
                <w:lang w:val="en-US" w:eastAsia="zh-CN" w:bidi="ar"/>
              </w:rPr>
              <w:t>满足</w:t>
            </w:r>
            <w:r>
              <w:rPr>
                <w:rFonts w:hint="eastAsia" w:ascii="宋体" w:hAnsi="宋体" w:eastAsia="宋体" w:cs="宋体"/>
                <w:i w:val="0"/>
                <w:caps w:val="0"/>
                <w:color w:val="auto"/>
                <w:spacing w:val="0"/>
                <w:sz w:val="24"/>
                <w:szCs w:val="24"/>
                <w:highlight w:val="none"/>
                <w:u w:val="none"/>
                <w:shd w:val="clear" w:fill="auto"/>
                <w:lang w:val="en-US" w:eastAsia="zh-CN" w:bidi="ar"/>
              </w:rPr>
              <w:t>不得分。</w:t>
            </w:r>
          </w:p>
          <w:p w14:paraId="14E25965">
            <w:pPr>
              <w:keepNext w:val="0"/>
              <w:keepLines w:val="0"/>
              <w:widowControl/>
              <w:suppressLineNumbers w:val="0"/>
              <w:spacing w:before="0" w:beforeAutospacing="0" w:after="0" w:afterAutospacing="0" w:line="360" w:lineRule="auto"/>
              <w:ind w:left="0" w:right="0"/>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cs="宋体"/>
                <w:i w:val="0"/>
                <w:iCs w:val="0"/>
                <w:color w:val="auto"/>
                <w:kern w:val="2"/>
                <w:sz w:val="24"/>
                <w:szCs w:val="24"/>
                <w:highlight w:val="none"/>
                <w:u w:val="none"/>
                <w:lang w:val="en-US" w:eastAsia="zh-CN" w:bidi="ar"/>
              </w:rPr>
              <w:t>（2）</w:t>
            </w:r>
            <w:r>
              <w:rPr>
                <w:rFonts w:hint="eastAsia" w:ascii="宋体" w:hAnsi="宋体" w:eastAsia="宋体" w:cs="宋体"/>
                <w:i w:val="0"/>
                <w:iCs w:val="0"/>
                <w:color w:val="auto"/>
                <w:kern w:val="2"/>
                <w:sz w:val="24"/>
                <w:szCs w:val="24"/>
                <w:highlight w:val="none"/>
                <w:u w:val="none"/>
                <w:lang w:val="en-US" w:eastAsia="zh-CN" w:bidi="ar"/>
              </w:rPr>
              <w:t>事件交办：中队接收事件后由中队管理员判断事件合理性，进一步派遣对应执法人员去处理或申请回退操作，执法人员接收事件后通过合理方式进行事件处理。</w:t>
            </w:r>
            <w:r>
              <w:rPr>
                <w:rFonts w:hint="eastAsia" w:ascii="宋体" w:hAnsi="宋体" w:eastAsia="宋体" w:cs="宋体"/>
                <w:i w:val="0"/>
                <w:caps w:val="0"/>
                <w:color w:val="auto"/>
                <w:spacing w:val="0"/>
                <w:sz w:val="24"/>
                <w:szCs w:val="24"/>
                <w:highlight w:val="none"/>
                <w:u w:val="none"/>
                <w:shd w:val="clear" w:fill="auto"/>
                <w:lang w:val="en-US" w:eastAsia="zh-CN" w:bidi="ar"/>
              </w:rPr>
              <w:t>演示</w:t>
            </w:r>
            <w:r>
              <w:rPr>
                <w:rFonts w:hint="eastAsia" w:ascii="宋体" w:hAnsi="宋体" w:eastAsia="宋体" w:cs="宋体"/>
                <w:snapToGrid w:val="0"/>
                <w:color w:val="auto"/>
                <w:kern w:val="0"/>
                <w:sz w:val="24"/>
                <w:highlight w:val="none"/>
                <w:lang w:val="en-US" w:eastAsia="zh-CN"/>
              </w:rPr>
              <w:t>满足</w:t>
            </w:r>
            <w:r>
              <w:rPr>
                <w:rFonts w:hint="eastAsia" w:ascii="宋体" w:hAnsi="宋体" w:cs="宋体"/>
                <w:snapToGrid w:val="0"/>
                <w:color w:val="auto"/>
                <w:kern w:val="0"/>
                <w:sz w:val="24"/>
                <w:highlight w:val="none"/>
                <w:lang w:val="en-US" w:eastAsia="zh-CN"/>
              </w:rPr>
              <w:t>该</w:t>
            </w:r>
            <w:r>
              <w:rPr>
                <w:rFonts w:hint="eastAsia" w:ascii="宋体" w:hAnsi="宋体" w:eastAsia="宋体" w:cs="宋体"/>
                <w:snapToGrid w:val="0"/>
                <w:color w:val="auto"/>
                <w:kern w:val="0"/>
                <w:sz w:val="24"/>
                <w:highlight w:val="none"/>
                <w:lang w:val="en-US" w:eastAsia="zh-CN"/>
              </w:rPr>
              <w:t>内容</w:t>
            </w:r>
            <w:r>
              <w:rPr>
                <w:rFonts w:hint="eastAsia" w:ascii="宋体" w:hAnsi="宋体" w:eastAsia="宋体" w:cs="宋体"/>
                <w:i w:val="0"/>
                <w:caps w:val="0"/>
                <w:color w:val="auto"/>
                <w:spacing w:val="0"/>
                <w:sz w:val="24"/>
                <w:szCs w:val="24"/>
                <w:highlight w:val="none"/>
                <w:u w:val="none"/>
                <w:shd w:val="clear" w:fill="auto"/>
                <w:lang w:val="en-US" w:eastAsia="zh-CN" w:bidi="ar"/>
              </w:rPr>
              <w:t>得</w:t>
            </w:r>
            <w:r>
              <w:rPr>
                <w:rFonts w:hint="eastAsia" w:ascii="宋体" w:hAnsi="宋体" w:cs="宋体"/>
                <w:i w:val="0"/>
                <w:caps w:val="0"/>
                <w:color w:val="auto"/>
                <w:spacing w:val="0"/>
                <w:sz w:val="24"/>
                <w:szCs w:val="24"/>
                <w:highlight w:val="none"/>
                <w:u w:val="none"/>
                <w:shd w:val="clear" w:fill="auto"/>
                <w:lang w:val="en-US" w:eastAsia="zh-CN" w:bidi="ar"/>
              </w:rPr>
              <w:t>2</w:t>
            </w:r>
            <w:r>
              <w:rPr>
                <w:rFonts w:hint="eastAsia" w:ascii="宋体" w:hAnsi="宋体" w:eastAsia="宋体" w:cs="宋体"/>
                <w:i w:val="0"/>
                <w:caps w:val="0"/>
                <w:color w:val="auto"/>
                <w:spacing w:val="0"/>
                <w:sz w:val="24"/>
                <w:szCs w:val="24"/>
                <w:highlight w:val="none"/>
                <w:u w:val="none"/>
                <w:shd w:val="clear" w:fill="auto"/>
                <w:lang w:val="en-US" w:eastAsia="zh-CN" w:bidi="ar"/>
              </w:rPr>
              <w:t>分，不</w:t>
            </w:r>
            <w:r>
              <w:rPr>
                <w:rFonts w:hint="eastAsia" w:ascii="宋体" w:hAnsi="宋体" w:cs="宋体"/>
                <w:i w:val="0"/>
                <w:caps w:val="0"/>
                <w:color w:val="auto"/>
                <w:spacing w:val="0"/>
                <w:sz w:val="24"/>
                <w:szCs w:val="24"/>
                <w:highlight w:val="none"/>
                <w:u w:val="none"/>
                <w:shd w:val="clear" w:fill="auto"/>
                <w:lang w:val="en-US" w:eastAsia="zh-CN" w:bidi="ar"/>
              </w:rPr>
              <w:t>满足</w:t>
            </w:r>
            <w:r>
              <w:rPr>
                <w:rFonts w:hint="eastAsia" w:ascii="宋体" w:hAnsi="宋体" w:eastAsia="宋体" w:cs="宋体"/>
                <w:i w:val="0"/>
                <w:caps w:val="0"/>
                <w:color w:val="auto"/>
                <w:spacing w:val="0"/>
                <w:sz w:val="24"/>
                <w:szCs w:val="24"/>
                <w:highlight w:val="none"/>
                <w:u w:val="none"/>
                <w:shd w:val="clear" w:fill="auto"/>
                <w:lang w:val="en-US" w:eastAsia="zh-CN" w:bidi="ar"/>
              </w:rPr>
              <w:t>不得分。</w:t>
            </w:r>
          </w:p>
          <w:p w14:paraId="6F08C280">
            <w:pPr>
              <w:keepNext w:val="0"/>
              <w:keepLines w:val="0"/>
              <w:widowControl/>
              <w:suppressLineNumbers w:val="0"/>
              <w:spacing w:before="0" w:beforeAutospacing="0" w:after="0" w:afterAutospacing="0" w:line="360" w:lineRule="auto"/>
              <w:ind w:left="0" w:right="0"/>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cs="宋体"/>
                <w:i w:val="0"/>
                <w:iCs w:val="0"/>
                <w:color w:val="auto"/>
                <w:kern w:val="2"/>
                <w:sz w:val="24"/>
                <w:szCs w:val="24"/>
                <w:highlight w:val="none"/>
                <w:u w:val="none"/>
                <w:lang w:val="en-US" w:eastAsia="zh-CN" w:bidi="ar"/>
              </w:rPr>
              <w:t>（3）</w:t>
            </w:r>
            <w:r>
              <w:rPr>
                <w:rFonts w:hint="eastAsia" w:ascii="宋体" w:hAnsi="宋体" w:eastAsia="宋体" w:cs="宋体"/>
                <w:i w:val="0"/>
                <w:iCs w:val="0"/>
                <w:color w:val="auto"/>
                <w:kern w:val="2"/>
                <w:sz w:val="24"/>
                <w:szCs w:val="24"/>
                <w:highlight w:val="none"/>
                <w:u w:val="none"/>
                <w:lang w:val="en-US" w:eastAsia="zh-CN" w:bidi="ar"/>
              </w:rPr>
              <w:t>事件答复：执法人员反馈处理结果，后由中队管理员、指挥中心操作员依次审核，并反馈审核结果。</w:t>
            </w:r>
            <w:r>
              <w:rPr>
                <w:rFonts w:hint="eastAsia" w:ascii="宋体" w:hAnsi="宋体" w:eastAsia="宋体" w:cs="宋体"/>
                <w:i w:val="0"/>
                <w:caps w:val="0"/>
                <w:color w:val="auto"/>
                <w:spacing w:val="0"/>
                <w:sz w:val="24"/>
                <w:szCs w:val="24"/>
                <w:highlight w:val="none"/>
                <w:u w:val="none"/>
                <w:shd w:val="clear" w:fill="auto"/>
                <w:lang w:val="en-US" w:eastAsia="zh-CN" w:bidi="ar"/>
              </w:rPr>
              <w:t>演示</w:t>
            </w:r>
            <w:r>
              <w:rPr>
                <w:rFonts w:hint="eastAsia" w:ascii="宋体" w:hAnsi="宋体" w:eastAsia="宋体" w:cs="宋体"/>
                <w:snapToGrid w:val="0"/>
                <w:color w:val="auto"/>
                <w:kern w:val="0"/>
                <w:sz w:val="24"/>
                <w:highlight w:val="none"/>
                <w:lang w:val="en-US" w:eastAsia="zh-CN"/>
              </w:rPr>
              <w:t>满足</w:t>
            </w:r>
            <w:r>
              <w:rPr>
                <w:rFonts w:hint="eastAsia" w:ascii="宋体" w:hAnsi="宋体" w:cs="宋体"/>
                <w:snapToGrid w:val="0"/>
                <w:color w:val="auto"/>
                <w:kern w:val="0"/>
                <w:sz w:val="24"/>
                <w:highlight w:val="none"/>
                <w:lang w:val="en-US" w:eastAsia="zh-CN"/>
              </w:rPr>
              <w:t>该</w:t>
            </w:r>
            <w:r>
              <w:rPr>
                <w:rFonts w:hint="eastAsia" w:ascii="宋体" w:hAnsi="宋体" w:eastAsia="宋体" w:cs="宋体"/>
                <w:snapToGrid w:val="0"/>
                <w:color w:val="auto"/>
                <w:kern w:val="0"/>
                <w:sz w:val="24"/>
                <w:highlight w:val="none"/>
                <w:lang w:val="en-US" w:eastAsia="zh-CN"/>
              </w:rPr>
              <w:t>内容</w:t>
            </w:r>
            <w:r>
              <w:rPr>
                <w:rFonts w:hint="eastAsia" w:ascii="宋体" w:hAnsi="宋体" w:eastAsia="宋体" w:cs="宋体"/>
                <w:i w:val="0"/>
                <w:caps w:val="0"/>
                <w:color w:val="auto"/>
                <w:spacing w:val="0"/>
                <w:sz w:val="24"/>
                <w:szCs w:val="24"/>
                <w:highlight w:val="none"/>
                <w:u w:val="none"/>
                <w:shd w:val="clear" w:fill="auto"/>
                <w:lang w:val="en-US" w:eastAsia="zh-CN" w:bidi="ar"/>
              </w:rPr>
              <w:t>得</w:t>
            </w:r>
            <w:r>
              <w:rPr>
                <w:rFonts w:hint="eastAsia" w:ascii="宋体" w:hAnsi="宋体" w:cs="宋体"/>
                <w:i w:val="0"/>
                <w:caps w:val="0"/>
                <w:color w:val="auto"/>
                <w:spacing w:val="0"/>
                <w:sz w:val="24"/>
                <w:szCs w:val="24"/>
                <w:highlight w:val="none"/>
                <w:u w:val="none"/>
                <w:shd w:val="clear" w:fill="auto"/>
                <w:lang w:val="en-US" w:eastAsia="zh-CN" w:bidi="ar"/>
              </w:rPr>
              <w:t>2</w:t>
            </w:r>
            <w:r>
              <w:rPr>
                <w:rFonts w:hint="eastAsia" w:ascii="宋体" w:hAnsi="宋体" w:eastAsia="宋体" w:cs="宋体"/>
                <w:i w:val="0"/>
                <w:caps w:val="0"/>
                <w:color w:val="auto"/>
                <w:spacing w:val="0"/>
                <w:sz w:val="24"/>
                <w:szCs w:val="24"/>
                <w:highlight w:val="none"/>
                <w:u w:val="none"/>
                <w:shd w:val="clear" w:fill="auto"/>
                <w:lang w:val="en-US" w:eastAsia="zh-CN" w:bidi="ar"/>
              </w:rPr>
              <w:t>分，不</w:t>
            </w:r>
            <w:r>
              <w:rPr>
                <w:rFonts w:hint="eastAsia" w:ascii="宋体" w:hAnsi="宋体" w:cs="宋体"/>
                <w:i w:val="0"/>
                <w:caps w:val="0"/>
                <w:color w:val="auto"/>
                <w:spacing w:val="0"/>
                <w:sz w:val="24"/>
                <w:szCs w:val="24"/>
                <w:highlight w:val="none"/>
                <w:u w:val="none"/>
                <w:shd w:val="clear" w:fill="auto"/>
                <w:lang w:val="en-US" w:eastAsia="zh-CN" w:bidi="ar"/>
              </w:rPr>
              <w:t>满足</w:t>
            </w:r>
            <w:r>
              <w:rPr>
                <w:rFonts w:hint="eastAsia" w:ascii="宋体" w:hAnsi="宋体" w:eastAsia="宋体" w:cs="宋体"/>
                <w:i w:val="0"/>
                <w:caps w:val="0"/>
                <w:color w:val="auto"/>
                <w:spacing w:val="0"/>
                <w:sz w:val="24"/>
                <w:szCs w:val="24"/>
                <w:highlight w:val="none"/>
                <w:u w:val="none"/>
                <w:shd w:val="clear" w:fill="auto"/>
                <w:lang w:val="en-US" w:eastAsia="zh-CN" w:bidi="ar"/>
              </w:rPr>
              <w:t>不得分。</w:t>
            </w:r>
          </w:p>
          <w:p w14:paraId="70730380">
            <w:pPr>
              <w:keepNext w:val="0"/>
              <w:keepLines w:val="0"/>
              <w:widowControl/>
              <w:suppressLineNumbers w:val="0"/>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auto"/>
                <w:sz w:val="24"/>
                <w:highlight w:val="none"/>
                <w:lang w:val="en-US" w:eastAsia="zh-CN"/>
              </w:rPr>
              <w:t>本项</w:t>
            </w:r>
            <w:r>
              <w:rPr>
                <w:rFonts w:hint="eastAsia" w:ascii="宋体" w:hAnsi="宋体" w:eastAsia="宋体" w:cs="宋体"/>
                <w:color w:val="auto"/>
                <w:sz w:val="24"/>
                <w:highlight w:val="none"/>
                <w:lang w:val="en-US" w:eastAsia="zh-CN"/>
              </w:rPr>
              <w:t>最高</w:t>
            </w:r>
            <w:r>
              <w:rPr>
                <w:rFonts w:hint="eastAsia" w:ascii="宋体" w:hAnsi="宋体" w:cs="宋体"/>
                <w:color w:val="auto"/>
                <w:sz w:val="24"/>
                <w:highlight w:val="none"/>
                <w:lang w:val="en-US" w:eastAsia="zh-CN"/>
              </w:rPr>
              <w:t>分得</w:t>
            </w:r>
            <w:r>
              <w:rPr>
                <w:rFonts w:hint="eastAsia" w:ascii="宋体" w:hAnsi="宋体" w:eastAsia="宋体" w:cs="宋体"/>
                <w:color w:val="auto"/>
                <w:sz w:val="24"/>
                <w:highlight w:val="none"/>
                <w:lang w:val="en-US" w:eastAsia="zh-CN"/>
              </w:rPr>
              <w:t>5分。</w:t>
            </w:r>
          </w:p>
        </w:tc>
        <w:tc>
          <w:tcPr>
            <w:tcW w:w="669" w:type="dxa"/>
            <w:vAlign w:val="center"/>
          </w:tcPr>
          <w:p w14:paraId="03DC1D8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780" w:type="dxa"/>
            <w:vAlign w:val="center"/>
          </w:tcPr>
          <w:p w14:paraId="3611EC52">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kern w:val="0"/>
                <w:sz w:val="24"/>
                <w:highlight w:val="none"/>
                <w:lang w:val="en-US" w:eastAsia="zh-CN" w:bidi="ar"/>
              </w:rPr>
              <w:t>主</w:t>
            </w:r>
            <w:r>
              <w:rPr>
                <w:rFonts w:hint="eastAsia" w:ascii="宋体" w:hAnsi="宋体" w:cs="宋体"/>
                <w:color w:val="auto"/>
                <w:kern w:val="0"/>
                <w:sz w:val="24"/>
                <w:highlight w:val="none"/>
                <w:lang w:bidi="ar"/>
              </w:rPr>
              <w:t>观分</w:t>
            </w:r>
          </w:p>
        </w:tc>
        <w:tc>
          <w:tcPr>
            <w:tcW w:w="1294" w:type="dxa"/>
          </w:tcPr>
          <w:p w14:paraId="278C6A95">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r>
      <w:tr w14:paraId="10DC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506" w:type="dxa"/>
            <w:vAlign w:val="center"/>
          </w:tcPr>
          <w:p w14:paraId="131A6DE6">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314" w:type="dxa"/>
            <w:shd w:val="clear" w:color="auto" w:fill="auto"/>
            <w:vAlign w:val="center"/>
          </w:tcPr>
          <w:p w14:paraId="234855B4">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重难点分析</w:t>
            </w:r>
          </w:p>
        </w:tc>
        <w:tc>
          <w:tcPr>
            <w:tcW w:w="4911" w:type="dxa"/>
            <w:shd w:val="clear" w:color="auto" w:fill="auto"/>
            <w:vAlign w:val="center"/>
          </w:tcPr>
          <w:p w14:paraId="7DC3102C">
            <w:pPr>
              <w:keepNext w:val="0"/>
              <w:keepLines w:val="0"/>
              <w:widowControl/>
              <w:suppressLineNumbers w:val="0"/>
              <w:spacing w:before="0" w:beforeAutospacing="0" w:after="0" w:afterAutospacing="0" w:line="360" w:lineRule="auto"/>
              <w:ind w:left="0" w:right="0"/>
              <w:jc w:val="left"/>
              <w:textAlignment w:val="auto"/>
              <w:rPr>
                <w:rFonts w:hint="eastAsia" w:ascii="宋体" w:hAnsi="宋体" w:cs="宋体"/>
                <w:i w:val="0"/>
                <w:iCs w:val="0"/>
                <w:color w:val="auto"/>
                <w:kern w:val="2"/>
                <w:sz w:val="24"/>
                <w:szCs w:val="24"/>
                <w:highlight w:val="none"/>
                <w:u w:val="none"/>
                <w:shd w:val="clear"/>
                <w:lang w:val="en-US" w:eastAsia="zh-CN" w:bidi="ar"/>
              </w:rPr>
            </w:pPr>
            <w:bookmarkStart w:id="35" w:name="OLE_LINK1"/>
            <w:r>
              <w:rPr>
                <w:rFonts w:hint="eastAsia" w:ascii="宋体" w:hAnsi="宋体" w:cs="宋体"/>
                <w:i w:val="0"/>
                <w:iCs w:val="0"/>
                <w:color w:val="auto"/>
                <w:kern w:val="2"/>
                <w:sz w:val="24"/>
                <w:szCs w:val="24"/>
                <w:highlight w:val="none"/>
                <w:u w:val="none"/>
                <w:shd w:val="clear"/>
                <w:lang w:val="en-US" w:eastAsia="zh-CN" w:bidi="ar"/>
              </w:rPr>
              <w:t>投标人</w:t>
            </w:r>
            <w:r>
              <w:rPr>
                <w:rFonts w:hint="eastAsia" w:ascii="宋体" w:hAnsi="宋体" w:eastAsia="宋体" w:cs="宋体"/>
                <w:i w:val="0"/>
                <w:iCs w:val="0"/>
                <w:color w:val="auto"/>
                <w:kern w:val="2"/>
                <w:sz w:val="24"/>
                <w:szCs w:val="24"/>
                <w:highlight w:val="none"/>
                <w:u w:val="none"/>
                <w:shd w:val="clear"/>
                <w:lang w:val="en-US" w:eastAsia="zh-CN" w:bidi="ar"/>
              </w:rPr>
              <w:t>对项目建设的重点、难点开展分析</w:t>
            </w:r>
            <w:bookmarkEnd w:id="35"/>
            <w:r>
              <w:rPr>
                <w:rFonts w:hint="eastAsia" w:ascii="宋体" w:hAnsi="宋体" w:eastAsia="宋体" w:cs="宋体"/>
                <w:i w:val="0"/>
                <w:iCs w:val="0"/>
                <w:color w:val="auto"/>
                <w:kern w:val="2"/>
                <w:sz w:val="24"/>
                <w:szCs w:val="24"/>
                <w:highlight w:val="none"/>
                <w:u w:val="none"/>
                <w:shd w:val="clear"/>
                <w:lang w:val="en-US" w:eastAsia="zh-CN" w:bidi="ar"/>
              </w:rPr>
              <w:t>，</w:t>
            </w:r>
            <w:bookmarkStart w:id="36" w:name="OLE_LINK2"/>
            <w:r>
              <w:rPr>
                <w:rFonts w:hint="eastAsia" w:ascii="宋体" w:hAnsi="宋体" w:eastAsia="宋体" w:cs="宋体"/>
                <w:i w:val="0"/>
                <w:iCs w:val="0"/>
                <w:color w:val="auto"/>
                <w:kern w:val="2"/>
                <w:sz w:val="24"/>
                <w:szCs w:val="24"/>
                <w:highlight w:val="none"/>
                <w:u w:val="none"/>
                <w:shd w:val="clear"/>
                <w:lang w:val="en-US" w:eastAsia="zh-CN" w:bidi="ar"/>
              </w:rPr>
              <w:t>结合实际需要对项目开展提出意见进行综合评审</w:t>
            </w:r>
            <w:bookmarkEnd w:id="36"/>
            <w:r>
              <w:rPr>
                <w:rFonts w:hint="eastAsia" w:ascii="宋体" w:hAnsi="宋体" w:eastAsia="宋体" w:cs="宋体"/>
                <w:i w:val="0"/>
                <w:iCs w:val="0"/>
                <w:color w:val="auto"/>
                <w:kern w:val="2"/>
                <w:sz w:val="24"/>
                <w:szCs w:val="24"/>
                <w:highlight w:val="none"/>
                <w:u w:val="none"/>
                <w:shd w:val="clear"/>
                <w:lang w:val="en-US" w:eastAsia="zh-CN" w:bidi="ar"/>
              </w:rPr>
              <w:t>，</w:t>
            </w:r>
            <w:r>
              <w:rPr>
                <w:rFonts w:hint="eastAsia" w:ascii="宋体" w:hAnsi="宋体" w:cs="宋体"/>
                <w:i w:val="0"/>
                <w:iCs w:val="0"/>
                <w:color w:val="auto"/>
                <w:kern w:val="2"/>
                <w:sz w:val="24"/>
                <w:szCs w:val="24"/>
                <w:highlight w:val="none"/>
                <w:u w:val="none"/>
                <w:shd w:val="clear"/>
                <w:lang w:val="en-US" w:eastAsia="zh-CN" w:bidi="ar"/>
              </w:rPr>
              <w:t>方案包括</w:t>
            </w:r>
            <w:r>
              <w:rPr>
                <w:rFonts w:hint="eastAsia" w:ascii="宋体" w:hAnsi="宋体" w:cs="宋体"/>
                <w:color w:val="auto"/>
                <w:sz w:val="24"/>
                <w:highlight w:val="none"/>
              </w:rPr>
              <w:t>①</w:t>
            </w:r>
            <w:r>
              <w:rPr>
                <w:rFonts w:hint="eastAsia" w:ascii="宋体" w:hAnsi="宋体" w:cs="宋体"/>
                <w:i w:val="0"/>
                <w:iCs w:val="0"/>
                <w:color w:val="auto"/>
                <w:kern w:val="2"/>
                <w:sz w:val="24"/>
                <w:szCs w:val="24"/>
                <w:highlight w:val="none"/>
                <w:u w:val="none"/>
                <w:shd w:val="clear"/>
                <w:lang w:val="en-US" w:eastAsia="zh-CN" w:bidi="ar"/>
              </w:rPr>
              <w:t>如</w:t>
            </w:r>
            <w:r>
              <w:rPr>
                <w:rFonts w:hint="eastAsia" w:ascii="宋体" w:hAnsi="宋体" w:eastAsia="宋体" w:cs="宋体"/>
                <w:i w:val="0"/>
                <w:iCs w:val="0"/>
                <w:color w:val="auto"/>
                <w:kern w:val="2"/>
                <w:sz w:val="24"/>
                <w:szCs w:val="24"/>
                <w:highlight w:val="none"/>
                <w:u w:val="none"/>
                <w:shd w:val="clear"/>
                <w:lang w:val="en-US" w:eastAsia="zh-CN" w:bidi="ar"/>
              </w:rPr>
              <w:t>何对一单位一平台</w:t>
            </w:r>
            <w:r>
              <w:rPr>
                <w:rFonts w:hint="eastAsia" w:ascii="宋体" w:hAnsi="宋体" w:cs="宋体"/>
                <w:i w:val="0"/>
                <w:iCs w:val="0"/>
                <w:color w:val="auto"/>
                <w:kern w:val="2"/>
                <w:sz w:val="24"/>
                <w:szCs w:val="24"/>
                <w:highlight w:val="none"/>
                <w:u w:val="none"/>
                <w:shd w:val="clear"/>
                <w:lang w:val="en-US" w:eastAsia="zh-CN" w:bidi="ar"/>
              </w:rPr>
              <w:t>的</w:t>
            </w:r>
            <w:r>
              <w:rPr>
                <w:rFonts w:hint="eastAsia" w:ascii="宋体" w:hAnsi="宋体" w:eastAsia="宋体" w:cs="宋体"/>
                <w:i w:val="0"/>
                <w:iCs w:val="0"/>
                <w:color w:val="auto"/>
                <w:kern w:val="2"/>
                <w:sz w:val="24"/>
                <w:szCs w:val="24"/>
                <w:highlight w:val="none"/>
                <w:u w:val="none"/>
                <w:shd w:val="clear"/>
                <w:lang w:val="en-US" w:eastAsia="zh-CN" w:bidi="ar"/>
              </w:rPr>
              <w:t>架构</w:t>
            </w:r>
            <w:r>
              <w:rPr>
                <w:rFonts w:hint="eastAsia" w:ascii="宋体" w:hAnsi="宋体" w:cs="宋体"/>
                <w:i w:val="0"/>
                <w:iCs w:val="0"/>
                <w:color w:val="auto"/>
                <w:kern w:val="2"/>
                <w:sz w:val="24"/>
                <w:szCs w:val="24"/>
                <w:highlight w:val="none"/>
                <w:u w:val="none"/>
                <w:shd w:val="clear"/>
                <w:lang w:val="en-US" w:eastAsia="zh-CN" w:bidi="ar"/>
              </w:rPr>
              <w:t>和</w:t>
            </w:r>
            <w:r>
              <w:rPr>
                <w:rFonts w:hint="eastAsia" w:ascii="宋体" w:hAnsi="宋体" w:eastAsia="宋体" w:cs="宋体"/>
                <w:i w:val="0"/>
                <w:iCs w:val="0"/>
                <w:color w:val="auto"/>
                <w:kern w:val="2"/>
                <w:sz w:val="24"/>
                <w:szCs w:val="24"/>
                <w:highlight w:val="none"/>
                <w:u w:val="none"/>
                <w:shd w:val="clear"/>
                <w:lang w:val="en-US" w:eastAsia="zh-CN" w:bidi="ar"/>
              </w:rPr>
              <w:t>页面</w:t>
            </w:r>
            <w:r>
              <w:rPr>
                <w:rFonts w:hint="eastAsia" w:ascii="宋体" w:hAnsi="宋体" w:cs="宋体"/>
                <w:i w:val="0"/>
                <w:iCs w:val="0"/>
                <w:color w:val="auto"/>
                <w:kern w:val="2"/>
                <w:sz w:val="24"/>
                <w:szCs w:val="24"/>
                <w:highlight w:val="none"/>
                <w:u w:val="none"/>
                <w:shd w:val="clear"/>
                <w:lang w:val="en-US" w:eastAsia="zh-CN" w:bidi="ar"/>
              </w:rPr>
              <w:t>展示</w:t>
            </w:r>
            <w:r>
              <w:rPr>
                <w:rFonts w:hint="eastAsia" w:ascii="宋体" w:hAnsi="宋体" w:eastAsia="宋体" w:cs="宋体"/>
                <w:i w:val="0"/>
                <w:iCs w:val="0"/>
                <w:color w:val="auto"/>
                <w:kern w:val="2"/>
                <w:sz w:val="24"/>
                <w:szCs w:val="24"/>
                <w:highlight w:val="none"/>
                <w:u w:val="none"/>
                <w:shd w:val="clear"/>
                <w:lang w:val="en-US" w:eastAsia="zh-CN" w:bidi="ar"/>
              </w:rPr>
              <w:t>进行设计</w:t>
            </w:r>
            <w:r>
              <w:rPr>
                <w:rFonts w:hint="eastAsia" w:ascii="宋体" w:hAnsi="宋体" w:cs="宋体"/>
                <w:i w:val="0"/>
                <w:iCs w:val="0"/>
                <w:color w:val="auto"/>
                <w:kern w:val="2"/>
                <w:sz w:val="24"/>
                <w:szCs w:val="24"/>
                <w:highlight w:val="none"/>
                <w:u w:val="none"/>
                <w:shd w:val="clear"/>
                <w:lang w:val="en-US" w:eastAsia="zh-CN" w:bidi="ar"/>
              </w:rPr>
              <w:t>；</w:t>
            </w:r>
            <w:r>
              <w:rPr>
                <w:rFonts w:hint="eastAsia" w:ascii="宋体" w:hAnsi="宋体" w:cs="宋体"/>
                <w:color w:val="auto"/>
                <w:sz w:val="24"/>
                <w:highlight w:val="none"/>
              </w:rPr>
              <w:t>②</w:t>
            </w:r>
            <w:r>
              <w:rPr>
                <w:rFonts w:hint="eastAsia" w:ascii="宋体" w:hAnsi="宋体" w:cs="宋体"/>
                <w:color w:val="auto"/>
                <w:sz w:val="24"/>
                <w:highlight w:val="none"/>
                <w:u w:val="none"/>
                <w:lang w:bidi="ar"/>
              </w:rPr>
              <w:t>如何有效整合不同时期建设、不同技术架构、不同数据标准的多个政务系统</w:t>
            </w:r>
            <w:r>
              <w:rPr>
                <w:rFonts w:hint="eastAsia" w:ascii="宋体" w:hAnsi="宋体" w:cs="宋体"/>
                <w:i w:val="0"/>
                <w:iCs w:val="0"/>
                <w:color w:val="auto"/>
                <w:kern w:val="2"/>
                <w:sz w:val="24"/>
                <w:szCs w:val="24"/>
                <w:highlight w:val="none"/>
                <w:u w:val="none"/>
                <w:shd w:val="clear"/>
                <w:lang w:val="en-US" w:eastAsia="zh-CN" w:bidi="ar"/>
              </w:rPr>
              <w:t>；</w:t>
            </w:r>
            <w:r>
              <w:rPr>
                <w:rFonts w:hint="eastAsia" w:ascii="宋体" w:hAnsi="宋体" w:eastAsia="宋体" w:cs="宋体"/>
                <w:i w:val="0"/>
                <w:iCs w:val="0"/>
                <w:color w:val="auto"/>
                <w:kern w:val="2"/>
                <w:sz w:val="24"/>
                <w:szCs w:val="24"/>
                <w:highlight w:val="none"/>
                <w:u w:val="none"/>
                <w:shd w:val="clear"/>
                <w:lang w:val="en-US" w:eastAsia="zh-CN" w:bidi="ar"/>
              </w:rPr>
              <w:t>③</w:t>
            </w:r>
            <w:r>
              <w:rPr>
                <w:rFonts w:hint="eastAsia" w:ascii="宋体" w:hAnsi="宋体" w:cs="宋体"/>
                <w:color w:val="auto"/>
                <w:sz w:val="24"/>
                <w:highlight w:val="none"/>
                <w:u w:val="none"/>
                <w:lang w:bidi="ar"/>
              </w:rPr>
              <w:t>如何实现跨系统的数据实时共享与业务协同，打破信息孤岛，同时确保数据一致性、完整性与时效性</w:t>
            </w:r>
            <w:r>
              <w:rPr>
                <w:rFonts w:hint="eastAsia" w:ascii="宋体" w:hAnsi="宋体" w:eastAsia="宋体" w:cs="宋体"/>
                <w:color w:val="auto"/>
                <w:sz w:val="24"/>
                <w:highlight w:val="none"/>
                <w:u w:val="none"/>
                <w:lang w:eastAsia="zh-CN" w:bidi="ar"/>
              </w:rPr>
              <w:t>；④</w:t>
            </w:r>
            <w:r>
              <w:rPr>
                <w:rFonts w:hint="eastAsia" w:ascii="宋体" w:hAnsi="宋体" w:cs="宋体"/>
                <w:color w:val="auto"/>
                <w:sz w:val="24"/>
                <w:highlight w:val="none"/>
                <w:u w:val="none"/>
                <w:lang w:bidi="ar"/>
              </w:rPr>
              <w:t>如何解决国产中间件、数据库与系统/数据接口的兼容性问题，保障集成后系统的稳定性和性能</w:t>
            </w:r>
            <w:r>
              <w:rPr>
                <w:rFonts w:hint="eastAsia" w:ascii="宋体" w:hAnsi="宋体" w:eastAsia="宋体" w:cs="宋体"/>
                <w:color w:val="auto"/>
                <w:sz w:val="24"/>
                <w:highlight w:val="none"/>
                <w:u w:val="none"/>
                <w:lang w:eastAsia="zh-CN" w:bidi="ar"/>
              </w:rPr>
              <w:t>。</w:t>
            </w:r>
            <w:r>
              <w:rPr>
                <w:rFonts w:hint="eastAsia" w:ascii="宋体" w:hAnsi="宋体" w:cs="宋体"/>
                <w:i w:val="0"/>
                <w:iCs w:val="0"/>
                <w:color w:val="auto"/>
                <w:kern w:val="2"/>
                <w:sz w:val="24"/>
                <w:szCs w:val="24"/>
                <w:highlight w:val="none"/>
                <w:u w:val="none"/>
                <w:shd w:val="clear"/>
                <w:lang w:val="en-US" w:eastAsia="zh-CN" w:bidi="ar"/>
              </w:rPr>
              <w:t>每一项内容完整、措施有效、</w:t>
            </w:r>
            <w:r>
              <w:rPr>
                <w:rFonts w:hint="eastAsia" w:ascii="宋体" w:hAnsi="宋体" w:eastAsia="宋体" w:cs="宋体"/>
                <w:snapToGrid w:val="0"/>
                <w:color w:val="auto"/>
                <w:kern w:val="0"/>
                <w:sz w:val="24"/>
                <w:highlight w:val="none"/>
                <w:lang w:val="en-US" w:eastAsia="zh-CN"/>
              </w:rPr>
              <w:t>满足要求各</w:t>
            </w:r>
            <w:r>
              <w:rPr>
                <w:rFonts w:hint="eastAsia" w:ascii="宋体" w:hAnsi="宋体" w:cs="宋体"/>
                <w:i w:val="0"/>
                <w:iCs w:val="0"/>
                <w:color w:val="auto"/>
                <w:kern w:val="2"/>
                <w:sz w:val="24"/>
                <w:szCs w:val="24"/>
                <w:highlight w:val="none"/>
                <w:u w:val="none"/>
                <w:shd w:val="clear"/>
                <w:lang w:val="en-US" w:eastAsia="zh-CN" w:bidi="ar"/>
              </w:rPr>
              <w:t>得1分，内容虽然进行了阐述但并未完全贴合项目需求理解情况，或理解的内容未包括细节或有效措施，</w:t>
            </w:r>
            <w:r>
              <w:rPr>
                <w:rFonts w:hint="eastAsia" w:ascii="宋体" w:hAnsi="宋体" w:eastAsia="宋体" w:cs="宋体"/>
                <w:snapToGrid w:val="0"/>
                <w:color w:val="auto"/>
                <w:kern w:val="0"/>
                <w:sz w:val="24"/>
                <w:highlight w:val="none"/>
                <w:lang w:val="en-US" w:eastAsia="zh-CN"/>
              </w:rPr>
              <w:t>各</w:t>
            </w:r>
            <w:r>
              <w:rPr>
                <w:rFonts w:hint="eastAsia" w:ascii="宋体" w:hAnsi="宋体" w:cs="宋体"/>
                <w:i w:val="0"/>
                <w:iCs w:val="0"/>
                <w:color w:val="auto"/>
                <w:kern w:val="2"/>
                <w:sz w:val="24"/>
                <w:szCs w:val="24"/>
                <w:highlight w:val="none"/>
                <w:u w:val="none"/>
                <w:shd w:val="clear"/>
                <w:lang w:val="en-US" w:eastAsia="zh-CN" w:bidi="ar"/>
              </w:rPr>
              <w:t>得0.5分；未进行阐述或阐述内容无法满足项目需求的不得分。</w:t>
            </w:r>
          </w:p>
          <w:p w14:paraId="4B0204F9">
            <w:pPr>
              <w:keepNext w:val="0"/>
              <w:keepLines w:val="0"/>
              <w:widowControl/>
              <w:suppressLineNumbers w:val="0"/>
              <w:spacing w:before="0" w:beforeAutospacing="0" w:after="0" w:afterAutospacing="0" w:line="360" w:lineRule="auto"/>
              <w:ind w:left="0" w:right="0"/>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cs="宋体"/>
                <w:color w:val="auto"/>
                <w:sz w:val="24"/>
                <w:highlight w:val="none"/>
                <w:lang w:val="en-US" w:eastAsia="zh-CN"/>
              </w:rPr>
              <w:t>本项</w:t>
            </w:r>
            <w:r>
              <w:rPr>
                <w:rFonts w:hint="eastAsia" w:ascii="宋体" w:hAnsi="宋体" w:eastAsia="宋体" w:cs="宋体"/>
                <w:color w:val="auto"/>
                <w:sz w:val="24"/>
                <w:highlight w:val="none"/>
                <w:lang w:val="en-US" w:eastAsia="zh-CN"/>
              </w:rPr>
              <w:t>最高</w:t>
            </w:r>
            <w:r>
              <w:rPr>
                <w:rFonts w:hint="eastAsia" w:ascii="宋体" w:hAnsi="宋体" w:cs="宋体"/>
                <w:color w:val="auto"/>
                <w:sz w:val="24"/>
                <w:highlight w:val="none"/>
                <w:lang w:val="en-US" w:eastAsia="zh-CN"/>
              </w:rPr>
              <w:t>分得4</w:t>
            </w:r>
            <w:r>
              <w:rPr>
                <w:rFonts w:hint="eastAsia" w:ascii="宋体" w:hAnsi="宋体" w:eastAsia="宋体" w:cs="宋体"/>
                <w:color w:val="auto"/>
                <w:sz w:val="24"/>
                <w:highlight w:val="none"/>
                <w:lang w:val="en-US" w:eastAsia="zh-CN"/>
              </w:rPr>
              <w:t>分。</w:t>
            </w:r>
          </w:p>
        </w:tc>
        <w:tc>
          <w:tcPr>
            <w:tcW w:w="669" w:type="dxa"/>
            <w:vAlign w:val="center"/>
          </w:tcPr>
          <w:p w14:paraId="69E43292">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780" w:type="dxa"/>
            <w:vAlign w:val="center"/>
          </w:tcPr>
          <w:p w14:paraId="3CAF619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主观分</w:t>
            </w:r>
          </w:p>
        </w:tc>
        <w:tc>
          <w:tcPr>
            <w:tcW w:w="1294" w:type="dxa"/>
          </w:tcPr>
          <w:p w14:paraId="2A101A57">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r>
      <w:tr w14:paraId="080A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506" w:type="dxa"/>
            <w:vAlign w:val="center"/>
          </w:tcPr>
          <w:p w14:paraId="2154F83E">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314" w:type="dxa"/>
            <w:shd w:val="clear" w:color="auto" w:fill="auto"/>
            <w:vAlign w:val="center"/>
          </w:tcPr>
          <w:p w14:paraId="5AE69F1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投标报价</w:t>
            </w:r>
          </w:p>
        </w:tc>
        <w:tc>
          <w:tcPr>
            <w:tcW w:w="4911" w:type="dxa"/>
            <w:shd w:val="clear" w:color="auto" w:fill="auto"/>
            <w:vAlign w:val="center"/>
          </w:tcPr>
          <w:p w14:paraId="245A3826">
            <w:pPr>
              <w:keepNext w:val="0"/>
              <w:keepLines w:val="0"/>
              <w:widowControl/>
              <w:suppressLineNumbers w:val="0"/>
              <w:spacing w:before="0" w:beforeAutospacing="0" w:after="0" w:afterAutospacing="0" w:line="360" w:lineRule="auto"/>
              <w:ind w:left="0" w:right="0"/>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价格分采用低价优先法计算，即满足招标文件要求且投标价格最低的投标报价为评标基准价，其他投标人的价格分按照下列公式计算：价格分=（评标基准价/投标报价）×10%×100（评审过程中，不得去掉报价中的最高报价和最低报价。）</w:t>
            </w:r>
          </w:p>
        </w:tc>
        <w:tc>
          <w:tcPr>
            <w:tcW w:w="669" w:type="dxa"/>
            <w:vAlign w:val="center"/>
          </w:tcPr>
          <w:p w14:paraId="2A26F5C5">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780" w:type="dxa"/>
            <w:vAlign w:val="center"/>
          </w:tcPr>
          <w:p w14:paraId="0EDE5C2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客观分</w:t>
            </w:r>
          </w:p>
        </w:tc>
        <w:tc>
          <w:tcPr>
            <w:tcW w:w="1294" w:type="dxa"/>
          </w:tcPr>
          <w:p w14:paraId="5693D6D6">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r>
    </w:tbl>
    <w:p w14:paraId="1802232E"/>
    <w:p w14:paraId="0891B80F">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26F5D915">
      <w:pPr>
        <w:snapToGrid w:val="0"/>
        <w:spacing w:line="360" w:lineRule="auto"/>
        <w:rPr>
          <w:rFonts w:ascii="宋体" w:hAnsi="宋体" w:cs="宋体"/>
          <w:b/>
          <w:sz w:val="28"/>
          <w:szCs w:val="28"/>
        </w:rPr>
      </w:pPr>
      <w:r>
        <w:rPr>
          <w:rFonts w:hint="eastAsia" w:ascii="宋体" w:hAnsi="宋体" w:cs="宋体"/>
          <w:b/>
          <w:sz w:val="32"/>
        </w:rPr>
        <w:t>一、评标方法</w:t>
      </w:r>
    </w:p>
    <w:p w14:paraId="749CD482">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0BF7EAD">
      <w:pPr>
        <w:adjustRightInd/>
        <w:spacing w:line="360" w:lineRule="auto"/>
        <w:rPr>
          <w:rFonts w:ascii="宋体" w:hAnsi="宋体" w:cs="宋体"/>
          <w:kern w:val="0"/>
          <w:sz w:val="24"/>
        </w:rPr>
      </w:pPr>
      <w:r>
        <w:rPr>
          <w:rFonts w:hint="eastAsia" w:ascii="宋体" w:hAnsi="宋体" w:cs="宋体"/>
          <w:b/>
          <w:sz w:val="32"/>
        </w:rPr>
        <w:t>二、评标标准</w:t>
      </w:r>
    </w:p>
    <w:p w14:paraId="44B5587E">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27FA0A7">
      <w:pPr>
        <w:spacing w:line="360" w:lineRule="auto"/>
        <w:outlineLvl w:val="0"/>
        <w:rPr>
          <w:rFonts w:ascii="宋体" w:hAnsi="宋体" w:cs="宋体"/>
          <w:b/>
          <w:sz w:val="36"/>
          <w:szCs w:val="36"/>
        </w:rPr>
      </w:pPr>
      <w:r>
        <w:rPr>
          <w:rFonts w:hint="eastAsia" w:ascii="宋体" w:hAnsi="宋体" w:cs="宋体"/>
          <w:b/>
          <w:sz w:val="36"/>
          <w:szCs w:val="36"/>
        </w:rPr>
        <w:t>三、评标程序</w:t>
      </w:r>
    </w:p>
    <w:p w14:paraId="08A3D85A">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ED43DA7">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3456A04">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6369F871">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4D907732">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978CAD6">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5843B2A">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B4BD764">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56B9352">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026FCE68">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6EC337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4FB9F3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6C1D3B7">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FD5A6F4">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690D1358">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9ACEB8">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854142D">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BCD1648">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4AB64BC9">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EE93DD4">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4BB953CA">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1472903">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1C8FCE4E">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7E340218">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9F29447">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A90D438">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7F80682B">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 投标报价低于项目预算50%，未在报价文件中详细阐述不影响产品质量或者诚信履约的具体原因的；</w:t>
      </w:r>
    </w:p>
    <w:p w14:paraId="450DB6A5">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684AC50A">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4025A258">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98F8277">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1E37C325">
      <w:pPr>
        <w:spacing w:line="360" w:lineRule="auto"/>
        <w:ind w:firstLine="480" w:firstLineChars="200"/>
      </w:pPr>
      <w:r>
        <w:rPr>
          <w:rFonts w:hint="eastAsia" w:ascii="宋体" w:hAnsi="宋体" w:cs="宋体"/>
          <w:kern w:val="0"/>
          <w:sz w:val="24"/>
        </w:rPr>
        <w:t>4.2.12参与同一个采购包（标段）的供应商存在下列情形之一且无法合理解释的，其投标文件无效：（1）不同供应商的电子投标文件上传计算机的IP地址、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492C3BB4">
      <w:pPr>
        <w:spacing w:line="360" w:lineRule="auto"/>
        <w:ind w:firstLine="480" w:firstLineChars="200"/>
        <w:rPr>
          <w:rFonts w:ascii="宋体" w:hAnsi="宋体" w:cs="宋体"/>
          <w:kern w:val="0"/>
          <w:sz w:val="24"/>
        </w:rPr>
      </w:pPr>
      <w:r>
        <w:rPr>
          <w:rFonts w:hint="eastAsia" w:ascii="宋体" w:hAnsi="宋体" w:cs="宋体"/>
          <w:kern w:val="0"/>
          <w:sz w:val="24"/>
        </w:rPr>
        <w:t>4.2.13投标人仅提交备份投标文件，未在电子交易平台传输递交投标文件的，投标无效；</w:t>
      </w:r>
    </w:p>
    <w:p w14:paraId="48741F68">
      <w:pPr>
        <w:spacing w:line="360" w:lineRule="auto"/>
        <w:ind w:firstLine="480" w:firstLineChars="200"/>
        <w:rPr>
          <w:rFonts w:ascii="宋体" w:hAnsi="宋体" w:cs="宋体"/>
          <w:kern w:val="0"/>
          <w:sz w:val="24"/>
        </w:rPr>
      </w:pPr>
      <w:r>
        <w:rPr>
          <w:rFonts w:hint="eastAsia" w:ascii="宋体" w:hAnsi="宋体" w:cs="宋体"/>
          <w:kern w:val="0"/>
          <w:sz w:val="24"/>
        </w:rPr>
        <w:t>4.2.14投标人未提供样品或提供的样品不满足采购需求实质性条件的，投标无效；</w:t>
      </w:r>
    </w:p>
    <w:p w14:paraId="2B003647">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4.2.15 投标文件不满足招标文件的其它实质性要求的；</w:t>
      </w:r>
    </w:p>
    <w:p w14:paraId="48045E10">
      <w:pPr>
        <w:spacing w:line="360" w:lineRule="auto"/>
        <w:ind w:firstLine="480" w:firstLineChars="200"/>
        <w:rPr>
          <w:rFonts w:ascii="宋体" w:hAnsi="宋体" w:cs="宋体"/>
          <w:kern w:val="0"/>
          <w:sz w:val="24"/>
        </w:rPr>
      </w:pPr>
      <w:r>
        <w:rPr>
          <w:rFonts w:hint="eastAsia" w:ascii="宋体" w:hAnsi="宋体" w:cs="宋体"/>
          <w:kern w:val="0"/>
          <w:sz w:val="24"/>
        </w:rPr>
        <w:t>4.2.16法律、法规、规章（适用本市的）及省级以上规范性文件（适用本市的）规定的其他无效情形。</w:t>
      </w:r>
    </w:p>
    <w:p w14:paraId="634EA6DC">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27A9935">
      <w:pPr>
        <w:pStyle w:val="24"/>
        <w:snapToGrid w:val="0"/>
        <w:spacing w:line="360" w:lineRule="auto"/>
        <w:rPr>
          <w:rFonts w:cs="宋体"/>
        </w:rPr>
      </w:pPr>
      <w:r>
        <w:rPr>
          <w:rFonts w:hint="eastAsia" w:cs="宋体"/>
        </w:rPr>
        <w:t>5.1符合专业条件的供应商或者对招标文件作实质响应的供应商不足3家的；</w:t>
      </w:r>
    </w:p>
    <w:p w14:paraId="5AE90EFD">
      <w:pPr>
        <w:pStyle w:val="24"/>
        <w:snapToGrid w:val="0"/>
        <w:spacing w:line="360" w:lineRule="auto"/>
        <w:rPr>
          <w:rFonts w:cs="宋体"/>
        </w:rPr>
      </w:pPr>
      <w:r>
        <w:rPr>
          <w:rFonts w:hint="eastAsia" w:cs="宋体"/>
        </w:rPr>
        <w:t>5.2出现影响采购公正的违法、违规行为的；</w:t>
      </w:r>
    </w:p>
    <w:p w14:paraId="510869CB">
      <w:pPr>
        <w:pStyle w:val="24"/>
        <w:snapToGrid w:val="0"/>
        <w:spacing w:line="360" w:lineRule="auto"/>
        <w:rPr>
          <w:rFonts w:cs="宋体"/>
        </w:rPr>
      </w:pPr>
      <w:r>
        <w:rPr>
          <w:rFonts w:hint="eastAsia" w:cs="宋体"/>
        </w:rPr>
        <w:t>5.3投标人的报价均超过了采购预算，采购人不能支付的；</w:t>
      </w:r>
    </w:p>
    <w:p w14:paraId="37045CCD">
      <w:pPr>
        <w:pStyle w:val="24"/>
        <w:snapToGrid w:val="0"/>
        <w:spacing w:line="360" w:lineRule="auto"/>
        <w:rPr>
          <w:rFonts w:cs="宋体"/>
        </w:rPr>
      </w:pPr>
      <w:r>
        <w:rPr>
          <w:rFonts w:hint="eastAsia" w:cs="宋体"/>
        </w:rPr>
        <w:t>5.4因重大变故，采购任务取消的。</w:t>
      </w:r>
    </w:p>
    <w:p w14:paraId="0CC26751">
      <w:pPr>
        <w:pStyle w:val="24"/>
        <w:snapToGrid w:val="0"/>
        <w:spacing w:line="360" w:lineRule="auto"/>
        <w:rPr>
          <w:rFonts w:cs="宋体"/>
        </w:rPr>
      </w:pPr>
      <w:r>
        <w:rPr>
          <w:rFonts w:hint="eastAsia" w:cs="宋体"/>
        </w:rPr>
        <w:t>废标后，采购机构应当将废标理由通知所有投标人。</w:t>
      </w:r>
    </w:p>
    <w:p w14:paraId="505ACB88">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417321B">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181D402">
      <w:pPr>
        <w:pStyle w:val="24"/>
        <w:snapToGrid w:val="0"/>
        <w:spacing w:line="360" w:lineRule="auto"/>
        <w:rPr>
          <w:rFonts w:cs="宋体"/>
        </w:rPr>
      </w:pPr>
      <w:r>
        <w:rPr>
          <w:rFonts w:hint="eastAsia" w:cs="宋体"/>
        </w:rPr>
        <w:t>7.1未确定中标供应商的，终止本次政府采购活动，重新开展政府采购活动。</w:t>
      </w:r>
    </w:p>
    <w:p w14:paraId="526CAE50">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0932317">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527F35C3">
      <w:pPr>
        <w:pStyle w:val="24"/>
        <w:snapToGrid w:val="0"/>
        <w:spacing w:line="360" w:lineRule="auto"/>
        <w:rPr>
          <w:rFonts w:cs="宋体"/>
        </w:rPr>
      </w:pPr>
      <w:r>
        <w:rPr>
          <w:rFonts w:hint="eastAsia" w:cs="宋体"/>
        </w:rPr>
        <w:t>7.4政府采购合同已经履行，给采购人、供应商造成损失的，由责任人承担赔偿责任。</w:t>
      </w:r>
    </w:p>
    <w:p w14:paraId="63839537">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7"/>
    <w:p w14:paraId="4AF0C5EA">
      <w:pPr>
        <w:widowControl/>
        <w:adjustRightInd/>
        <w:jc w:val="left"/>
        <w:rPr>
          <w:rFonts w:ascii="宋体" w:hAnsi="宋体" w:cs="宋体"/>
          <w:b/>
          <w:sz w:val="36"/>
          <w:szCs w:val="36"/>
        </w:rPr>
      </w:pPr>
      <w:bookmarkStart w:id="37" w:name="第五部分"/>
      <w:bookmarkStart w:id="38" w:name="_Toc86217003"/>
      <w:r>
        <w:rPr>
          <w:rFonts w:ascii="宋体" w:hAnsi="宋体" w:cs="宋体"/>
          <w:b/>
          <w:sz w:val="36"/>
          <w:szCs w:val="36"/>
        </w:rPr>
        <w:br w:type="page"/>
      </w:r>
    </w:p>
    <w:p w14:paraId="281FA970">
      <w:pPr>
        <w:numPr>
          <w:ilvl w:val="0"/>
          <w:numId w:val="7"/>
        </w:num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拟签订的合同文本</w:t>
      </w:r>
    </w:p>
    <w:p w14:paraId="134FF99E">
      <w:pPr>
        <w:pStyle w:val="235"/>
        <w:numPr>
          <w:ilvl w:val="0"/>
          <w:numId w:val="0"/>
        </w:numPr>
      </w:pPr>
    </w:p>
    <w:p w14:paraId="123FA647">
      <w:pPr>
        <w:pStyle w:val="39"/>
      </w:pPr>
    </w:p>
    <w:p w14:paraId="130234AF">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563F2B8C">
      <w:pPr>
        <w:spacing w:line="480" w:lineRule="auto"/>
        <w:jc w:val="center"/>
        <w:rPr>
          <w:rFonts w:ascii="宋体" w:hAnsi="宋体" w:cs="宋体"/>
          <w:b/>
          <w:sz w:val="28"/>
          <w:szCs w:val="28"/>
        </w:rPr>
      </w:pPr>
    </w:p>
    <w:p w14:paraId="0036573F">
      <w:pPr>
        <w:spacing w:line="480" w:lineRule="auto"/>
        <w:jc w:val="center"/>
        <w:rPr>
          <w:rFonts w:ascii="宋体" w:hAnsi="宋体" w:cs="宋体"/>
          <w:b/>
          <w:sz w:val="24"/>
        </w:rPr>
      </w:pPr>
    </w:p>
    <w:p w14:paraId="683CC3C7">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1056AA0">
      <w:pPr>
        <w:pStyle w:val="703"/>
        <w:ind w:firstLine="2843" w:firstLineChars="1180"/>
        <w:rPr>
          <w:rFonts w:ascii="宋体" w:hAnsi="宋体" w:cs="宋体"/>
          <w:b/>
          <w:szCs w:val="24"/>
        </w:rPr>
      </w:pPr>
      <w:r>
        <w:rPr>
          <w:rFonts w:hint="eastAsia" w:ascii="宋体" w:hAnsi="宋体" w:cs="宋体"/>
          <w:b/>
          <w:szCs w:val="24"/>
        </w:rPr>
        <w:t>第一部分 合同书</w:t>
      </w:r>
    </w:p>
    <w:p w14:paraId="4F8DD0FE">
      <w:pPr>
        <w:spacing w:before="120" w:line="22" w:lineRule="atLeast"/>
        <w:rPr>
          <w:rFonts w:ascii="宋体" w:hAnsi="宋体" w:cs="宋体"/>
          <w:sz w:val="24"/>
        </w:rPr>
      </w:pPr>
    </w:p>
    <w:p w14:paraId="3D8A9429">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EA9E521">
      <w:pPr>
        <w:pStyle w:val="600"/>
        <w:spacing w:before="120" w:line="22" w:lineRule="atLeast"/>
        <w:rPr>
          <w:rFonts w:ascii="宋体" w:hAnsi="宋体" w:eastAsia="宋体" w:cs="宋体"/>
          <w:szCs w:val="24"/>
        </w:rPr>
      </w:pPr>
    </w:p>
    <w:p w14:paraId="2224EB6F">
      <w:pPr>
        <w:pStyle w:val="600"/>
        <w:spacing w:before="120" w:line="22" w:lineRule="atLeast"/>
        <w:rPr>
          <w:rFonts w:ascii="宋体" w:hAnsi="宋体" w:eastAsia="宋体" w:cs="宋体"/>
          <w:szCs w:val="24"/>
        </w:rPr>
      </w:pPr>
    </w:p>
    <w:p w14:paraId="0FD4BD9E">
      <w:pPr>
        <w:rPr>
          <w:rFonts w:ascii="宋体" w:hAnsi="宋体" w:cs="宋体"/>
          <w:sz w:val="24"/>
        </w:rPr>
      </w:pPr>
    </w:p>
    <w:p w14:paraId="5ABA7868">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3364A387">
      <w:pPr>
        <w:spacing w:before="120" w:line="22" w:lineRule="atLeast"/>
        <w:rPr>
          <w:rFonts w:ascii="宋体" w:hAnsi="宋体" w:cs="宋体"/>
          <w:sz w:val="24"/>
        </w:rPr>
      </w:pPr>
    </w:p>
    <w:p w14:paraId="76AAC53C">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2F08F81">
      <w:pPr>
        <w:spacing w:before="120" w:line="22" w:lineRule="atLeast"/>
        <w:rPr>
          <w:rFonts w:ascii="宋体" w:hAnsi="宋体" w:cs="宋体"/>
          <w:sz w:val="24"/>
        </w:rPr>
      </w:pPr>
    </w:p>
    <w:p w14:paraId="64CEAEBE">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7B312E93">
      <w:pPr>
        <w:spacing w:before="120" w:line="22" w:lineRule="atLeast"/>
        <w:rPr>
          <w:rFonts w:ascii="宋体" w:hAnsi="宋体" w:cs="宋体"/>
          <w:sz w:val="24"/>
        </w:rPr>
      </w:pPr>
    </w:p>
    <w:p w14:paraId="62C328B2">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0D57040">
      <w:pPr>
        <w:widowControl/>
        <w:jc w:val="left"/>
        <w:rPr>
          <w:rFonts w:ascii="宋体" w:hAnsi="宋体" w:cs="宋体"/>
          <w:kern w:val="0"/>
          <w:sz w:val="24"/>
        </w:rPr>
        <w:sectPr>
          <w:headerReference r:id="rId8" w:type="default"/>
          <w:footerReference r:id="rId9" w:type="default"/>
          <w:pgSz w:w="11907" w:h="16840"/>
          <w:pgMar w:top="1474" w:right="1814" w:bottom="1474" w:left="1814" w:header="851" w:footer="851" w:gutter="0"/>
          <w:cols w:space="720" w:num="1"/>
        </w:sectPr>
      </w:pPr>
    </w:p>
    <w:p w14:paraId="106F544F">
      <w:pPr>
        <w:rPr>
          <w:rFonts w:ascii="宋体" w:hAnsi="宋体" w:cs="宋体"/>
          <w:b/>
          <w:sz w:val="24"/>
        </w:rPr>
      </w:pPr>
    </w:p>
    <w:p w14:paraId="65707295">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sz w:val="24"/>
          <w:u w:val="single"/>
        </w:rPr>
        <w:t>杭州市上城区综合行政执法局</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lang w:eastAsia="zh-CN"/>
        </w:rPr>
        <w:t>上城区城市管理智治平台改造项目（</w:t>
      </w:r>
      <w:bookmarkStart w:id="61" w:name="_GoBack"/>
      <w:r>
        <w:rPr>
          <w:rFonts w:hint="eastAsia" w:ascii="宋体" w:hAnsi="宋体" w:cs="宋体"/>
          <w:sz w:val="24"/>
          <w:u w:val="single"/>
          <w:lang w:eastAsia="zh-CN"/>
        </w:rPr>
        <w:t>信创</w:t>
      </w:r>
      <w:bookmarkEnd w:id="61"/>
      <w:r>
        <w:rPr>
          <w:rFonts w:hint="eastAsia" w:ascii="宋体" w:hAnsi="宋体" w:cs="宋体"/>
          <w:sz w:val="24"/>
          <w:u w:val="single"/>
          <w:lang w:eastAsia="zh-CN"/>
        </w:rPr>
        <w:t>）</w:t>
      </w:r>
      <w:r>
        <w:rPr>
          <w:rFonts w:hint="eastAsia" w:ascii="宋体" w:hAnsi="宋体" w:cs="宋体"/>
          <w:sz w:val="24"/>
          <w:u w:val="single"/>
        </w:rPr>
        <w:t xml:space="preserve"> （招标编号：</w:t>
      </w:r>
      <w:r>
        <w:rPr>
          <w:rFonts w:hint="eastAsia" w:ascii="宋体" w:hAnsi="宋体" w:cs="宋体"/>
          <w:sz w:val="24"/>
          <w:u w:val="single"/>
          <w:lang w:eastAsia="zh-CN"/>
        </w:rPr>
        <w:t>HJZX-GKCG-F202514</w:t>
      </w:r>
      <w:r>
        <w:rPr>
          <w:rFonts w:hint="eastAsia" w:ascii="宋体" w:hAnsi="宋体" w:cs="宋体"/>
          <w:sz w:val="24"/>
          <w:u w:val="single"/>
        </w:rPr>
        <w:t xml:space="preserve">）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w:t>
      </w:r>
      <w:r>
        <w:rPr>
          <w:rFonts w:hint="eastAsia" w:ascii="宋体" w:hAnsi="宋体"/>
          <w:sz w:val="24"/>
          <w:u w:val="single"/>
          <w:lang w:val="en-US" w:eastAsia="zh-CN"/>
        </w:rPr>
        <w:t>成交</w:t>
      </w:r>
      <w:r>
        <w:rPr>
          <w:rFonts w:hint="eastAsia" w:ascii="宋体" w:hAnsi="宋体"/>
          <w:sz w:val="24"/>
          <w:u w:val="single"/>
          <w:lang w:eastAsia="zh-CN"/>
        </w:rPr>
        <w:t>响应人</w:t>
      </w:r>
      <w:r>
        <w:rPr>
          <w:rFonts w:ascii="宋体" w:hAnsi="宋体"/>
          <w:sz w:val="24"/>
          <w:u w:val="single"/>
        </w:rPr>
        <w:t xml:space="preserve">名称） </w:t>
      </w:r>
      <w:r>
        <w:rPr>
          <w:rFonts w:hint="eastAsia" w:ascii="宋体" w:hAnsi="宋体"/>
          <w:sz w:val="24"/>
        </w:rPr>
        <w:t>为该项目</w:t>
      </w:r>
      <w:r>
        <w:rPr>
          <w:rFonts w:hint="eastAsia" w:ascii="宋体" w:hAnsi="宋体" w:cs="宋体"/>
          <w:sz w:val="24"/>
        </w:rPr>
        <w:t>中标或者</w:t>
      </w:r>
      <w:r>
        <w:rPr>
          <w:rFonts w:hint="eastAsia" w:ascii="宋体" w:hAnsi="宋体" w:cs="宋体"/>
          <w:sz w:val="24"/>
          <w:lang w:val="en-US" w:eastAsia="zh-CN"/>
        </w:rPr>
        <w:t>成交</w:t>
      </w:r>
      <w:r>
        <w:rPr>
          <w:rFonts w:hint="eastAsia" w:ascii="宋体" w:hAnsi="宋体" w:cs="宋体"/>
          <w:sz w:val="24"/>
          <w:lang w:eastAsia="zh-CN"/>
        </w:rPr>
        <w:t>响应人</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2068724E">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标或者</w:t>
      </w:r>
      <w:r>
        <w:rPr>
          <w:rFonts w:hint="eastAsia" w:ascii="宋体" w:hAnsi="宋体"/>
          <w:sz w:val="24"/>
          <w:u w:val="single"/>
          <w:lang w:val="en-US" w:eastAsia="zh-CN"/>
        </w:rPr>
        <w:t>成交</w:t>
      </w:r>
      <w:r>
        <w:rPr>
          <w:rFonts w:hint="eastAsia" w:ascii="宋体" w:hAnsi="宋体"/>
          <w:sz w:val="24"/>
          <w:u w:val="single"/>
          <w:lang w:eastAsia="zh-CN"/>
        </w:rPr>
        <w:t>响应人</w:t>
      </w:r>
      <w:r>
        <w:rPr>
          <w:rFonts w:ascii="宋体" w:hAnsi="宋体"/>
          <w:sz w:val="24"/>
          <w:u w:val="single"/>
        </w:rPr>
        <w:t xml:space="preserve">名称）   </w:t>
      </w:r>
      <w:r>
        <w:rPr>
          <w:rFonts w:ascii="宋体" w:hAnsi="宋体"/>
          <w:sz w:val="24"/>
          <w:lang w:val="zh-CN"/>
        </w:rPr>
        <w:t>(以下简称：乙方)协商一致，约定以下合同</w:t>
      </w:r>
      <w:r>
        <w:rPr>
          <w:rFonts w:hint="eastAsia" w:ascii="宋体" w:hAnsi="宋体"/>
          <w:sz w:val="24"/>
        </w:rPr>
        <w:t>条款，以兹共同遵守、全面履行。</w:t>
      </w:r>
    </w:p>
    <w:p w14:paraId="363C2EEE">
      <w:pPr>
        <w:spacing w:line="560" w:lineRule="exact"/>
        <w:ind w:firstLine="482" w:firstLineChars="200"/>
        <w:outlineLvl w:val="0"/>
        <w:rPr>
          <w:rFonts w:ascii="宋体" w:hAnsi="宋体"/>
          <w:sz w:val="24"/>
        </w:rPr>
      </w:pPr>
      <w:r>
        <w:rPr>
          <w:rFonts w:ascii="宋体" w:hAnsi="宋体"/>
          <w:b/>
          <w:sz w:val="24"/>
        </w:rPr>
        <w:t xml:space="preserve">1.1 </w:t>
      </w:r>
      <w:r>
        <w:rPr>
          <w:rFonts w:hint="eastAsia" w:ascii="宋体" w:hAnsi="宋体"/>
          <w:b/>
          <w:sz w:val="24"/>
        </w:rPr>
        <w:t>合同组成部分</w:t>
      </w:r>
    </w:p>
    <w:p w14:paraId="27E7888E">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98E81A8">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497F004D">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13F4187D">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2E76C46F">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37A619DB">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537EFAE4">
      <w:pPr>
        <w:spacing w:line="560" w:lineRule="exact"/>
        <w:ind w:firstLine="482" w:firstLineChars="200"/>
        <w:outlineLvl w:val="0"/>
        <w:rPr>
          <w:rFonts w:ascii="宋体" w:hAnsi="宋体"/>
          <w:b/>
          <w:sz w:val="24"/>
        </w:rPr>
      </w:pPr>
      <w:r>
        <w:rPr>
          <w:rFonts w:ascii="宋体" w:hAnsi="宋体"/>
          <w:b/>
          <w:sz w:val="24"/>
        </w:rPr>
        <w:t xml:space="preserve">1.2 </w:t>
      </w:r>
      <w:r>
        <w:rPr>
          <w:rFonts w:hint="eastAsia" w:ascii="宋体" w:hAnsi="宋体"/>
          <w:b/>
          <w:sz w:val="24"/>
        </w:rPr>
        <w:t>标的</w:t>
      </w:r>
    </w:p>
    <w:p w14:paraId="12C16CF6">
      <w:pPr>
        <w:spacing w:line="360" w:lineRule="auto"/>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14:paraId="17186285">
      <w:pPr>
        <w:spacing w:line="360" w:lineRule="auto"/>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u w:val="single"/>
        </w:rPr>
        <w:t>根据采购文件确定的技术指标或者服务要求确定验收指标和标准。未进行相应约定的，应当符合国家强制性规定、政策要求、安全标准、行业和企业有关标准等</w:t>
      </w:r>
      <w:r>
        <w:rPr>
          <w:rFonts w:ascii="宋体" w:hAnsi="宋体"/>
          <w:sz w:val="24"/>
          <w:u w:val="single"/>
        </w:rPr>
        <w:t xml:space="preserve">     </w:t>
      </w:r>
      <w:r>
        <w:rPr>
          <w:rFonts w:hint="eastAsia" w:ascii="宋体" w:hAnsi="宋体"/>
          <w:sz w:val="24"/>
        </w:rPr>
        <w:t>；</w:t>
      </w:r>
    </w:p>
    <w:p w14:paraId="273B7602">
      <w:pPr>
        <w:spacing w:line="360" w:lineRule="auto"/>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w:t>
      </w:r>
      <w:r>
        <w:rPr>
          <w:rFonts w:hint="eastAsia" w:ascii="宋体" w:hAnsi="宋体"/>
          <w:sz w:val="24"/>
          <w:u w:val="single"/>
        </w:rPr>
        <w:t>按乙方提供的服务方案及承诺保障本合同有效执行</w:t>
      </w:r>
      <w:r>
        <w:rPr>
          <w:rFonts w:ascii="宋体" w:hAnsi="宋体"/>
          <w:sz w:val="24"/>
          <w:u w:val="single"/>
        </w:rPr>
        <w:t xml:space="preserve"> 　  </w:t>
      </w:r>
      <w:r>
        <w:rPr>
          <w:rFonts w:hint="eastAsia" w:ascii="宋体" w:hAnsi="宋体"/>
          <w:sz w:val="24"/>
          <w:u w:val="single"/>
        </w:rPr>
        <w:t>；</w:t>
      </w:r>
    </w:p>
    <w:p w14:paraId="350FA7F7">
      <w:pPr>
        <w:spacing w:line="360" w:lineRule="auto"/>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14:paraId="3E0F1AE0">
      <w:pPr>
        <w:pStyle w:val="960"/>
        <w:spacing w:before="0" w:beforeAutospacing="0" w:after="0" w:afterAutospacing="0" w:line="360" w:lineRule="auto"/>
        <w:ind w:firstLine="480"/>
      </w:pPr>
      <w:r>
        <w:rPr>
          <w:rFonts w:hint="eastAsia"/>
        </w:rPr>
        <w:t>1.2.5合同</w:t>
      </w:r>
      <w:r>
        <w:rPr>
          <w:rFonts w:hint="eastAsia"/>
          <w:u w:val="single"/>
        </w:rPr>
        <w:t xml:space="preserve">   否  </w:t>
      </w:r>
      <w:r>
        <w:rPr>
          <w:rFonts w:hint="eastAsia"/>
        </w:rPr>
        <w:t>（是</w:t>
      </w:r>
      <w:r>
        <w:rPr>
          <w:rFonts w:hint="eastAsia" w:ascii="仿宋" w:hAnsi="仿宋" w:eastAsia="仿宋" w:cs="仿宋"/>
        </w:rPr>
        <w:t>/</w:t>
      </w:r>
      <w:r>
        <w:rPr>
          <w:rFonts w:hint="eastAsia"/>
        </w:rPr>
        <w:t>否）涉及货物。若涉及货物的，则：</w:t>
      </w:r>
    </w:p>
    <w:p w14:paraId="2C6264B1">
      <w:pPr>
        <w:spacing w:line="360" w:lineRule="auto"/>
        <w:ind w:firstLine="480" w:firstLineChars="200"/>
        <w:rPr>
          <w:rFonts w:ascii="宋体" w:hAnsi="宋体" w:cs="宋体"/>
          <w:sz w:val="24"/>
          <w:u w:val="single"/>
        </w:rPr>
      </w:pPr>
      <w:r>
        <w:rPr>
          <w:rFonts w:hint="eastAsia" w:ascii="宋体" w:hAnsi="宋体" w:cs="宋体"/>
          <w:sz w:val="24"/>
        </w:rPr>
        <w:t>1.2.5.1 货物名称、品牌、规格型号、花色：</w:t>
      </w:r>
      <w:r>
        <w:rPr>
          <w:rFonts w:hint="eastAsia" w:ascii="宋体" w:hAnsi="宋体" w:cs="宋体"/>
          <w:sz w:val="24"/>
          <w:u w:val="single"/>
        </w:rPr>
        <w:t xml:space="preserve">            /          </w:t>
      </w:r>
      <w:r>
        <w:rPr>
          <w:rFonts w:hint="eastAsia" w:ascii="宋体" w:hAnsi="宋体" w:cs="宋体"/>
          <w:sz w:val="24"/>
        </w:rPr>
        <w:t>；</w:t>
      </w:r>
    </w:p>
    <w:p w14:paraId="66D62E2B">
      <w:pPr>
        <w:spacing w:line="360" w:lineRule="auto"/>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                      </w:t>
      </w:r>
      <w:r>
        <w:rPr>
          <w:rFonts w:hint="eastAsia" w:ascii="宋体" w:hAnsi="宋体" w:cs="宋体"/>
          <w:sz w:val="24"/>
        </w:rPr>
        <w:t>；</w:t>
      </w:r>
    </w:p>
    <w:p w14:paraId="599DD522">
      <w:pPr>
        <w:spacing w:line="360" w:lineRule="auto"/>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　                      　 </w:t>
      </w:r>
      <w:r>
        <w:rPr>
          <w:rFonts w:hint="eastAsia" w:ascii="宋体" w:hAnsi="宋体" w:cs="宋体"/>
          <w:sz w:val="24"/>
        </w:rPr>
        <w:t>；</w:t>
      </w:r>
    </w:p>
    <w:p w14:paraId="7744F8AD">
      <w:pPr>
        <w:spacing w:line="560" w:lineRule="exact"/>
        <w:ind w:firstLine="482" w:firstLineChars="200"/>
        <w:outlineLvl w:val="0"/>
        <w:rPr>
          <w:rFonts w:ascii="宋体" w:hAnsi="宋体"/>
          <w:b/>
          <w:sz w:val="24"/>
        </w:rPr>
      </w:pPr>
      <w:r>
        <w:rPr>
          <w:rFonts w:ascii="宋体" w:hAnsi="宋体"/>
          <w:b/>
          <w:sz w:val="24"/>
        </w:rPr>
        <w:t>1.3 价款</w:t>
      </w:r>
    </w:p>
    <w:p w14:paraId="24304DC5">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条款规定的计价方式计价。</w:t>
      </w:r>
    </w:p>
    <w:p w14:paraId="14F52515">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0EC3858C">
      <w:pPr>
        <w:spacing w:line="560" w:lineRule="exact"/>
        <w:ind w:firstLine="480" w:firstLineChars="200"/>
        <w:rPr>
          <w:rFonts w:ascii="宋体" w:hAnsi="宋体"/>
          <w:sz w:val="24"/>
          <w:u w:val="single"/>
        </w:rPr>
      </w:pPr>
      <w:r>
        <w:rPr>
          <w:rFonts w:ascii="宋体" w:hAnsi="宋体"/>
          <w:sz w:val="24"/>
        </w:rPr>
        <w:t>分项价格：</w:t>
      </w:r>
    </w:p>
    <w:tbl>
      <w:tblPr>
        <w:tblStyle w:val="62"/>
        <w:tblW w:w="7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3623"/>
        <w:gridCol w:w="2717"/>
      </w:tblGrid>
      <w:tr w14:paraId="1589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79" w:type="dxa"/>
            <w:noWrap w:val="0"/>
            <w:vAlign w:val="center"/>
          </w:tcPr>
          <w:p w14:paraId="5E8C9BB9">
            <w:pPr>
              <w:pStyle w:val="320"/>
              <w:keepNext w:val="0"/>
              <w:keepLines w:val="0"/>
              <w:suppressLineNumbers w:val="0"/>
              <w:spacing w:before="0" w:beforeAutospacing="0" w:after="0" w:afterAutospacing="0" w:line="560" w:lineRule="exact"/>
              <w:ind w:right="0"/>
              <w:jc w:val="center"/>
              <w:rPr>
                <w:rFonts w:hint="default" w:hAnsi="宋体"/>
                <w:sz w:val="24"/>
                <w:szCs w:val="24"/>
              </w:rPr>
            </w:pPr>
            <w:r>
              <w:rPr>
                <w:rFonts w:hint="default" w:hAnsi="宋体"/>
                <w:sz w:val="24"/>
                <w:szCs w:val="24"/>
              </w:rPr>
              <w:t>序号</w:t>
            </w:r>
          </w:p>
        </w:tc>
        <w:tc>
          <w:tcPr>
            <w:tcW w:w="3623" w:type="dxa"/>
            <w:noWrap w:val="0"/>
            <w:vAlign w:val="center"/>
          </w:tcPr>
          <w:p w14:paraId="0D385BF9">
            <w:pPr>
              <w:pStyle w:val="320"/>
              <w:keepNext w:val="0"/>
              <w:keepLines w:val="0"/>
              <w:suppressLineNumbers w:val="0"/>
              <w:spacing w:before="0" w:beforeAutospacing="0" w:after="0" w:afterAutospacing="0" w:line="560" w:lineRule="exact"/>
              <w:ind w:right="0" w:firstLine="200"/>
              <w:jc w:val="center"/>
              <w:rPr>
                <w:rFonts w:hint="default" w:hAnsi="宋体"/>
                <w:sz w:val="24"/>
                <w:szCs w:val="24"/>
              </w:rPr>
            </w:pPr>
            <w:r>
              <w:rPr>
                <w:rFonts w:hint="eastAsia" w:hAnsi="宋体"/>
                <w:sz w:val="24"/>
                <w:szCs w:val="24"/>
              </w:rPr>
              <w:t>分项名称</w:t>
            </w:r>
          </w:p>
        </w:tc>
        <w:tc>
          <w:tcPr>
            <w:tcW w:w="2717" w:type="dxa"/>
            <w:noWrap w:val="0"/>
            <w:vAlign w:val="center"/>
          </w:tcPr>
          <w:p w14:paraId="1054855D">
            <w:pPr>
              <w:pStyle w:val="320"/>
              <w:keepNext w:val="0"/>
              <w:keepLines w:val="0"/>
              <w:suppressLineNumbers w:val="0"/>
              <w:spacing w:before="0" w:beforeAutospacing="0" w:after="0" w:afterAutospacing="0" w:line="560" w:lineRule="exact"/>
              <w:ind w:right="0"/>
              <w:jc w:val="center"/>
              <w:rPr>
                <w:rFonts w:hint="default" w:hAnsi="宋体"/>
                <w:sz w:val="24"/>
                <w:szCs w:val="24"/>
              </w:rPr>
            </w:pPr>
            <w:r>
              <w:rPr>
                <w:rFonts w:hint="default" w:hAnsi="宋体"/>
                <w:sz w:val="24"/>
                <w:szCs w:val="24"/>
              </w:rPr>
              <w:t>分项价格</w:t>
            </w:r>
          </w:p>
        </w:tc>
      </w:tr>
      <w:tr w14:paraId="4E37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79" w:type="dxa"/>
            <w:noWrap w:val="0"/>
            <w:vAlign w:val="center"/>
          </w:tcPr>
          <w:p w14:paraId="584219B1">
            <w:pPr>
              <w:pStyle w:val="320"/>
              <w:keepNext w:val="0"/>
              <w:keepLines w:val="0"/>
              <w:suppressLineNumbers w:val="0"/>
              <w:spacing w:before="0" w:beforeAutospacing="0" w:after="0" w:afterAutospacing="0" w:line="560" w:lineRule="exact"/>
              <w:ind w:right="0" w:firstLine="200"/>
              <w:jc w:val="center"/>
              <w:rPr>
                <w:rFonts w:hint="default" w:hAnsi="宋体"/>
                <w:sz w:val="24"/>
                <w:szCs w:val="24"/>
              </w:rPr>
            </w:pPr>
          </w:p>
        </w:tc>
        <w:tc>
          <w:tcPr>
            <w:tcW w:w="3623" w:type="dxa"/>
            <w:noWrap w:val="0"/>
            <w:vAlign w:val="center"/>
          </w:tcPr>
          <w:p w14:paraId="5C0F8CD4">
            <w:pPr>
              <w:pStyle w:val="320"/>
              <w:keepNext w:val="0"/>
              <w:keepLines w:val="0"/>
              <w:suppressLineNumbers w:val="0"/>
              <w:spacing w:before="0" w:beforeAutospacing="0" w:after="0" w:afterAutospacing="0" w:line="560" w:lineRule="exact"/>
              <w:ind w:right="0" w:firstLine="200"/>
              <w:jc w:val="center"/>
              <w:rPr>
                <w:rFonts w:hint="default" w:hAnsi="宋体"/>
                <w:sz w:val="24"/>
                <w:szCs w:val="24"/>
              </w:rPr>
            </w:pPr>
          </w:p>
        </w:tc>
        <w:tc>
          <w:tcPr>
            <w:tcW w:w="2717" w:type="dxa"/>
            <w:noWrap w:val="0"/>
            <w:vAlign w:val="center"/>
          </w:tcPr>
          <w:p w14:paraId="478E378C">
            <w:pPr>
              <w:pStyle w:val="320"/>
              <w:keepNext w:val="0"/>
              <w:keepLines w:val="0"/>
              <w:suppressLineNumbers w:val="0"/>
              <w:spacing w:before="0" w:beforeAutospacing="0" w:after="0" w:afterAutospacing="0" w:line="560" w:lineRule="exact"/>
              <w:ind w:right="0" w:firstLine="200"/>
              <w:jc w:val="center"/>
              <w:rPr>
                <w:rFonts w:hint="default" w:hAnsi="宋体"/>
                <w:sz w:val="24"/>
                <w:szCs w:val="24"/>
              </w:rPr>
            </w:pPr>
          </w:p>
        </w:tc>
      </w:tr>
      <w:tr w14:paraId="5F0F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79" w:type="dxa"/>
            <w:noWrap w:val="0"/>
            <w:vAlign w:val="center"/>
          </w:tcPr>
          <w:p w14:paraId="7773431C">
            <w:pPr>
              <w:pStyle w:val="320"/>
              <w:keepNext w:val="0"/>
              <w:keepLines w:val="0"/>
              <w:suppressLineNumbers w:val="0"/>
              <w:spacing w:before="0" w:beforeAutospacing="0" w:after="0" w:afterAutospacing="0" w:line="560" w:lineRule="exact"/>
              <w:ind w:right="0" w:firstLine="200"/>
              <w:jc w:val="center"/>
              <w:rPr>
                <w:rFonts w:hint="default" w:hAnsi="宋体"/>
                <w:sz w:val="24"/>
                <w:szCs w:val="24"/>
              </w:rPr>
            </w:pPr>
          </w:p>
        </w:tc>
        <w:tc>
          <w:tcPr>
            <w:tcW w:w="3623" w:type="dxa"/>
            <w:noWrap w:val="0"/>
            <w:vAlign w:val="center"/>
          </w:tcPr>
          <w:p w14:paraId="1257B6F5">
            <w:pPr>
              <w:pStyle w:val="320"/>
              <w:keepNext w:val="0"/>
              <w:keepLines w:val="0"/>
              <w:suppressLineNumbers w:val="0"/>
              <w:spacing w:before="0" w:beforeAutospacing="0" w:after="0" w:afterAutospacing="0" w:line="560" w:lineRule="exact"/>
              <w:ind w:right="0" w:firstLine="200"/>
              <w:jc w:val="center"/>
              <w:rPr>
                <w:rFonts w:hint="default" w:hAnsi="宋体"/>
                <w:sz w:val="24"/>
                <w:szCs w:val="24"/>
              </w:rPr>
            </w:pPr>
          </w:p>
        </w:tc>
        <w:tc>
          <w:tcPr>
            <w:tcW w:w="2717" w:type="dxa"/>
            <w:noWrap w:val="0"/>
            <w:vAlign w:val="center"/>
          </w:tcPr>
          <w:p w14:paraId="6FBAD30E">
            <w:pPr>
              <w:pStyle w:val="320"/>
              <w:keepNext w:val="0"/>
              <w:keepLines w:val="0"/>
              <w:suppressLineNumbers w:val="0"/>
              <w:spacing w:before="0" w:beforeAutospacing="0" w:after="0" w:afterAutospacing="0" w:line="560" w:lineRule="exact"/>
              <w:ind w:right="0" w:firstLine="200"/>
              <w:jc w:val="center"/>
              <w:rPr>
                <w:rFonts w:hint="default" w:hAnsi="宋体"/>
                <w:sz w:val="24"/>
                <w:szCs w:val="24"/>
              </w:rPr>
            </w:pPr>
          </w:p>
        </w:tc>
      </w:tr>
      <w:tr w14:paraId="1F3B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902" w:type="dxa"/>
            <w:gridSpan w:val="2"/>
            <w:noWrap w:val="0"/>
            <w:vAlign w:val="center"/>
          </w:tcPr>
          <w:p w14:paraId="21B766F6">
            <w:pPr>
              <w:pStyle w:val="320"/>
              <w:keepNext w:val="0"/>
              <w:keepLines w:val="0"/>
              <w:suppressLineNumbers w:val="0"/>
              <w:spacing w:before="0" w:beforeAutospacing="0" w:after="0" w:afterAutospacing="0" w:line="560" w:lineRule="exact"/>
              <w:ind w:right="0" w:firstLine="200"/>
              <w:jc w:val="center"/>
              <w:rPr>
                <w:rFonts w:hint="default" w:hAnsi="宋体"/>
                <w:sz w:val="24"/>
                <w:szCs w:val="24"/>
              </w:rPr>
            </w:pPr>
            <w:r>
              <w:rPr>
                <w:rFonts w:hint="eastAsia" w:hAnsi="宋体"/>
                <w:sz w:val="24"/>
                <w:szCs w:val="24"/>
              </w:rPr>
              <w:t>总价</w:t>
            </w:r>
          </w:p>
        </w:tc>
        <w:tc>
          <w:tcPr>
            <w:tcW w:w="2717" w:type="dxa"/>
            <w:noWrap w:val="0"/>
            <w:vAlign w:val="center"/>
          </w:tcPr>
          <w:p w14:paraId="06F0F722">
            <w:pPr>
              <w:pStyle w:val="320"/>
              <w:keepNext w:val="0"/>
              <w:keepLines w:val="0"/>
              <w:suppressLineNumbers w:val="0"/>
              <w:spacing w:before="0" w:beforeAutospacing="0" w:after="0" w:afterAutospacing="0" w:line="560" w:lineRule="exact"/>
              <w:ind w:right="0" w:firstLine="200"/>
              <w:jc w:val="center"/>
              <w:rPr>
                <w:rFonts w:hint="default" w:hAnsi="宋体"/>
                <w:sz w:val="24"/>
                <w:szCs w:val="24"/>
              </w:rPr>
            </w:pPr>
          </w:p>
        </w:tc>
      </w:tr>
    </w:tbl>
    <w:p w14:paraId="44361BB9">
      <w:pPr>
        <w:spacing w:line="560" w:lineRule="exact"/>
        <w:ind w:firstLine="480" w:firstLineChars="200"/>
        <w:rPr>
          <w:rFonts w:ascii="宋体" w:hAnsi="宋体"/>
          <w:sz w:val="24"/>
        </w:rPr>
      </w:pPr>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359DA857">
      <w:pPr>
        <w:pStyle w:val="80"/>
        <w:spacing w:after="240" w:afterLines="100"/>
        <w:ind w:firstLine="480"/>
        <w:rPr>
          <w:lang w:val="en-US"/>
        </w:rPr>
      </w:pPr>
      <w:r>
        <w:rPr>
          <w:rFonts w:hint="eastAsia" w:ascii="宋体" w:hAnsi="宋体" w:eastAsia="宋体" w:cs="宋体"/>
          <w:sz w:val="24"/>
          <w:lang w:val="en-US"/>
        </w:rPr>
        <w:t>1.3.3其他计价方式：</w:t>
      </w:r>
      <w:r>
        <w:rPr>
          <w:rFonts w:hint="eastAsia" w:ascii="宋体" w:hAnsi="宋体" w:eastAsia="宋体" w:cs="宋体"/>
          <w:sz w:val="24"/>
          <w:u w:val="single"/>
          <w:lang w:val="en-US"/>
        </w:rPr>
        <w:t xml:space="preserve">   </w:t>
      </w:r>
      <w:r>
        <w:rPr>
          <w:rFonts w:hint="eastAsia" w:ascii="宋体" w:hAnsi="宋体" w:eastAsia="宋体" w:cs="宋体"/>
          <w:b/>
          <w:i/>
          <w:sz w:val="24"/>
          <w:szCs w:val="24"/>
          <w:u w:val="single"/>
          <w:lang w:val="en-US"/>
        </w:rPr>
        <w:t>合同专用条款</w:t>
      </w:r>
      <w:r>
        <w:rPr>
          <w:rFonts w:hint="eastAsia" w:ascii="宋体" w:hAnsi="宋体" w:eastAsia="宋体" w:cs="宋体"/>
          <w:sz w:val="24"/>
          <w:u w:val="single"/>
          <w:lang w:val="en-US"/>
        </w:rPr>
        <w:t xml:space="preserve">     </w:t>
      </w:r>
      <w:r>
        <w:rPr>
          <w:rFonts w:hint="eastAsia" w:ascii="宋体" w:hAnsi="宋体" w:eastAsia="宋体" w:cs="宋体"/>
          <w:sz w:val="24"/>
        </w:rPr>
        <w:t>。</w:t>
      </w:r>
    </w:p>
    <w:p w14:paraId="1553DB47">
      <w:pPr>
        <w:pStyle w:val="960"/>
        <w:spacing w:before="0" w:beforeAutospacing="0" w:after="240" w:afterLines="100" w:afterAutospacing="0" w:line="360" w:lineRule="auto"/>
        <w:ind w:firstLine="480"/>
        <w:rPr>
          <w:b/>
        </w:rPr>
      </w:pPr>
      <w:bookmarkStart w:id="39" w:name="_Toc10340"/>
      <w:bookmarkStart w:id="40" w:name="_Toc1814"/>
      <w:bookmarkStart w:id="41" w:name="_Toc22618"/>
      <w:r>
        <w:rPr>
          <w:rFonts w:hint="eastAsia"/>
          <w:b/>
        </w:rPr>
        <w:t>1.4履约保证金</w:t>
      </w:r>
    </w:p>
    <w:p w14:paraId="2CA0231D">
      <w:pPr>
        <w:pStyle w:val="960"/>
        <w:spacing w:before="0" w:beforeAutospacing="0" w:after="0" w:afterAutospacing="0" w:line="360" w:lineRule="auto"/>
        <w:ind w:firstLine="480"/>
      </w:pPr>
      <w:r>
        <w:rPr>
          <w:rFonts w:hint="eastAsia"/>
        </w:rPr>
        <w:t>乙方</w:t>
      </w:r>
      <w:r>
        <w:rPr>
          <w:rFonts w:hint="eastAsia"/>
          <w:u w:val="single"/>
        </w:rPr>
        <w:t xml:space="preserve">  </w:t>
      </w:r>
      <w:r>
        <w:rPr>
          <w:rFonts w:hint="eastAsia"/>
          <w:b/>
          <w:i/>
          <w:u w:val="single"/>
        </w:rPr>
        <w:t>合同专用条款</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7997F392">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6D225D1">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415CB0B">
      <w:pPr>
        <w:pStyle w:val="4"/>
        <w:tabs>
          <w:tab w:val="left" w:pos="0"/>
          <w:tab w:val="clear" w:pos="432"/>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698DB94">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5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07015412">
      <w:pPr>
        <w:spacing w:line="560" w:lineRule="exact"/>
        <w:ind w:firstLine="482" w:firstLineChars="200"/>
        <w:outlineLvl w:val="0"/>
        <w:rPr>
          <w:rFonts w:ascii="宋体" w:hAnsi="宋体" w:cs="宋体"/>
          <w:b/>
          <w:sz w:val="24"/>
        </w:rPr>
      </w:pPr>
      <w:r>
        <w:rPr>
          <w:rFonts w:hint="eastAsia" w:ascii="宋体" w:hAnsi="宋体" w:cs="宋体"/>
          <w:b/>
          <w:sz w:val="24"/>
        </w:rPr>
        <w:t>1.5</w:t>
      </w:r>
      <w:bookmarkEnd w:id="39"/>
      <w:bookmarkEnd w:id="40"/>
      <w:bookmarkEnd w:id="41"/>
      <w:r>
        <w:rPr>
          <w:rFonts w:hint="eastAsia" w:ascii="宋体" w:hAnsi="宋体" w:cs="宋体"/>
          <w:b/>
          <w:sz w:val="24"/>
        </w:rPr>
        <w:t>预付款</w:t>
      </w:r>
    </w:p>
    <w:p w14:paraId="3430B865">
      <w:pPr>
        <w:pStyle w:val="960"/>
        <w:spacing w:before="0" w:beforeAutospacing="0" w:after="0" w:afterAutospacing="0" w:line="360" w:lineRule="auto"/>
        <w:ind w:firstLine="480"/>
      </w:pPr>
      <w:r>
        <w:rPr>
          <w:rFonts w:hint="eastAsia"/>
        </w:rPr>
        <w:t>甲方</w:t>
      </w:r>
      <w:r>
        <w:rPr>
          <w:rFonts w:hint="eastAsia"/>
          <w:u w:val="single"/>
        </w:rPr>
        <w:t xml:space="preserve">  </w:t>
      </w:r>
      <w:r>
        <w:rPr>
          <w:rFonts w:hint="eastAsia"/>
          <w:b/>
          <w:i/>
          <w:u w:val="single"/>
        </w:rPr>
        <w:t>合同专用条款</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8E3B5E2">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1980762">
      <w:pPr>
        <w:pStyle w:val="960"/>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8DDAA02">
      <w:pPr>
        <w:pStyle w:val="960"/>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B47A0CC">
      <w:pPr>
        <w:pStyle w:val="960"/>
        <w:spacing w:before="0" w:beforeAutospacing="0" w:after="0" w:afterAutospacing="0" w:line="360" w:lineRule="auto"/>
        <w:ind w:firstLine="480"/>
        <w:rPr>
          <w:b/>
          <w:bCs/>
        </w:rPr>
      </w:pPr>
      <w:r>
        <w:rPr>
          <w:rFonts w:hint="eastAsia"/>
          <w:b/>
          <w:bCs/>
        </w:rPr>
        <w:t>1.6资金支付</w:t>
      </w:r>
    </w:p>
    <w:p w14:paraId="124A2DE9">
      <w:pPr>
        <w:pStyle w:val="96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E8A1BCE">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5C8F4010">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p>
    <w:p w14:paraId="1874EF9E">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2C52F9D4">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21C7F65B">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3D00EBD9">
      <w:pPr>
        <w:spacing w:line="560" w:lineRule="exact"/>
        <w:ind w:firstLine="480" w:firstLineChars="200"/>
        <w:outlineLvl w:val="0"/>
        <w:rPr>
          <w:rFonts w:ascii="宋体" w:hAnsi="宋体"/>
          <w:bCs/>
          <w:sz w:val="24"/>
        </w:rPr>
      </w:pPr>
      <w:r>
        <w:rPr>
          <w:rFonts w:hint="eastAsia" w:ascii="宋体" w:hAnsi="宋体"/>
          <w:bCs/>
          <w:sz w:val="24"/>
        </w:rPr>
        <w:t>1.7.4若服务</w:t>
      </w:r>
      <w:r>
        <w:rPr>
          <w:rFonts w:hint="eastAsia"/>
          <w:bCs/>
          <w:sz w:val="24"/>
        </w:rPr>
        <w:t>涉及货物的，则货物的：</w:t>
      </w:r>
    </w:p>
    <w:p w14:paraId="57BFD043">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7D1AB845">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1C938ACF">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50A6B84A">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p>
    <w:p w14:paraId="32B7399D">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hint="eastAsia" w:ascii="宋体" w:hAnsi="宋体" w:cs="宋体"/>
          <w:kern w:val="0"/>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355E454A">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0.05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7DA95CE5">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492B242E">
      <w:pPr>
        <w:spacing w:line="560" w:lineRule="exact"/>
        <w:ind w:firstLine="480" w:firstLineChars="200"/>
        <w:rPr>
          <w:rFonts w:ascii="宋体" w:hAnsi="宋体" w:cs="宋体"/>
          <w:sz w:val="24"/>
        </w:rPr>
      </w:pPr>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A7C7EFD">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9E067A8">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2B83B772">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p w14:paraId="59CEE2E2">
      <w:pPr>
        <w:spacing w:line="560" w:lineRule="exact"/>
        <w:ind w:firstLine="482" w:firstLineChars="200"/>
        <w:outlineLvl w:val="0"/>
        <w:rPr>
          <w:rFonts w:ascii="宋体" w:hAnsi="宋体" w:cs="宋体"/>
          <w:b/>
          <w:sz w:val="24"/>
        </w:rPr>
      </w:pPr>
      <w:bookmarkStart w:id="42" w:name="_Toc15583"/>
      <w:bookmarkStart w:id="43" w:name="_Toc28375"/>
      <w:bookmarkStart w:id="44" w:name="_Toc16021"/>
      <w:r>
        <w:rPr>
          <w:rFonts w:hint="eastAsia" w:ascii="宋体" w:hAnsi="宋体" w:cs="宋体"/>
          <w:b/>
          <w:sz w:val="24"/>
        </w:rPr>
        <w:t>1.9合同争议的解决</w:t>
      </w:r>
      <w:bookmarkEnd w:id="42"/>
      <w:bookmarkEnd w:id="43"/>
      <w:bookmarkEnd w:id="44"/>
    </w:p>
    <w:p w14:paraId="49A0E801">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合同专用条款  </w:t>
      </w:r>
      <w:r>
        <w:rPr>
          <w:rFonts w:hint="eastAsia" w:ascii="宋体" w:hAnsi="宋体" w:cs="宋体"/>
          <w:sz w:val="24"/>
        </w:rPr>
        <w:t>条款规定的方式解决：</w:t>
      </w:r>
    </w:p>
    <w:p w14:paraId="096EC5FC">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3F1C2E3A">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557AF452">
      <w:pPr>
        <w:spacing w:line="560" w:lineRule="exact"/>
        <w:ind w:firstLine="482" w:firstLineChars="200"/>
        <w:outlineLvl w:val="0"/>
        <w:rPr>
          <w:rFonts w:ascii="宋体" w:hAnsi="宋体" w:cs="宋体"/>
          <w:b/>
          <w:sz w:val="24"/>
        </w:rPr>
      </w:pPr>
      <w:bookmarkStart w:id="45" w:name="_Toc11173"/>
      <w:bookmarkStart w:id="46" w:name="_Toc7245"/>
      <w:bookmarkStart w:id="47" w:name="_Toc15322"/>
      <w:r>
        <w:rPr>
          <w:rFonts w:hint="eastAsia" w:ascii="宋体" w:hAnsi="宋体" w:cs="宋体"/>
          <w:b/>
          <w:sz w:val="24"/>
        </w:rPr>
        <w:t>1.10 合同生效</w:t>
      </w:r>
      <w:bookmarkEnd w:id="45"/>
      <w:bookmarkEnd w:id="46"/>
      <w:bookmarkEnd w:id="47"/>
    </w:p>
    <w:p w14:paraId="0F83FBBE">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458E2F5E">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0B4E4B3F">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320E3F8D">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6E5794CB">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369C971E">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1AE62216">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5E15B881">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016A93B1">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59466925">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4BF184F8">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48F31497">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3094A6AC">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3C738D36">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4E6BD109">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06BA25C7">
      <w:pPr>
        <w:pStyle w:val="703"/>
        <w:spacing w:line="560" w:lineRule="exact"/>
        <w:ind w:firstLine="482"/>
        <w:jc w:val="center"/>
        <w:rPr>
          <w:rFonts w:hint="eastAsia" w:ascii="宋体" w:hAnsi="宋体"/>
          <w:b/>
          <w:szCs w:val="24"/>
        </w:rPr>
      </w:pPr>
    </w:p>
    <w:p w14:paraId="58342FB5">
      <w:pPr>
        <w:pStyle w:val="703"/>
        <w:spacing w:line="560" w:lineRule="exact"/>
        <w:ind w:firstLine="482"/>
        <w:jc w:val="center"/>
        <w:rPr>
          <w:rFonts w:hint="eastAsia" w:ascii="宋体" w:hAnsi="宋体"/>
          <w:b/>
          <w:szCs w:val="24"/>
        </w:rPr>
      </w:pPr>
    </w:p>
    <w:p w14:paraId="378E754E">
      <w:pPr>
        <w:pStyle w:val="703"/>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2931DAB5">
      <w:pPr>
        <w:spacing w:line="560" w:lineRule="exact"/>
        <w:ind w:firstLine="482" w:firstLineChars="200"/>
        <w:outlineLvl w:val="0"/>
        <w:rPr>
          <w:rFonts w:ascii="宋体" w:hAnsi="宋体"/>
          <w:b/>
          <w:sz w:val="24"/>
        </w:rPr>
      </w:pPr>
      <w:r>
        <w:rPr>
          <w:rFonts w:ascii="宋体" w:hAnsi="宋体"/>
          <w:b/>
          <w:sz w:val="24"/>
        </w:rPr>
        <w:t>2.1 定义</w:t>
      </w:r>
    </w:p>
    <w:p w14:paraId="2B371F3A">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4BDB3247">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w:t>
      </w:r>
      <w:r>
        <w:rPr>
          <w:rFonts w:hint="eastAsia" w:ascii="宋体" w:hAnsi="宋体" w:cs="宋体"/>
          <w:sz w:val="24"/>
          <w:lang w:eastAsia="zh-CN"/>
        </w:rPr>
        <w:t>或成交供应商</w:t>
      </w:r>
      <w:r>
        <w:rPr>
          <w:rFonts w:ascii="宋体" w:hAnsi="宋体"/>
          <w:sz w:val="24"/>
        </w:rPr>
        <w:t>签订的载明双方当事人所达成的协议，并包括所有的附件、附录和构成合同的其他文件。</w:t>
      </w:r>
    </w:p>
    <w:p w14:paraId="2826136C">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w:t>
      </w:r>
      <w:r>
        <w:rPr>
          <w:rFonts w:hint="eastAsia" w:ascii="宋体" w:hAnsi="宋体" w:cs="宋体"/>
          <w:sz w:val="24"/>
          <w:lang w:eastAsia="zh-CN"/>
        </w:rPr>
        <w:t>或成交供应商</w:t>
      </w:r>
      <w:r>
        <w:rPr>
          <w:rFonts w:ascii="宋体" w:hAnsi="宋体"/>
          <w:sz w:val="24"/>
        </w:rPr>
        <w:t>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w:t>
      </w:r>
      <w:r>
        <w:rPr>
          <w:rFonts w:hint="eastAsia" w:ascii="宋体" w:hAnsi="宋体" w:cs="宋体"/>
          <w:sz w:val="24"/>
          <w:lang w:eastAsia="zh-CN"/>
        </w:rPr>
        <w:t>或成交供应商</w:t>
      </w:r>
      <w:r>
        <w:rPr>
          <w:rFonts w:ascii="宋体" w:hAnsi="宋体"/>
          <w:sz w:val="24"/>
        </w:rPr>
        <w:t>的价格。</w:t>
      </w:r>
    </w:p>
    <w:p w14:paraId="1F8D9316">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w:t>
      </w:r>
      <w:r>
        <w:rPr>
          <w:rFonts w:hint="eastAsia" w:ascii="宋体" w:hAnsi="宋体" w:cs="宋体"/>
          <w:sz w:val="24"/>
          <w:lang w:eastAsia="zh-CN"/>
        </w:rPr>
        <w:t>或成交供应商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4C6C84BC">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w:t>
      </w:r>
      <w:r>
        <w:rPr>
          <w:rFonts w:hint="eastAsia" w:ascii="宋体" w:hAnsi="宋体" w:cs="宋体"/>
          <w:sz w:val="24"/>
          <w:lang w:eastAsia="zh-CN"/>
        </w:rPr>
        <w:t>或成交供应商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4D265482">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w:t>
      </w:r>
      <w:r>
        <w:rPr>
          <w:rFonts w:hint="eastAsia" w:ascii="宋体" w:hAnsi="宋体" w:cs="宋体"/>
          <w:sz w:val="24"/>
          <w:lang w:eastAsia="zh-CN"/>
        </w:rPr>
        <w:t>或成交供应商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2F55DE4">
      <w:pPr>
        <w:spacing w:line="560" w:lineRule="exact"/>
        <w:ind w:firstLine="480" w:firstLineChars="200"/>
        <w:rPr>
          <w:rFonts w:ascii="宋体" w:hAnsi="宋体"/>
          <w:sz w:val="24"/>
        </w:rPr>
      </w:pPr>
      <w:r>
        <w:rPr>
          <w:rFonts w:ascii="宋体" w:hAnsi="宋体"/>
          <w:sz w:val="24"/>
        </w:rPr>
        <w:t>2.1.6 “现场”系指合同约定提供服务的地点。</w:t>
      </w:r>
    </w:p>
    <w:p w14:paraId="7F3F8E9B">
      <w:pPr>
        <w:spacing w:line="560" w:lineRule="exact"/>
        <w:ind w:firstLine="482" w:firstLineChars="200"/>
        <w:outlineLvl w:val="0"/>
        <w:rPr>
          <w:rFonts w:ascii="宋体" w:hAnsi="宋体"/>
          <w:b/>
          <w:sz w:val="24"/>
        </w:rPr>
      </w:pPr>
      <w:r>
        <w:rPr>
          <w:rFonts w:ascii="宋体" w:hAnsi="宋体"/>
          <w:b/>
          <w:sz w:val="24"/>
        </w:rPr>
        <w:t>2.2 技术规范</w:t>
      </w:r>
    </w:p>
    <w:p w14:paraId="45F8FFB7">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5EB6F619">
      <w:pPr>
        <w:spacing w:line="560" w:lineRule="exact"/>
        <w:ind w:firstLine="482" w:firstLineChars="200"/>
        <w:outlineLvl w:val="0"/>
        <w:rPr>
          <w:rFonts w:ascii="宋体" w:hAnsi="宋体"/>
          <w:b/>
          <w:sz w:val="24"/>
        </w:rPr>
      </w:pPr>
      <w:r>
        <w:rPr>
          <w:rFonts w:ascii="宋体" w:hAnsi="宋体"/>
          <w:b/>
          <w:sz w:val="24"/>
        </w:rPr>
        <w:t>2.3 知识产权</w:t>
      </w:r>
    </w:p>
    <w:p w14:paraId="1D2394A1">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5F63BC25">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18B87D1D">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499279BB">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497A7416">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6E9561F8">
      <w:pPr>
        <w:spacing w:line="560" w:lineRule="exact"/>
        <w:ind w:firstLine="482" w:firstLineChars="200"/>
        <w:outlineLvl w:val="0"/>
        <w:rPr>
          <w:rFonts w:ascii="宋体" w:hAnsi="宋体"/>
          <w:b/>
          <w:sz w:val="24"/>
        </w:rPr>
      </w:pPr>
      <w:r>
        <w:rPr>
          <w:rFonts w:ascii="宋体" w:hAnsi="宋体"/>
          <w:b/>
          <w:sz w:val="24"/>
        </w:rPr>
        <w:t>2.5 结算方式和付款条件</w:t>
      </w:r>
    </w:p>
    <w:p w14:paraId="0D92BF86">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172D3FD6">
      <w:pPr>
        <w:spacing w:line="560" w:lineRule="exact"/>
        <w:ind w:firstLine="482" w:firstLineChars="200"/>
        <w:outlineLvl w:val="0"/>
        <w:rPr>
          <w:rFonts w:ascii="宋体" w:hAnsi="宋体"/>
          <w:b/>
          <w:sz w:val="24"/>
        </w:rPr>
      </w:pPr>
      <w:r>
        <w:rPr>
          <w:rFonts w:ascii="宋体" w:hAnsi="宋体"/>
          <w:b/>
          <w:sz w:val="24"/>
        </w:rPr>
        <w:t>2.6 技术资料和保密义务</w:t>
      </w:r>
    </w:p>
    <w:p w14:paraId="110F8A4C">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11EF78B9">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0CBADA09">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6367075F">
      <w:pPr>
        <w:spacing w:line="560" w:lineRule="exact"/>
        <w:ind w:firstLine="482" w:firstLineChars="200"/>
        <w:outlineLvl w:val="0"/>
        <w:rPr>
          <w:rFonts w:ascii="宋体" w:hAnsi="宋体"/>
          <w:b/>
          <w:sz w:val="24"/>
        </w:rPr>
      </w:pPr>
      <w:r>
        <w:rPr>
          <w:rFonts w:ascii="宋体" w:hAnsi="宋体"/>
          <w:b/>
          <w:sz w:val="24"/>
        </w:rPr>
        <w:t xml:space="preserve">2.7 </w:t>
      </w:r>
      <w:r>
        <w:rPr>
          <w:rFonts w:hint="eastAsia" w:ascii="宋体" w:hAnsi="宋体"/>
          <w:b/>
          <w:sz w:val="24"/>
        </w:rPr>
        <w:t>质量保证</w:t>
      </w:r>
    </w:p>
    <w:p w14:paraId="7581F580">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1B211151">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0E2FD799">
      <w:pPr>
        <w:spacing w:line="560" w:lineRule="exact"/>
        <w:ind w:firstLine="482" w:firstLineChars="200"/>
        <w:outlineLvl w:val="0"/>
        <w:rPr>
          <w:rFonts w:ascii="宋体" w:hAnsi="宋体"/>
          <w:b/>
          <w:sz w:val="24"/>
        </w:rPr>
      </w:pPr>
      <w:r>
        <w:rPr>
          <w:rFonts w:ascii="宋体" w:hAnsi="宋体"/>
          <w:b/>
          <w:sz w:val="24"/>
        </w:rPr>
        <w:t xml:space="preserve">2.8 </w:t>
      </w:r>
      <w:r>
        <w:rPr>
          <w:rFonts w:hint="eastAsia" w:ascii="宋体" w:hAnsi="宋体"/>
          <w:b/>
          <w:sz w:val="24"/>
        </w:rPr>
        <w:t>延迟履行</w:t>
      </w:r>
    </w:p>
    <w:p w14:paraId="207EA566">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73C4B6F9">
      <w:pPr>
        <w:spacing w:line="560" w:lineRule="exact"/>
        <w:ind w:firstLine="482" w:firstLineChars="200"/>
        <w:outlineLvl w:val="0"/>
        <w:rPr>
          <w:rFonts w:ascii="宋体" w:hAnsi="宋体"/>
          <w:b/>
          <w:sz w:val="24"/>
        </w:rPr>
      </w:pPr>
      <w:r>
        <w:rPr>
          <w:rFonts w:ascii="宋体" w:hAnsi="宋体"/>
          <w:b/>
          <w:sz w:val="24"/>
        </w:rPr>
        <w:t xml:space="preserve">2.9 </w:t>
      </w:r>
      <w:r>
        <w:rPr>
          <w:rFonts w:hint="eastAsia" w:ascii="宋体" w:hAnsi="宋体"/>
          <w:b/>
          <w:sz w:val="24"/>
        </w:rPr>
        <w:t>合同变更</w:t>
      </w:r>
    </w:p>
    <w:p w14:paraId="2EFECD47">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0CEBF54E">
      <w:pPr>
        <w:spacing w:line="560" w:lineRule="exact"/>
        <w:ind w:firstLine="482" w:firstLineChars="200"/>
        <w:outlineLvl w:val="0"/>
        <w:rPr>
          <w:rFonts w:ascii="宋体" w:hAnsi="宋体"/>
          <w:b/>
          <w:sz w:val="24"/>
        </w:rPr>
      </w:pPr>
      <w:r>
        <w:rPr>
          <w:rFonts w:ascii="宋体" w:hAnsi="宋体"/>
          <w:b/>
          <w:sz w:val="24"/>
        </w:rPr>
        <w:t>2.10 合同转让和分包</w:t>
      </w:r>
    </w:p>
    <w:p w14:paraId="54D6CE6B">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书面同意，乙方可以依法采取分包方式履行合同，即：依法可以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与分包供应商就分包项目向甲方承担连带责任。非主体、非关键性工作系指服装配备的工作。</w:t>
      </w:r>
    </w:p>
    <w:p w14:paraId="748CC132">
      <w:pPr>
        <w:spacing w:line="560" w:lineRule="exact"/>
        <w:ind w:firstLine="482" w:firstLineChars="200"/>
        <w:outlineLvl w:val="0"/>
        <w:rPr>
          <w:rFonts w:ascii="宋体" w:hAnsi="宋体"/>
          <w:b/>
          <w:sz w:val="24"/>
        </w:rPr>
      </w:pPr>
      <w:r>
        <w:rPr>
          <w:rFonts w:ascii="宋体" w:hAnsi="宋体"/>
          <w:b/>
          <w:sz w:val="24"/>
        </w:rPr>
        <w:t>2.11 不可抗力</w:t>
      </w:r>
    </w:p>
    <w:p w14:paraId="47C0926B">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6ACC4117">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1957B9DD">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07F008D8">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2A00B88B">
      <w:pPr>
        <w:spacing w:line="560" w:lineRule="exact"/>
        <w:ind w:firstLine="482" w:firstLineChars="200"/>
        <w:outlineLvl w:val="0"/>
        <w:rPr>
          <w:rFonts w:ascii="宋体" w:hAnsi="宋体"/>
          <w:b/>
          <w:sz w:val="24"/>
        </w:rPr>
      </w:pPr>
      <w:r>
        <w:rPr>
          <w:rFonts w:ascii="宋体" w:hAnsi="宋体"/>
          <w:b/>
          <w:sz w:val="24"/>
        </w:rPr>
        <w:t>2.12 税费</w:t>
      </w:r>
    </w:p>
    <w:p w14:paraId="05E3344A">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3D046EFD">
      <w:pPr>
        <w:spacing w:line="560" w:lineRule="exact"/>
        <w:ind w:firstLine="482" w:firstLineChars="200"/>
        <w:outlineLvl w:val="0"/>
        <w:rPr>
          <w:rFonts w:ascii="宋体" w:hAnsi="宋体"/>
          <w:b/>
          <w:sz w:val="24"/>
        </w:rPr>
      </w:pPr>
      <w:r>
        <w:rPr>
          <w:rFonts w:ascii="宋体" w:hAnsi="宋体"/>
          <w:b/>
          <w:sz w:val="24"/>
        </w:rPr>
        <w:t>2.13 乙方破产</w:t>
      </w:r>
    </w:p>
    <w:p w14:paraId="70E21750">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0AAA8A57">
      <w:pPr>
        <w:spacing w:line="560" w:lineRule="exact"/>
        <w:ind w:firstLine="482" w:firstLineChars="200"/>
        <w:outlineLvl w:val="0"/>
        <w:rPr>
          <w:rFonts w:ascii="宋体" w:hAnsi="宋体"/>
          <w:b/>
          <w:sz w:val="24"/>
        </w:rPr>
      </w:pPr>
      <w:r>
        <w:rPr>
          <w:rFonts w:ascii="宋体" w:hAnsi="宋体"/>
          <w:b/>
          <w:sz w:val="24"/>
        </w:rPr>
        <w:t>2.14 合同中止、终止</w:t>
      </w:r>
    </w:p>
    <w:p w14:paraId="5B7E1880">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217B0557">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0B00C1D4">
      <w:pPr>
        <w:spacing w:line="560" w:lineRule="exact"/>
        <w:ind w:firstLine="482" w:firstLineChars="200"/>
        <w:outlineLvl w:val="0"/>
        <w:rPr>
          <w:rFonts w:ascii="宋体" w:hAnsi="宋体"/>
          <w:b/>
          <w:sz w:val="24"/>
        </w:rPr>
      </w:pPr>
      <w:r>
        <w:rPr>
          <w:rFonts w:ascii="宋体" w:hAnsi="宋体"/>
          <w:b/>
          <w:sz w:val="24"/>
        </w:rPr>
        <w:t>2.15 检验和验收</w:t>
      </w:r>
    </w:p>
    <w:p w14:paraId="2940D0F1">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7DC4EE8E">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733098C">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1ED8013B">
      <w:pPr>
        <w:spacing w:line="560" w:lineRule="exact"/>
        <w:ind w:firstLine="482" w:firstLineChars="200"/>
        <w:outlineLvl w:val="0"/>
        <w:rPr>
          <w:rFonts w:ascii="宋体" w:hAnsi="宋体"/>
          <w:b/>
          <w:sz w:val="24"/>
        </w:rPr>
      </w:pPr>
      <w:r>
        <w:rPr>
          <w:rFonts w:ascii="宋体" w:hAnsi="宋体"/>
          <w:b/>
          <w:sz w:val="24"/>
        </w:rPr>
        <w:t>2.16 通知和送达</w:t>
      </w:r>
    </w:p>
    <w:p w14:paraId="0F5766EA">
      <w:pPr>
        <w:spacing w:line="560" w:lineRule="exact"/>
        <w:ind w:firstLine="480" w:firstLineChars="200"/>
        <w:rPr>
          <w:rFonts w:ascii="宋体" w:hAnsi="宋体"/>
          <w:sz w:val="24"/>
        </w:rPr>
      </w:pPr>
      <w:r>
        <w:rPr>
          <w:rFonts w:ascii="宋体" w:hAnsi="宋体"/>
          <w:sz w:val="24"/>
        </w:rPr>
        <w:t>2.1</w:t>
      </w:r>
      <w:r>
        <w:rPr>
          <w:rFonts w:hint="eastAsia" w:ascii="宋体" w:hAnsi="宋体"/>
          <w:sz w:val="24"/>
        </w:rPr>
        <w:t>6</w:t>
      </w:r>
      <w:r>
        <w:rPr>
          <w:rFonts w:ascii="宋体" w:hAnsi="宋体"/>
          <w:sz w:val="24"/>
        </w:rPr>
        <w:t>.1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1D4D5E18">
      <w:pPr>
        <w:spacing w:line="560" w:lineRule="exact"/>
        <w:ind w:firstLine="480" w:firstLineChars="200"/>
        <w:rPr>
          <w:rFonts w:ascii="宋体" w:hAnsi="宋体"/>
          <w:sz w:val="24"/>
        </w:rPr>
      </w:pPr>
      <w:r>
        <w:rPr>
          <w:rFonts w:ascii="宋体" w:hAnsi="宋体"/>
          <w:sz w:val="24"/>
        </w:rPr>
        <w:t>2.1</w:t>
      </w:r>
      <w:r>
        <w:rPr>
          <w:rFonts w:hint="eastAsia" w:ascii="宋体" w:hAnsi="宋体"/>
          <w:sz w:val="24"/>
        </w:rPr>
        <w:t>6</w:t>
      </w:r>
      <w:r>
        <w:rPr>
          <w:rFonts w:ascii="宋体" w:hAnsi="宋体"/>
          <w:sz w:val="24"/>
        </w:rPr>
        <w:t>.2以当面交付方式送达的，交付之时视为送达；以电子邮件方式送达的，发出电子邮件之时视为送达；以传真方式送达的，发出传真之时视为送达；以邮寄方式送达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p>
    <w:p w14:paraId="73BAE40E">
      <w:pPr>
        <w:spacing w:line="560" w:lineRule="exact"/>
        <w:ind w:firstLine="482" w:firstLineChars="200"/>
        <w:outlineLvl w:val="0"/>
        <w:rPr>
          <w:rFonts w:ascii="宋体" w:hAnsi="宋体"/>
          <w:b/>
          <w:sz w:val="24"/>
        </w:rPr>
      </w:pPr>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p>
    <w:p w14:paraId="3090D059">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7EC93C2E">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3DC46C52">
      <w:pPr>
        <w:spacing w:line="560" w:lineRule="exact"/>
        <w:ind w:firstLine="482" w:firstLineChars="200"/>
        <w:outlineLvl w:val="0"/>
        <w:rPr>
          <w:rFonts w:ascii="宋体" w:hAnsi="宋体" w:cs="宋体"/>
          <w:b/>
          <w:sz w:val="24"/>
        </w:rPr>
      </w:pPr>
      <w:bookmarkStart w:id="48" w:name="_Toc18540"/>
      <w:bookmarkStart w:id="49" w:name="_Toc30599"/>
      <w:bookmarkStart w:id="50" w:name="_Toc4355"/>
      <w:r>
        <w:rPr>
          <w:rFonts w:hint="eastAsia" w:ascii="宋体" w:hAnsi="宋体" w:cs="宋体"/>
          <w:b/>
          <w:sz w:val="24"/>
        </w:rPr>
        <w:t>2.18 计量单位</w:t>
      </w:r>
      <w:bookmarkEnd w:id="48"/>
      <w:bookmarkEnd w:id="49"/>
      <w:bookmarkEnd w:id="50"/>
    </w:p>
    <w:p w14:paraId="369CDDF2">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A395415">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4C632F05">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40B93602">
      <w:pPr>
        <w:spacing w:line="360" w:lineRule="auto"/>
        <w:jc w:val="center"/>
        <w:outlineLvl w:val="0"/>
        <w:rPr>
          <w:rFonts w:ascii="宋体" w:hAnsi="宋体" w:cs="宋体"/>
          <w:b/>
          <w:sz w:val="24"/>
          <w:highlight w:val="none"/>
        </w:rPr>
      </w:pPr>
      <w:r>
        <w:rPr>
          <w:rFonts w:hint="eastAsia" w:ascii="宋体" w:hAnsi="宋体" w:cs="宋体"/>
          <w:kern w:val="0"/>
        </w:rPr>
        <w:br w:type="page"/>
      </w:r>
      <w:r>
        <w:rPr>
          <w:rFonts w:hint="eastAsia" w:ascii="宋体" w:hAnsi="宋体" w:cs="宋体"/>
          <w:b/>
          <w:sz w:val="24"/>
          <w:highlight w:val="none"/>
        </w:rPr>
        <w:t xml:space="preserve"> 第三部分  合同专用条款</w:t>
      </w:r>
    </w:p>
    <w:p w14:paraId="65A96883">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28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5"/>
        <w:gridCol w:w="8313"/>
      </w:tblGrid>
      <w:tr w14:paraId="17445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5" w:type="dxa"/>
            <w:tcBorders>
              <w:left w:val="single" w:color="auto" w:sz="4" w:space="0"/>
            </w:tcBorders>
            <w:noWrap w:val="0"/>
            <w:vAlign w:val="center"/>
          </w:tcPr>
          <w:p w14:paraId="6877C723">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条款号</w:t>
            </w:r>
          </w:p>
        </w:tc>
        <w:tc>
          <w:tcPr>
            <w:tcW w:w="8313" w:type="dxa"/>
            <w:noWrap w:val="0"/>
            <w:vAlign w:val="center"/>
          </w:tcPr>
          <w:p w14:paraId="3C272E4E">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约定内容</w:t>
            </w:r>
          </w:p>
        </w:tc>
      </w:tr>
      <w:tr w14:paraId="0B5BF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5" w:type="dxa"/>
            <w:tcBorders>
              <w:left w:val="single" w:color="auto" w:sz="4" w:space="0"/>
            </w:tcBorders>
            <w:noWrap w:val="0"/>
            <w:vAlign w:val="center"/>
          </w:tcPr>
          <w:p w14:paraId="5155DB2B">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1.3.2</w:t>
            </w:r>
          </w:p>
        </w:tc>
        <w:tc>
          <w:tcPr>
            <w:tcW w:w="8313" w:type="dxa"/>
            <w:noWrap w:val="0"/>
            <w:vAlign w:val="center"/>
          </w:tcPr>
          <w:p w14:paraId="4ECEBE5D">
            <w:pPr>
              <w:keepNext w:val="0"/>
              <w:keepLines w:val="0"/>
              <w:suppressLineNumbers w:val="0"/>
              <w:spacing w:before="0" w:beforeAutospacing="0" w:after="0" w:afterAutospacing="0" w:line="360" w:lineRule="auto"/>
              <w:ind w:left="0" w:right="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w:t>
            </w:r>
          </w:p>
        </w:tc>
      </w:tr>
      <w:tr w14:paraId="62369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5" w:type="dxa"/>
            <w:tcBorders>
              <w:left w:val="single" w:color="auto" w:sz="4" w:space="0"/>
            </w:tcBorders>
            <w:noWrap w:val="0"/>
            <w:vAlign w:val="center"/>
          </w:tcPr>
          <w:p w14:paraId="313DC06C">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1.3.3</w:t>
            </w:r>
          </w:p>
        </w:tc>
        <w:tc>
          <w:tcPr>
            <w:tcW w:w="8313" w:type="dxa"/>
            <w:noWrap w:val="0"/>
            <w:vAlign w:val="center"/>
          </w:tcPr>
          <w:p w14:paraId="28829BE8">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w:t>
            </w:r>
          </w:p>
        </w:tc>
      </w:tr>
      <w:tr w14:paraId="5B5B4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5" w:type="dxa"/>
            <w:tcBorders>
              <w:left w:val="single" w:color="auto" w:sz="4" w:space="0"/>
            </w:tcBorders>
            <w:noWrap w:val="0"/>
            <w:vAlign w:val="center"/>
          </w:tcPr>
          <w:p w14:paraId="6117AD09">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1.4</w:t>
            </w:r>
          </w:p>
        </w:tc>
        <w:tc>
          <w:tcPr>
            <w:tcW w:w="8313" w:type="dxa"/>
            <w:noWrap w:val="0"/>
            <w:vAlign w:val="center"/>
          </w:tcPr>
          <w:p w14:paraId="5CA54F95">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sz w:val="24"/>
                <w:highlight w:val="none"/>
              </w:rPr>
              <w:t>乙方</w:t>
            </w:r>
            <w:r>
              <w:rPr>
                <w:rFonts w:hint="eastAsia"/>
                <w:sz w:val="24"/>
                <w:highlight w:val="none"/>
                <w:u w:val="single"/>
              </w:rPr>
              <w:t xml:space="preserve">  </w:t>
            </w:r>
            <w:r>
              <w:rPr>
                <w:rFonts w:hint="eastAsia"/>
                <w:sz w:val="24"/>
                <w:highlight w:val="none"/>
                <w:u w:val="single"/>
                <w:lang w:val="en-US" w:eastAsia="zh-CN"/>
              </w:rPr>
              <w:t>否</w:t>
            </w:r>
            <w:r>
              <w:rPr>
                <w:rFonts w:hint="eastAsia"/>
                <w:sz w:val="24"/>
                <w:highlight w:val="none"/>
                <w:u w:val="single"/>
              </w:rPr>
              <w:t xml:space="preserve">   </w:t>
            </w:r>
            <w:r>
              <w:rPr>
                <w:rFonts w:hint="eastAsia"/>
                <w:sz w:val="24"/>
                <w:highlight w:val="none"/>
              </w:rPr>
              <w:t>（是</w:t>
            </w:r>
            <w:r>
              <w:rPr>
                <w:rFonts w:hint="eastAsia" w:ascii="仿宋" w:hAnsi="仿宋" w:eastAsia="仿宋" w:cs="仿宋"/>
                <w:sz w:val="24"/>
                <w:highlight w:val="none"/>
              </w:rPr>
              <w:t>/</w:t>
            </w:r>
            <w:r>
              <w:rPr>
                <w:rFonts w:hint="eastAsia"/>
                <w:sz w:val="24"/>
                <w:highlight w:val="none"/>
              </w:rPr>
              <w:t>否）需要支付履约保证金。</w:t>
            </w:r>
          </w:p>
        </w:tc>
      </w:tr>
      <w:tr w14:paraId="656E1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5" w:type="dxa"/>
            <w:tcBorders>
              <w:left w:val="single" w:color="auto" w:sz="4" w:space="0"/>
            </w:tcBorders>
            <w:noWrap w:val="0"/>
            <w:vAlign w:val="center"/>
          </w:tcPr>
          <w:p w14:paraId="14E25465">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1.4.1</w:t>
            </w:r>
          </w:p>
        </w:tc>
        <w:tc>
          <w:tcPr>
            <w:tcW w:w="8313" w:type="dxa"/>
            <w:noWrap w:val="0"/>
            <w:vAlign w:val="center"/>
          </w:tcPr>
          <w:p w14:paraId="224A5E28">
            <w:pPr>
              <w:keepNext w:val="0"/>
              <w:keepLines w:val="0"/>
              <w:suppressLineNumbers w:val="0"/>
              <w:spacing w:before="0" w:beforeAutospacing="0" w:after="0" w:afterAutospacing="0" w:line="360" w:lineRule="auto"/>
              <w:ind w:left="0" w:right="0"/>
              <w:rPr>
                <w:rFonts w:hint="default"/>
                <w:sz w:val="24"/>
                <w:highlight w:val="none"/>
              </w:rPr>
            </w:pPr>
            <w:r>
              <w:rPr>
                <w:rFonts w:hint="eastAsia" w:ascii="宋体" w:hAnsi="宋体" w:cs="宋体"/>
                <w:kern w:val="0"/>
                <w:sz w:val="24"/>
                <w:highlight w:val="none"/>
              </w:rPr>
              <w:t>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tc>
      </w:tr>
      <w:tr w14:paraId="6801E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5" w:type="dxa"/>
            <w:tcBorders>
              <w:left w:val="single" w:color="auto" w:sz="4" w:space="0"/>
            </w:tcBorders>
            <w:noWrap w:val="0"/>
            <w:vAlign w:val="center"/>
          </w:tcPr>
          <w:p w14:paraId="43A7EB7B">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1.4.2</w:t>
            </w:r>
          </w:p>
        </w:tc>
        <w:tc>
          <w:tcPr>
            <w:tcW w:w="8313" w:type="dxa"/>
            <w:noWrap w:val="0"/>
            <w:vAlign w:val="center"/>
          </w:tcPr>
          <w:p w14:paraId="6E0433BF">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w:t>
            </w:r>
          </w:p>
        </w:tc>
      </w:tr>
      <w:tr w14:paraId="1087E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5" w:type="dxa"/>
            <w:tcBorders>
              <w:left w:val="single" w:color="auto" w:sz="4" w:space="0"/>
            </w:tcBorders>
            <w:noWrap w:val="0"/>
            <w:vAlign w:val="center"/>
          </w:tcPr>
          <w:p w14:paraId="213DA21E">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1.5</w:t>
            </w:r>
          </w:p>
        </w:tc>
        <w:tc>
          <w:tcPr>
            <w:tcW w:w="8313" w:type="dxa"/>
            <w:noWrap w:val="0"/>
            <w:vAlign w:val="center"/>
          </w:tcPr>
          <w:p w14:paraId="36FE37B5">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sz w:val="24"/>
                <w:highlight w:val="none"/>
              </w:rPr>
              <w:t>甲方</w:t>
            </w:r>
            <w:r>
              <w:rPr>
                <w:rFonts w:hint="eastAsia"/>
                <w:sz w:val="24"/>
                <w:highlight w:val="none"/>
                <w:u w:val="single"/>
              </w:rPr>
              <w:t xml:space="preserve">  </w:t>
            </w:r>
            <w:r>
              <w:rPr>
                <w:rFonts w:hint="eastAsia"/>
                <w:sz w:val="24"/>
                <w:highlight w:val="none"/>
                <w:u w:val="single"/>
                <w:lang w:val="en-US" w:eastAsia="zh-CN"/>
              </w:rPr>
              <w:t>是</w:t>
            </w:r>
            <w:r>
              <w:rPr>
                <w:rFonts w:hint="eastAsia"/>
                <w:sz w:val="24"/>
                <w:highlight w:val="none"/>
                <w:u w:val="single"/>
              </w:rPr>
              <w:t xml:space="preserve">  </w:t>
            </w:r>
            <w:r>
              <w:rPr>
                <w:rFonts w:hint="eastAsia"/>
                <w:sz w:val="24"/>
                <w:highlight w:val="none"/>
              </w:rPr>
              <w:t>（是</w:t>
            </w:r>
            <w:r>
              <w:rPr>
                <w:rFonts w:hint="eastAsia" w:ascii="仿宋" w:hAnsi="仿宋" w:eastAsia="仿宋" w:cs="仿宋"/>
                <w:sz w:val="24"/>
                <w:highlight w:val="none"/>
              </w:rPr>
              <w:t>/</w:t>
            </w:r>
            <w:r>
              <w:rPr>
                <w:rFonts w:hint="eastAsia"/>
                <w:sz w:val="24"/>
                <w:highlight w:val="none"/>
              </w:rPr>
              <w:t>否）需要支付预付款。</w:t>
            </w:r>
          </w:p>
        </w:tc>
      </w:tr>
      <w:tr w14:paraId="188D8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5" w:type="dxa"/>
            <w:tcBorders>
              <w:left w:val="single" w:color="auto" w:sz="4" w:space="0"/>
            </w:tcBorders>
            <w:noWrap w:val="0"/>
            <w:vAlign w:val="center"/>
          </w:tcPr>
          <w:p w14:paraId="27E5F6DA">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 xml:space="preserve">1.5.1 </w:t>
            </w:r>
          </w:p>
        </w:tc>
        <w:tc>
          <w:tcPr>
            <w:tcW w:w="8313" w:type="dxa"/>
            <w:noWrap w:val="0"/>
            <w:vAlign w:val="center"/>
          </w:tcPr>
          <w:p w14:paraId="41B9E87D">
            <w:pPr>
              <w:keepNext w:val="0"/>
              <w:keepLines w:val="0"/>
              <w:suppressLineNumbers w:val="0"/>
              <w:spacing w:before="0" w:beforeAutospacing="0" w:after="0" w:afterAutospacing="0" w:line="360" w:lineRule="auto"/>
              <w:ind w:left="0" w:right="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合同生效且甲方完成财政资金审批手续，5个工作日内支付合同总价款的40%预付款。</w:t>
            </w:r>
          </w:p>
        </w:tc>
      </w:tr>
      <w:tr w14:paraId="7D045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5" w:type="dxa"/>
            <w:tcBorders>
              <w:left w:val="single" w:color="auto" w:sz="4" w:space="0"/>
            </w:tcBorders>
            <w:noWrap w:val="0"/>
            <w:vAlign w:val="center"/>
          </w:tcPr>
          <w:p w14:paraId="4FB26CA1">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1.5.2</w:t>
            </w:r>
          </w:p>
        </w:tc>
        <w:tc>
          <w:tcPr>
            <w:tcW w:w="8313" w:type="dxa"/>
            <w:noWrap w:val="0"/>
            <w:vAlign w:val="center"/>
          </w:tcPr>
          <w:p w14:paraId="7A84EAC0">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lang w:eastAsia="zh-CN"/>
              </w:rPr>
            </w:pPr>
            <w:r>
              <w:rPr>
                <w:rFonts w:hint="eastAsia" w:ascii="宋体" w:hAnsi="宋体" w:cs="宋体"/>
                <w:sz w:val="24"/>
                <w:highlight w:val="none"/>
                <w:lang w:val="en-US" w:eastAsia="zh-CN"/>
              </w:rPr>
              <w:t>不扣回</w:t>
            </w:r>
          </w:p>
        </w:tc>
      </w:tr>
      <w:tr w14:paraId="30429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5" w:type="dxa"/>
            <w:tcBorders>
              <w:left w:val="single" w:color="auto" w:sz="4" w:space="0"/>
            </w:tcBorders>
            <w:noWrap w:val="0"/>
            <w:vAlign w:val="center"/>
          </w:tcPr>
          <w:p w14:paraId="2585FD98">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 xml:space="preserve">1.5.3 </w:t>
            </w:r>
          </w:p>
        </w:tc>
        <w:tc>
          <w:tcPr>
            <w:tcW w:w="8313" w:type="dxa"/>
            <w:noWrap w:val="0"/>
            <w:vAlign w:val="center"/>
          </w:tcPr>
          <w:p w14:paraId="245AEDA4">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w:t>
            </w:r>
          </w:p>
        </w:tc>
      </w:tr>
      <w:tr w14:paraId="7CCE6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5" w:type="dxa"/>
            <w:tcBorders>
              <w:left w:val="single" w:color="auto" w:sz="4" w:space="0"/>
            </w:tcBorders>
            <w:noWrap w:val="0"/>
            <w:vAlign w:val="center"/>
          </w:tcPr>
          <w:p w14:paraId="2B412F8C">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1.6.2</w:t>
            </w:r>
          </w:p>
        </w:tc>
        <w:tc>
          <w:tcPr>
            <w:tcW w:w="8313" w:type="dxa"/>
            <w:noWrap w:val="0"/>
            <w:vAlign w:val="center"/>
          </w:tcPr>
          <w:p w14:paraId="24883121">
            <w:pPr>
              <w:keepNext w:val="0"/>
              <w:keepLines w:val="0"/>
              <w:suppressLineNumbers w:val="0"/>
              <w:adjustRightInd/>
              <w:spacing w:before="0" w:beforeAutospacing="0" w:after="0" w:afterAutospacing="0" w:line="360" w:lineRule="auto"/>
              <w:ind w:left="0" w:right="0"/>
              <w:rPr>
                <w:rFonts w:hint="default" w:cs="宋体" w:asciiTheme="minorEastAsia" w:hAnsiTheme="minorEastAsia"/>
                <w:sz w:val="24"/>
                <w:lang w:eastAsia="zh-Hans"/>
              </w:rPr>
            </w:pPr>
            <w:r>
              <w:rPr>
                <w:rFonts w:hint="default" w:cs="宋体" w:asciiTheme="minorEastAsia" w:hAnsiTheme="minorEastAsia"/>
                <w:sz w:val="24"/>
                <w:lang w:eastAsia="zh-Hans"/>
              </w:rPr>
              <w:t>本次项目合同总价（含税）为大写人民币           元整（￥           元），采用分期付款方式，具体如下：</w:t>
            </w:r>
          </w:p>
          <w:p w14:paraId="1E9C81FC">
            <w:pPr>
              <w:keepNext w:val="0"/>
              <w:keepLines w:val="0"/>
              <w:numPr>
                <w:ilvl w:val="0"/>
                <w:numId w:val="8"/>
              </w:numPr>
              <w:suppressLineNumbers w:val="0"/>
              <w:adjustRightInd/>
              <w:spacing w:before="0" w:beforeAutospacing="0" w:after="0" w:afterAutospacing="0" w:line="360" w:lineRule="auto"/>
              <w:ind w:left="0" w:right="0"/>
              <w:rPr>
                <w:rFonts w:hint="default" w:cs="宋体" w:asciiTheme="minorEastAsia" w:hAnsiTheme="minorEastAsia"/>
                <w:sz w:val="24"/>
                <w:lang w:eastAsia="zh-Hans"/>
              </w:rPr>
            </w:pPr>
            <w:r>
              <w:rPr>
                <w:rFonts w:hint="default" w:cs="宋体" w:asciiTheme="minorEastAsia" w:hAnsiTheme="minorEastAsia"/>
                <w:sz w:val="24"/>
                <w:lang w:eastAsia="zh-Hans"/>
              </w:rPr>
              <w:t>合同签订且本项目具备支付条件后10个工作日内，采购人向供应商支付合同总金额的40%；</w:t>
            </w:r>
          </w:p>
          <w:p w14:paraId="0E61F409">
            <w:pPr>
              <w:keepNext w:val="0"/>
              <w:keepLines w:val="0"/>
              <w:numPr>
                <w:ilvl w:val="0"/>
                <w:numId w:val="8"/>
              </w:numPr>
              <w:suppressLineNumbers w:val="0"/>
              <w:adjustRightInd/>
              <w:spacing w:before="0" w:beforeAutospacing="0" w:after="0" w:afterAutospacing="0" w:line="360" w:lineRule="auto"/>
              <w:ind w:left="0" w:right="0"/>
              <w:rPr>
                <w:rFonts w:hint="default" w:ascii="宋体" w:hAnsi="宋体" w:cs="宋体"/>
                <w:sz w:val="24"/>
                <w:highlight w:val="none"/>
              </w:rPr>
            </w:pPr>
            <w:r>
              <w:rPr>
                <w:rFonts w:hint="default" w:cs="宋体" w:asciiTheme="minorEastAsia" w:hAnsiTheme="minorEastAsia"/>
                <w:sz w:val="24"/>
                <w:lang w:eastAsia="zh-Hans"/>
              </w:rPr>
              <w:t>系统功能开发完成，项目通过初验后；供应商提供发票，10个工作日内，采购人支付合同总金额的30%；</w:t>
            </w:r>
          </w:p>
          <w:p w14:paraId="24630CF6">
            <w:pPr>
              <w:keepNext w:val="0"/>
              <w:keepLines w:val="0"/>
              <w:numPr>
                <w:ilvl w:val="0"/>
                <w:numId w:val="8"/>
              </w:numPr>
              <w:suppressLineNumbers w:val="0"/>
              <w:adjustRightInd/>
              <w:spacing w:before="0" w:beforeAutospacing="0" w:after="0" w:afterAutospacing="0" w:line="360" w:lineRule="auto"/>
              <w:ind w:left="0" w:right="0"/>
              <w:rPr>
                <w:rFonts w:hint="default" w:ascii="宋体" w:hAnsi="宋体" w:cs="宋体"/>
                <w:sz w:val="24"/>
                <w:highlight w:val="none"/>
              </w:rPr>
            </w:pPr>
            <w:r>
              <w:rPr>
                <w:rFonts w:hint="default" w:cs="宋体" w:asciiTheme="minorEastAsia" w:hAnsiTheme="minorEastAsia"/>
                <w:sz w:val="24"/>
                <w:lang w:eastAsia="zh-Hans"/>
              </w:rPr>
              <w:t>项目通过终验且具备支付条件后10个工作日内采购人支付合同总金额的30%，每次付款前供应商须提供对应金额发票。</w:t>
            </w:r>
          </w:p>
          <w:p w14:paraId="1A702224">
            <w:pPr>
              <w:keepNext w:val="0"/>
              <w:keepLines w:val="0"/>
              <w:numPr>
                <w:ilvl w:val="0"/>
                <w:numId w:val="0"/>
              </w:numPr>
              <w:suppressLineNumbers w:val="0"/>
              <w:adjustRightInd/>
              <w:spacing w:before="0" w:beforeAutospacing="0" w:after="0" w:afterAutospacing="0" w:line="360" w:lineRule="auto"/>
              <w:ind w:left="0" w:right="0"/>
              <w:rPr>
                <w:rFonts w:hint="default" w:ascii="宋体" w:hAnsi="宋体" w:cs="宋体"/>
                <w:sz w:val="24"/>
                <w:highlight w:val="none"/>
              </w:rPr>
            </w:pPr>
            <w:r>
              <w:rPr>
                <w:rFonts w:hint="eastAsia" w:ascii="宋体" w:hAnsi="宋体" w:cs="宋体"/>
                <w:b/>
                <w:bCs/>
                <w:sz w:val="24"/>
              </w:rPr>
              <w:t>注：每次付款前，乙方提供甲方要求的正规发票。</w:t>
            </w:r>
          </w:p>
        </w:tc>
      </w:tr>
      <w:tr w14:paraId="24B1A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5" w:type="dxa"/>
            <w:tcBorders>
              <w:left w:val="single" w:color="auto" w:sz="4" w:space="0"/>
            </w:tcBorders>
            <w:noWrap w:val="0"/>
            <w:vAlign w:val="center"/>
          </w:tcPr>
          <w:p w14:paraId="228F9129">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1.7.1</w:t>
            </w:r>
          </w:p>
        </w:tc>
        <w:tc>
          <w:tcPr>
            <w:tcW w:w="8313" w:type="dxa"/>
            <w:noWrap w:val="0"/>
            <w:vAlign w:val="center"/>
          </w:tcPr>
          <w:p w14:paraId="17487543">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lang w:eastAsia="zh-CN"/>
              </w:rPr>
            </w:pPr>
            <w:r>
              <w:rPr>
                <w:rFonts w:hint="eastAsia" w:ascii="宋体" w:hAnsi="宋体" w:cs="宋体"/>
                <w:sz w:val="24"/>
                <w:highlight w:val="none"/>
              </w:rPr>
              <w:t>自签订服务合同后，2025年10月31日前完成项目总结及终验</w:t>
            </w:r>
            <w:r>
              <w:rPr>
                <w:rFonts w:hint="eastAsia" w:ascii="宋体" w:hAnsi="宋体" w:cs="宋体"/>
                <w:sz w:val="24"/>
                <w:highlight w:val="none"/>
                <w:lang w:eastAsia="zh-CN"/>
              </w:rPr>
              <w:t>。</w:t>
            </w:r>
          </w:p>
        </w:tc>
      </w:tr>
      <w:tr w14:paraId="61657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5" w:type="dxa"/>
            <w:tcBorders>
              <w:left w:val="single" w:color="auto" w:sz="4" w:space="0"/>
            </w:tcBorders>
            <w:noWrap w:val="0"/>
            <w:vAlign w:val="center"/>
          </w:tcPr>
          <w:p w14:paraId="444A7157">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1.7.2</w:t>
            </w:r>
          </w:p>
        </w:tc>
        <w:tc>
          <w:tcPr>
            <w:tcW w:w="8313" w:type="dxa"/>
            <w:noWrap w:val="0"/>
            <w:vAlign w:val="center"/>
          </w:tcPr>
          <w:p w14:paraId="7549B1C6">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lang w:eastAsia="zh-CN"/>
              </w:rPr>
            </w:pPr>
            <w:r>
              <w:rPr>
                <w:rFonts w:hint="eastAsia" w:ascii="宋体" w:hAnsi="宋体" w:cs="宋体"/>
                <w:sz w:val="24"/>
              </w:rPr>
              <w:t>杭州市上城区综合行政执法局及其指定地点</w:t>
            </w:r>
          </w:p>
        </w:tc>
      </w:tr>
      <w:tr w14:paraId="34724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5" w:type="dxa"/>
            <w:tcBorders>
              <w:left w:val="single" w:color="auto" w:sz="4" w:space="0"/>
            </w:tcBorders>
            <w:noWrap w:val="0"/>
            <w:vAlign w:val="center"/>
          </w:tcPr>
          <w:p w14:paraId="2079844A">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1.7.3</w:t>
            </w:r>
          </w:p>
        </w:tc>
        <w:tc>
          <w:tcPr>
            <w:tcW w:w="8313" w:type="dxa"/>
            <w:noWrap w:val="0"/>
            <w:vAlign w:val="center"/>
          </w:tcPr>
          <w:p w14:paraId="550327B2">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按服务要求及本项目服务需求提供服务。</w:t>
            </w:r>
          </w:p>
        </w:tc>
      </w:tr>
      <w:tr w14:paraId="631BA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5" w:type="dxa"/>
            <w:tcBorders>
              <w:left w:val="single" w:color="auto" w:sz="4" w:space="0"/>
            </w:tcBorders>
            <w:noWrap w:val="0"/>
            <w:vAlign w:val="center"/>
          </w:tcPr>
          <w:p w14:paraId="59D5EA9A">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1.7.4.1</w:t>
            </w:r>
          </w:p>
        </w:tc>
        <w:tc>
          <w:tcPr>
            <w:tcW w:w="8313" w:type="dxa"/>
            <w:noWrap w:val="0"/>
            <w:vAlign w:val="center"/>
          </w:tcPr>
          <w:p w14:paraId="31352089">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w:t>
            </w:r>
          </w:p>
        </w:tc>
      </w:tr>
      <w:tr w14:paraId="5B76C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5" w:type="dxa"/>
            <w:tcBorders>
              <w:left w:val="single" w:color="auto" w:sz="4" w:space="0"/>
            </w:tcBorders>
            <w:noWrap w:val="0"/>
            <w:vAlign w:val="center"/>
          </w:tcPr>
          <w:p w14:paraId="50246605">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1.7.4.2</w:t>
            </w:r>
          </w:p>
        </w:tc>
        <w:tc>
          <w:tcPr>
            <w:tcW w:w="8313" w:type="dxa"/>
            <w:noWrap w:val="0"/>
            <w:vAlign w:val="center"/>
          </w:tcPr>
          <w:p w14:paraId="1B85FF6D">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w:t>
            </w:r>
          </w:p>
        </w:tc>
      </w:tr>
      <w:tr w14:paraId="05A77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5" w:type="dxa"/>
            <w:tcBorders>
              <w:left w:val="single" w:color="auto" w:sz="4" w:space="0"/>
            </w:tcBorders>
            <w:noWrap w:val="0"/>
            <w:vAlign w:val="center"/>
          </w:tcPr>
          <w:p w14:paraId="6E356D85">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1.7.4.3</w:t>
            </w:r>
          </w:p>
        </w:tc>
        <w:tc>
          <w:tcPr>
            <w:tcW w:w="8313" w:type="dxa"/>
            <w:noWrap w:val="0"/>
            <w:vAlign w:val="center"/>
          </w:tcPr>
          <w:p w14:paraId="5AE70909">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w:t>
            </w:r>
          </w:p>
        </w:tc>
      </w:tr>
      <w:tr w14:paraId="4672A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5" w:type="dxa"/>
            <w:tcBorders>
              <w:left w:val="single" w:color="auto" w:sz="4" w:space="0"/>
            </w:tcBorders>
            <w:noWrap w:val="0"/>
            <w:vAlign w:val="center"/>
          </w:tcPr>
          <w:p w14:paraId="0E06BCD3">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1.8.7</w:t>
            </w:r>
          </w:p>
        </w:tc>
        <w:tc>
          <w:tcPr>
            <w:tcW w:w="8313" w:type="dxa"/>
            <w:noWrap w:val="0"/>
            <w:vAlign w:val="center"/>
          </w:tcPr>
          <w:p w14:paraId="56B0DE79">
            <w:pPr>
              <w:keepNext w:val="0"/>
              <w:keepLines w:val="0"/>
              <w:suppressLineNumbers w:val="0"/>
              <w:spacing w:before="0" w:beforeAutospacing="0" w:after="0" w:afterAutospacing="0" w:line="360" w:lineRule="auto"/>
              <w:ind w:left="0" w:right="0" w:firstLine="480" w:firstLineChars="200"/>
              <w:jc w:val="left"/>
              <w:rPr>
                <w:rFonts w:hint="default" w:ascii="宋体" w:hAnsi="宋体"/>
                <w:sz w:val="24"/>
              </w:rPr>
            </w:pPr>
            <w:r>
              <w:rPr>
                <w:rFonts w:hint="eastAsia" w:ascii="宋体" w:hAnsi="宋体"/>
                <w:sz w:val="24"/>
              </w:rPr>
              <w:t>（</w:t>
            </w:r>
            <w:r>
              <w:rPr>
                <w:rFonts w:hint="default" w:ascii="宋体" w:hAnsi="宋体"/>
                <w:sz w:val="24"/>
              </w:rPr>
              <w:t>1）未经甲方同意，乙方不得在任何时期擅自更换投标文件中规定的项目负责人和服务人员，项目负责人或服务人员中途无法正常提供服务而须更换的，必须经过甲方同意，同时乙方必须确保项目负责人和服务人员的数量、资质和水平与投标文件一致。乙方中途擅自更换项目负责人或服务人员造成采购人损失的，甲方有权要求乙方支付相应损失费用。</w:t>
            </w:r>
          </w:p>
          <w:p w14:paraId="11ED336A">
            <w:pPr>
              <w:keepNext w:val="0"/>
              <w:keepLines w:val="0"/>
              <w:suppressLineNumbers w:val="0"/>
              <w:spacing w:before="0" w:beforeAutospacing="0" w:after="0" w:afterAutospacing="0" w:line="360" w:lineRule="auto"/>
              <w:ind w:left="0" w:right="0" w:firstLine="480" w:firstLineChars="200"/>
              <w:jc w:val="left"/>
              <w:rPr>
                <w:rFonts w:hint="default" w:ascii="宋体" w:hAnsi="宋体"/>
                <w:sz w:val="24"/>
              </w:rPr>
            </w:pPr>
            <w:r>
              <w:rPr>
                <w:rFonts w:hint="eastAsia" w:ascii="宋体" w:hAnsi="宋体"/>
                <w:sz w:val="24"/>
              </w:rPr>
              <w:t>（</w:t>
            </w:r>
            <w:r>
              <w:rPr>
                <w:rFonts w:hint="default" w:ascii="宋体" w:hAnsi="宋体"/>
                <w:sz w:val="24"/>
              </w:rPr>
              <w:t>2）乙方应遵守甲方相关规章、制度等，乙方对在合同履行期间所获得的甲方的数据和资料有保密义务，泄漏秘密应承担相应的责任，情节严重的要承担刑事责任。不论本合同是否变更、解除、终止，本条款均有效。</w:t>
            </w:r>
          </w:p>
          <w:p w14:paraId="339CE20F">
            <w:pPr>
              <w:keepNext w:val="0"/>
              <w:keepLines w:val="0"/>
              <w:suppressLineNumbers w:val="0"/>
              <w:spacing w:before="0" w:beforeAutospacing="0" w:after="0" w:afterAutospacing="0" w:line="360" w:lineRule="auto"/>
              <w:ind w:left="0" w:right="0" w:firstLine="480" w:firstLineChars="200"/>
              <w:jc w:val="left"/>
              <w:rPr>
                <w:rFonts w:hint="default" w:asciiTheme="minorEastAsia" w:hAnsiTheme="minorEastAsia"/>
                <w:sz w:val="24"/>
              </w:rPr>
            </w:pPr>
            <w:r>
              <w:rPr>
                <w:rFonts w:hint="default" w:asciiTheme="minorEastAsia" w:hAnsiTheme="minorEastAsia"/>
                <w:sz w:val="24"/>
              </w:rPr>
              <w:t>（3）除不可抗力因素之外，乙方没有按照合同约定，延迟为甲方提供服务的，应向甲方支付违约金。乙方未按合同约定的时间完成任务，每延期一个自然日（不满一个自然日按一个自然日计算），扣除服务合同总金额的0.05%，最高限额为本合同总价的20%，因自然原因或其他不可抗力或因客观外力因素导致项目延误且征得甲方同意的，由乙方负责梳理报送甲方，由甲方确认后不计入违约。迟延交付服务的违约金计算数额达到前述最高限额之日起，甲方有权在要求乙方支付违约金的同时，书面通知乙方解除本合同。</w:t>
            </w:r>
          </w:p>
          <w:p w14:paraId="3429DB76">
            <w:pPr>
              <w:keepNext w:val="0"/>
              <w:keepLines w:val="0"/>
              <w:suppressLineNumbers w:val="0"/>
              <w:spacing w:before="0" w:beforeAutospacing="0" w:after="0" w:afterAutospacing="0" w:line="360" w:lineRule="auto"/>
              <w:ind w:left="0" w:right="0" w:firstLine="480" w:firstLineChars="200"/>
              <w:rPr>
                <w:rFonts w:hint="default"/>
                <w:u w:val="single"/>
              </w:rPr>
            </w:pPr>
            <w:r>
              <w:rPr>
                <w:rFonts w:hint="eastAsia" w:ascii="宋体" w:hAnsi="宋体"/>
                <w:sz w:val="24"/>
              </w:rPr>
              <w:t>（</w:t>
            </w:r>
            <w:r>
              <w:rPr>
                <w:rFonts w:hint="default" w:ascii="宋体" w:hAnsi="宋体"/>
                <w:sz w:val="24"/>
              </w:rPr>
              <w:t>4）</w:t>
            </w:r>
            <w:r>
              <w:rPr>
                <w:rFonts w:hint="eastAsia" w:ascii="宋体" w:hAnsi="宋体"/>
                <w:sz w:val="24"/>
              </w:rPr>
              <w:t>乙方</w:t>
            </w:r>
            <w:r>
              <w:rPr>
                <w:rFonts w:hint="default" w:ascii="宋体" w:hAnsi="宋体"/>
                <w:sz w:val="24"/>
              </w:rPr>
              <w:t>擅自将本合同的全部或部分事务转由第三人承担，</w:t>
            </w:r>
            <w:r>
              <w:rPr>
                <w:rFonts w:hint="eastAsia" w:asciiTheme="minorEastAsia" w:hAnsiTheme="minorEastAsia"/>
                <w:bCs/>
                <w:sz w:val="24"/>
              </w:rPr>
              <w:t>甲方</w:t>
            </w:r>
            <w:r>
              <w:rPr>
                <w:rFonts w:hint="eastAsia" w:ascii="宋体" w:hAnsi="宋体"/>
                <w:sz w:val="24"/>
              </w:rPr>
              <w:t>有权</w:t>
            </w:r>
            <w:r>
              <w:rPr>
                <w:rFonts w:hint="default" w:ascii="宋体" w:hAnsi="宋体"/>
                <w:sz w:val="24"/>
              </w:rPr>
              <w:t>解除本合同，且</w:t>
            </w:r>
            <w:r>
              <w:rPr>
                <w:rFonts w:hint="eastAsia" w:ascii="宋体" w:hAnsi="宋体"/>
                <w:sz w:val="24"/>
              </w:rPr>
              <w:t>乙方</w:t>
            </w:r>
            <w:r>
              <w:rPr>
                <w:rFonts w:hint="default" w:ascii="宋体" w:hAnsi="宋体"/>
                <w:sz w:val="24"/>
              </w:rPr>
              <w:t>应按合同总价的30%向</w:t>
            </w:r>
            <w:r>
              <w:rPr>
                <w:rFonts w:hint="eastAsia" w:asciiTheme="minorEastAsia" w:hAnsiTheme="minorEastAsia"/>
                <w:bCs/>
                <w:sz w:val="24"/>
              </w:rPr>
              <w:t>甲方</w:t>
            </w:r>
            <w:r>
              <w:rPr>
                <w:rFonts w:hint="eastAsia" w:ascii="宋体" w:hAnsi="宋体"/>
                <w:sz w:val="24"/>
              </w:rPr>
              <w:t>支付违约金。如造成甲方损失的，乙方还应赔偿甲方损失。</w:t>
            </w:r>
          </w:p>
          <w:p w14:paraId="5B5901D7">
            <w:pPr>
              <w:keepNext w:val="0"/>
              <w:keepLines w:val="0"/>
              <w:suppressLineNumbers w:val="0"/>
              <w:spacing w:before="0" w:beforeAutospacing="0" w:after="0" w:afterAutospacing="0" w:line="360" w:lineRule="auto"/>
              <w:ind w:left="0" w:right="0" w:firstLine="480" w:firstLineChars="200"/>
              <w:jc w:val="left"/>
              <w:rPr>
                <w:rFonts w:hint="default" w:ascii="宋体" w:hAnsi="宋体"/>
                <w:sz w:val="24"/>
              </w:rPr>
            </w:pPr>
            <w:r>
              <w:rPr>
                <w:rFonts w:hint="eastAsia" w:ascii="宋体" w:hAnsi="宋体"/>
                <w:sz w:val="24"/>
              </w:rPr>
              <w:t>（</w:t>
            </w:r>
            <w:r>
              <w:rPr>
                <w:rFonts w:hint="default" w:ascii="宋体" w:hAnsi="宋体"/>
                <w:sz w:val="24"/>
              </w:rPr>
              <w:t>5</w:t>
            </w:r>
            <w:r>
              <w:rPr>
                <w:rFonts w:hint="eastAsia" w:ascii="宋体" w:hAnsi="宋体"/>
                <w:sz w:val="24"/>
              </w:rPr>
              <w:t>）乙方应保证所提供货物是全新的、未使用过的，并完全符合合同规定的质量、规格和性能的要求。合同签订后，</w:t>
            </w:r>
            <w:r>
              <w:rPr>
                <w:rFonts w:hint="eastAsia" w:asciiTheme="minorEastAsia" w:hAnsiTheme="minorEastAsia"/>
                <w:bCs/>
                <w:sz w:val="24"/>
              </w:rPr>
              <w:t>甲方</w:t>
            </w:r>
            <w:r>
              <w:rPr>
                <w:rFonts w:hint="eastAsia" w:ascii="宋体" w:hAnsi="宋体"/>
                <w:sz w:val="24"/>
              </w:rPr>
              <w:t>有权视情委托第三方权威检测机构负责对所有中标产品进行检测，所需费用由乙方支付，乙方在投标报价时综合考虑，计入投标总价。检测不合格或提供的设备是使用过的，乙方必须接受无条件退货并按合同总金额的</w:t>
            </w:r>
            <w:r>
              <w:rPr>
                <w:rFonts w:hint="default" w:ascii="宋体" w:hAnsi="宋体"/>
                <w:sz w:val="24"/>
              </w:rPr>
              <w:t>20%给予</w:t>
            </w:r>
            <w:r>
              <w:rPr>
                <w:rFonts w:hint="eastAsia" w:ascii="宋体" w:hAnsi="宋体"/>
                <w:sz w:val="24"/>
              </w:rPr>
              <w:t>甲方</w:t>
            </w:r>
            <w:r>
              <w:rPr>
                <w:rFonts w:hint="default" w:ascii="宋体" w:hAnsi="宋体"/>
                <w:sz w:val="24"/>
              </w:rPr>
              <w:t>补偿。</w:t>
            </w:r>
          </w:p>
          <w:p w14:paraId="075F5C60">
            <w:pPr>
              <w:keepNext w:val="0"/>
              <w:keepLines w:val="0"/>
              <w:suppressLineNumbers w:val="0"/>
              <w:spacing w:before="0" w:beforeAutospacing="0" w:after="0" w:afterAutospacing="0" w:line="360" w:lineRule="auto"/>
              <w:ind w:left="0" w:right="0" w:firstLine="480" w:firstLineChars="200"/>
              <w:jc w:val="left"/>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6）</w:t>
            </w:r>
            <w:r>
              <w:rPr>
                <w:rFonts w:hint="eastAsia" w:ascii="宋体" w:hAnsi="宋体"/>
                <w:sz w:val="24"/>
              </w:rPr>
              <w:t>乙方</w:t>
            </w:r>
            <w:r>
              <w:rPr>
                <w:rFonts w:hint="eastAsia" w:asciiTheme="minorEastAsia" w:hAnsiTheme="minorEastAsia"/>
                <w:sz w:val="24"/>
              </w:rPr>
              <w:t>必须在规定期间内完成承诺的服务内容，否则甲方有权终止合同，同时有权要求</w:t>
            </w:r>
            <w:r>
              <w:rPr>
                <w:rFonts w:hint="eastAsia" w:ascii="宋体" w:hAnsi="宋体"/>
                <w:sz w:val="24"/>
              </w:rPr>
              <w:t>乙方</w:t>
            </w:r>
            <w:r>
              <w:rPr>
                <w:rFonts w:hint="eastAsia" w:asciiTheme="minorEastAsia" w:hAnsiTheme="minorEastAsia"/>
                <w:sz w:val="24"/>
              </w:rPr>
              <w:t>进行赔偿。</w:t>
            </w:r>
            <w:r>
              <w:rPr>
                <w:rFonts w:hint="eastAsia" w:ascii="宋体" w:hAnsi="宋体"/>
                <w:sz w:val="24"/>
              </w:rPr>
              <w:t>乙方</w:t>
            </w:r>
            <w:r>
              <w:rPr>
                <w:rFonts w:hint="eastAsia"/>
                <w:sz w:val="24"/>
                <w:lang w:val="zh-CN"/>
              </w:rPr>
              <w:t>未按合同承诺提供服务，每发生</w:t>
            </w:r>
            <w:r>
              <w:rPr>
                <w:rFonts w:hint="default"/>
                <w:sz w:val="24"/>
                <w:lang w:val="zh-CN"/>
              </w:rPr>
              <w:t>1</w:t>
            </w:r>
            <w:r>
              <w:rPr>
                <w:rFonts w:hint="eastAsia"/>
                <w:sz w:val="24"/>
                <w:lang w:val="zh-CN"/>
              </w:rPr>
              <w:t>起扣除</w:t>
            </w:r>
            <w:r>
              <w:rPr>
                <w:rFonts w:hint="eastAsia" w:asciiTheme="minorEastAsia" w:hAnsiTheme="minorEastAsia"/>
                <w:sz w:val="24"/>
              </w:rPr>
              <w:t>合同总金额的</w:t>
            </w:r>
            <w:r>
              <w:rPr>
                <w:rFonts w:hint="default" w:asciiTheme="minorEastAsia" w:hAnsiTheme="minorEastAsia"/>
                <w:sz w:val="24"/>
              </w:rPr>
              <w:t>0.05%的</w:t>
            </w:r>
            <w:r>
              <w:rPr>
                <w:rFonts w:hint="eastAsia"/>
                <w:sz w:val="24"/>
                <w:lang w:val="zh-CN"/>
              </w:rPr>
              <w:t>违约金，累计发生</w:t>
            </w:r>
            <w:r>
              <w:rPr>
                <w:rFonts w:hint="default"/>
                <w:sz w:val="24"/>
                <w:lang w:val="zh-CN"/>
              </w:rPr>
              <w:t>5</w:t>
            </w:r>
            <w:r>
              <w:rPr>
                <w:rFonts w:hint="eastAsia"/>
                <w:sz w:val="24"/>
                <w:lang w:val="zh-CN"/>
              </w:rPr>
              <w:t>次以上，</w:t>
            </w:r>
            <w:r>
              <w:rPr>
                <w:rFonts w:hint="eastAsia" w:asciiTheme="minorEastAsia" w:hAnsiTheme="minorEastAsia"/>
                <w:bCs/>
                <w:sz w:val="24"/>
              </w:rPr>
              <w:t>甲方</w:t>
            </w:r>
            <w:r>
              <w:rPr>
                <w:rFonts w:hint="eastAsia"/>
                <w:sz w:val="24"/>
                <w:lang w:val="zh-CN"/>
              </w:rPr>
              <w:t>有权解除合同，并就由此造成的损失向</w:t>
            </w:r>
            <w:r>
              <w:rPr>
                <w:rFonts w:hint="eastAsia" w:ascii="宋体" w:hAnsi="宋体"/>
                <w:sz w:val="24"/>
              </w:rPr>
              <w:t>乙方</w:t>
            </w:r>
            <w:r>
              <w:rPr>
                <w:rFonts w:hint="eastAsia"/>
                <w:sz w:val="24"/>
                <w:lang w:val="zh-CN"/>
              </w:rPr>
              <w:t>提出索赔。</w:t>
            </w:r>
          </w:p>
          <w:p w14:paraId="5B45D816">
            <w:pPr>
              <w:keepNext w:val="0"/>
              <w:keepLines w:val="0"/>
              <w:suppressLineNumbers w:val="0"/>
              <w:spacing w:before="0" w:beforeAutospacing="0" w:after="0" w:afterAutospacing="0" w:line="360" w:lineRule="auto"/>
              <w:ind w:left="0" w:right="0" w:firstLine="480" w:firstLineChars="200"/>
              <w:jc w:val="left"/>
              <w:rPr>
                <w:rFonts w:hint="default" w:cs="Calibri" w:asciiTheme="minorEastAsia" w:hAnsiTheme="minorEastAsia"/>
                <w:sz w:val="24"/>
              </w:rPr>
            </w:pPr>
            <w:r>
              <w:rPr>
                <w:rFonts w:hint="eastAsia" w:cs="Calibri" w:asciiTheme="minorEastAsia" w:hAnsiTheme="minorEastAsia"/>
                <w:sz w:val="24"/>
              </w:rPr>
              <w:t>（</w:t>
            </w:r>
            <w:r>
              <w:rPr>
                <w:rFonts w:hint="default" w:cs="Calibri" w:asciiTheme="minorEastAsia" w:hAnsiTheme="minorEastAsia"/>
                <w:sz w:val="24"/>
              </w:rPr>
              <w:t>7</w:t>
            </w:r>
            <w:r>
              <w:rPr>
                <w:rFonts w:hint="eastAsia" w:cs="Calibri" w:asciiTheme="minorEastAsia" w:hAnsiTheme="minorEastAsia"/>
                <w:sz w:val="24"/>
              </w:rPr>
              <w:t>）</w:t>
            </w:r>
            <w:r>
              <w:rPr>
                <w:rFonts w:hint="default" w:cs="Calibri" w:asciiTheme="minorEastAsia" w:hAnsiTheme="minorEastAsia"/>
                <w:sz w:val="24"/>
              </w:rPr>
              <w:t>在项目</w:t>
            </w:r>
            <w:r>
              <w:rPr>
                <w:rFonts w:hint="eastAsia" w:cs="Calibri" w:asciiTheme="minorEastAsia" w:hAnsiTheme="minorEastAsia"/>
                <w:sz w:val="24"/>
              </w:rPr>
              <w:t>服务期</w:t>
            </w:r>
            <w:r>
              <w:rPr>
                <w:rFonts w:hint="default" w:cs="Calibri" w:asciiTheme="minorEastAsia" w:hAnsiTheme="minorEastAsia"/>
                <w:sz w:val="24"/>
              </w:rPr>
              <w:t>内，</w:t>
            </w:r>
            <w:r>
              <w:rPr>
                <w:rFonts w:hint="eastAsia" w:ascii="宋体" w:hAnsi="宋体"/>
                <w:sz w:val="24"/>
              </w:rPr>
              <w:t>乙方</w:t>
            </w:r>
            <w:r>
              <w:rPr>
                <w:rFonts w:hint="default" w:cs="Calibri" w:asciiTheme="minorEastAsia" w:hAnsiTheme="minorEastAsia"/>
                <w:sz w:val="24"/>
              </w:rPr>
              <w:t>应提供现场</w:t>
            </w:r>
            <w:r>
              <w:rPr>
                <w:rFonts w:hint="eastAsia" w:cs="Calibri" w:asciiTheme="minorEastAsia" w:hAnsiTheme="minorEastAsia"/>
                <w:sz w:val="24"/>
              </w:rPr>
              <w:t>维护</w:t>
            </w:r>
            <w:r>
              <w:rPr>
                <w:rFonts w:hint="default" w:cs="Calibri" w:asciiTheme="minorEastAsia" w:hAnsiTheme="minorEastAsia"/>
                <w:sz w:val="24"/>
              </w:rPr>
              <w:t>和技术支持服务</w:t>
            </w:r>
            <w:r>
              <w:rPr>
                <w:rFonts w:hint="eastAsia" w:cs="Calibri" w:asciiTheme="minorEastAsia" w:hAnsiTheme="minorEastAsia"/>
                <w:sz w:val="24"/>
                <w:lang w:val="en-US" w:eastAsia="zh-CN"/>
              </w:rPr>
              <w:t>并</w:t>
            </w:r>
            <w:r>
              <w:rPr>
                <w:rFonts w:hint="eastAsia" w:asciiTheme="minorEastAsia" w:hAnsiTheme="minorEastAsia"/>
                <w:sz w:val="24"/>
              </w:rPr>
              <w:t>在</w:t>
            </w:r>
            <w:r>
              <w:rPr>
                <w:rFonts w:hint="default" w:asciiTheme="minorEastAsia" w:hAnsiTheme="minorEastAsia"/>
                <w:sz w:val="24"/>
              </w:rPr>
              <w:t>1</w:t>
            </w:r>
            <w:r>
              <w:rPr>
                <w:rFonts w:hint="eastAsia" w:asciiTheme="minorEastAsia" w:hAnsiTheme="minorEastAsia"/>
                <w:sz w:val="24"/>
              </w:rPr>
              <w:t>小时内给予反馈</w:t>
            </w:r>
            <w:r>
              <w:rPr>
                <w:rFonts w:hint="eastAsia" w:asciiTheme="minorEastAsia" w:hAnsiTheme="minorEastAsia"/>
                <w:sz w:val="24"/>
                <w:lang w:val="en-US" w:eastAsia="zh-CN"/>
              </w:rPr>
              <w:t>和响应</w:t>
            </w:r>
            <w:r>
              <w:rPr>
                <w:rFonts w:hint="eastAsia" w:asciiTheme="minorEastAsia" w:hAnsiTheme="minorEastAsia"/>
                <w:sz w:val="24"/>
              </w:rPr>
              <w:t>，如需现场解决，在故障发生的</w:t>
            </w:r>
            <w:r>
              <w:rPr>
                <w:rFonts w:hint="default" w:asciiTheme="minorEastAsia" w:hAnsiTheme="minorEastAsia"/>
                <w:sz w:val="24"/>
              </w:rPr>
              <w:t>2</w:t>
            </w:r>
            <w:r>
              <w:rPr>
                <w:rFonts w:hint="eastAsia" w:asciiTheme="minorEastAsia" w:hAnsiTheme="minorEastAsia"/>
                <w:sz w:val="24"/>
              </w:rPr>
              <w:t>小时内，</w:t>
            </w:r>
            <w:r>
              <w:rPr>
                <w:rFonts w:hint="default" w:cs="Calibri" w:asciiTheme="minorEastAsia" w:hAnsiTheme="minorEastAsia"/>
                <w:sz w:val="24"/>
              </w:rPr>
              <w:t>提供上门服务（2小时内上门响应）</w:t>
            </w:r>
            <w:r>
              <w:rPr>
                <w:rFonts w:hint="eastAsia" w:cs="Calibri" w:asciiTheme="minorEastAsia" w:hAnsiTheme="minorEastAsia"/>
                <w:sz w:val="24"/>
              </w:rPr>
              <w:t>；</w:t>
            </w:r>
            <w:r>
              <w:rPr>
                <w:rFonts w:hint="default" w:cs="Calibri" w:asciiTheme="minorEastAsia" w:hAnsiTheme="minorEastAsia"/>
                <w:sz w:val="24"/>
              </w:rPr>
              <w:t>如诊断为硬件故障，应携带备件并进行现场</w:t>
            </w:r>
            <w:r>
              <w:rPr>
                <w:rFonts w:hint="eastAsia" w:cs="Calibri" w:asciiTheme="minorEastAsia" w:hAnsiTheme="minorEastAsia"/>
                <w:sz w:val="24"/>
              </w:rPr>
              <w:t>故障修复</w:t>
            </w:r>
            <w:r>
              <w:rPr>
                <w:rFonts w:hint="default" w:cs="Calibri" w:asciiTheme="minorEastAsia" w:hAnsiTheme="minorEastAsia"/>
                <w:sz w:val="24"/>
              </w:rPr>
              <w:t>，承诺在24</w:t>
            </w:r>
            <w:r>
              <w:rPr>
                <w:rFonts w:hint="eastAsia" w:cs="Calibri" w:asciiTheme="minorEastAsia" w:hAnsiTheme="minorEastAsia"/>
                <w:sz w:val="24"/>
              </w:rPr>
              <w:t>小时</w:t>
            </w:r>
            <w:r>
              <w:rPr>
                <w:rFonts w:hint="default" w:cs="Calibri" w:asciiTheme="minorEastAsia" w:hAnsiTheme="minorEastAsia"/>
                <w:sz w:val="24"/>
              </w:rPr>
              <w:t>内恢复系统正常运行，</w:t>
            </w:r>
            <w:r>
              <w:rPr>
                <w:rFonts w:hint="eastAsia" w:cs="Arial" w:asciiTheme="minorEastAsia" w:hAnsiTheme="minorEastAsia"/>
                <w:snapToGrid w:val="0"/>
                <w:kern w:val="0"/>
                <w:sz w:val="24"/>
              </w:rPr>
              <w:t>并分析故障原因，提出书面故障分析报告及防范措施；</w:t>
            </w:r>
            <w:r>
              <w:rPr>
                <w:rFonts w:hint="default" w:cs="Calibri" w:asciiTheme="minorEastAsia" w:hAnsiTheme="minorEastAsia"/>
                <w:sz w:val="24"/>
              </w:rPr>
              <w:t>如果故障不能在24小时内排除，</w:t>
            </w:r>
            <w:r>
              <w:rPr>
                <w:rFonts w:hint="eastAsia" w:ascii="宋体" w:hAnsi="宋体"/>
                <w:sz w:val="24"/>
              </w:rPr>
              <w:t>乙方</w:t>
            </w:r>
            <w:r>
              <w:rPr>
                <w:rFonts w:hint="default" w:cs="Calibri" w:asciiTheme="minorEastAsia" w:hAnsiTheme="minorEastAsia"/>
                <w:sz w:val="24"/>
              </w:rPr>
              <w:t>应</w:t>
            </w:r>
            <w:r>
              <w:rPr>
                <w:rFonts w:hint="eastAsia" w:cs="Calibri" w:asciiTheme="minorEastAsia" w:hAnsiTheme="minorEastAsia"/>
                <w:sz w:val="24"/>
              </w:rPr>
              <w:t>在</w:t>
            </w:r>
            <w:r>
              <w:rPr>
                <w:rFonts w:hint="default" w:cs="Calibri" w:asciiTheme="minorEastAsia" w:hAnsiTheme="minorEastAsia"/>
                <w:sz w:val="24"/>
              </w:rPr>
              <w:t>24</w:t>
            </w:r>
            <w:r>
              <w:rPr>
                <w:rFonts w:hint="eastAsia" w:cs="Calibri" w:asciiTheme="minorEastAsia" w:hAnsiTheme="minorEastAsia"/>
                <w:sz w:val="24"/>
              </w:rPr>
              <w:t>小时内</w:t>
            </w:r>
            <w:r>
              <w:rPr>
                <w:rFonts w:hint="default" w:cs="Calibri" w:asciiTheme="minorEastAsia" w:hAnsiTheme="minorEastAsia"/>
                <w:sz w:val="24"/>
              </w:rPr>
              <w:t>提供</w:t>
            </w:r>
            <w:r>
              <w:rPr>
                <w:rFonts w:hint="eastAsia" w:cs="Calibri" w:asciiTheme="minorEastAsia" w:hAnsiTheme="minorEastAsia"/>
                <w:sz w:val="24"/>
              </w:rPr>
              <w:t>备件进行免</w:t>
            </w:r>
            <w:r>
              <w:rPr>
                <w:rFonts w:hint="default" w:cs="Calibri" w:asciiTheme="minorEastAsia" w:hAnsiTheme="minorEastAsia"/>
                <w:sz w:val="24"/>
              </w:rPr>
              <w:t>费替换服务</w:t>
            </w:r>
            <w:r>
              <w:rPr>
                <w:rFonts w:hint="eastAsia" w:cs="Calibri" w:asciiTheme="minorEastAsia" w:hAnsiTheme="minorEastAsia"/>
                <w:sz w:val="24"/>
              </w:rPr>
              <w:t>。</w:t>
            </w:r>
            <w:r>
              <w:rPr>
                <w:rFonts w:hint="default" w:cs="Calibri" w:asciiTheme="minorEastAsia" w:hAnsiTheme="minorEastAsia"/>
                <w:sz w:val="24"/>
              </w:rPr>
              <w:t>如果</w:t>
            </w:r>
            <w:r>
              <w:rPr>
                <w:rFonts w:hint="eastAsia" w:ascii="宋体" w:hAnsi="宋体"/>
                <w:sz w:val="24"/>
              </w:rPr>
              <w:t>乙方</w:t>
            </w:r>
            <w:r>
              <w:rPr>
                <w:rFonts w:hint="default" w:cs="Calibri" w:asciiTheme="minorEastAsia" w:hAnsiTheme="minorEastAsia"/>
                <w:sz w:val="24"/>
              </w:rPr>
              <w:t>在接到通知后的2个小时内未作出响应</w:t>
            </w:r>
            <w:r>
              <w:rPr>
                <w:rFonts w:hint="eastAsia" w:cs="Calibri" w:asciiTheme="minorEastAsia" w:hAnsiTheme="minorEastAsia"/>
                <w:sz w:val="24"/>
              </w:rPr>
              <w:t>或故障在</w:t>
            </w:r>
            <w:r>
              <w:rPr>
                <w:rFonts w:hint="default" w:cs="Calibri" w:asciiTheme="minorEastAsia" w:hAnsiTheme="minorEastAsia"/>
                <w:sz w:val="24"/>
              </w:rPr>
              <w:t>24</w:t>
            </w:r>
            <w:r>
              <w:rPr>
                <w:rFonts w:hint="eastAsia" w:cs="Calibri" w:asciiTheme="minorEastAsia" w:hAnsiTheme="minorEastAsia"/>
                <w:sz w:val="24"/>
              </w:rPr>
              <w:t>小时内未排除</w:t>
            </w:r>
            <w:r>
              <w:rPr>
                <w:rFonts w:hint="default" w:cs="Calibri" w:asciiTheme="minorEastAsia" w:hAnsiTheme="minorEastAsia"/>
                <w:sz w:val="24"/>
              </w:rPr>
              <w:t>，则由于故障所造成的全部损失由</w:t>
            </w:r>
            <w:r>
              <w:rPr>
                <w:rFonts w:hint="eastAsia" w:ascii="宋体" w:hAnsi="宋体"/>
                <w:sz w:val="24"/>
              </w:rPr>
              <w:t>乙方</w:t>
            </w:r>
            <w:r>
              <w:rPr>
                <w:rFonts w:hint="default" w:cs="Calibri" w:asciiTheme="minorEastAsia" w:hAnsiTheme="minorEastAsia"/>
                <w:sz w:val="24"/>
              </w:rPr>
              <w:t>承担</w:t>
            </w:r>
            <w:r>
              <w:rPr>
                <w:rFonts w:hint="eastAsia" w:cs="Calibri" w:asciiTheme="minorEastAsia" w:hAnsiTheme="minorEastAsia"/>
                <w:sz w:val="24"/>
              </w:rPr>
              <w:t>，同时</w:t>
            </w:r>
            <w:r>
              <w:rPr>
                <w:rFonts w:hint="eastAsia" w:asciiTheme="minorEastAsia" w:hAnsiTheme="minorEastAsia"/>
                <w:bCs/>
                <w:sz w:val="24"/>
              </w:rPr>
              <w:t>甲方</w:t>
            </w:r>
            <w:r>
              <w:rPr>
                <w:rFonts w:hint="eastAsia" w:cs="Calibri" w:asciiTheme="minorEastAsia" w:hAnsiTheme="minorEastAsia"/>
                <w:sz w:val="24"/>
              </w:rPr>
              <w:t>有权按照故障发生日起每日按合同金额</w:t>
            </w:r>
            <w:r>
              <w:rPr>
                <w:rFonts w:hint="default" w:asciiTheme="minorEastAsia" w:hAnsiTheme="minorEastAsia"/>
                <w:bCs/>
                <w:sz w:val="24"/>
              </w:rPr>
              <w:t>0.05%</w:t>
            </w:r>
            <w:r>
              <w:rPr>
                <w:rFonts w:hint="eastAsia" w:cs="Calibri" w:asciiTheme="minorEastAsia" w:hAnsiTheme="minorEastAsia"/>
                <w:sz w:val="24"/>
              </w:rPr>
              <w:t>上限的标准进行扣款处理。</w:t>
            </w:r>
          </w:p>
          <w:p w14:paraId="396D94C6">
            <w:pPr>
              <w:keepNext w:val="0"/>
              <w:keepLines w:val="0"/>
              <w:suppressLineNumbers w:val="0"/>
              <w:spacing w:before="0" w:beforeAutospacing="0" w:after="0" w:afterAutospacing="0" w:line="360" w:lineRule="auto"/>
              <w:ind w:left="0" w:right="0" w:firstLine="480" w:firstLineChars="200"/>
              <w:jc w:val="left"/>
              <w:rPr>
                <w:rFonts w:hint="eastAsia" w:asciiTheme="minorEastAsia" w:hAnsiTheme="minorEastAsia"/>
                <w:bCs/>
                <w:sz w:val="24"/>
              </w:rPr>
            </w:pPr>
            <w:r>
              <w:rPr>
                <w:rFonts w:hint="eastAsia" w:asciiTheme="minorEastAsia" w:hAnsiTheme="minorEastAsia"/>
                <w:bCs/>
                <w:sz w:val="24"/>
              </w:rPr>
              <w:t>（</w:t>
            </w:r>
            <w:r>
              <w:rPr>
                <w:rFonts w:hint="default" w:asciiTheme="minorEastAsia" w:hAnsiTheme="minorEastAsia"/>
                <w:bCs/>
                <w:sz w:val="24"/>
              </w:rPr>
              <w:t>8</w:t>
            </w:r>
            <w:r>
              <w:rPr>
                <w:rFonts w:hint="eastAsia" w:asciiTheme="minorEastAsia" w:hAnsiTheme="minorEastAsia"/>
                <w:bCs/>
                <w:sz w:val="24"/>
              </w:rPr>
              <w:t>）因本项目运行质量问题，</w:t>
            </w:r>
            <w:r>
              <w:rPr>
                <w:rFonts w:hint="eastAsia" w:asciiTheme="minorEastAsia" w:hAnsiTheme="minorEastAsia"/>
                <w:bCs/>
                <w:sz w:val="24"/>
                <w:lang w:val="en-US" w:eastAsia="zh-CN"/>
              </w:rPr>
              <w:t>造成项目服务中断，影响甲方业务正常开展的</w:t>
            </w:r>
            <w:r>
              <w:rPr>
                <w:rFonts w:hint="eastAsia" w:asciiTheme="minorEastAsia" w:hAnsiTheme="minorEastAsia"/>
                <w:bCs/>
                <w:sz w:val="24"/>
              </w:rPr>
              <w:t>，每发生</w:t>
            </w:r>
            <w:r>
              <w:rPr>
                <w:rFonts w:hint="default" w:asciiTheme="minorEastAsia" w:hAnsiTheme="minorEastAsia"/>
                <w:bCs/>
                <w:sz w:val="24"/>
              </w:rPr>
              <w:t>1</w:t>
            </w:r>
            <w:r>
              <w:rPr>
                <w:rFonts w:hint="eastAsia" w:asciiTheme="minorEastAsia" w:hAnsiTheme="minorEastAsia"/>
                <w:bCs/>
                <w:sz w:val="24"/>
              </w:rPr>
              <w:t>起扣除合同总金额的</w:t>
            </w:r>
            <w:r>
              <w:rPr>
                <w:rFonts w:hint="default" w:asciiTheme="minorEastAsia" w:hAnsiTheme="minorEastAsia"/>
                <w:bCs/>
                <w:sz w:val="24"/>
              </w:rPr>
              <w:t>0.05%的违约金，累计发生3</w:t>
            </w:r>
            <w:r>
              <w:rPr>
                <w:rFonts w:hint="eastAsia" w:asciiTheme="minorEastAsia" w:hAnsiTheme="minorEastAsia"/>
                <w:bCs/>
                <w:sz w:val="24"/>
              </w:rPr>
              <w:t>次以上，甲方有权解除合同，并有权就由此造成的损失向</w:t>
            </w:r>
            <w:r>
              <w:rPr>
                <w:rFonts w:hint="eastAsia" w:ascii="宋体" w:hAnsi="宋体"/>
                <w:sz w:val="24"/>
              </w:rPr>
              <w:t>乙方</w:t>
            </w:r>
            <w:r>
              <w:rPr>
                <w:rFonts w:hint="eastAsia" w:asciiTheme="minorEastAsia" w:hAnsiTheme="minorEastAsia"/>
                <w:bCs/>
                <w:sz w:val="24"/>
              </w:rPr>
              <w:t>提出索赔。</w:t>
            </w:r>
          </w:p>
          <w:p w14:paraId="3CAB9944">
            <w:pPr>
              <w:keepNext w:val="0"/>
              <w:keepLines w:val="0"/>
              <w:suppressLineNumbers w:val="0"/>
              <w:spacing w:before="0" w:beforeAutospacing="0" w:after="0" w:afterAutospacing="0" w:line="360" w:lineRule="auto"/>
              <w:ind w:left="0" w:right="0" w:firstLine="480" w:firstLineChars="200"/>
              <w:jc w:val="left"/>
              <w:rPr>
                <w:rFonts w:hint="eastAsia" w:asciiTheme="minorEastAsia" w:hAnsiTheme="minorEastAsia" w:eastAsiaTheme="minorEastAsia"/>
                <w:bCs/>
                <w:sz w:val="24"/>
                <w:lang w:eastAsia="zh-CN"/>
              </w:rPr>
            </w:pPr>
            <w:r>
              <w:rPr>
                <w:rFonts w:hint="eastAsia" w:asciiTheme="minorEastAsia" w:hAnsiTheme="minorEastAsia"/>
                <w:bCs/>
                <w:sz w:val="24"/>
                <w:lang w:eastAsia="zh-CN"/>
              </w:rPr>
              <w:t>（</w:t>
            </w:r>
            <w:r>
              <w:rPr>
                <w:rFonts w:hint="eastAsia" w:asciiTheme="minorEastAsia" w:hAnsiTheme="minorEastAsia"/>
                <w:bCs/>
                <w:sz w:val="24"/>
                <w:lang w:val="en-US" w:eastAsia="zh-CN"/>
              </w:rPr>
              <w:t>9</w:t>
            </w:r>
            <w:r>
              <w:rPr>
                <w:rFonts w:hint="eastAsia" w:asciiTheme="minorEastAsia" w:hAnsiTheme="minorEastAsia"/>
                <w:bCs/>
                <w:sz w:val="24"/>
                <w:lang w:eastAsia="zh-CN"/>
              </w:rPr>
              <w:t>）</w:t>
            </w:r>
            <w:r>
              <w:rPr>
                <w:rFonts w:hint="eastAsia" w:asciiTheme="minorEastAsia" w:hAnsiTheme="minorEastAsia"/>
                <w:bCs/>
                <w:sz w:val="24"/>
              </w:rPr>
              <w:t>因</w:t>
            </w:r>
            <w:r>
              <w:rPr>
                <w:rFonts w:hint="eastAsia" w:asciiTheme="minorEastAsia" w:hAnsiTheme="minorEastAsia"/>
                <w:bCs/>
                <w:sz w:val="24"/>
                <w:lang w:val="en-US" w:eastAsia="zh-CN"/>
              </w:rPr>
              <w:t>乙方</w:t>
            </w:r>
            <w:r>
              <w:rPr>
                <w:rFonts w:hint="eastAsia" w:asciiTheme="minorEastAsia" w:hAnsiTheme="minorEastAsia"/>
                <w:bCs/>
                <w:sz w:val="24"/>
              </w:rPr>
              <w:t>原因（包括系统问题、设备故障、人为操作失误等）导致</w:t>
            </w:r>
            <w:r>
              <w:rPr>
                <w:rFonts w:hint="eastAsia" w:asciiTheme="minorEastAsia" w:hAnsiTheme="minorEastAsia"/>
                <w:bCs/>
                <w:sz w:val="24"/>
                <w:lang w:val="en-US" w:eastAsia="zh-CN"/>
              </w:rPr>
              <w:t>甲方</w:t>
            </w:r>
            <w:r>
              <w:rPr>
                <w:rFonts w:hint="eastAsia" w:asciiTheme="minorEastAsia" w:hAnsiTheme="minorEastAsia"/>
                <w:bCs/>
                <w:sz w:val="24"/>
              </w:rPr>
              <w:t>无法正常开展工作或造成较大事故（一般事故）的，</w:t>
            </w:r>
            <w:r>
              <w:rPr>
                <w:rFonts w:hint="eastAsia" w:asciiTheme="minorEastAsia" w:hAnsiTheme="minorEastAsia"/>
                <w:bCs/>
                <w:sz w:val="24"/>
                <w:lang w:val="en-US" w:eastAsia="zh-CN"/>
              </w:rPr>
              <w:t>甲方</w:t>
            </w:r>
            <w:r>
              <w:rPr>
                <w:rFonts w:hint="eastAsia" w:asciiTheme="minorEastAsia" w:hAnsiTheme="minorEastAsia"/>
                <w:bCs/>
                <w:sz w:val="24"/>
              </w:rPr>
              <w:t>有权解除合同，并有权就由此造成的损失向</w:t>
            </w:r>
            <w:r>
              <w:rPr>
                <w:rFonts w:hint="eastAsia" w:asciiTheme="minorEastAsia" w:hAnsiTheme="minorEastAsia"/>
                <w:bCs/>
                <w:sz w:val="24"/>
                <w:lang w:val="en-US" w:eastAsia="zh-CN"/>
              </w:rPr>
              <w:t>乙方</w:t>
            </w:r>
            <w:r>
              <w:rPr>
                <w:rFonts w:hint="eastAsia" w:asciiTheme="minorEastAsia" w:hAnsiTheme="minorEastAsia"/>
                <w:bCs/>
                <w:sz w:val="24"/>
              </w:rPr>
              <w:t>提出索赔。</w:t>
            </w:r>
          </w:p>
          <w:p w14:paraId="0DA5D4FD">
            <w:pPr>
              <w:keepNext w:val="0"/>
              <w:keepLines w:val="0"/>
              <w:suppressLineNumbers w:val="0"/>
              <w:spacing w:before="0" w:beforeAutospacing="0" w:after="0" w:afterAutospacing="0" w:line="360" w:lineRule="auto"/>
              <w:ind w:left="0" w:right="0" w:firstLine="480" w:firstLineChars="200"/>
              <w:jc w:val="left"/>
              <w:rPr>
                <w:rFonts w:hint="default" w:asciiTheme="minorEastAsia" w:hAnsiTheme="minorEastAsia"/>
                <w:bCs/>
                <w:sz w:val="24"/>
              </w:rPr>
            </w:pPr>
            <w:r>
              <w:rPr>
                <w:rFonts w:hint="eastAsia" w:asciiTheme="minorEastAsia" w:hAnsiTheme="minorEastAsia"/>
                <w:bCs/>
                <w:sz w:val="24"/>
              </w:rPr>
              <w:t>（</w:t>
            </w:r>
            <w:r>
              <w:rPr>
                <w:rFonts w:hint="eastAsia" w:asciiTheme="minorEastAsia" w:hAnsiTheme="minorEastAsia"/>
                <w:bCs/>
                <w:sz w:val="24"/>
                <w:lang w:val="en-US" w:eastAsia="zh-CN"/>
              </w:rPr>
              <w:t>10</w:t>
            </w:r>
            <w:r>
              <w:rPr>
                <w:rFonts w:hint="default" w:asciiTheme="minorEastAsia" w:hAnsiTheme="minorEastAsia"/>
                <w:bCs/>
                <w:sz w:val="24"/>
              </w:rPr>
              <w:t>）</w:t>
            </w:r>
            <w:r>
              <w:rPr>
                <w:rFonts w:hint="eastAsia" w:ascii="宋体" w:hAnsi="宋体"/>
                <w:sz w:val="24"/>
              </w:rPr>
              <w:t>乙方</w:t>
            </w:r>
            <w:r>
              <w:rPr>
                <w:rFonts w:hint="eastAsia" w:asciiTheme="minorEastAsia" w:hAnsiTheme="minorEastAsia"/>
                <w:bCs/>
                <w:sz w:val="24"/>
              </w:rPr>
              <w:t>服务期内收到约谈、被社会媒体曝光、收到多方投诉情况、造成事故或不良影响等。每发生</w:t>
            </w:r>
            <w:r>
              <w:rPr>
                <w:rFonts w:hint="default" w:asciiTheme="minorEastAsia" w:hAnsiTheme="minorEastAsia"/>
                <w:bCs/>
                <w:sz w:val="24"/>
              </w:rPr>
              <w:t>1</w:t>
            </w:r>
            <w:r>
              <w:rPr>
                <w:rFonts w:hint="eastAsia" w:asciiTheme="minorEastAsia" w:hAnsiTheme="minorEastAsia"/>
                <w:bCs/>
                <w:sz w:val="24"/>
              </w:rPr>
              <w:t>次扣除合同总金额的</w:t>
            </w:r>
            <w:r>
              <w:rPr>
                <w:rFonts w:hint="default" w:asciiTheme="minorEastAsia" w:hAnsiTheme="minorEastAsia"/>
                <w:bCs/>
                <w:sz w:val="24"/>
              </w:rPr>
              <w:t>0.05%的违约金，累计发生3</w:t>
            </w:r>
            <w:r>
              <w:rPr>
                <w:rFonts w:hint="eastAsia" w:asciiTheme="minorEastAsia" w:hAnsiTheme="minorEastAsia"/>
                <w:bCs/>
                <w:sz w:val="24"/>
              </w:rPr>
              <w:t>次以上，甲方有权解除合同，并有权就由此造成的损失向乙方提出索赔。</w:t>
            </w:r>
          </w:p>
          <w:p w14:paraId="67EFCF03">
            <w:pPr>
              <w:keepNext w:val="0"/>
              <w:keepLines w:val="0"/>
              <w:suppressLineNumbers w:val="0"/>
              <w:spacing w:before="0" w:beforeAutospacing="0" w:after="0" w:afterAutospacing="0" w:line="360" w:lineRule="auto"/>
              <w:ind w:left="0" w:right="0" w:firstLine="480" w:firstLineChars="200"/>
              <w:jc w:val="left"/>
              <w:rPr>
                <w:rFonts w:hint="default" w:asciiTheme="minorEastAsia" w:hAnsiTheme="minorEastAsia"/>
                <w:bCs/>
                <w:sz w:val="24"/>
              </w:rPr>
            </w:pPr>
            <w:r>
              <w:rPr>
                <w:rFonts w:hint="eastAsia" w:asciiTheme="minorEastAsia" w:hAnsiTheme="minorEastAsia"/>
                <w:bCs/>
                <w:sz w:val="24"/>
              </w:rPr>
              <w:t>（</w:t>
            </w:r>
            <w:r>
              <w:rPr>
                <w:rFonts w:hint="default" w:asciiTheme="minorEastAsia" w:hAnsiTheme="minorEastAsia"/>
                <w:bCs/>
                <w:sz w:val="24"/>
              </w:rPr>
              <w:t>1</w:t>
            </w:r>
            <w:r>
              <w:rPr>
                <w:rFonts w:hint="eastAsia" w:asciiTheme="minorEastAsia" w:hAnsiTheme="minorEastAsia"/>
                <w:bCs/>
                <w:sz w:val="24"/>
                <w:lang w:val="en-US" w:eastAsia="zh-CN"/>
              </w:rPr>
              <w:t>1</w:t>
            </w:r>
            <w:r>
              <w:rPr>
                <w:rFonts w:hint="eastAsia" w:asciiTheme="minorEastAsia" w:hAnsiTheme="minorEastAsia"/>
                <w:bCs/>
                <w:sz w:val="24"/>
              </w:rPr>
              <w:t>）乙方因检修线路、故障维修等可预见的原因，未能做好应急方案的造成用户重大影响的，每发生</w:t>
            </w:r>
            <w:r>
              <w:rPr>
                <w:rFonts w:hint="default" w:asciiTheme="minorEastAsia" w:hAnsiTheme="minorEastAsia"/>
                <w:bCs/>
                <w:sz w:val="24"/>
              </w:rPr>
              <w:t>1</w:t>
            </w:r>
            <w:r>
              <w:rPr>
                <w:rFonts w:hint="eastAsia" w:asciiTheme="minorEastAsia" w:hAnsiTheme="minorEastAsia"/>
                <w:bCs/>
                <w:sz w:val="24"/>
              </w:rPr>
              <w:t>次扣除合同总金额的</w:t>
            </w:r>
            <w:r>
              <w:rPr>
                <w:rFonts w:hint="default" w:asciiTheme="minorEastAsia" w:hAnsiTheme="minorEastAsia"/>
                <w:bCs/>
                <w:sz w:val="24"/>
              </w:rPr>
              <w:t>0.05%的违约金，累计发生3</w:t>
            </w:r>
            <w:r>
              <w:rPr>
                <w:rFonts w:hint="eastAsia" w:asciiTheme="minorEastAsia" w:hAnsiTheme="minorEastAsia"/>
                <w:bCs/>
                <w:sz w:val="24"/>
              </w:rPr>
              <w:t>次以上，甲方有权解除合同，并有权就由此造成的损失向乙方提出索赔。</w:t>
            </w:r>
          </w:p>
          <w:p w14:paraId="7C29F16A">
            <w:pPr>
              <w:keepNext w:val="0"/>
              <w:keepLines w:val="0"/>
              <w:suppressLineNumbers w:val="0"/>
              <w:spacing w:before="0" w:beforeAutospacing="0" w:after="0" w:afterAutospacing="0" w:line="360" w:lineRule="auto"/>
              <w:ind w:left="0" w:right="0" w:firstLine="480" w:firstLineChars="200"/>
              <w:jc w:val="left"/>
              <w:rPr>
                <w:rFonts w:hint="default" w:asciiTheme="minorEastAsia" w:hAnsiTheme="minorEastAsia"/>
                <w:bCs/>
                <w:sz w:val="24"/>
              </w:rPr>
            </w:pPr>
            <w:r>
              <w:rPr>
                <w:rFonts w:hint="eastAsia" w:asciiTheme="minorEastAsia" w:hAnsiTheme="minorEastAsia"/>
                <w:bCs/>
                <w:sz w:val="24"/>
              </w:rPr>
              <w:t>（</w:t>
            </w:r>
            <w:r>
              <w:rPr>
                <w:rFonts w:hint="default" w:asciiTheme="minorEastAsia" w:hAnsiTheme="minorEastAsia"/>
                <w:bCs/>
                <w:sz w:val="24"/>
              </w:rPr>
              <w:t>1</w:t>
            </w:r>
            <w:r>
              <w:rPr>
                <w:rFonts w:hint="eastAsia" w:asciiTheme="minorEastAsia" w:hAnsiTheme="minorEastAsia"/>
                <w:bCs/>
                <w:sz w:val="24"/>
                <w:lang w:val="en-US" w:eastAsia="zh-CN"/>
              </w:rPr>
              <w:t>2</w:t>
            </w:r>
            <w:r>
              <w:rPr>
                <w:rFonts w:hint="eastAsia" w:asciiTheme="minorEastAsia" w:hAnsiTheme="minorEastAsia"/>
                <w:bCs/>
                <w:sz w:val="24"/>
              </w:rPr>
              <w:t>）乙方擅自将系统的操作管理权限、视频影像资料、数据及分析应用成果、电脑截图或照片等泄露外传，每发生</w:t>
            </w:r>
            <w:r>
              <w:rPr>
                <w:rFonts w:hint="default" w:asciiTheme="minorEastAsia" w:hAnsiTheme="minorEastAsia"/>
                <w:bCs/>
                <w:sz w:val="24"/>
              </w:rPr>
              <w:t>1</w:t>
            </w:r>
            <w:r>
              <w:rPr>
                <w:rFonts w:hint="eastAsia" w:asciiTheme="minorEastAsia" w:hAnsiTheme="minorEastAsia"/>
                <w:bCs/>
                <w:sz w:val="24"/>
              </w:rPr>
              <w:t>次扣除合同总金额的</w:t>
            </w:r>
            <w:r>
              <w:rPr>
                <w:rFonts w:hint="default" w:asciiTheme="minorEastAsia" w:hAnsiTheme="minorEastAsia"/>
                <w:bCs/>
                <w:sz w:val="24"/>
              </w:rPr>
              <w:t>0.05%的违约金，累计发生3</w:t>
            </w:r>
            <w:r>
              <w:rPr>
                <w:rFonts w:hint="eastAsia" w:asciiTheme="minorEastAsia" w:hAnsiTheme="minorEastAsia"/>
                <w:bCs/>
                <w:sz w:val="24"/>
              </w:rPr>
              <w:t>次以上，甲方有权解除合同，并有权就由此造成的损失向乙方提出索赔。</w:t>
            </w:r>
          </w:p>
          <w:p w14:paraId="5AB277BF">
            <w:pPr>
              <w:keepNext w:val="0"/>
              <w:keepLines w:val="0"/>
              <w:suppressLineNumbers w:val="0"/>
              <w:spacing w:before="0" w:beforeAutospacing="0" w:after="0" w:afterAutospacing="0" w:line="360" w:lineRule="auto"/>
              <w:ind w:left="0" w:right="0" w:firstLine="480" w:firstLineChars="200"/>
              <w:jc w:val="left"/>
              <w:rPr>
                <w:rFonts w:hint="default" w:asciiTheme="minorEastAsia" w:hAnsiTheme="minorEastAsia"/>
                <w:bCs/>
                <w:sz w:val="24"/>
              </w:rPr>
            </w:pPr>
            <w:r>
              <w:rPr>
                <w:rFonts w:hint="eastAsia" w:asciiTheme="minorEastAsia" w:hAnsiTheme="minorEastAsia"/>
                <w:bCs/>
                <w:sz w:val="24"/>
              </w:rPr>
              <w:t>（</w:t>
            </w:r>
            <w:r>
              <w:rPr>
                <w:rFonts w:hint="default" w:asciiTheme="minorEastAsia" w:hAnsiTheme="minorEastAsia"/>
                <w:bCs/>
                <w:sz w:val="24"/>
              </w:rPr>
              <w:t>1</w:t>
            </w:r>
            <w:r>
              <w:rPr>
                <w:rFonts w:hint="eastAsia" w:asciiTheme="minorEastAsia" w:hAnsiTheme="minorEastAsia"/>
                <w:bCs/>
                <w:sz w:val="24"/>
                <w:lang w:val="en-US" w:eastAsia="zh-CN"/>
              </w:rPr>
              <w:t>3</w:t>
            </w:r>
            <w:r>
              <w:rPr>
                <w:rFonts w:hint="eastAsia" w:asciiTheme="minorEastAsia" w:hAnsiTheme="minorEastAsia"/>
                <w:bCs/>
                <w:sz w:val="24"/>
              </w:rPr>
              <w:t>）重大节假日、活动、保障前乙方未进行事先排查造成不良影响，重大节假日、活动、保障期间现场技术人员不到位。每发生</w:t>
            </w:r>
            <w:r>
              <w:rPr>
                <w:rFonts w:hint="default" w:asciiTheme="minorEastAsia" w:hAnsiTheme="minorEastAsia"/>
                <w:bCs/>
                <w:sz w:val="24"/>
              </w:rPr>
              <w:t>1</w:t>
            </w:r>
            <w:r>
              <w:rPr>
                <w:rFonts w:hint="eastAsia" w:asciiTheme="minorEastAsia" w:hAnsiTheme="minorEastAsia"/>
                <w:bCs/>
                <w:sz w:val="24"/>
              </w:rPr>
              <w:t>起扣除合同总金额的</w:t>
            </w:r>
            <w:r>
              <w:rPr>
                <w:rFonts w:hint="default" w:asciiTheme="minorEastAsia" w:hAnsiTheme="minorEastAsia"/>
                <w:bCs/>
                <w:sz w:val="24"/>
              </w:rPr>
              <w:t>0.05%的违约金，累计发生3</w:t>
            </w:r>
            <w:r>
              <w:rPr>
                <w:rFonts w:hint="eastAsia" w:asciiTheme="minorEastAsia" w:hAnsiTheme="minorEastAsia"/>
                <w:bCs/>
                <w:sz w:val="24"/>
              </w:rPr>
              <w:t>次以上，甲方有权解除合同，并有权就由此造成的损失向乙方提出索赔。</w:t>
            </w:r>
          </w:p>
          <w:p w14:paraId="1ECE3F5E">
            <w:pPr>
              <w:keepNext w:val="0"/>
              <w:keepLines w:val="0"/>
              <w:suppressLineNumbers w:val="0"/>
              <w:spacing w:before="0" w:beforeAutospacing="0" w:after="0" w:afterAutospacing="0" w:line="360" w:lineRule="auto"/>
              <w:ind w:left="0" w:right="0" w:firstLine="480" w:firstLineChars="200"/>
              <w:jc w:val="left"/>
              <w:rPr>
                <w:rFonts w:hint="eastAsia" w:asciiTheme="minorEastAsia" w:hAnsiTheme="minorEastAsia"/>
                <w:bCs/>
                <w:sz w:val="24"/>
              </w:rPr>
            </w:pPr>
            <w:r>
              <w:rPr>
                <w:rFonts w:hint="eastAsia" w:asciiTheme="minorEastAsia" w:hAnsiTheme="minorEastAsia"/>
                <w:sz w:val="24"/>
              </w:rPr>
              <w:t>（</w:t>
            </w:r>
            <w:r>
              <w:rPr>
                <w:rFonts w:hint="eastAsia" w:asciiTheme="minorEastAsia" w:hAnsiTheme="minorEastAsia"/>
                <w:sz w:val="24"/>
                <w:lang w:val="en-US" w:eastAsia="zh-CN"/>
              </w:rPr>
              <w:t>14</w:t>
            </w:r>
            <w:r>
              <w:rPr>
                <w:rFonts w:hint="eastAsia" w:asciiTheme="minorEastAsia" w:hAnsiTheme="minorEastAsia"/>
                <w:sz w:val="24"/>
              </w:rPr>
              <w:t>）</w:t>
            </w:r>
            <w:r>
              <w:rPr>
                <w:rFonts w:hint="eastAsia" w:asciiTheme="minorEastAsia" w:hAnsiTheme="minorEastAsia"/>
                <w:sz w:val="24"/>
                <w:lang w:val="en-US" w:eastAsia="zh-CN"/>
              </w:rPr>
              <w:t>乙方</w:t>
            </w:r>
            <w:r>
              <w:rPr>
                <w:rFonts w:hint="eastAsia" w:asciiTheme="minorEastAsia" w:hAnsiTheme="minorEastAsia"/>
                <w:sz w:val="24"/>
              </w:rPr>
              <w:t>未及时响应、处置甲方布置的工作或未按照投标文件承诺执行的，每发生1次扣除合同总金额0.05%的违约金，累计发生3次以上的，</w:t>
            </w:r>
            <w:r>
              <w:rPr>
                <w:rFonts w:hint="eastAsia" w:asciiTheme="minorEastAsia" w:hAnsiTheme="minorEastAsia"/>
                <w:bCs/>
                <w:sz w:val="24"/>
              </w:rPr>
              <w:t>甲方有权解除合同，并有权就由此造成的损失向乙方提出索赔。</w:t>
            </w:r>
          </w:p>
          <w:p w14:paraId="449AB77C">
            <w:pPr>
              <w:keepNext w:val="0"/>
              <w:keepLines w:val="0"/>
              <w:suppressLineNumbers w:val="0"/>
              <w:spacing w:before="0" w:beforeAutospacing="0" w:after="0" w:afterAutospacing="0" w:line="360" w:lineRule="auto"/>
              <w:ind w:left="0" w:right="0" w:firstLine="480" w:firstLineChars="200"/>
              <w:rPr>
                <w:rFonts w:hint="default" w:ascii="宋体" w:hAnsi="宋体" w:cs="宋体"/>
                <w:sz w:val="24"/>
                <w:highlight w:val="none"/>
              </w:rPr>
            </w:pPr>
            <w:r>
              <w:rPr>
                <w:rFonts w:hint="eastAsia" w:asciiTheme="minorEastAsia" w:hAnsiTheme="minorEastAsia"/>
                <w:sz w:val="24"/>
              </w:rPr>
              <w:t>（1</w:t>
            </w:r>
            <w:r>
              <w:rPr>
                <w:rFonts w:hint="eastAsia" w:asciiTheme="minorEastAsia" w:hAnsiTheme="minorEastAsia"/>
                <w:sz w:val="24"/>
                <w:lang w:val="en-US" w:eastAsia="zh-CN"/>
              </w:rPr>
              <w:t>5</w:t>
            </w:r>
            <w:r>
              <w:rPr>
                <w:rFonts w:hint="eastAsia" w:asciiTheme="minorEastAsia" w:hAnsiTheme="minorEastAsia"/>
                <w:sz w:val="24"/>
              </w:rPr>
              <w:t>）</w:t>
            </w:r>
            <w:r>
              <w:rPr>
                <w:rFonts w:hint="eastAsia" w:ascii="宋体" w:hAnsi="宋体"/>
                <w:sz w:val="24"/>
              </w:rPr>
              <w:t>乙方</w:t>
            </w:r>
            <w:r>
              <w:rPr>
                <w:rFonts w:hint="eastAsia" w:asciiTheme="minorEastAsia" w:hAnsiTheme="minorEastAsia"/>
                <w:sz w:val="24"/>
              </w:rPr>
              <w:t>在服务过程产生的违约金在当期结算合同价款时进行扣除。</w:t>
            </w:r>
          </w:p>
        </w:tc>
      </w:tr>
      <w:tr w14:paraId="5674B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5" w:type="dxa"/>
            <w:tcBorders>
              <w:left w:val="single" w:color="auto" w:sz="4" w:space="0"/>
            </w:tcBorders>
            <w:noWrap w:val="0"/>
            <w:vAlign w:val="center"/>
          </w:tcPr>
          <w:p w14:paraId="6175782C">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1.9.1</w:t>
            </w:r>
          </w:p>
        </w:tc>
        <w:tc>
          <w:tcPr>
            <w:tcW w:w="8313" w:type="dxa"/>
            <w:noWrap w:val="0"/>
            <w:vAlign w:val="center"/>
          </w:tcPr>
          <w:p w14:paraId="04EE0066">
            <w:pPr>
              <w:keepNext w:val="0"/>
              <w:keepLines w:val="0"/>
              <w:suppressLineNumbers w:val="0"/>
              <w:spacing w:before="0" w:beforeAutospacing="0" w:after="0" w:afterAutospacing="0" w:line="360" w:lineRule="auto"/>
              <w:ind w:left="0" w:right="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项目所在地</w:t>
            </w:r>
          </w:p>
        </w:tc>
      </w:tr>
      <w:tr w14:paraId="1A8BC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5" w:type="dxa"/>
            <w:tcBorders>
              <w:left w:val="single" w:color="auto" w:sz="4" w:space="0"/>
            </w:tcBorders>
            <w:noWrap w:val="0"/>
            <w:vAlign w:val="center"/>
          </w:tcPr>
          <w:p w14:paraId="0866B867">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1.9.2</w:t>
            </w:r>
          </w:p>
        </w:tc>
        <w:tc>
          <w:tcPr>
            <w:tcW w:w="8313" w:type="dxa"/>
            <w:noWrap w:val="0"/>
            <w:vAlign w:val="center"/>
          </w:tcPr>
          <w:p w14:paraId="0CDE3C8F">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本合同履行过程中发生的任何争议，双方当事人均可通过和解或者调解解决；不愿和解、调解或者和解、调解不成的，可以选择向甲方所在地人民法院起诉。</w:t>
            </w:r>
          </w:p>
        </w:tc>
      </w:tr>
      <w:tr w14:paraId="753F7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5" w:type="dxa"/>
            <w:tcBorders>
              <w:left w:val="single" w:color="auto" w:sz="4" w:space="0"/>
            </w:tcBorders>
            <w:noWrap w:val="0"/>
            <w:vAlign w:val="center"/>
          </w:tcPr>
          <w:p w14:paraId="207D2A1E">
            <w:pPr>
              <w:keepNext w:val="0"/>
              <w:keepLines w:val="0"/>
              <w:suppressLineNumbers w:val="0"/>
              <w:spacing w:before="0" w:beforeAutospacing="0" w:after="0" w:afterAutospacing="0" w:line="360" w:lineRule="auto"/>
              <w:ind w:left="0" w:right="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2.3.2</w:t>
            </w:r>
          </w:p>
        </w:tc>
        <w:tc>
          <w:tcPr>
            <w:tcW w:w="8313" w:type="dxa"/>
            <w:noWrap w:val="0"/>
            <w:vAlign w:val="center"/>
          </w:tcPr>
          <w:p w14:paraId="4CEA5BD4">
            <w:pPr>
              <w:keepNext w:val="0"/>
              <w:keepLines w:val="0"/>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1）投标人应保证甲方在使用投标标的物或其任何一部分时不受任何第三方提出的侵犯其著作权、商标权、专利权等知识产权方面的起诉；如果任何第三方提出侵权指控，那么乙方须与该第三方交涉并承担由此发生的一切责任、费用和赔偿；乙方已获取的知识产权归乙方所有。</w:t>
            </w:r>
          </w:p>
          <w:p w14:paraId="5348A214">
            <w:pPr>
              <w:keepNext w:val="0"/>
              <w:keepLines w:val="0"/>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2）因本项目而开发的软件的所有权及知识产权归甲方所有，乙方必须提供项目的所有源代码和开发文档，甲方有权自行对软件进行修改。未经甲方书面同意，乙方不得擅自扩散或提供给第三方使用，但甲方在本系统应用、二次开发或升级除外。乙方对甲方提供的业务资料、技术资料等专有信息应严格保密，不得以任何形式向第三方披露。</w:t>
            </w:r>
          </w:p>
          <w:p w14:paraId="2171068D">
            <w:pPr>
              <w:keepNext w:val="0"/>
              <w:keepLines w:val="0"/>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3）无论何时，本项目所涉系统中的包含文字、声音、图像等所有的数据信息的所有权、使用权和知识产权等权益都属于甲方。未经甲方书面允许，乙方无权使用、转让或处理系统中所有数据信息。乙方须妥善保存和备份系统中的所有数据信息，使之不被破坏、删除。乙方应该提供合适的技术手段，确保甲方及最终用户能阅读、使用、传送、处理和备份系统中的声音、图像和数据信息。由于甲方原因而导致前述系统数据信息丢失或损坏的，乙方不承担赔偿责任，但乙方应及时进行修复处理，相关费用则由甲方承担。</w:t>
            </w:r>
          </w:p>
        </w:tc>
      </w:tr>
      <w:tr w14:paraId="5C158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5" w:type="dxa"/>
            <w:tcBorders>
              <w:left w:val="single" w:color="auto" w:sz="4" w:space="0"/>
            </w:tcBorders>
            <w:noWrap w:val="0"/>
            <w:vAlign w:val="center"/>
          </w:tcPr>
          <w:p w14:paraId="1D0C5BEA">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w:t>
            </w:r>
            <w:r>
              <w:rPr>
                <w:rFonts w:hint="default" w:ascii="宋体" w:hAnsi="宋体" w:cs="宋体"/>
                <w:sz w:val="24"/>
                <w:highlight w:val="none"/>
              </w:rPr>
              <w:t>5</w:t>
            </w:r>
          </w:p>
        </w:tc>
        <w:tc>
          <w:tcPr>
            <w:tcW w:w="8313" w:type="dxa"/>
            <w:noWrap w:val="0"/>
            <w:vAlign w:val="center"/>
          </w:tcPr>
          <w:p w14:paraId="651CD3C6">
            <w:pPr>
              <w:keepNext w:val="0"/>
              <w:keepLines w:val="0"/>
              <w:suppressLineNumbers w:val="0"/>
              <w:spacing w:before="0" w:beforeAutospacing="0" w:after="0" w:afterAutospacing="0" w:line="360" w:lineRule="auto"/>
              <w:ind w:left="-420" w:leftChars="-200" w:right="-420" w:rightChars="-200" w:firstLine="480" w:firstLineChars="200"/>
              <w:rPr>
                <w:rFonts w:hint="default" w:ascii="宋体" w:hAnsi="宋体" w:cs="宋体"/>
                <w:sz w:val="24"/>
                <w:highlight w:val="none"/>
              </w:rPr>
            </w:pPr>
            <w:r>
              <w:rPr>
                <w:rFonts w:hint="eastAsia" w:ascii="宋体" w:hAnsi="宋体" w:cs="宋体"/>
                <w:sz w:val="24"/>
                <w:highlight w:val="none"/>
              </w:rPr>
              <w:t>同1.6.2</w:t>
            </w:r>
          </w:p>
        </w:tc>
      </w:tr>
      <w:tr w14:paraId="6B00F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5" w:type="dxa"/>
            <w:tcBorders>
              <w:left w:val="single" w:color="auto" w:sz="4" w:space="0"/>
            </w:tcBorders>
            <w:noWrap w:val="0"/>
            <w:vAlign w:val="center"/>
          </w:tcPr>
          <w:p w14:paraId="01EFF98D">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w:t>
            </w:r>
            <w:r>
              <w:rPr>
                <w:rFonts w:hint="default" w:ascii="宋体" w:hAnsi="宋体" w:cs="宋体"/>
                <w:sz w:val="24"/>
                <w:highlight w:val="none"/>
              </w:rPr>
              <w:t>11</w:t>
            </w:r>
            <w:r>
              <w:rPr>
                <w:rFonts w:hint="eastAsia" w:ascii="宋体" w:hAnsi="宋体" w:cs="宋体"/>
                <w:sz w:val="24"/>
                <w:highlight w:val="none"/>
              </w:rPr>
              <w:t>.</w:t>
            </w:r>
            <w:r>
              <w:rPr>
                <w:rFonts w:hint="default" w:ascii="宋体" w:hAnsi="宋体" w:cs="宋体"/>
                <w:sz w:val="24"/>
                <w:highlight w:val="none"/>
              </w:rPr>
              <w:t>3</w:t>
            </w:r>
          </w:p>
        </w:tc>
        <w:tc>
          <w:tcPr>
            <w:tcW w:w="8313" w:type="dxa"/>
            <w:noWrap w:val="0"/>
            <w:vAlign w:val="center"/>
          </w:tcPr>
          <w:p w14:paraId="5EE458F7">
            <w:pPr>
              <w:keepNext w:val="0"/>
              <w:keepLines w:val="0"/>
              <w:suppressLineNumbers w:val="0"/>
              <w:spacing w:before="0" w:beforeAutospacing="0" w:after="0" w:afterAutospacing="0" w:line="360" w:lineRule="auto"/>
              <w:ind w:left="0" w:right="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30日内</w:t>
            </w:r>
          </w:p>
        </w:tc>
      </w:tr>
      <w:tr w14:paraId="318B3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5" w:type="dxa"/>
            <w:tcBorders>
              <w:left w:val="single" w:color="auto" w:sz="4" w:space="0"/>
            </w:tcBorders>
            <w:noWrap w:val="0"/>
            <w:vAlign w:val="top"/>
          </w:tcPr>
          <w:p w14:paraId="4998A18A">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w:t>
            </w:r>
            <w:r>
              <w:rPr>
                <w:rFonts w:hint="default" w:ascii="宋体" w:hAnsi="宋体" w:cs="宋体"/>
                <w:sz w:val="24"/>
                <w:highlight w:val="none"/>
              </w:rPr>
              <w:t>11.4</w:t>
            </w:r>
            <w:r>
              <w:rPr>
                <w:rFonts w:hint="eastAsia" w:ascii="宋体" w:hAnsi="宋体" w:cs="宋体"/>
                <w:sz w:val="24"/>
                <w:highlight w:val="none"/>
              </w:rPr>
              <w:t xml:space="preserve"> </w:t>
            </w:r>
          </w:p>
        </w:tc>
        <w:tc>
          <w:tcPr>
            <w:tcW w:w="8313" w:type="dxa"/>
            <w:noWrap w:val="0"/>
            <w:vAlign w:val="top"/>
          </w:tcPr>
          <w:p w14:paraId="20BF1F4D">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rPr>
              <w:t>1</w:t>
            </w:r>
            <w:r>
              <w:rPr>
                <w:rFonts w:hint="default" w:ascii="宋体" w:hAnsi="宋体" w:cs="宋体"/>
                <w:sz w:val="24"/>
              </w:rPr>
              <w:t>0</w:t>
            </w:r>
            <w:r>
              <w:rPr>
                <w:rFonts w:hint="eastAsia" w:ascii="宋体" w:hAnsi="宋体" w:cs="宋体"/>
                <w:sz w:val="24"/>
              </w:rPr>
              <w:t>日内</w:t>
            </w:r>
          </w:p>
        </w:tc>
      </w:tr>
      <w:tr w14:paraId="093A5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5" w:type="dxa"/>
            <w:tcBorders>
              <w:left w:val="single" w:color="auto" w:sz="4" w:space="0"/>
            </w:tcBorders>
            <w:noWrap w:val="0"/>
            <w:vAlign w:val="center"/>
          </w:tcPr>
          <w:p w14:paraId="1CEBE90B">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w:t>
            </w:r>
            <w:r>
              <w:rPr>
                <w:rFonts w:hint="default" w:ascii="宋体" w:hAnsi="宋体" w:cs="宋体"/>
                <w:sz w:val="24"/>
                <w:highlight w:val="none"/>
              </w:rPr>
              <w:t>15</w:t>
            </w:r>
            <w:r>
              <w:rPr>
                <w:rFonts w:hint="eastAsia" w:ascii="宋体" w:hAnsi="宋体" w:cs="宋体"/>
                <w:sz w:val="24"/>
                <w:highlight w:val="none"/>
              </w:rPr>
              <w:t>.</w:t>
            </w:r>
            <w:r>
              <w:rPr>
                <w:rFonts w:hint="default" w:ascii="宋体" w:hAnsi="宋体" w:cs="宋体"/>
                <w:sz w:val="24"/>
                <w:highlight w:val="none"/>
              </w:rPr>
              <w:t>1</w:t>
            </w:r>
          </w:p>
        </w:tc>
        <w:tc>
          <w:tcPr>
            <w:tcW w:w="8313" w:type="dxa"/>
            <w:noWrap w:val="0"/>
            <w:vAlign w:val="center"/>
          </w:tcPr>
          <w:p w14:paraId="5A6A35FE">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cs="仿宋" w:asciiTheme="minorEastAsia" w:hAnsiTheme="minorEastAsia"/>
                <w:snapToGrid w:val="0"/>
                <w:sz w:val="24"/>
              </w:rPr>
              <w:t>中标人按采购文件要求、投标承诺以及国家、行业有关技术规范和标准自行完成</w:t>
            </w:r>
            <w:r>
              <w:rPr>
                <w:rFonts w:hint="eastAsia" w:cs="仿宋" w:asciiTheme="minorEastAsia" w:hAnsiTheme="minorEastAsia"/>
                <w:snapToGrid w:val="0"/>
                <w:sz w:val="24"/>
                <w:lang w:val="en-US" w:eastAsia="zh-CN"/>
              </w:rPr>
              <w:t>服务</w:t>
            </w:r>
            <w:r>
              <w:rPr>
                <w:rFonts w:hint="eastAsia" w:cs="仿宋" w:asciiTheme="minorEastAsia" w:hAnsiTheme="minorEastAsia"/>
                <w:snapToGrid w:val="0"/>
                <w:sz w:val="24"/>
              </w:rPr>
              <w:t>后向采购人提出验收申请。</w:t>
            </w:r>
            <w:r>
              <w:rPr>
                <w:rFonts w:hint="eastAsia" w:cs="仿宋" w:asciiTheme="minorEastAsia" w:hAnsiTheme="minorEastAsia"/>
                <w:snapToGrid w:val="0"/>
                <w:sz w:val="24"/>
                <w:lang w:val="en-US" w:eastAsia="zh-CN"/>
              </w:rPr>
              <w:t>计划</w:t>
            </w:r>
            <w:r>
              <w:rPr>
                <w:rFonts w:hint="eastAsia" w:cs="仿宋" w:asciiTheme="minorEastAsia" w:hAnsiTheme="minorEastAsia"/>
                <w:snapToGrid w:val="0"/>
                <w:sz w:val="24"/>
              </w:rPr>
              <w:t>2025年9月30日前完成项目初验，试运行不少于30日，并于2025年10月31日前完成项目终验。</w:t>
            </w:r>
          </w:p>
        </w:tc>
      </w:tr>
      <w:tr w14:paraId="6721D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5" w:type="dxa"/>
            <w:tcBorders>
              <w:left w:val="single" w:color="auto" w:sz="4" w:space="0"/>
            </w:tcBorders>
            <w:noWrap w:val="0"/>
            <w:vAlign w:val="center"/>
          </w:tcPr>
          <w:p w14:paraId="33EB0FF9">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w:t>
            </w:r>
            <w:r>
              <w:rPr>
                <w:rFonts w:hint="default" w:ascii="宋体" w:hAnsi="宋体" w:cs="宋体"/>
                <w:sz w:val="24"/>
                <w:highlight w:val="none"/>
              </w:rPr>
              <w:t>15</w:t>
            </w:r>
            <w:r>
              <w:rPr>
                <w:rFonts w:hint="eastAsia" w:ascii="宋体" w:hAnsi="宋体" w:cs="宋体"/>
                <w:sz w:val="24"/>
                <w:highlight w:val="none"/>
              </w:rPr>
              <w:t>.</w:t>
            </w:r>
            <w:r>
              <w:rPr>
                <w:rFonts w:hint="default" w:ascii="宋体" w:hAnsi="宋体" w:cs="宋体"/>
                <w:sz w:val="24"/>
                <w:highlight w:val="none"/>
              </w:rPr>
              <w:t>3</w:t>
            </w:r>
          </w:p>
        </w:tc>
        <w:tc>
          <w:tcPr>
            <w:tcW w:w="8313" w:type="dxa"/>
            <w:noWrap w:val="0"/>
            <w:vAlign w:val="center"/>
          </w:tcPr>
          <w:p w14:paraId="47CE54A1">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cs="仿宋" w:asciiTheme="minorEastAsia" w:hAnsiTheme="minorEastAsia"/>
                <w:snapToGrid w:val="0"/>
                <w:sz w:val="24"/>
              </w:rPr>
              <w:t>采购人参照《</w:t>
            </w:r>
            <w:r>
              <w:rPr>
                <w:rFonts w:hint="default" w:cs="仿宋" w:asciiTheme="minorEastAsia" w:hAnsiTheme="minorEastAsia"/>
                <w:snapToGrid w:val="0"/>
                <w:sz w:val="24"/>
              </w:rPr>
              <w:t>上城区电子政务项目管理办法</w:t>
            </w:r>
            <w:r>
              <w:rPr>
                <w:rFonts w:hint="eastAsia" w:cs="仿宋" w:asciiTheme="minorEastAsia" w:hAnsiTheme="minorEastAsia"/>
                <w:snapToGrid w:val="0"/>
                <w:sz w:val="24"/>
              </w:rPr>
              <w:t>》规定组织对成交人履约的验收。</w:t>
            </w:r>
          </w:p>
        </w:tc>
      </w:tr>
      <w:tr w14:paraId="55BB4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5" w:type="dxa"/>
            <w:tcBorders>
              <w:left w:val="single" w:color="auto" w:sz="4" w:space="0"/>
            </w:tcBorders>
            <w:noWrap w:val="0"/>
            <w:vAlign w:val="top"/>
          </w:tcPr>
          <w:p w14:paraId="43111B6C">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2.19</w:t>
            </w:r>
          </w:p>
        </w:tc>
        <w:tc>
          <w:tcPr>
            <w:tcW w:w="8313" w:type="dxa"/>
            <w:noWrap w:val="0"/>
            <w:vAlign w:val="top"/>
          </w:tcPr>
          <w:p w14:paraId="3CD0FBDD">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本合同壹式陆份，甲方执肆份，乙方执贰份。</w:t>
            </w:r>
          </w:p>
        </w:tc>
      </w:tr>
    </w:tbl>
    <w:p w14:paraId="7C321DD7">
      <w:pPr>
        <w:adjustRightInd/>
        <w:spacing w:before="120" w:beforeLines="50" w:after="120" w:afterLines="50" w:line="288" w:lineRule="auto"/>
        <w:jc w:val="center"/>
        <w:rPr>
          <w:rFonts w:ascii="宋体" w:hAnsi="宋体"/>
          <w:snapToGrid w:val="0"/>
          <w:kern w:val="0"/>
          <w:szCs w:val="21"/>
        </w:rPr>
      </w:pPr>
    </w:p>
    <w:p w14:paraId="6BFBA8D7">
      <w:pPr>
        <w:spacing w:line="360" w:lineRule="auto"/>
        <w:ind w:left="-420" w:leftChars="-200" w:right="-420" w:rightChars="-200" w:firstLine="482" w:firstLineChars="200"/>
        <w:rPr>
          <w:rFonts w:ascii="宋体" w:hAnsi="宋体" w:cs="宋体"/>
          <w:sz w:val="24"/>
        </w:rPr>
      </w:pPr>
      <w:r>
        <w:rPr>
          <w:rFonts w:hint="eastAsia" w:ascii="宋体" w:hAnsi="宋体" w:cs="宋体"/>
          <w:b/>
          <w:bCs/>
          <w:color w:val="auto"/>
          <w:sz w:val="24"/>
          <w:highlight w:val="none"/>
        </w:rPr>
        <w:t>注：此仅为合同书样本，中标单位需根据实际情况和采购人签订合同</w:t>
      </w:r>
    </w:p>
    <w:p w14:paraId="303D432A">
      <w:pPr>
        <w:pStyle w:val="61"/>
        <w:spacing w:line="360" w:lineRule="auto"/>
        <w:ind w:firstLine="420"/>
        <w:rPr>
          <w:rFonts w:asciiTheme="majorEastAsia" w:hAnsiTheme="majorEastAsia" w:eastAsiaTheme="majorEastAsia" w:cstheme="majorEastAsia"/>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430EE56A">
      <w:pPr>
        <w:pStyle w:val="61"/>
        <w:spacing w:line="360" w:lineRule="auto"/>
        <w:ind w:firstLine="420"/>
        <w:rPr>
          <w:rFonts w:asciiTheme="majorEastAsia" w:hAnsiTheme="majorEastAsia" w:eastAsiaTheme="majorEastAsia" w:cstheme="majorEastAsia"/>
        </w:rPr>
      </w:pPr>
    </w:p>
    <w:p w14:paraId="7542BB41">
      <w:pPr>
        <w:widowControl/>
        <w:adjustRightInd/>
        <w:jc w:val="left"/>
        <w:rPr>
          <w:rFonts w:ascii="宋体" w:hAnsi="宋体" w:cs="宋体"/>
          <w:b/>
          <w:sz w:val="36"/>
          <w:szCs w:val="20"/>
        </w:rPr>
      </w:pPr>
    </w:p>
    <w:p w14:paraId="78EC111A">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7"/>
      <w:r>
        <w:rPr>
          <w:rFonts w:hint="eastAsia" w:ascii="宋体" w:hAnsi="宋体" w:cs="宋体"/>
          <w:b/>
          <w:sz w:val="36"/>
          <w:szCs w:val="20"/>
        </w:rPr>
        <w:t xml:space="preserve"> </w:t>
      </w:r>
      <w:bookmarkEnd w:id="38"/>
      <w:r>
        <w:rPr>
          <w:rFonts w:hint="eastAsia" w:ascii="宋体" w:hAnsi="宋体" w:cs="宋体"/>
          <w:b/>
          <w:sz w:val="36"/>
          <w:szCs w:val="20"/>
        </w:rPr>
        <w:t>应提交的有关格式范例</w:t>
      </w:r>
    </w:p>
    <w:p w14:paraId="2BE1C341">
      <w:pPr>
        <w:spacing w:line="360" w:lineRule="auto"/>
        <w:jc w:val="center"/>
        <w:outlineLvl w:val="0"/>
        <w:rPr>
          <w:rFonts w:ascii="宋体" w:hAnsi="宋体" w:cs="宋体"/>
          <w:b/>
          <w:kern w:val="0"/>
          <w:sz w:val="36"/>
          <w:szCs w:val="36"/>
        </w:rPr>
      </w:pPr>
    </w:p>
    <w:p w14:paraId="367C343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2271BE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1C637D5">
      <w:pPr>
        <w:spacing w:line="360" w:lineRule="auto"/>
        <w:jc w:val="center"/>
        <w:outlineLvl w:val="0"/>
        <w:rPr>
          <w:rFonts w:ascii="宋体" w:hAnsi="宋体" w:cs="宋体"/>
          <w:b/>
          <w:kern w:val="0"/>
          <w:sz w:val="36"/>
          <w:szCs w:val="36"/>
        </w:rPr>
      </w:pPr>
    </w:p>
    <w:p w14:paraId="52F58D55">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0B8A91D4">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10F643D">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46CFB663">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41B991DE">
      <w:pPr>
        <w:snapToGrid w:val="0"/>
        <w:spacing w:line="360" w:lineRule="auto"/>
        <w:ind w:firstLine="480" w:firstLineChars="200"/>
        <w:rPr>
          <w:rFonts w:ascii="宋体" w:hAnsi="宋体" w:cs="宋体"/>
          <w:sz w:val="24"/>
        </w:rPr>
      </w:pPr>
    </w:p>
    <w:p w14:paraId="280D2CCD">
      <w:pPr>
        <w:spacing w:line="360" w:lineRule="auto"/>
        <w:ind w:firstLine="480" w:firstLineChars="200"/>
        <w:rPr>
          <w:rFonts w:ascii="宋体" w:hAnsi="宋体" w:cs="宋体"/>
          <w:sz w:val="24"/>
        </w:rPr>
      </w:pPr>
    </w:p>
    <w:p w14:paraId="1507992B">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23D320E4">
      <w:pPr>
        <w:snapToGrid w:val="0"/>
        <w:spacing w:line="360" w:lineRule="auto"/>
        <w:rPr>
          <w:rFonts w:ascii="宋体" w:hAnsi="宋体" w:cs="宋体"/>
          <w:sz w:val="24"/>
        </w:rPr>
      </w:pPr>
      <w:r>
        <w:rPr>
          <w:rFonts w:hint="eastAsia" w:ascii="宋体" w:hAnsi="宋体" w:cs="宋体"/>
          <w:sz w:val="24"/>
          <w:lang w:eastAsia="zh-CN"/>
        </w:rPr>
        <w:t>杭州市上城区综合行政执法局</w:t>
      </w:r>
      <w:r>
        <w:rPr>
          <w:rFonts w:hint="eastAsia" w:ascii="宋体" w:hAnsi="宋体" w:cs="宋体"/>
          <w:sz w:val="24"/>
        </w:rPr>
        <w:t>、杭州建设工程造价咨询有限公司：</w:t>
      </w:r>
    </w:p>
    <w:p w14:paraId="7D306E8D">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上城区城市管理智治平台改造项目（信创）</w:t>
      </w:r>
      <w:r>
        <w:rPr>
          <w:rFonts w:hint="eastAsia" w:ascii="宋体" w:hAnsi="宋体" w:cs="宋体"/>
          <w:sz w:val="24"/>
        </w:rPr>
        <w:t xml:space="preserve"> 【招标编号：</w:t>
      </w:r>
      <w:r>
        <w:rPr>
          <w:rFonts w:hint="eastAsia" w:ascii="宋体" w:hAnsi="宋体" w:cs="宋体"/>
          <w:sz w:val="24"/>
          <w:lang w:eastAsia="zh-CN"/>
        </w:rPr>
        <w:t>HJZX-GKCG-F202514</w:t>
      </w:r>
      <w:r>
        <w:rPr>
          <w:rFonts w:hint="eastAsia" w:ascii="宋体" w:hAnsi="宋体" w:cs="宋体"/>
          <w:sz w:val="24"/>
        </w:rPr>
        <w:t>】政府采购活动，郑重承诺：</w:t>
      </w:r>
    </w:p>
    <w:p w14:paraId="35660B0F">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4F8823A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714EE27">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6530A524">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B2E8AF4">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1E2A39E">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E4E38FD">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942F2CD">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BFC1752">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A3497DA">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27B4D37">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61EE236">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079B9A65">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520B18D">
      <w:pPr>
        <w:snapToGrid w:val="0"/>
        <w:spacing w:line="360" w:lineRule="auto"/>
        <w:ind w:right="480" w:firstLine="480" w:firstLineChars="200"/>
        <w:jc w:val="left"/>
        <w:rPr>
          <w:rFonts w:ascii="宋体" w:hAnsi="宋体" w:cs="宋体"/>
          <w:b/>
          <w:kern w:val="0"/>
          <w:sz w:val="32"/>
          <w:szCs w:val="32"/>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E31C397">
      <w:pPr>
        <w:widowControl/>
        <w:adjustRightInd/>
        <w:jc w:val="left"/>
        <w:rPr>
          <w:rFonts w:ascii="宋体" w:hAnsi="宋体" w:cs="宋体"/>
          <w:b/>
          <w:kern w:val="0"/>
          <w:sz w:val="32"/>
          <w:szCs w:val="32"/>
        </w:rPr>
      </w:pPr>
      <w:r>
        <w:rPr>
          <w:rFonts w:ascii="宋体" w:hAnsi="宋体" w:cs="宋体"/>
          <w:b/>
          <w:kern w:val="0"/>
          <w:sz w:val="32"/>
          <w:szCs w:val="32"/>
        </w:rPr>
        <w:br w:type="page"/>
      </w:r>
    </w:p>
    <w:p w14:paraId="1EE421F1">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2F4E3D95">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3F1622A6">
      <w:pPr>
        <w:snapToGrid w:val="0"/>
        <w:spacing w:line="360" w:lineRule="auto"/>
        <w:ind w:right="480"/>
        <w:jc w:val="center"/>
        <w:rPr>
          <w:rFonts w:ascii="宋体" w:hAnsi="宋体" w:cs="宋体"/>
          <w:b/>
          <w:kern w:val="0"/>
          <w:sz w:val="32"/>
          <w:szCs w:val="32"/>
        </w:rPr>
      </w:pPr>
    </w:p>
    <w:p w14:paraId="6E34BAD5">
      <w:pPr>
        <w:snapToGrid w:val="0"/>
        <w:spacing w:line="360" w:lineRule="auto"/>
        <w:ind w:right="480"/>
        <w:jc w:val="center"/>
        <w:rPr>
          <w:rFonts w:ascii="宋体" w:hAnsi="宋体" w:cs="宋体"/>
          <w:b/>
          <w:kern w:val="0"/>
          <w:sz w:val="32"/>
          <w:szCs w:val="32"/>
        </w:rPr>
      </w:pPr>
    </w:p>
    <w:p w14:paraId="78E4EA42">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三、落实政府采购政策需满足的资格要求（如果有）</w:t>
      </w:r>
    </w:p>
    <w:p w14:paraId="330855F1">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445A794">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02C56A61">
      <w:pPr>
        <w:widowControl/>
        <w:spacing w:line="360" w:lineRule="auto"/>
        <w:ind w:firstLine="480"/>
        <w:jc w:val="left"/>
        <w:rPr>
          <w:rFonts w:ascii="宋体" w:hAnsi="宋体" w:cs="宋体"/>
          <w:sz w:val="24"/>
        </w:rPr>
      </w:pPr>
    </w:p>
    <w:p w14:paraId="2574D32D">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无需再与其他中小企业组成联合体参加政府采购活动，无需提供联合协议。</w:t>
      </w:r>
    </w:p>
    <w:p w14:paraId="4BBDB095">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B6A87E4">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无需再向中小企业分包，无需提供分包意向协议。</w:t>
      </w:r>
    </w:p>
    <w:p w14:paraId="1363ECBA">
      <w:pPr>
        <w:widowControl/>
        <w:spacing w:line="360" w:lineRule="auto"/>
        <w:ind w:left="150"/>
        <w:jc w:val="center"/>
        <w:rPr>
          <w:rFonts w:ascii="宋体" w:hAnsi="宋体" w:cs="宋体"/>
          <w:b/>
          <w:kern w:val="0"/>
          <w:sz w:val="32"/>
          <w:szCs w:val="32"/>
        </w:rPr>
      </w:pPr>
    </w:p>
    <w:p w14:paraId="627D5BB0">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0F021871">
      <w:pPr>
        <w:rPr>
          <w:rFonts w:ascii="宋体" w:hAnsi="宋体" w:cs="宋体"/>
        </w:rPr>
      </w:pPr>
    </w:p>
    <w:p w14:paraId="4C7219AE">
      <w:pPr>
        <w:spacing w:line="360" w:lineRule="auto"/>
        <w:ind w:right="420" w:firstLine="3614" w:firstLineChars="1000"/>
        <w:rPr>
          <w:rFonts w:hint="eastAsia" w:ascii="宋体" w:hAnsi="宋体" w:cs="宋体"/>
          <w:b/>
          <w:kern w:val="0"/>
          <w:sz w:val="36"/>
          <w:szCs w:val="36"/>
        </w:rPr>
      </w:pPr>
    </w:p>
    <w:p w14:paraId="124C4E89">
      <w:pPr>
        <w:spacing w:line="360" w:lineRule="auto"/>
        <w:ind w:right="420" w:firstLine="3614" w:firstLineChars="1000"/>
        <w:rPr>
          <w:rFonts w:hint="eastAsia" w:ascii="宋体" w:hAnsi="宋体" w:eastAsia="宋体" w:cs="宋体"/>
          <w:b/>
          <w:kern w:val="0"/>
          <w:sz w:val="36"/>
          <w:szCs w:val="36"/>
          <w:lang w:val="en-US" w:eastAsia="zh-CN"/>
        </w:rPr>
      </w:pPr>
      <w:r>
        <w:rPr>
          <w:rFonts w:hint="eastAsia" w:ascii="宋体" w:hAnsi="宋体" w:cs="宋体"/>
          <w:b/>
          <w:kern w:val="0"/>
          <w:sz w:val="36"/>
          <w:szCs w:val="36"/>
          <w:lang w:val="en-US" w:eastAsia="zh-CN"/>
        </w:rPr>
        <w:t>无</w:t>
      </w:r>
    </w:p>
    <w:p w14:paraId="4BD769DA">
      <w:pPr>
        <w:spacing w:line="360" w:lineRule="auto"/>
        <w:ind w:right="420" w:firstLine="3614" w:firstLineChars="1000"/>
        <w:rPr>
          <w:rFonts w:hint="eastAsia" w:ascii="宋体" w:hAnsi="宋体" w:cs="宋体"/>
          <w:b/>
          <w:kern w:val="0"/>
          <w:sz w:val="36"/>
          <w:szCs w:val="36"/>
        </w:rPr>
      </w:pPr>
    </w:p>
    <w:p w14:paraId="10D1AF3B">
      <w:pPr>
        <w:spacing w:line="360" w:lineRule="auto"/>
        <w:ind w:right="420" w:firstLine="3614" w:firstLineChars="1000"/>
        <w:rPr>
          <w:rFonts w:hint="eastAsia" w:ascii="宋体" w:hAnsi="宋体" w:cs="宋体"/>
          <w:b/>
          <w:kern w:val="0"/>
          <w:sz w:val="36"/>
          <w:szCs w:val="36"/>
        </w:rPr>
      </w:pPr>
    </w:p>
    <w:p w14:paraId="1955E825">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1B6274E0">
      <w:pPr>
        <w:spacing w:line="360" w:lineRule="auto"/>
        <w:jc w:val="center"/>
        <w:outlineLvl w:val="0"/>
        <w:rPr>
          <w:rFonts w:ascii="宋体" w:hAnsi="宋体" w:cs="宋体"/>
          <w:b/>
          <w:kern w:val="0"/>
          <w:sz w:val="24"/>
        </w:rPr>
      </w:pPr>
    </w:p>
    <w:p w14:paraId="2492DA53">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2A175EE">
      <w:pPr>
        <w:snapToGrid w:val="0"/>
        <w:spacing w:line="360" w:lineRule="auto"/>
        <w:ind w:left="479" w:leftChars="228"/>
        <w:rPr>
          <w:rFonts w:ascii="宋体" w:hAnsi="宋体" w:cs="宋体"/>
          <w:sz w:val="24"/>
        </w:rPr>
      </w:pPr>
      <w:r>
        <w:rPr>
          <w:rFonts w:hint="eastAsia" w:ascii="宋体" w:hAnsi="宋体" w:cs="宋体"/>
          <w:sz w:val="24"/>
        </w:rPr>
        <w:t>（1）投标函</w:t>
      </w:r>
      <w:r>
        <w:rPr>
          <w:rFonts w:hint="eastAsia" w:ascii="宋体" w:hAnsi="宋体" w:cs="宋体"/>
        </w:rPr>
        <w:t>…………………………………………………………………………………</w:t>
      </w:r>
      <w:r>
        <w:rPr>
          <w:rFonts w:hint="eastAsia" w:ascii="宋体" w:hAnsi="宋体" w:cs="宋体"/>
          <w:sz w:val="24"/>
        </w:rPr>
        <w:t>（页码）（2）授权委托书或法定代表人（单位负责人、自然人本人）身份证明</w:t>
      </w:r>
      <w:r>
        <w:rPr>
          <w:rFonts w:hint="eastAsia" w:ascii="宋体" w:hAnsi="宋体" w:cs="宋体"/>
        </w:rPr>
        <w:t>………</w:t>
      </w:r>
      <w:r>
        <w:rPr>
          <w:rFonts w:hint="eastAsia" w:ascii="宋体" w:hAnsi="宋体" w:cs="宋体"/>
          <w:sz w:val="24"/>
        </w:rPr>
        <w:t>（页码）</w:t>
      </w:r>
    </w:p>
    <w:p w14:paraId="35FEAA2A">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w:t>
      </w:r>
      <w:r>
        <w:rPr>
          <w:rFonts w:hint="eastAsia" w:ascii="宋体" w:hAnsi="宋体" w:cs="宋体"/>
          <w:sz w:val="24"/>
        </w:rPr>
        <w:t>（页码）</w:t>
      </w:r>
    </w:p>
    <w:p w14:paraId="6786A2BD">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w:t>
      </w:r>
      <w:r>
        <w:rPr>
          <w:rFonts w:hint="eastAsia" w:ascii="宋体" w:hAnsi="宋体" w:cs="宋体"/>
          <w:sz w:val="24"/>
        </w:rPr>
        <w:t>（页码）</w:t>
      </w:r>
    </w:p>
    <w:p w14:paraId="31BB628A">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（页码）（</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页码）</w:t>
      </w:r>
    </w:p>
    <w:p w14:paraId="4FF3769D">
      <w:pPr>
        <w:snapToGrid w:val="0"/>
        <w:spacing w:line="360" w:lineRule="auto"/>
        <w:ind w:left="479" w:leftChars="228"/>
        <w:rPr>
          <w:rFonts w:ascii="宋体" w:hAnsi="宋体" w:cs="宋体"/>
          <w:sz w:val="24"/>
        </w:rPr>
      </w:pPr>
      <w:r>
        <w:rPr>
          <w:rFonts w:hint="eastAsia" w:ascii="宋体" w:hAnsi="宋体" w:cs="宋体"/>
          <w:sz w:val="24"/>
        </w:rPr>
        <w:t>（7）人员配置清单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（页码）（8）商务技术偏离表</w:t>
      </w:r>
      <w:r>
        <w:rPr>
          <w:rFonts w:hint="eastAsia" w:ascii="宋体" w:hAnsi="宋体" w:cs="宋体"/>
        </w:rPr>
        <w:t>………………………………………………………………………</w:t>
      </w:r>
      <w:r>
        <w:rPr>
          <w:rFonts w:hint="eastAsia" w:ascii="宋体" w:hAnsi="宋体" w:cs="宋体"/>
          <w:sz w:val="24"/>
        </w:rPr>
        <w:t>（页码）</w:t>
      </w:r>
    </w:p>
    <w:p w14:paraId="2C2122D5">
      <w:pPr>
        <w:snapToGrid w:val="0"/>
        <w:spacing w:line="360" w:lineRule="auto"/>
        <w:ind w:left="479" w:leftChars="228"/>
        <w:rPr>
          <w:rFonts w:ascii="宋体" w:hAnsi="宋体" w:cs="宋体"/>
          <w:sz w:val="24"/>
        </w:rPr>
      </w:pP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r>
        <w:rPr>
          <w:rFonts w:hint="eastAsia" w:ascii="宋体" w:hAnsi="宋体" w:cs="宋体"/>
        </w:rPr>
        <w:t>…………………………………………………</w:t>
      </w:r>
      <w:r>
        <w:rPr>
          <w:rFonts w:hint="eastAsia" w:ascii="宋体" w:hAnsi="宋体" w:cs="宋体"/>
          <w:sz w:val="24"/>
        </w:rPr>
        <w:t>（页码）</w:t>
      </w:r>
    </w:p>
    <w:p w14:paraId="2DAD291F">
      <w:pPr>
        <w:snapToGrid w:val="0"/>
        <w:spacing w:line="360" w:lineRule="auto"/>
        <w:jc w:val="center"/>
        <w:rPr>
          <w:rFonts w:ascii="宋体" w:hAnsi="宋体" w:cs="宋体"/>
          <w:b/>
          <w:kern w:val="0"/>
          <w:sz w:val="32"/>
          <w:szCs w:val="32"/>
          <w:lang w:val="zh-CN"/>
        </w:rPr>
      </w:pPr>
    </w:p>
    <w:p w14:paraId="4AA84FC8">
      <w:pPr>
        <w:snapToGrid w:val="0"/>
        <w:spacing w:line="360" w:lineRule="auto"/>
        <w:jc w:val="center"/>
        <w:rPr>
          <w:rFonts w:ascii="宋体" w:hAnsi="宋体" w:cs="宋体"/>
          <w:b/>
          <w:kern w:val="0"/>
          <w:sz w:val="32"/>
          <w:szCs w:val="32"/>
          <w:lang w:val="zh-CN"/>
        </w:rPr>
      </w:pPr>
    </w:p>
    <w:p w14:paraId="3BA638BF">
      <w:pPr>
        <w:snapToGrid w:val="0"/>
        <w:spacing w:line="360" w:lineRule="auto"/>
        <w:jc w:val="center"/>
        <w:rPr>
          <w:rFonts w:ascii="宋体" w:hAnsi="宋体" w:cs="宋体"/>
          <w:b/>
          <w:kern w:val="0"/>
          <w:sz w:val="32"/>
          <w:szCs w:val="32"/>
          <w:lang w:val="zh-CN"/>
        </w:rPr>
      </w:pPr>
    </w:p>
    <w:p w14:paraId="10839AD3">
      <w:pPr>
        <w:snapToGrid w:val="0"/>
        <w:spacing w:line="360" w:lineRule="auto"/>
        <w:jc w:val="center"/>
        <w:rPr>
          <w:rFonts w:ascii="宋体" w:hAnsi="宋体" w:cs="宋体"/>
          <w:b/>
          <w:kern w:val="0"/>
          <w:sz w:val="32"/>
          <w:szCs w:val="32"/>
          <w:lang w:val="zh-CN"/>
        </w:rPr>
      </w:pPr>
    </w:p>
    <w:p w14:paraId="7695ADB2">
      <w:pPr>
        <w:snapToGrid w:val="0"/>
        <w:spacing w:line="360" w:lineRule="auto"/>
        <w:jc w:val="center"/>
        <w:rPr>
          <w:rFonts w:ascii="宋体" w:hAnsi="宋体" w:cs="宋体"/>
          <w:b/>
          <w:kern w:val="0"/>
          <w:sz w:val="32"/>
          <w:szCs w:val="32"/>
          <w:lang w:val="zh-CN"/>
        </w:rPr>
      </w:pPr>
    </w:p>
    <w:p w14:paraId="1CDADA28">
      <w:pPr>
        <w:snapToGrid w:val="0"/>
        <w:spacing w:line="360" w:lineRule="auto"/>
        <w:jc w:val="center"/>
        <w:rPr>
          <w:rFonts w:ascii="宋体" w:hAnsi="宋体" w:cs="宋体"/>
          <w:b/>
          <w:kern w:val="0"/>
          <w:sz w:val="32"/>
          <w:szCs w:val="32"/>
          <w:lang w:val="zh-CN"/>
        </w:rPr>
      </w:pPr>
    </w:p>
    <w:p w14:paraId="1EAD702B">
      <w:pPr>
        <w:snapToGrid w:val="0"/>
        <w:spacing w:line="360" w:lineRule="auto"/>
        <w:jc w:val="center"/>
        <w:rPr>
          <w:rFonts w:ascii="宋体" w:hAnsi="宋体" w:cs="宋体"/>
          <w:b/>
          <w:kern w:val="0"/>
          <w:sz w:val="32"/>
          <w:szCs w:val="32"/>
          <w:lang w:val="zh-CN"/>
        </w:rPr>
      </w:pPr>
    </w:p>
    <w:p w14:paraId="03190839">
      <w:pPr>
        <w:snapToGrid w:val="0"/>
        <w:spacing w:line="360" w:lineRule="auto"/>
        <w:jc w:val="center"/>
        <w:rPr>
          <w:rFonts w:ascii="宋体" w:hAnsi="宋体" w:cs="宋体"/>
          <w:b/>
          <w:kern w:val="0"/>
          <w:sz w:val="32"/>
          <w:szCs w:val="32"/>
          <w:lang w:val="zh-CN"/>
        </w:rPr>
      </w:pPr>
    </w:p>
    <w:p w14:paraId="3A4B69A3">
      <w:pPr>
        <w:snapToGrid w:val="0"/>
        <w:spacing w:line="360" w:lineRule="auto"/>
        <w:jc w:val="center"/>
        <w:rPr>
          <w:rFonts w:ascii="宋体" w:hAnsi="宋体" w:cs="宋体"/>
          <w:b/>
          <w:kern w:val="0"/>
          <w:sz w:val="32"/>
          <w:szCs w:val="32"/>
          <w:lang w:val="zh-CN"/>
        </w:rPr>
      </w:pPr>
    </w:p>
    <w:p w14:paraId="63F53E08">
      <w:pPr>
        <w:snapToGrid w:val="0"/>
        <w:spacing w:line="360" w:lineRule="auto"/>
        <w:jc w:val="center"/>
        <w:rPr>
          <w:rFonts w:ascii="宋体" w:hAnsi="宋体" w:cs="宋体"/>
          <w:b/>
          <w:kern w:val="0"/>
          <w:sz w:val="32"/>
          <w:szCs w:val="32"/>
          <w:lang w:val="zh-CN"/>
        </w:rPr>
      </w:pPr>
    </w:p>
    <w:p w14:paraId="2118322E">
      <w:pPr>
        <w:snapToGrid w:val="0"/>
        <w:spacing w:line="360" w:lineRule="auto"/>
        <w:jc w:val="center"/>
        <w:rPr>
          <w:rFonts w:ascii="宋体" w:hAnsi="宋体" w:cs="宋体"/>
          <w:b/>
          <w:kern w:val="0"/>
          <w:sz w:val="32"/>
          <w:szCs w:val="32"/>
          <w:lang w:val="zh-CN"/>
        </w:rPr>
      </w:pPr>
    </w:p>
    <w:p w14:paraId="39AC8A3C">
      <w:pPr>
        <w:snapToGrid w:val="0"/>
        <w:spacing w:line="360" w:lineRule="auto"/>
        <w:jc w:val="center"/>
        <w:rPr>
          <w:rFonts w:ascii="宋体" w:hAnsi="宋体" w:cs="宋体"/>
          <w:b/>
          <w:kern w:val="0"/>
          <w:sz w:val="32"/>
          <w:szCs w:val="32"/>
          <w:lang w:val="zh-CN"/>
        </w:rPr>
      </w:pPr>
    </w:p>
    <w:p w14:paraId="0D12C7AA">
      <w:pPr>
        <w:rPr>
          <w:rFonts w:ascii="宋体" w:hAnsi="宋体" w:cs="宋体"/>
          <w:b/>
          <w:kern w:val="0"/>
          <w:sz w:val="32"/>
          <w:szCs w:val="32"/>
          <w:lang w:val="zh-CN"/>
        </w:rPr>
      </w:pPr>
    </w:p>
    <w:p w14:paraId="6FBB80D6">
      <w:pPr>
        <w:widowControl/>
        <w:adjustRightInd/>
        <w:jc w:val="left"/>
        <w:rPr>
          <w:rFonts w:ascii="宋体" w:hAnsi="宋体" w:cs="宋体"/>
          <w:b/>
          <w:kern w:val="0"/>
          <w:sz w:val="32"/>
          <w:szCs w:val="32"/>
        </w:rPr>
      </w:pPr>
      <w:r>
        <w:rPr>
          <w:rFonts w:ascii="宋体" w:hAnsi="宋体" w:cs="宋体"/>
          <w:b/>
          <w:kern w:val="0"/>
          <w:sz w:val="32"/>
          <w:szCs w:val="32"/>
        </w:rPr>
        <w:br w:type="page"/>
      </w:r>
    </w:p>
    <w:p w14:paraId="081FFF65">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29BF9E8D">
      <w:pPr>
        <w:snapToGrid w:val="0"/>
        <w:spacing w:line="360" w:lineRule="auto"/>
        <w:rPr>
          <w:rFonts w:ascii="宋体" w:hAnsi="宋体" w:cs="宋体"/>
          <w:sz w:val="24"/>
        </w:rPr>
      </w:pPr>
      <w:r>
        <w:rPr>
          <w:rFonts w:hint="eastAsia" w:ascii="宋体" w:hAnsi="宋体" w:cs="宋体"/>
          <w:sz w:val="24"/>
          <w:lang w:eastAsia="zh-CN"/>
        </w:rPr>
        <w:t>杭州市上城区综合行政执法局</w:t>
      </w:r>
      <w:r>
        <w:rPr>
          <w:rFonts w:hint="eastAsia" w:ascii="宋体" w:hAnsi="宋体" w:cs="宋体"/>
          <w:sz w:val="24"/>
        </w:rPr>
        <w:t>、杭州建设工程造价咨询有限公司：</w:t>
      </w:r>
    </w:p>
    <w:p w14:paraId="7FDB8DBE">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上城区城市管理智治平台改造项目（信创）</w:t>
      </w:r>
      <w:r>
        <w:rPr>
          <w:rFonts w:hint="eastAsia" w:ascii="宋体" w:hAnsi="宋体" w:cs="宋体"/>
          <w:sz w:val="24"/>
        </w:rPr>
        <w:t xml:space="preserve"> 【招标编号：</w:t>
      </w:r>
      <w:r>
        <w:rPr>
          <w:rFonts w:hint="eastAsia" w:ascii="宋体" w:hAnsi="宋体" w:cs="宋体"/>
          <w:sz w:val="24"/>
          <w:lang w:eastAsia="zh-CN"/>
        </w:rPr>
        <w:t>HJZX-GKCG-F202514</w:t>
      </w:r>
      <w:r>
        <w:rPr>
          <w:rFonts w:hint="eastAsia" w:ascii="宋体" w:hAnsi="宋体" w:cs="宋体"/>
          <w:sz w:val="24"/>
        </w:rPr>
        <w:t>】招标的有关活动，并对此项目进行投标。为此：</w:t>
      </w:r>
    </w:p>
    <w:p w14:paraId="68027D6C">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7128B5E6">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75A13129">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AE9C619">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1F65B47A">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 w:name="_Hlk101257010"/>
      <w:r>
        <w:rPr>
          <w:rFonts w:hint="eastAsia" w:ascii="宋体" w:hAnsi="宋体" w:cs="宋体"/>
          <w:sz w:val="24"/>
        </w:rPr>
        <w:t>（如果有)</w:t>
      </w:r>
      <w:bookmarkEnd w:id="51"/>
      <w:r>
        <w:rPr>
          <w:rFonts w:hint="eastAsia" w:ascii="宋体" w:hAnsi="宋体" w:cs="宋体"/>
          <w:snapToGrid w:val="0"/>
          <w:kern w:val="28"/>
          <w:sz w:val="24"/>
          <w:szCs w:val="20"/>
        </w:rPr>
        <w:t>；</w:t>
      </w:r>
    </w:p>
    <w:p w14:paraId="7DBD49B1">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5A51EFD1">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0773D59A">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98507B8">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9BFA6F6">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666AC9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02241FB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C4F9FB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412D2E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600BFF2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人员配置清单；</w:t>
      </w:r>
    </w:p>
    <w:p w14:paraId="53FFD6C4">
      <w:pPr>
        <w:snapToGrid w:val="0"/>
        <w:spacing w:line="360" w:lineRule="auto"/>
        <w:ind w:left="420" w:leftChars="200" w:firstLine="480" w:firstLineChars="200"/>
        <w:rPr>
          <w:rFonts w:ascii="宋体" w:hAnsi="宋体" w:cs="宋体"/>
          <w:sz w:val="24"/>
        </w:rPr>
      </w:pPr>
      <w:r>
        <w:rPr>
          <w:rFonts w:hint="eastAsia" w:ascii="宋体" w:hAnsi="宋体" w:cs="宋体"/>
          <w:sz w:val="24"/>
        </w:rPr>
        <w:t>2.2.8商务技术偏离表；</w:t>
      </w:r>
    </w:p>
    <w:p w14:paraId="18D136F0">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p>
    <w:p w14:paraId="5AFCE059">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6F62E903">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007F79E8">
      <w:pPr>
        <w:snapToGrid w:val="0"/>
        <w:spacing w:line="360" w:lineRule="auto"/>
        <w:ind w:left="420" w:leftChars="200" w:firstLine="480" w:firstLineChars="200"/>
        <w:rPr>
          <w:rFonts w:ascii="宋体" w:hAnsi="宋体" w:cs="宋体"/>
          <w:sz w:val="24"/>
        </w:rPr>
      </w:pPr>
      <w:r>
        <w:rPr>
          <w:rFonts w:hint="eastAsia" w:ascii="宋体" w:hAnsi="宋体" w:cs="宋体"/>
          <w:sz w:val="24"/>
        </w:rPr>
        <w:t>2.3.2 报价情况说明（如果有）；</w:t>
      </w:r>
    </w:p>
    <w:p w14:paraId="1D39C814">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14:paraId="7FFBC61A">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3、我方承诺除商务技术偏离表列出的偏离外，我方响应招标文件的全部要求。对投标文件中材料的真实性、合法性负责，积极配合采购人复核投标文件中的资料。</w:t>
      </w:r>
    </w:p>
    <w:p w14:paraId="59DE9BBF">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0F4C4F9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0DC71D4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752EDC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432391C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58FB1A94">
      <w:pPr>
        <w:numPr>
          <w:ilvl w:val="0"/>
          <w:numId w:val="9"/>
        </w:numPr>
        <w:spacing w:line="360" w:lineRule="auto"/>
        <w:ind w:firstLine="480" w:firstLineChars="200"/>
        <w:rPr>
          <w:rFonts w:ascii="宋体" w:hAnsi="宋体" w:cs="宋体"/>
          <w:sz w:val="24"/>
          <w:shd w:val="clear" w:color="auto" w:fill="FFFFFF"/>
        </w:rPr>
      </w:pPr>
      <w:r>
        <w:rPr>
          <w:rFonts w:hint="eastAsia" w:ascii="宋体" w:hAnsi="宋体" w:cs="宋体"/>
          <w:sz w:val="24"/>
        </w:rPr>
        <w:t>对</w:t>
      </w:r>
      <w:r>
        <w:rPr>
          <w:rFonts w:hint="eastAsia" w:ascii="宋体" w:hAnsi="宋体" w:cs="宋体"/>
          <w:sz w:val="24"/>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FC7D10F">
      <w:pPr>
        <w:numPr>
          <w:ilvl w:val="0"/>
          <w:numId w:val="9"/>
        </w:numPr>
        <w:spacing w:line="360" w:lineRule="auto"/>
        <w:ind w:firstLine="480" w:firstLineChars="200"/>
        <w:rPr>
          <w:rFonts w:ascii="宋体" w:hAnsi="宋体" w:cs="宋体"/>
          <w:sz w:val="24"/>
        </w:rPr>
      </w:pP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1AF4742B">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1D98BC76">
      <w:pPr>
        <w:spacing w:line="360" w:lineRule="auto"/>
        <w:jc w:val="center"/>
        <w:rPr>
          <w:rFonts w:ascii="宋体" w:hAnsi="宋体" w:cs="宋体"/>
          <w:sz w:val="24"/>
        </w:rPr>
      </w:pPr>
      <w:r>
        <w:rPr>
          <w:rFonts w:hint="eastAsia" w:ascii="宋体" w:hAnsi="宋体" w:cs="宋体"/>
          <w:sz w:val="24"/>
        </w:rPr>
        <w:t xml:space="preserve">     日期：  年   月   日</w:t>
      </w:r>
    </w:p>
    <w:p w14:paraId="4C4DF4DA">
      <w:pPr>
        <w:snapToGrid w:val="0"/>
        <w:spacing w:line="360" w:lineRule="auto"/>
        <w:ind w:left="420" w:leftChars="200" w:firstLine="4200" w:firstLineChars="1750"/>
        <w:rPr>
          <w:rFonts w:ascii="宋体" w:hAnsi="宋体" w:cs="宋体"/>
          <w:kern w:val="0"/>
          <w:sz w:val="24"/>
          <w:u w:val="single"/>
        </w:rPr>
      </w:pPr>
    </w:p>
    <w:p w14:paraId="21D20147">
      <w:pPr>
        <w:spacing w:line="360" w:lineRule="auto"/>
        <w:ind w:right="420"/>
        <w:rPr>
          <w:rFonts w:ascii="宋体" w:hAnsi="宋体" w:cs="宋体"/>
          <w:sz w:val="24"/>
        </w:rPr>
      </w:pPr>
      <w:r>
        <w:rPr>
          <w:rFonts w:hint="eastAsia" w:ascii="宋体" w:hAnsi="宋体" w:cs="宋体"/>
          <w:sz w:val="24"/>
        </w:rPr>
        <w:t>注：按本格式和要求提供。</w:t>
      </w:r>
    </w:p>
    <w:p w14:paraId="6A2F8C8E">
      <w:pPr>
        <w:jc w:val="center"/>
        <w:rPr>
          <w:rFonts w:ascii="宋体" w:hAnsi="宋体" w:cs="宋体"/>
          <w:b/>
          <w:kern w:val="0"/>
          <w:sz w:val="32"/>
          <w:szCs w:val="32"/>
        </w:rPr>
      </w:pPr>
    </w:p>
    <w:p w14:paraId="36C404C8">
      <w:pPr>
        <w:jc w:val="center"/>
        <w:rPr>
          <w:rFonts w:ascii="宋体" w:hAnsi="宋体" w:cs="宋体"/>
          <w:b/>
          <w:kern w:val="0"/>
          <w:sz w:val="32"/>
          <w:szCs w:val="32"/>
        </w:rPr>
      </w:pPr>
    </w:p>
    <w:p w14:paraId="0B2F0923">
      <w:pPr>
        <w:jc w:val="center"/>
        <w:rPr>
          <w:rFonts w:ascii="宋体" w:hAnsi="宋体" w:cs="宋体"/>
          <w:b/>
          <w:kern w:val="0"/>
          <w:sz w:val="32"/>
          <w:szCs w:val="32"/>
        </w:rPr>
      </w:pPr>
    </w:p>
    <w:p w14:paraId="375AFCAA">
      <w:pPr>
        <w:jc w:val="center"/>
        <w:rPr>
          <w:rFonts w:ascii="宋体" w:hAnsi="宋体" w:cs="宋体"/>
          <w:b/>
          <w:kern w:val="0"/>
          <w:sz w:val="32"/>
          <w:szCs w:val="32"/>
        </w:rPr>
      </w:pPr>
    </w:p>
    <w:p w14:paraId="5F4B0B7A">
      <w:pPr>
        <w:jc w:val="center"/>
        <w:rPr>
          <w:rFonts w:ascii="宋体" w:hAnsi="宋体" w:cs="宋体"/>
          <w:b/>
          <w:kern w:val="0"/>
          <w:sz w:val="32"/>
          <w:szCs w:val="32"/>
        </w:rPr>
      </w:pPr>
    </w:p>
    <w:p w14:paraId="7735E39A">
      <w:pPr>
        <w:jc w:val="center"/>
        <w:rPr>
          <w:rFonts w:ascii="宋体" w:hAnsi="宋体" w:cs="宋体"/>
          <w:b/>
          <w:kern w:val="0"/>
          <w:sz w:val="32"/>
          <w:szCs w:val="32"/>
        </w:rPr>
      </w:pPr>
    </w:p>
    <w:p w14:paraId="7DE4665D">
      <w:pPr>
        <w:jc w:val="center"/>
        <w:rPr>
          <w:rFonts w:ascii="宋体" w:hAnsi="宋体" w:cs="宋体"/>
          <w:b/>
          <w:kern w:val="0"/>
          <w:sz w:val="32"/>
          <w:szCs w:val="32"/>
        </w:rPr>
      </w:pPr>
    </w:p>
    <w:p w14:paraId="36A6DFDA">
      <w:pPr>
        <w:pStyle w:val="4"/>
        <w:rPr>
          <w:lang w:val="en-US"/>
        </w:rPr>
      </w:pPr>
    </w:p>
    <w:p w14:paraId="64E8BEB2">
      <w:pPr>
        <w:jc w:val="center"/>
        <w:rPr>
          <w:rFonts w:ascii="宋体" w:hAnsi="宋体" w:cs="宋体"/>
          <w:b/>
          <w:kern w:val="0"/>
          <w:sz w:val="32"/>
          <w:szCs w:val="32"/>
        </w:rPr>
      </w:pPr>
    </w:p>
    <w:p w14:paraId="6D3AB3B5">
      <w:pPr>
        <w:jc w:val="center"/>
        <w:rPr>
          <w:rFonts w:ascii="宋体" w:hAnsi="宋体" w:cs="宋体"/>
          <w:b/>
          <w:kern w:val="0"/>
          <w:sz w:val="32"/>
          <w:szCs w:val="32"/>
        </w:rPr>
      </w:pPr>
    </w:p>
    <w:p w14:paraId="7A900186">
      <w:pPr>
        <w:widowControl/>
        <w:adjustRightInd/>
        <w:jc w:val="left"/>
        <w:rPr>
          <w:rFonts w:ascii="宋体" w:hAnsi="宋体" w:cs="宋体"/>
          <w:b/>
          <w:kern w:val="0"/>
          <w:sz w:val="32"/>
          <w:szCs w:val="32"/>
        </w:rPr>
      </w:pPr>
      <w:r>
        <w:rPr>
          <w:rFonts w:ascii="宋体" w:hAnsi="宋体" w:cs="宋体"/>
          <w:b/>
          <w:kern w:val="0"/>
          <w:sz w:val="32"/>
          <w:szCs w:val="32"/>
        </w:rPr>
        <w:br w:type="page"/>
      </w:r>
    </w:p>
    <w:p w14:paraId="01D44EB7">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5A64239">
      <w:pPr>
        <w:snapToGrid w:val="0"/>
        <w:spacing w:line="360" w:lineRule="auto"/>
        <w:rPr>
          <w:rFonts w:ascii="宋体" w:hAnsi="宋体" w:cs="宋体"/>
          <w:sz w:val="24"/>
        </w:rPr>
      </w:pPr>
      <w:r>
        <w:rPr>
          <w:rFonts w:hint="eastAsia" w:ascii="宋体" w:hAnsi="宋体" w:cs="宋体"/>
          <w:sz w:val="24"/>
        </w:rPr>
        <w:t xml:space="preserve">                                </w:t>
      </w:r>
    </w:p>
    <w:p w14:paraId="34376306">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5010F7E6">
      <w:pPr>
        <w:snapToGrid w:val="0"/>
        <w:spacing w:line="360" w:lineRule="auto"/>
        <w:rPr>
          <w:rFonts w:ascii="宋体" w:hAnsi="宋体" w:cs="宋体"/>
          <w:kern w:val="0"/>
          <w:sz w:val="24"/>
        </w:rPr>
      </w:pPr>
      <w:r>
        <w:rPr>
          <w:rFonts w:hint="eastAsia" w:ascii="宋体" w:hAnsi="宋体" w:cs="宋体"/>
          <w:sz w:val="24"/>
          <w:lang w:eastAsia="zh-CN"/>
        </w:rPr>
        <w:t>杭州市上城区综合行政执法局</w:t>
      </w:r>
      <w:r>
        <w:rPr>
          <w:rFonts w:hint="eastAsia" w:ascii="宋体" w:hAnsi="宋体" w:cs="宋体"/>
          <w:sz w:val="24"/>
        </w:rPr>
        <w:t>、杭州建设工程造价咨询有限公司</w:t>
      </w:r>
      <w:r>
        <w:rPr>
          <w:rFonts w:hint="eastAsia" w:ascii="宋体" w:hAnsi="宋体" w:cs="宋体"/>
          <w:kern w:val="0"/>
          <w:sz w:val="24"/>
          <w:lang w:val="zh-CN"/>
        </w:rPr>
        <w:t>：</w:t>
      </w:r>
    </w:p>
    <w:p w14:paraId="38C4B97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上城区城市管理智治平台改造项目（信创）</w:t>
      </w:r>
      <w:r>
        <w:rPr>
          <w:rFonts w:hint="eastAsia" w:ascii="宋体" w:hAnsi="宋体" w:cs="宋体"/>
          <w:sz w:val="24"/>
        </w:rPr>
        <w:t xml:space="preserve"> 【招标编号：</w:t>
      </w:r>
      <w:r>
        <w:rPr>
          <w:rFonts w:hint="eastAsia" w:ascii="宋体" w:hAnsi="宋体" w:cs="宋体"/>
          <w:sz w:val="24"/>
          <w:lang w:eastAsia="zh-CN"/>
        </w:rPr>
        <w:t>HJZX-GKCG-F202514</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3CF410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789BAE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2BE2F69">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61932B7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8174FD1">
      <w:pPr>
        <w:snapToGrid w:val="0"/>
        <w:spacing w:line="360" w:lineRule="auto"/>
        <w:rPr>
          <w:rFonts w:ascii="宋体" w:hAnsi="宋体" w:cs="宋体"/>
          <w:sz w:val="24"/>
        </w:rPr>
      </w:pPr>
    </w:p>
    <w:p w14:paraId="0C0E8BE5">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5C85904B">
      <w:pPr>
        <w:snapToGrid w:val="0"/>
        <w:spacing w:line="360" w:lineRule="auto"/>
        <w:rPr>
          <w:rFonts w:ascii="宋体" w:hAnsi="宋体" w:cs="宋体"/>
          <w:kern w:val="0"/>
          <w:sz w:val="24"/>
        </w:rPr>
      </w:pPr>
      <w:r>
        <w:rPr>
          <w:rFonts w:hint="eastAsia" w:ascii="宋体" w:hAnsi="宋体" w:cs="宋体"/>
          <w:sz w:val="24"/>
          <w:lang w:eastAsia="zh-CN"/>
        </w:rPr>
        <w:t>杭州市上城区综合行政执法局</w:t>
      </w:r>
      <w:r>
        <w:rPr>
          <w:rFonts w:hint="eastAsia" w:ascii="宋体" w:hAnsi="宋体" w:cs="宋体"/>
          <w:sz w:val="24"/>
        </w:rPr>
        <w:t>、杭州建设工程造价咨询有限公司</w:t>
      </w:r>
      <w:r>
        <w:rPr>
          <w:rFonts w:hint="eastAsia" w:ascii="宋体" w:hAnsi="宋体" w:cs="宋体"/>
          <w:kern w:val="0"/>
          <w:sz w:val="24"/>
          <w:lang w:val="zh-CN"/>
        </w:rPr>
        <w:t>：</w:t>
      </w:r>
    </w:p>
    <w:p w14:paraId="4C18971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上城区城市管理智治平台改造项目（信创）</w:t>
      </w:r>
      <w:r>
        <w:rPr>
          <w:rFonts w:hint="eastAsia" w:ascii="宋体" w:hAnsi="宋体" w:cs="宋体"/>
          <w:sz w:val="24"/>
        </w:rPr>
        <w:t xml:space="preserve"> 【招标编号：</w:t>
      </w:r>
      <w:r>
        <w:rPr>
          <w:rFonts w:hint="eastAsia" w:ascii="宋体" w:hAnsi="宋体" w:cs="宋体"/>
          <w:sz w:val="24"/>
          <w:lang w:eastAsia="zh-CN"/>
        </w:rPr>
        <w:t>HJZX-GKCG-F202514</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1A7F601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01E7A3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A7E2838">
      <w:pPr>
        <w:jc w:val="center"/>
        <w:rPr>
          <w:rFonts w:ascii="宋体" w:hAnsi="宋体" w:cs="宋体"/>
          <w:b/>
          <w:kern w:val="0"/>
          <w:sz w:val="32"/>
          <w:szCs w:val="32"/>
        </w:rPr>
      </w:pPr>
    </w:p>
    <w:p w14:paraId="1C95463D">
      <w:pPr>
        <w:rPr>
          <w:rFonts w:ascii="宋体" w:hAnsi="宋体" w:cs="宋体"/>
        </w:rPr>
      </w:pPr>
    </w:p>
    <w:p w14:paraId="7FBDC37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DA88F9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6E94570">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F2C90F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59C7FA4">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14:paraId="1BE39166">
      <w:pPr>
        <w:autoSpaceDE w:val="0"/>
        <w:autoSpaceDN w:val="0"/>
        <w:spacing w:line="360" w:lineRule="auto"/>
        <w:jc w:val="center"/>
        <w:rPr>
          <w:rFonts w:ascii="宋体" w:hAnsi="宋体" w:cs="宋体"/>
          <w:b/>
          <w:kern w:val="0"/>
          <w:sz w:val="32"/>
          <w:szCs w:val="32"/>
          <w:lang w:val="zh-CN"/>
        </w:rPr>
      </w:pPr>
    </w:p>
    <w:p w14:paraId="2F9AD7BE">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62E84BA">
      <w:pPr>
        <w:pStyle w:val="149"/>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92C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D78A699">
            <w:pPr>
              <w:pStyle w:val="149"/>
              <w:keepNext w:val="0"/>
              <w:keepLines w:val="0"/>
              <w:suppressLineNumbers w:val="0"/>
              <w:adjustRightInd w:val="0"/>
              <w:spacing w:before="0" w:beforeAutospacing="0" w:after="0" w:afterAutospacing="0" w:line="360" w:lineRule="auto"/>
              <w:ind w:left="0" w:right="0"/>
              <w:rPr>
                <w:rFonts w:hint="default" w:hAnsi="宋体" w:cs="宋体"/>
                <w:bCs/>
                <w:sz w:val="24"/>
              </w:rPr>
            </w:pPr>
            <w:r>
              <w:rPr>
                <w:rFonts w:hint="eastAsia" w:hAnsi="宋体" w:cs="宋体"/>
                <w:bCs/>
                <w:sz w:val="24"/>
              </w:rPr>
              <w:t>正面：                                 反面：</w:t>
            </w:r>
          </w:p>
          <w:p w14:paraId="69DF7B8E">
            <w:pPr>
              <w:pStyle w:val="149"/>
              <w:keepNext w:val="0"/>
              <w:keepLines w:val="0"/>
              <w:suppressLineNumbers w:val="0"/>
              <w:adjustRightInd w:val="0"/>
              <w:spacing w:before="0" w:beforeAutospacing="0" w:after="0" w:afterAutospacing="0" w:line="360" w:lineRule="auto"/>
              <w:ind w:left="0" w:right="0"/>
              <w:rPr>
                <w:rFonts w:hint="default" w:hAnsi="宋体" w:cs="宋体"/>
                <w:bCs/>
                <w:sz w:val="24"/>
              </w:rPr>
            </w:pPr>
          </w:p>
        </w:tc>
      </w:tr>
    </w:tbl>
    <w:p w14:paraId="1D48392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B5A9C10">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6120988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F82604C">
      <w:pPr>
        <w:jc w:val="center"/>
        <w:rPr>
          <w:rFonts w:ascii="宋体" w:hAnsi="宋体" w:cs="宋体"/>
          <w:b/>
          <w:kern w:val="0"/>
          <w:sz w:val="32"/>
          <w:szCs w:val="32"/>
        </w:rPr>
      </w:pPr>
    </w:p>
    <w:p w14:paraId="2C270473">
      <w:pPr>
        <w:jc w:val="center"/>
        <w:rPr>
          <w:rFonts w:ascii="宋体" w:hAnsi="宋体" w:cs="宋体"/>
          <w:b/>
          <w:kern w:val="0"/>
          <w:sz w:val="32"/>
          <w:szCs w:val="32"/>
        </w:rPr>
      </w:pPr>
    </w:p>
    <w:p w14:paraId="3D2C57B3">
      <w:pPr>
        <w:jc w:val="center"/>
        <w:rPr>
          <w:rFonts w:ascii="宋体" w:hAnsi="宋体" w:cs="宋体"/>
          <w:b/>
          <w:kern w:val="0"/>
          <w:sz w:val="32"/>
          <w:szCs w:val="32"/>
        </w:rPr>
      </w:pPr>
    </w:p>
    <w:p w14:paraId="67C14FF1">
      <w:pPr>
        <w:jc w:val="center"/>
        <w:rPr>
          <w:rFonts w:ascii="宋体" w:hAnsi="宋体" w:cs="宋体"/>
          <w:b/>
          <w:kern w:val="0"/>
          <w:sz w:val="32"/>
          <w:szCs w:val="32"/>
        </w:rPr>
      </w:pPr>
    </w:p>
    <w:p w14:paraId="267DE9DE">
      <w:pPr>
        <w:jc w:val="center"/>
        <w:rPr>
          <w:rFonts w:ascii="宋体" w:hAnsi="宋体" w:cs="宋体"/>
          <w:b/>
          <w:kern w:val="0"/>
          <w:sz w:val="32"/>
          <w:szCs w:val="32"/>
        </w:rPr>
      </w:pPr>
    </w:p>
    <w:p w14:paraId="630A0889">
      <w:pPr>
        <w:jc w:val="center"/>
        <w:rPr>
          <w:rFonts w:ascii="宋体" w:hAnsi="宋体" w:cs="宋体"/>
          <w:b/>
          <w:kern w:val="0"/>
          <w:sz w:val="32"/>
          <w:szCs w:val="32"/>
        </w:rPr>
      </w:pPr>
    </w:p>
    <w:p w14:paraId="7C769D4C">
      <w:pPr>
        <w:jc w:val="center"/>
        <w:rPr>
          <w:rFonts w:ascii="宋体" w:hAnsi="宋体" w:cs="宋体"/>
          <w:b/>
          <w:kern w:val="0"/>
          <w:sz w:val="32"/>
          <w:szCs w:val="32"/>
        </w:rPr>
      </w:pPr>
    </w:p>
    <w:p w14:paraId="3D508DBB">
      <w:pPr>
        <w:jc w:val="center"/>
        <w:rPr>
          <w:rFonts w:ascii="宋体" w:hAnsi="宋体" w:cs="宋体"/>
          <w:b/>
          <w:kern w:val="0"/>
          <w:sz w:val="32"/>
          <w:szCs w:val="32"/>
        </w:rPr>
      </w:pPr>
    </w:p>
    <w:p w14:paraId="6E6101D4">
      <w:pPr>
        <w:jc w:val="center"/>
        <w:rPr>
          <w:rFonts w:ascii="宋体" w:hAnsi="宋体" w:cs="宋体"/>
          <w:b/>
          <w:kern w:val="0"/>
          <w:sz w:val="32"/>
          <w:szCs w:val="32"/>
        </w:rPr>
      </w:pPr>
    </w:p>
    <w:p w14:paraId="2B8F1856">
      <w:pPr>
        <w:jc w:val="center"/>
        <w:rPr>
          <w:rFonts w:ascii="宋体" w:hAnsi="宋体" w:cs="宋体"/>
          <w:b/>
          <w:kern w:val="0"/>
          <w:sz w:val="32"/>
          <w:szCs w:val="32"/>
        </w:rPr>
      </w:pPr>
    </w:p>
    <w:p w14:paraId="11DC509F">
      <w:pPr>
        <w:snapToGrid w:val="0"/>
        <w:spacing w:line="360" w:lineRule="auto"/>
        <w:ind w:right="48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29CBFC65">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401C5459">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3D46D699">
      <w:pPr>
        <w:snapToGrid w:val="0"/>
        <w:spacing w:line="360" w:lineRule="auto"/>
        <w:rPr>
          <w:rFonts w:ascii="宋体" w:hAnsi="宋体" w:cs="宋体"/>
          <w:kern w:val="0"/>
          <w:sz w:val="24"/>
        </w:rPr>
      </w:pPr>
    </w:p>
    <w:p w14:paraId="44C16829">
      <w:pPr>
        <w:numPr>
          <w:ilvl w:val="0"/>
          <w:numId w:val="10"/>
        </w:numPr>
        <w:jc w:val="center"/>
        <w:rPr>
          <w:rFonts w:ascii="宋体" w:hAnsi="宋体" w:cs="宋体"/>
          <w:b/>
          <w:kern w:val="0"/>
          <w:sz w:val="32"/>
          <w:szCs w:val="32"/>
        </w:rPr>
      </w:pPr>
      <w:r>
        <w:rPr>
          <w:rFonts w:hint="eastAsia" w:ascii="宋体" w:hAnsi="宋体" w:cs="宋体"/>
          <w:b/>
          <w:kern w:val="0"/>
          <w:sz w:val="32"/>
          <w:szCs w:val="32"/>
        </w:rPr>
        <w:t>符合性审查资料</w:t>
      </w:r>
    </w:p>
    <w:p w14:paraId="723E1498">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7081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6A7FCE93">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序号</w:t>
            </w:r>
          </w:p>
        </w:tc>
        <w:tc>
          <w:tcPr>
            <w:tcW w:w="4874" w:type="dxa"/>
            <w:vAlign w:val="center"/>
          </w:tcPr>
          <w:p w14:paraId="49C800ED">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实质性要求</w:t>
            </w:r>
          </w:p>
        </w:tc>
        <w:tc>
          <w:tcPr>
            <w:tcW w:w="2551" w:type="dxa"/>
            <w:vAlign w:val="center"/>
          </w:tcPr>
          <w:p w14:paraId="31B54303">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需要提供的符合性审查资料</w:t>
            </w:r>
          </w:p>
        </w:tc>
        <w:tc>
          <w:tcPr>
            <w:tcW w:w="1418" w:type="dxa"/>
            <w:vAlign w:val="center"/>
          </w:tcPr>
          <w:p w14:paraId="172434A9">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投标文件中的</w:t>
            </w:r>
          </w:p>
          <w:p w14:paraId="781C4617">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页码位置</w:t>
            </w:r>
          </w:p>
        </w:tc>
      </w:tr>
      <w:tr w14:paraId="176C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2475E51E">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1</w:t>
            </w:r>
          </w:p>
        </w:tc>
        <w:tc>
          <w:tcPr>
            <w:tcW w:w="4874" w:type="dxa"/>
          </w:tcPr>
          <w:p w14:paraId="0E0D4B1F">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投标文件按照招标文件要求签署、盖章。</w:t>
            </w:r>
          </w:p>
        </w:tc>
        <w:tc>
          <w:tcPr>
            <w:tcW w:w="2551" w:type="dxa"/>
            <w:vAlign w:val="center"/>
          </w:tcPr>
          <w:p w14:paraId="64D2EE89">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需要使用电子签名或者签字盖章的投标文件的组成部分</w:t>
            </w:r>
          </w:p>
        </w:tc>
        <w:tc>
          <w:tcPr>
            <w:tcW w:w="1418" w:type="dxa"/>
          </w:tcPr>
          <w:p w14:paraId="145C405E">
            <w:pPr>
              <w:keepNext w:val="0"/>
              <w:keepLines w:val="0"/>
              <w:suppressLineNumbers w:val="0"/>
              <w:spacing w:before="0" w:beforeAutospacing="0" w:after="0" w:afterAutospacing="0"/>
              <w:ind w:left="0" w:right="0"/>
              <w:rPr>
                <w:rFonts w:hint="default" w:ascii="宋体" w:hAnsi="宋体" w:cs="宋体"/>
                <w:sz w:val="24"/>
              </w:rPr>
            </w:pPr>
          </w:p>
          <w:p w14:paraId="765CD8B7">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见投标文件</w:t>
            </w:r>
          </w:p>
          <w:p w14:paraId="60C5376B">
            <w:pPr>
              <w:keepNext w:val="0"/>
              <w:keepLines w:val="0"/>
              <w:suppressLineNumbers w:val="0"/>
              <w:spacing w:before="0" w:beforeAutospacing="0" w:after="0" w:afterAutospacing="0"/>
              <w:ind w:left="0" w:right="0"/>
              <w:rPr>
                <w:rFonts w:hint="default"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172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71F48BC">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2</w:t>
            </w:r>
          </w:p>
        </w:tc>
        <w:tc>
          <w:tcPr>
            <w:tcW w:w="4874" w:type="dxa"/>
          </w:tcPr>
          <w:p w14:paraId="12A44219">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477AC03F">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投标函</w:t>
            </w:r>
          </w:p>
        </w:tc>
        <w:tc>
          <w:tcPr>
            <w:tcW w:w="1418" w:type="dxa"/>
          </w:tcPr>
          <w:p w14:paraId="0809EC88">
            <w:pPr>
              <w:keepNext w:val="0"/>
              <w:keepLines w:val="0"/>
              <w:suppressLineNumbers w:val="0"/>
              <w:spacing w:before="0" w:beforeAutospacing="0" w:after="0" w:afterAutospacing="0"/>
              <w:ind w:left="0" w:right="0"/>
              <w:rPr>
                <w:rFonts w:hint="default"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104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24C3D89">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3</w:t>
            </w:r>
          </w:p>
        </w:tc>
        <w:tc>
          <w:tcPr>
            <w:tcW w:w="4874" w:type="dxa"/>
          </w:tcPr>
          <w:p w14:paraId="0209772D">
            <w:pPr>
              <w:keepNext w:val="0"/>
              <w:keepLines w:val="0"/>
              <w:suppressLineNumbers w:val="0"/>
              <w:snapToGrid w:val="0"/>
              <w:spacing w:before="0" w:beforeAutospacing="0" w:after="0" w:afterAutospacing="0" w:line="360" w:lineRule="auto"/>
              <w:ind w:left="0" w:right="0"/>
              <w:rPr>
                <w:rFonts w:hint="default" w:ascii="宋体" w:hAnsi="宋体" w:cs="宋体"/>
                <w:snapToGrid w:val="0"/>
                <w:sz w:val="24"/>
              </w:rPr>
            </w:pPr>
            <w:r>
              <w:rPr>
                <w:rFonts w:hint="eastAsia" w:ascii="宋体" w:hAnsi="宋体" w:cs="宋体"/>
                <w:snapToGrid w:val="0"/>
                <w:sz w:val="24"/>
              </w:rPr>
              <w:t>投标文件的组成应符合招标文件要求</w:t>
            </w:r>
          </w:p>
          <w:p w14:paraId="20D937B6">
            <w:pPr>
              <w:keepNext w:val="0"/>
              <w:keepLines w:val="0"/>
              <w:suppressLineNumbers w:val="0"/>
              <w:spacing w:before="0" w:beforeAutospacing="0" w:after="0" w:afterAutospacing="0" w:line="360" w:lineRule="auto"/>
              <w:ind w:left="0" w:right="0"/>
              <w:rPr>
                <w:rFonts w:hint="default" w:ascii="宋体" w:hAnsi="宋体" w:cs="宋体"/>
                <w:snapToGrid w:val="0"/>
                <w:sz w:val="24"/>
              </w:rPr>
            </w:pPr>
          </w:p>
        </w:tc>
        <w:tc>
          <w:tcPr>
            <w:tcW w:w="2551" w:type="dxa"/>
            <w:vAlign w:val="center"/>
          </w:tcPr>
          <w:p w14:paraId="1AD0CE87">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投标文件</w:t>
            </w:r>
          </w:p>
        </w:tc>
        <w:tc>
          <w:tcPr>
            <w:tcW w:w="1418" w:type="dxa"/>
          </w:tcPr>
          <w:p w14:paraId="3C5D0945">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w:t>
            </w:r>
          </w:p>
        </w:tc>
      </w:tr>
      <w:tr w14:paraId="71CD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221955D7">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kern w:val="0"/>
                <w:sz w:val="24"/>
              </w:rPr>
              <w:t>……</w:t>
            </w:r>
          </w:p>
        </w:tc>
        <w:tc>
          <w:tcPr>
            <w:tcW w:w="4874" w:type="dxa"/>
          </w:tcPr>
          <w:p w14:paraId="07BCFA1C">
            <w:pPr>
              <w:keepNext w:val="0"/>
              <w:keepLines w:val="0"/>
              <w:suppressLineNumbers w:val="0"/>
              <w:spacing w:before="0" w:beforeAutospacing="0" w:after="0" w:afterAutospacing="0" w:line="360" w:lineRule="auto"/>
              <w:ind w:left="0" w:right="0"/>
              <w:rPr>
                <w:rFonts w:hint="default" w:ascii="宋体" w:hAnsi="宋体" w:cs="宋体"/>
                <w:snapToGrid w:val="0"/>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Align w:val="center"/>
          </w:tcPr>
          <w:p w14:paraId="06A1133A">
            <w:pPr>
              <w:keepNext w:val="0"/>
              <w:keepLines w:val="0"/>
              <w:suppressLineNumbers w:val="0"/>
              <w:spacing w:before="0" w:beforeAutospacing="0" w:after="0" w:afterAutospacing="0"/>
              <w:ind w:left="0" w:right="0"/>
              <w:rPr>
                <w:rFonts w:hint="default" w:ascii="宋体" w:hAnsi="宋体" w:cs="宋体"/>
                <w:kern w:val="0"/>
                <w:sz w:val="24"/>
              </w:rPr>
            </w:pPr>
          </w:p>
        </w:tc>
        <w:tc>
          <w:tcPr>
            <w:tcW w:w="1418" w:type="dxa"/>
          </w:tcPr>
          <w:p w14:paraId="0D51920C">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2F1AFE78">
      <w:pPr>
        <w:jc w:val="center"/>
        <w:rPr>
          <w:rFonts w:ascii="宋体" w:hAnsi="宋体" w:cs="宋体"/>
          <w:b/>
          <w:kern w:val="0"/>
          <w:sz w:val="32"/>
          <w:szCs w:val="32"/>
        </w:rPr>
      </w:pPr>
    </w:p>
    <w:p w14:paraId="4191D67A">
      <w:pPr>
        <w:jc w:val="center"/>
        <w:rPr>
          <w:rFonts w:ascii="宋体" w:hAnsi="宋体" w:cs="宋体"/>
          <w:b/>
          <w:kern w:val="0"/>
          <w:sz w:val="32"/>
          <w:szCs w:val="32"/>
        </w:rPr>
      </w:pPr>
    </w:p>
    <w:p w14:paraId="55C48628">
      <w:pPr>
        <w:spacing w:line="360" w:lineRule="auto"/>
        <w:ind w:right="420"/>
        <w:rPr>
          <w:rFonts w:ascii="宋体" w:hAnsi="宋体" w:cs="宋体"/>
          <w:sz w:val="24"/>
        </w:rPr>
      </w:pPr>
      <w:r>
        <w:rPr>
          <w:rFonts w:hint="eastAsia" w:ascii="宋体" w:hAnsi="宋体" w:cs="宋体"/>
          <w:sz w:val="24"/>
        </w:rPr>
        <w:t>注：1、按本格式和要求提供。</w:t>
      </w:r>
    </w:p>
    <w:p w14:paraId="5C3B8C7B">
      <w:pPr>
        <w:spacing w:line="360" w:lineRule="auto"/>
        <w:ind w:right="420"/>
        <w:rPr>
          <w:rFonts w:ascii="宋体" w:hAnsi="宋体" w:cs="宋体"/>
          <w:b/>
          <w:kern w:val="0"/>
          <w:sz w:val="32"/>
          <w:szCs w:val="32"/>
        </w:rPr>
      </w:pPr>
      <w:r>
        <w:rPr>
          <w:rFonts w:hint="eastAsia" w:ascii="宋体" w:hAnsi="宋体" w:cs="宋体"/>
          <w:b/>
          <w:bCs/>
          <w:sz w:val="24"/>
        </w:rPr>
        <w:t>2、招标文件中实质性要求必须明确响应。</w:t>
      </w:r>
    </w:p>
    <w:p w14:paraId="2C3D2CA6">
      <w:pPr>
        <w:jc w:val="center"/>
        <w:rPr>
          <w:rFonts w:ascii="宋体" w:hAnsi="宋体" w:cs="宋体"/>
          <w:b/>
          <w:kern w:val="0"/>
          <w:sz w:val="32"/>
          <w:szCs w:val="32"/>
        </w:rPr>
      </w:pPr>
      <w:r>
        <w:rPr>
          <w:rFonts w:hint="eastAsia" w:ascii="宋体" w:hAnsi="宋体" w:cs="宋体"/>
          <w:b/>
          <w:kern w:val="0"/>
          <w:sz w:val="32"/>
          <w:szCs w:val="32"/>
        </w:rPr>
        <w:t xml:space="preserve">            </w:t>
      </w:r>
    </w:p>
    <w:p w14:paraId="4854E7BE">
      <w:pPr>
        <w:jc w:val="center"/>
        <w:rPr>
          <w:rFonts w:ascii="宋体" w:hAnsi="宋体" w:cs="宋体"/>
          <w:b/>
          <w:kern w:val="0"/>
          <w:sz w:val="32"/>
          <w:szCs w:val="32"/>
        </w:rPr>
      </w:pPr>
    </w:p>
    <w:p w14:paraId="57D5AD35">
      <w:pPr>
        <w:pStyle w:val="235"/>
        <w:rPr>
          <w:rFonts w:ascii="宋体" w:hAnsi="宋体" w:cs="宋体"/>
          <w:b/>
          <w:kern w:val="0"/>
          <w:sz w:val="32"/>
          <w:szCs w:val="32"/>
        </w:rPr>
      </w:pPr>
    </w:p>
    <w:p w14:paraId="1503AABD">
      <w:pPr>
        <w:pStyle w:val="39"/>
        <w:rPr>
          <w:rFonts w:ascii="宋体" w:hAnsi="宋体" w:cs="宋体"/>
          <w:b/>
          <w:kern w:val="0"/>
          <w:sz w:val="32"/>
          <w:szCs w:val="32"/>
        </w:rPr>
      </w:pPr>
    </w:p>
    <w:p w14:paraId="26E0037A">
      <w:pPr>
        <w:pStyle w:val="39"/>
        <w:rPr>
          <w:rFonts w:ascii="宋体" w:hAnsi="宋体" w:cs="宋体"/>
          <w:b/>
          <w:kern w:val="0"/>
          <w:sz w:val="32"/>
          <w:szCs w:val="32"/>
        </w:rPr>
      </w:pPr>
    </w:p>
    <w:p w14:paraId="251DA80A">
      <w:pPr>
        <w:pStyle w:val="39"/>
        <w:rPr>
          <w:rFonts w:ascii="宋体" w:hAnsi="宋体" w:cs="宋体"/>
          <w:b/>
          <w:kern w:val="0"/>
          <w:sz w:val="32"/>
          <w:szCs w:val="32"/>
        </w:rPr>
      </w:pPr>
    </w:p>
    <w:p w14:paraId="7ECFD46C">
      <w:pPr>
        <w:pStyle w:val="39"/>
        <w:rPr>
          <w:rFonts w:ascii="宋体" w:hAnsi="宋体" w:cs="宋体"/>
          <w:b/>
          <w:kern w:val="0"/>
          <w:sz w:val="32"/>
          <w:szCs w:val="32"/>
        </w:rPr>
      </w:pPr>
    </w:p>
    <w:p w14:paraId="61402355">
      <w:pPr>
        <w:pStyle w:val="39"/>
        <w:rPr>
          <w:rFonts w:ascii="宋体" w:hAnsi="宋体" w:cs="宋体"/>
          <w:b/>
          <w:kern w:val="0"/>
          <w:sz w:val="32"/>
          <w:szCs w:val="32"/>
        </w:rPr>
      </w:pPr>
    </w:p>
    <w:p w14:paraId="45EE0171">
      <w:pPr>
        <w:jc w:val="center"/>
        <w:rPr>
          <w:rFonts w:ascii="宋体" w:hAnsi="宋体" w:cs="宋体"/>
          <w:b/>
          <w:kern w:val="0"/>
          <w:sz w:val="32"/>
          <w:szCs w:val="32"/>
        </w:rPr>
      </w:pPr>
    </w:p>
    <w:p w14:paraId="20D59E1B">
      <w:pPr>
        <w:jc w:val="center"/>
        <w:rPr>
          <w:rFonts w:ascii="宋体" w:hAnsi="宋体" w:cs="宋体"/>
        </w:rPr>
      </w:pPr>
      <w:r>
        <w:rPr>
          <w:rFonts w:hint="eastAsia" w:ascii="宋体" w:hAnsi="宋体" w:cs="宋体"/>
          <w:b/>
          <w:kern w:val="0"/>
          <w:sz w:val="32"/>
          <w:szCs w:val="32"/>
        </w:rPr>
        <w:t>五、评标标准相应的商务技术资料</w:t>
      </w:r>
    </w:p>
    <w:p w14:paraId="6607D8A8">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071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22A37AD">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bCs/>
                <w:sz w:val="24"/>
              </w:rPr>
            </w:pPr>
            <w:r>
              <w:rPr>
                <w:rFonts w:hint="eastAsia" w:cs="仿宋_GB2312" w:asciiTheme="minorEastAsia" w:hAnsiTheme="minorEastAsia" w:eastAsiaTheme="minorEastAsia"/>
                <w:bCs/>
                <w:sz w:val="24"/>
              </w:rPr>
              <w:t>序号</w:t>
            </w:r>
          </w:p>
        </w:tc>
        <w:tc>
          <w:tcPr>
            <w:tcW w:w="5465" w:type="dxa"/>
          </w:tcPr>
          <w:p w14:paraId="219AFC66">
            <w:pPr>
              <w:keepNext w:val="0"/>
              <w:keepLines w:val="0"/>
              <w:suppressLineNumbers w:val="0"/>
              <w:snapToGrid w:val="0"/>
              <w:spacing w:before="0" w:beforeAutospacing="0" w:after="0" w:afterAutospacing="0" w:line="360" w:lineRule="auto"/>
              <w:ind w:left="0" w:right="0"/>
              <w:jc w:val="center"/>
              <w:rPr>
                <w:rFonts w:hint="default" w:ascii="宋体" w:hAnsi="宋体" w:cs="宋体"/>
                <w:bCs/>
                <w:sz w:val="24"/>
              </w:rPr>
            </w:pPr>
            <w:r>
              <w:rPr>
                <w:rFonts w:hint="eastAsia" w:cs="仿宋_GB2312" w:asciiTheme="minorEastAsia" w:hAnsiTheme="minorEastAsia" w:eastAsiaTheme="minorEastAsia"/>
                <w:bCs/>
                <w:sz w:val="24"/>
              </w:rPr>
              <w:t>投标文件中评标标准相应的商务技术资料目录*</w:t>
            </w:r>
          </w:p>
        </w:tc>
        <w:tc>
          <w:tcPr>
            <w:tcW w:w="3046" w:type="dxa"/>
          </w:tcPr>
          <w:p w14:paraId="171FB740">
            <w:pPr>
              <w:keepNext w:val="0"/>
              <w:keepLines w:val="0"/>
              <w:suppressLineNumbers w:val="0"/>
              <w:snapToGrid w:val="0"/>
              <w:spacing w:before="0" w:beforeAutospacing="0" w:after="0" w:afterAutospacing="0" w:line="240" w:lineRule="atLeast"/>
              <w:ind w:left="0" w:right="0"/>
              <w:jc w:val="center"/>
              <w:rPr>
                <w:rFonts w:hint="default" w:ascii="宋体" w:hAnsi="宋体" w:cs="宋体"/>
                <w:bCs/>
                <w:sz w:val="24"/>
              </w:rPr>
            </w:pPr>
            <w:r>
              <w:rPr>
                <w:rFonts w:hint="eastAsia" w:ascii="宋体" w:hAnsi="宋体" w:cs="宋体"/>
                <w:bCs/>
                <w:sz w:val="24"/>
              </w:rPr>
              <w:t>投标文件中的页码位置</w:t>
            </w:r>
          </w:p>
        </w:tc>
      </w:tr>
      <w:tr w14:paraId="218C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ECEC4C9">
            <w:pPr>
              <w:keepNext w:val="0"/>
              <w:keepLines w:val="0"/>
              <w:suppressLineNumbers w:val="0"/>
              <w:snapToGrid w:val="0"/>
              <w:spacing w:before="0" w:beforeAutospacing="0" w:after="0" w:afterAutospacing="0" w:line="360" w:lineRule="auto"/>
              <w:ind w:left="0" w:right="0"/>
              <w:jc w:val="center"/>
              <w:rPr>
                <w:rFonts w:hint="default" w:ascii="宋体" w:hAnsi="宋体" w:cs="宋体"/>
                <w:bCs/>
                <w:sz w:val="24"/>
              </w:rPr>
            </w:pPr>
            <w:r>
              <w:rPr>
                <w:rFonts w:hint="eastAsia" w:ascii="宋体" w:hAnsi="宋体" w:cs="宋体"/>
                <w:bCs/>
                <w:sz w:val="24"/>
              </w:rPr>
              <w:t>1</w:t>
            </w:r>
          </w:p>
        </w:tc>
        <w:tc>
          <w:tcPr>
            <w:tcW w:w="5465" w:type="dxa"/>
          </w:tcPr>
          <w:p w14:paraId="0F69C229">
            <w:pPr>
              <w:keepNext w:val="0"/>
              <w:keepLines w:val="0"/>
              <w:suppressLineNumbers w:val="0"/>
              <w:snapToGrid w:val="0"/>
              <w:spacing w:before="0" w:beforeAutospacing="0" w:after="0" w:afterAutospacing="0" w:line="360" w:lineRule="auto"/>
              <w:ind w:left="0" w:right="0"/>
              <w:jc w:val="center"/>
              <w:rPr>
                <w:rFonts w:hint="default" w:ascii="宋体" w:hAnsi="宋体" w:cs="宋体"/>
                <w:bCs/>
                <w:sz w:val="24"/>
              </w:rPr>
            </w:pPr>
          </w:p>
        </w:tc>
        <w:tc>
          <w:tcPr>
            <w:tcW w:w="3046" w:type="dxa"/>
          </w:tcPr>
          <w:p w14:paraId="678081B6">
            <w:pPr>
              <w:keepNext w:val="0"/>
              <w:keepLines w:val="0"/>
              <w:suppressLineNumbers w:val="0"/>
              <w:spacing w:before="0" w:beforeAutospacing="0" w:after="0" w:afterAutospacing="0"/>
              <w:ind w:left="0" w:right="0"/>
              <w:jc w:val="center"/>
              <w:rPr>
                <w:rFonts w:hint="default"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162E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A992FB2">
            <w:pPr>
              <w:keepNext w:val="0"/>
              <w:keepLines w:val="0"/>
              <w:suppressLineNumbers w:val="0"/>
              <w:snapToGrid w:val="0"/>
              <w:spacing w:before="0" w:beforeAutospacing="0" w:after="0" w:afterAutospacing="0" w:line="360" w:lineRule="auto"/>
              <w:ind w:left="0" w:right="0"/>
              <w:jc w:val="center"/>
              <w:rPr>
                <w:rFonts w:hint="default" w:ascii="宋体" w:hAnsi="宋体" w:cs="宋体"/>
                <w:bCs/>
                <w:sz w:val="24"/>
              </w:rPr>
            </w:pPr>
            <w:r>
              <w:rPr>
                <w:rFonts w:hint="eastAsia" w:ascii="宋体" w:hAnsi="宋体" w:cs="宋体"/>
                <w:bCs/>
                <w:sz w:val="24"/>
              </w:rPr>
              <w:t>2</w:t>
            </w:r>
          </w:p>
        </w:tc>
        <w:tc>
          <w:tcPr>
            <w:tcW w:w="5465" w:type="dxa"/>
          </w:tcPr>
          <w:p w14:paraId="5DD2B7E7">
            <w:pPr>
              <w:keepNext w:val="0"/>
              <w:keepLines w:val="0"/>
              <w:suppressLineNumbers w:val="0"/>
              <w:snapToGrid w:val="0"/>
              <w:spacing w:before="0" w:beforeAutospacing="0" w:after="0" w:afterAutospacing="0" w:line="360" w:lineRule="auto"/>
              <w:ind w:left="0" w:right="0"/>
              <w:jc w:val="center"/>
              <w:rPr>
                <w:rFonts w:hint="default" w:ascii="宋体" w:hAnsi="宋体" w:cs="宋体"/>
                <w:bCs/>
                <w:sz w:val="24"/>
              </w:rPr>
            </w:pPr>
          </w:p>
        </w:tc>
        <w:tc>
          <w:tcPr>
            <w:tcW w:w="3046" w:type="dxa"/>
          </w:tcPr>
          <w:p w14:paraId="75002DE3">
            <w:pPr>
              <w:keepNext w:val="0"/>
              <w:keepLines w:val="0"/>
              <w:suppressLineNumbers w:val="0"/>
              <w:spacing w:before="0" w:beforeAutospacing="0" w:after="0" w:afterAutospacing="0"/>
              <w:ind w:left="0" w:right="0"/>
              <w:jc w:val="center"/>
              <w:rPr>
                <w:rFonts w:hint="default"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54F6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BF68F00">
            <w:pPr>
              <w:keepNext w:val="0"/>
              <w:keepLines w:val="0"/>
              <w:suppressLineNumbers w:val="0"/>
              <w:snapToGrid w:val="0"/>
              <w:spacing w:before="0" w:beforeAutospacing="0" w:after="0" w:afterAutospacing="0" w:line="360" w:lineRule="auto"/>
              <w:ind w:left="0" w:right="0"/>
              <w:jc w:val="center"/>
              <w:rPr>
                <w:rFonts w:hint="default" w:ascii="宋体" w:hAnsi="宋体" w:cs="宋体"/>
                <w:bCs/>
                <w:sz w:val="24"/>
              </w:rPr>
            </w:pPr>
            <w:r>
              <w:rPr>
                <w:rFonts w:hint="eastAsia" w:ascii="宋体" w:hAnsi="宋体" w:cs="宋体"/>
                <w:kern w:val="0"/>
                <w:sz w:val="24"/>
              </w:rPr>
              <w:t>3</w:t>
            </w:r>
          </w:p>
        </w:tc>
        <w:tc>
          <w:tcPr>
            <w:tcW w:w="5465" w:type="dxa"/>
          </w:tcPr>
          <w:p w14:paraId="54390ACA">
            <w:pPr>
              <w:keepNext w:val="0"/>
              <w:keepLines w:val="0"/>
              <w:suppressLineNumbers w:val="0"/>
              <w:snapToGrid w:val="0"/>
              <w:spacing w:before="0" w:beforeAutospacing="0" w:after="0" w:afterAutospacing="0" w:line="360" w:lineRule="auto"/>
              <w:ind w:left="0" w:right="0"/>
              <w:jc w:val="center"/>
              <w:rPr>
                <w:rFonts w:hint="default" w:ascii="宋体" w:hAnsi="宋体" w:cs="宋体"/>
                <w:bCs/>
                <w:sz w:val="24"/>
              </w:rPr>
            </w:pPr>
          </w:p>
        </w:tc>
        <w:tc>
          <w:tcPr>
            <w:tcW w:w="3046" w:type="dxa"/>
          </w:tcPr>
          <w:p w14:paraId="76CACBCB">
            <w:pPr>
              <w:keepNext w:val="0"/>
              <w:keepLines w:val="0"/>
              <w:suppressLineNumbers w:val="0"/>
              <w:spacing w:before="0" w:beforeAutospacing="0" w:after="0" w:afterAutospacing="0"/>
              <w:ind w:left="0" w:right="0"/>
              <w:jc w:val="center"/>
              <w:rPr>
                <w:rFonts w:hint="default"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377A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48D5767">
            <w:pPr>
              <w:keepNext w:val="0"/>
              <w:keepLines w:val="0"/>
              <w:suppressLineNumbers w:val="0"/>
              <w:snapToGrid w:val="0"/>
              <w:spacing w:before="0" w:beforeAutospacing="0" w:after="0" w:afterAutospacing="0" w:line="360" w:lineRule="auto"/>
              <w:ind w:left="0" w:right="0"/>
              <w:jc w:val="center"/>
              <w:rPr>
                <w:rFonts w:hint="default" w:ascii="宋体" w:hAnsi="宋体" w:cs="宋体"/>
                <w:kern w:val="0"/>
                <w:sz w:val="24"/>
              </w:rPr>
            </w:pPr>
            <w:r>
              <w:rPr>
                <w:rFonts w:hint="eastAsia" w:ascii="宋体" w:hAnsi="宋体" w:cs="宋体"/>
                <w:kern w:val="0"/>
                <w:sz w:val="24"/>
              </w:rPr>
              <w:t>4</w:t>
            </w:r>
          </w:p>
        </w:tc>
        <w:tc>
          <w:tcPr>
            <w:tcW w:w="5465" w:type="dxa"/>
          </w:tcPr>
          <w:p w14:paraId="6AC94EDD">
            <w:pPr>
              <w:keepNext w:val="0"/>
              <w:keepLines w:val="0"/>
              <w:suppressLineNumbers w:val="0"/>
              <w:snapToGrid w:val="0"/>
              <w:spacing w:before="0" w:beforeAutospacing="0" w:after="0" w:afterAutospacing="0" w:line="360" w:lineRule="auto"/>
              <w:ind w:left="0" w:right="0"/>
              <w:jc w:val="center"/>
              <w:rPr>
                <w:rFonts w:hint="default" w:ascii="宋体" w:hAnsi="宋体" w:cs="宋体"/>
                <w:bCs/>
                <w:sz w:val="24"/>
              </w:rPr>
            </w:pPr>
          </w:p>
        </w:tc>
        <w:tc>
          <w:tcPr>
            <w:tcW w:w="3046" w:type="dxa"/>
          </w:tcPr>
          <w:p w14:paraId="341EAE41">
            <w:pPr>
              <w:keepNext w:val="0"/>
              <w:keepLines w:val="0"/>
              <w:suppressLineNumbers w:val="0"/>
              <w:spacing w:before="0" w:beforeAutospacing="0" w:after="0" w:afterAutospacing="0"/>
              <w:ind w:left="0" w:right="0"/>
              <w:jc w:val="center"/>
              <w:rPr>
                <w:rFonts w:hint="default"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56D5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7CE43C7">
            <w:pPr>
              <w:keepNext w:val="0"/>
              <w:keepLines w:val="0"/>
              <w:suppressLineNumbers w:val="0"/>
              <w:snapToGrid w:val="0"/>
              <w:spacing w:before="0" w:beforeAutospacing="0" w:after="0" w:afterAutospacing="0" w:line="360" w:lineRule="auto"/>
              <w:ind w:left="0" w:right="0"/>
              <w:jc w:val="center"/>
              <w:rPr>
                <w:rFonts w:hint="default" w:ascii="宋体" w:hAnsi="宋体" w:cs="宋体"/>
                <w:kern w:val="0"/>
                <w:sz w:val="24"/>
              </w:rPr>
            </w:pPr>
            <w:r>
              <w:rPr>
                <w:rFonts w:hint="eastAsia" w:ascii="宋体" w:hAnsi="宋体" w:cs="宋体"/>
                <w:kern w:val="0"/>
                <w:sz w:val="24"/>
              </w:rPr>
              <w:t>5</w:t>
            </w:r>
          </w:p>
        </w:tc>
        <w:tc>
          <w:tcPr>
            <w:tcW w:w="5465" w:type="dxa"/>
          </w:tcPr>
          <w:p w14:paraId="13FE97D9">
            <w:pPr>
              <w:keepNext w:val="0"/>
              <w:keepLines w:val="0"/>
              <w:suppressLineNumbers w:val="0"/>
              <w:snapToGrid w:val="0"/>
              <w:spacing w:before="0" w:beforeAutospacing="0" w:after="0" w:afterAutospacing="0" w:line="360" w:lineRule="auto"/>
              <w:ind w:left="0" w:right="0"/>
              <w:jc w:val="center"/>
              <w:rPr>
                <w:rFonts w:hint="default" w:ascii="宋体" w:hAnsi="宋体" w:cs="宋体"/>
                <w:bCs/>
                <w:sz w:val="24"/>
              </w:rPr>
            </w:pPr>
          </w:p>
        </w:tc>
        <w:tc>
          <w:tcPr>
            <w:tcW w:w="3046" w:type="dxa"/>
          </w:tcPr>
          <w:p w14:paraId="4E2F4815">
            <w:pPr>
              <w:keepNext w:val="0"/>
              <w:keepLines w:val="0"/>
              <w:suppressLineNumbers w:val="0"/>
              <w:spacing w:before="0" w:beforeAutospacing="0" w:after="0" w:afterAutospacing="0"/>
              <w:ind w:left="0" w:right="0"/>
              <w:jc w:val="center"/>
              <w:rPr>
                <w:rFonts w:hint="default"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14:paraId="5619E705">
      <w:pPr>
        <w:jc w:val="center"/>
        <w:rPr>
          <w:rFonts w:ascii="宋体" w:hAnsi="宋体" w:cs="宋体"/>
          <w:b/>
          <w:kern w:val="0"/>
          <w:sz w:val="32"/>
          <w:szCs w:val="32"/>
        </w:rPr>
      </w:pPr>
    </w:p>
    <w:p w14:paraId="054FBDBD">
      <w:pPr>
        <w:ind w:firstLine="2891" w:firstLineChars="900"/>
        <w:rPr>
          <w:rFonts w:ascii="宋体" w:hAnsi="宋体" w:cs="宋体"/>
          <w:b/>
          <w:kern w:val="0"/>
          <w:sz w:val="32"/>
          <w:szCs w:val="32"/>
        </w:rPr>
      </w:pPr>
      <w:r>
        <w:rPr>
          <w:rFonts w:hint="eastAsia" w:ascii="宋体" w:hAnsi="宋体" w:cs="宋体"/>
          <w:b/>
          <w:kern w:val="0"/>
          <w:sz w:val="32"/>
          <w:szCs w:val="32"/>
        </w:rPr>
        <w:t>六、项目人员名单</w:t>
      </w:r>
    </w:p>
    <w:tbl>
      <w:tblPr>
        <w:tblStyle w:val="62"/>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147"/>
        <w:gridCol w:w="1147"/>
        <w:gridCol w:w="1147"/>
        <w:gridCol w:w="1147"/>
        <w:gridCol w:w="1147"/>
        <w:gridCol w:w="1147"/>
        <w:gridCol w:w="1147"/>
      </w:tblGrid>
      <w:tr w14:paraId="5210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147" w:type="dxa"/>
            <w:vAlign w:val="center"/>
          </w:tcPr>
          <w:p w14:paraId="54FD6231">
            <w:pPr>
              <w:keepNext w:val="0"/>
              <w:keepLines w:val="0"/>
              <w:suppressLineNumbers w:val="0"/>
              <w:spacing w:before="0" w:beforeAutospacing="0" w:after="0" w:afterAutospacing="0" w:line="360" w:lineRule="auto"/>
              <w:ind w:left="0" w:right="0"/>
              <w:jc w:val="center"/>
              <w:rPr>
                <w:rFonts w:hint="default"/>
                <w:b/>
                <w:bCs/>
              </w:rPr>
            </w:pPr>
            <w:r>
              <w:rPr>
                <w:rFonts w:hint="eastAsia"/>
                <w:b/>
                <w:bCs/>
              </w:rPr>
              <w:t>序号</w:t>
            </w:r>
          </w:p>
        </w:tc>
        <w:tc>
          <w:tcPr>
            <w:tcW w:w="1147" w:type="dxa"/>
            <w:vAlign w:val="center"/>
          </w:tcPr>
          <w:p w14:paraId="6ECF1AA0">
            <w:pPr>
              <w:keepNext w:val="0"/>
              <w:keepLines w:val="0"/>
              <w:suppressLineNumbers w:val="0"/>
              <w:spacing w:before="0" w:beforeAutospacing="0" w:after="0" w:afterAutospacing="0" w:line="360" w:lineRule="auto"/>
              <w:ind w:left="0" w:right="0"/>
              <w:jc w:val="center"/>
              <w:rPr>
                <w:rFonts w:hint="default"/>
                <w:b/>
                <w:bCs/>
              </w:rPr>
            </w:pPr>
            <w:r>
              <w:rPr>
                <w:rFonts w:hint="eastAsia"/>
                <w:b/>
                <w:bCs/>
              </w:rPr>
              <w:t>姓名</w:t>
            </w:r>
          </w:p>
        </w:tc>
        <w:tc>
          <w:tcPr>
            <w:tcW w:w="1147" w:type="dxa"/>
            <w:vAlign w:val="center"/>
          </w:tcPr>
          <w:p w14:paraId="1CA7B422">
            <w:pPr>
              <w:keepNext w:val="0"/>
              <w:keepLines w:val="0"/>
              <w:suppressLineNumbers w:val="0"/>
              <w:spacing w:before="0" w:beforeAutospacing="0" w:after="0" w:afterAutospacing="0" w:line="360" w:lineRule="auto"/>
              <w:ind w:left="0" w:right="0"/>
              <w:jc w:val="center"/>
              <w:rPr>
                <w:rFonts w:hint="default"/>
                <w:b/>
                <w:bCs/>
              </w:rPr>
            </w:pPr>
            <w:r>
              <w:rPr>
                <w:rFonts w:hint="eastAsia"/>
                <w:b/>
                <w:bCs/>
              </w:rPr>
              <w:t>年龄</w:t>
            </w:r>
          </w:p>
        </w:tc>
        <w:tc>
          <w:tcPr>
            <w:tcW w:w="1147" w:type="dxa"/>
            <w:vAlign w:val="center"/>
          </w:tcPr>
          <w:p w14:paraId="048826DE">
            <w:pPr>
              <w:keepNext w:val="0"/>
              <w:keepLines w:val="0"/>
              <w:suppressLineNumbers w:val="0"/>
              <w:spacing w:before="0" w:beforeAutospacing="0" w:after="0" w:afterAutospacing="0" w:line="360" w:lineRule="auto"/>
              <w:ind w:left="0" w:right="0"/>
              <w:jc w:val="center"/>
              <w:rPr>
                <w:rFonts w:hint="default" w:eastAsia="宋体"/>
                <w:b/>
                <w:bCs/>
                <w:lang w:val="en-US" w:eastAsia="zh-CN"/>
              </w:rPr>
            </w:pPr>
            <w:r>
              <w:rPr>
                <w:rFonts w:hint="eastAsia"/>
                <w:b/>
                <w:bCs/>
                <w:lang w:val="en-US" w:eastAsia="zh-CN"/>
              </w:rPr>
              <w:t>职称</w:t>
            </w:r>
          </w:p>
        </w:tc>
        <w:tc>
          <w:tcPr>
            <w:tcW w:w="1147" w:type="dxa"/>
            <w:vAlign w:val="center"/>
          </w:tcPr>
          <w:p w14:paraId="2C916338">
            <w:pPr>
              <w:keepNext w:val="0"/>
              <w:keepLines w:val="0"/>
              <w:suppressLineNumbers w:val="0"/>
              <w:spacing w:before="0" w:beforeAutospacing="0" w:after="0" w:afterAutospacing="0" w:line="360" w:lineRule="auto"/>
              <w:ind w:left="0" w:right="0"/>
              <w:jc w:val="center"/>
              <w:rPr>
                <w:rFonts w:hint="default"/>
                <w:b/>
                <w:bCs/>
              </w:rPr>
            </w:pPr>
            <w:r>
              <w:rPr>
                <w:rFonts w:hint="eastAsia"/>
                <w:b/>
                <w:bCs/>
              </w:rPr>
              <w:t>身份证号码</w:t>
            </w:r>
          </w:p>
        </w:tc>
        <w:tc>
          <w:tcPr>
            <w:tcW w:w="1147" w:type="dxa"/>
            <w:vAlign w:val="center"/>
          </w:tcPr>
          <w:p w14:paraId="61386FDA">
            <w:pPr>
              <w:keepNext w:val="0"/>
              <w:keepLines w:val="0"/>
              <w:suppressLineNumbers w:val="0"/>
              <w:spacing w:before="0" w:beforeAutospacing="0" w:after="0" w:afterAutospacing="0" w:line="360" w:lineRule="auto"/>
              <w:ind w:left="0" w:right="0"/>
              <w:jc w:val="center"/>
              <w:rPr>
                <w:rFonts w:hint="default"/>
                <w:b/>
                <w:bCs/>
              </w:rPr>
            </w:pPr>
            <w:r>
              <w:rPr>
                <w:rFonts w:hint="eastAsia"/>
                <w:b/>
                <w:bCs/>
              </w:rPr>
              <w:t>岗位</w:t>
            </w:r>
          </w:p>
        </w:tc>
        <w:tc>
          <w:tcPr>
            <w:tcW w:w="1147" w:type="dxa"/>
            <w:vAlign w:val="center"/>
          </w:tcPr>
          <w:p w14:paraId="6FFC28C5">
            <w:pPr>
              <w:keepNext w:val="0"/>
              <w:keepLines w:val="0"/>
              <w:suppressLineNumbers w:val="0"/>
              <w:spacing w:before="0" w:beforeAutospacing="0" w:after="0" w:afterAutospacing="0" w:line="360" w:lineRule="auto"/>
              <w:ind w:left="0" w:right="0"/>
              <w:jc w:val="center"/>
              <w:rPr>
                <w:rFonts w:hint="default"/>
                <w:b/>
                <w:bCs/>
              </w:rPr>
            </w:pPr>
            <w:r>
              <w:rPr>
                <w:rFonts w:hint="eastAsia"/>
                <w:b/>
                <w:bCs/>
              </w:rPr>
              <w:t>职责</w:t>
            </w:r>
          </w:p>
        </w:tc>
        <w:tc>
          <w:tcPr>
            <w:tcW w:w="1147" w:type="dxa"/>
            <w:vAlign w:val="center"/>
          </w:tcPr>
          <w:p w14:paraId="46DFEF61">
            <w:pPr>
              <w:keepNext w:val="0"/>
              <w:keepLines w:val="0"/>
              <w:suppressLineNumbers w:val="0"/>
              <w:spacing w:before="0" w:beforeAutospacing="0" w:after="0" w:afterAutospacing="0" w:line="360" w:lineRule="auto"/>
              <w:ind w:left="0" w:right="0"/>
              <w:jc w:val="center"/>
              <w:rPr>
                <w:rFonts w:hint="default"/>
                <w:b/>
                <w:bCs/>
              </w:rPr>
            </w:pPr>
            <w:r>
              <w:rPr>
                <w:rFonts w:hint="eastAsia"/>
                <w:b/>
                <w:bCs/>
              </w:rPr>
              <w:t>备注</w:t>
            </w:r>
          </w:p>
        </w:tc>
      </w:tr>
      <w:tr w14:paraId="3FB7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47" w:type="dxa"/>
          </w:tcPr>
          <w:p w14:paraId="73880377">
            <w:pPr>
              <w:keepNext w:val="0"/>
              <w:keepLines w:val="0"/>
              <w:suppressLineNumbers w:val="0"/>
              <w:spacing w:before="0" w:beforeAutospacing="0" w:after="0" w:afterAutospacing="0" w:line="360" w:lineRule="auto"/>
              <w:ind w:left="0" w:right="0"/>
              <w:jc w:val="center"/>
              <w:rPr>
                <w:rFonts w:hint="default"/>
              </w:rPr>
            </w:pPr>
            <w:r>
              <w:rPr>
                <w:rFonts w:hint="eastAsia"/>
              </w:rPr>
              <w:t>1</w:t>
            </w:r>
          </w:p>
        </w:tc>
        <w:tc>
          <w:tcPr>
            <w:tcW w:w="1147" w:type="dxa"/>
          </w:tcPr>
          <w:p w14:paraId="05CDD5E1">
            <w:pPr>
              <w:keepNext w:val="0"/>
              <w:keepLines w:val="0"/>
              <w:suppressLineNumbers w:val="0"/>
              <w:spacing w:before="0" w:beforeAutospacing="0" w:after="0" w:afterAutospacing="0" w:line="360" w:lineRule="auto"/>
              <w:ind w:left="0" w:right="0"/>
              <w:jc w:val="left"/>
              <w:rPr>
                <w:rFonts w:hint="default"/>
              </w:rPr>
            </w:pPr>
          </w:p>
        </w:tc>
        <w:tc>
          <w:tcPr>
            <w:tcW w:w="1147" w:type="dxa"/>
          </w:tcPr>
          <w:p w14:paraId="46638C43">
            <w:pPr>
              <w:keepNext w:val="0"/>
              <w:keepLines w:val="0"/>
              <w:suppressLineNumbers w:val="0"/>
              <w:spacing w:before="0" w:beforeAutospacing="0" w:after="0" w:afterAutospacing="0" w:line="360" w:lineRule="auto"/>
              <w:ind w:left="0" w:right="0"/>
              <w:jc w:val="left"/>
              <w:rPr>
                <w:rFonts w:hint="default"/>
              </w:rPr>
            </w:pPr>
          </w:p>
        </w:tc>
        <w:tc>
          <w:tcPr>
            <w:tcW w:w="1147" w:type="dxa"/>
          </w:tcPr>
          <w:p w14:paraId="22B61662">
            <w:pPr>
              <w:keepNext w:val="0"/>
              <w:keepLines w:val="0"/>
              <w:suppressLineNumbers w:val="0"/>
              <w:spacing w:before="0" w:beforeAutospacing="0" w:after="0" w:afterAutospacing="0" w:line="360" w:lineRule="auto"/>
              <w:ind w:left="0" w:right="0"/>
              <w:jc w:val="left"/>
              <w:rPr>
                <w:rFonts w:hint="default"/>
              </w:rPr>
            </w:pPr>
          </w:p>
        </w:tc>
        <w:tc>
          <w:tcPr>
            <w:tcW w:w="1147" w:type="dxa"/>
          </w:tcPr>
          <w:p w14:paraId="6D108DEA">
            <w:pPr>
              <w:keepNext w:val="0"/>
              <w:keepLines w:val="0"/>
              <w:suppressLineNumbers w:val="0"/>
              <w:spacing w:before="0" w:beforeAutospacing="0" w:after="0" w:afterAutospacing="0" w:line="360" w:lineRule="auto"/>
              <w:ind w:left="0" w:right="0"/>
              <w:jc w:val="left"/>
              <w:rPr>
                <w:rFonts w:hint="default"/>
              </w:rPr>
            </w:pPr>
          </w:p>
        </w:tc>
        <w:tc>
          <w:tcPr>
            <w:tcW w:w="1147" w:type="dxa"/>
          </w:tcPr>
          <w:p w14:paraId="0FCD3140">
            <w:pPr>
              <w:keepNext w:val="0"/>
              <w:keepLines w:val="0"/>
              <w:suppressLineNumbers w:val="0"/>
              <w:spacing w:before="0" w:beforeAutospacing="0" w:after="0" w:afterAutospacing="0" w:line="360" w:lineRule="auto"/>
              <w:ind w:left="0" w:right="0"/>
              <w:jc w:val="left"/>
              <w:rPr>
                <w:rFonts w:hint="default"/>
              </w:rPr>
            </w:pPr>
          </w:p>
        </w:tc>
        <w:tc>
          <w:tcPr>
            <w:tcW w:w="1147" w:type="dxa"/>
          </w:tcPr>
          <w:p w14:paraId="206D8810">
            <w:pPr>
              <w:keepNext w:val="0"/>
              <w:keepLines w:val="0"/>
              <w:suppressLineNumbers w:val="0"/>
              <w:spacing w:before="0" w:beforeAutospacing="0" w:after="0" w:afterAutospacing="0" w:line="360" w:lineRule="auto"/>
              <w:ind w:left="0" w:right="0"/>
              <w:jc w:val="left"/>
              <w:rPr>
                <w:rFonts w:hint="default"/>
              </w:rPr>
            </w:pPr>
          </w:p>
        </w:tc>
        <w:tc>
          <w:tcPr>
            <w:tcW w:w="1147" w:type="dxa"/>
          </w:tcPr>
          <w:p w14:paraId="6CDCA040">
            <w:pPr>
              <w:keepNext w:val="0"/>
              <w:keepLines w:val="0"/>
              <w:suppressLineNumbers w:val="0"/>
              <w:spacing w:before="0" w:beforeAutospacing="0" w:after="0" w:afterAutospacing="0" w:line="360" w:lineRule="auto"/>
              <w:ind w:left="0" w:right="0"/>
              <w:jc w:val="left"/>
              <w:rPr>
                <w:rFonts w:hint="default"/>
              </w:rPr>
            </w:pPr>
          </w:p>
        </w:tc>
      </w:tr>
      <w:tr w14:paraId="18CE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47" w:type="dxa"/>
          </w:tcPr>
          <w:p w14:paraId="08BD8BA1">
            <w:pPr>
              <w:keepNext w:val="0"/>
              <w:keepLines w:val="0"/>
              <w:suppressLineNumbers w:val="0"/>
              <w:spacing w:before="0" w:beforeAutospacing="0" w:after="0" w:afterAutospacing="0" w:line="360" w:lineRule="auto"/>
              <w:ind w:left="0" w:right="0"/>
              <w:jc w:val="center"/>
              <w:rPr>
                <w:rFonts w:hint="default"/>
              </w:rPr>
            </w:pPr>
            <w:r>
              <w:rPr>
                <w:rFonts w:hint="eastAsia"/>
              </w:rPr>
              <w:t>2</w:t>
            </w:r>
          </w:p>
        </w:tc>
        <w:tc>
          <w:tcPr>
            <w:tcW w:w="1147" w:type="dxa"/>
          </w:tcPr>
          <w:p w14:paraId="02167015">
            <w:pPr>
              <w:keepNext w:val="0"/>
              <w:keepLines w:val="0"/>
              <w:suppressLineNumbers w:val="0"/>
              <w:spacing w:before="0" w:beforeAutospacing="0" w:after="0" w:afterAutospacing="0" w:line="360" w:lineRule="auto"/>
              <w:ind w:left="0" w:right="0"/>
              <w:jc w:val="left"/>
              <w:rPr>
                <w:rFonts w:hint="default"/>
              </w:rPr>
            </w:pPr>
          </w:p>
        </w:tc>
        <w:tc>
          <w:tcPr>
            <w:tcW w:w="1147" w:type="dxa"/>
          </w:tcPr>
          <w:p w14:paraId="0F822BAE">
            <w:pPr>
              <w:keepNext w:val="0"/>
              <w:keepLines w:val="0"/>
              <w:suppressLineNumbers w:val="0"/>
              <w:spacing w:before="0" w:beforeAutospacing="0" w:after="0" w:afterAutospacing="0" w:line="360" w:lineRule="auto"/>
              <w:ind w:left="0" w:right="0"/>
              <w:jc w:val="left"/>
              <w:rPr>
                <w:rFonts w:hint="default"/>
              </w:rPr>
            </w:pPr>
          </w:p>
        </w:tc>
        <w:tc>
          <w:tcPr>
            <w:tcW w:w="1147" w:type="dxa"/>
          </w:tcPr>
          <w:p w14:paraId="0916F515">
            <w:pPr>
              <w:keepNext w:val="0"/>
              <w:keepLines w:val="0"/>
              <w:suppressLineNumbers w:val="0"/>
              <w:spacing w:before="0" w:beforeAutospacing="0" w:after="0" w:afterAutospacing="0" w:line="360" w:lineRule="auto"/>
              <w:ind w:left="0" w:right="0"/>
              <w:jc w:val="left"/>
              <w:rPr>
                <w:rFonts w:hint="default"/>
              </w:rPr>
            </w:pPr>
          </w:p>
        </w:tc>
        <w:tc>
          <w:tcPr>
            <w:tcW w:w="1147" w:type="dxa"/>
          </w:tcPr>
          <w:p w14:paraId="3BF293B9">
            <w:pPr>
              <w:keepNext w:val="0"/>
              <w:keepLines w:val="0"/>
              <w:suppressLineNumbers w:val="0"/>
              <w:spacing w:before="0" w:beforeAutospacing="0" w:after="0" w:afterAutospacing="0" w:line="360" w:lineRule="auto"/>
              <w:ind w:left="0" w:right="0"/>
              <w:jc w:val="left"/>
              <w:rPr>
                <w:rFonts w:hint="default"/>
              </w:rPr>
            </w:pPr>
          </w:p>
        </w:tc>
        <w:tc>
          <w:tcPr>
            <w:tcW w:w="1147" w:type="dxa"/>
          </w:tcPr>
          <w:p w14:paraId="34161EBF">
            <w:pPr>
              <w:keepNext w:val="0"/>
              <w:keepLines w:val="0"/>
              <w:suppressLineNumbers w:val="0"/>
              <w:spacing w:before="0" w:beforeAutospacing="0" w:after="0" w:afterAutospacing="0" w:line="360" w:lineRule="auto"/>
              <w:ind w:left="0" w:right="0"/>
              <w:jc w:val="left"/>
              <w:rPr>
                <w:rFonts w:hint="default"/>
              </w:rPr>
            </w:pPr>
          </w:p>
        </w:tc>
        <w:tc>
          <w:tcPr>
            <w:tcW w:w="1147" w:type="dxa"/>
          </w:tcPr>
          <w:p w14:paraId="739B3A0E">
            <w:pPr>
              <w:keepNext w:val="0"/>
              <w:keepLines w:val="0"/>
              <w:suppressLineNumbers w:val="0"/>
              <w:spacing w:before="0" w:beforeAutospacing="0" w:after="0" w:afterAutospacing="0" w:line="360" w:lineRule="auto"/>
              <w:ind w:left="0" w:right="0"/>
              <w:jc w:val="left"/>
              <w:rPr>
                <w:rFonts w:hint="default"/>
              </w:rPr>
            </w:pPr>
          </w:p>
        </w:tc>
        <w:tc>
          <w:tcPr>
            <w:tcW w:w="1147" w:type="dxa"/>
          </w:tcPr>
          <w:p w14:paraId="1FC22F1A">
            <w:pPr>
              <w:keepNext w:val="0"/>
              <w:keepLines w:val="0"/>
              <w:suppressLineNumbers w:val="0"/>
              <w:spacing w:before="0" w:beforeAutospacing="0" w:after="0" w:afterAutospacing="0" w:line="360" w:lineRule="auto"/>
              <w:ind w:left="0" w:right="0"/>
              <w:jc w:val="left"/>
              <w:rPr>
                <w:rFonts w:hint="default"/>
              </w:rPr>
            </w:pPr>
          </w:p>
        </w:tc>
      </w:tr>
      <w:tr w14:paraId="0D461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47" w:type="dxa"/>
          </w:tcPr>
          <w:p w14:paraId="73874CC6">
            <w:pPr>
              <w:keepNext w:val="0"/>
              <w:keepLines w:val="0"/>
              <w:suppressLineNumbers w:val="0"/>
              <w:spacing w:before="0" w:beforeAutospacing="0" w:after="0" w:afterAutospacing="0" w:line="360" w:lineRule="auto"/>
              <w:ind w:left="0" w:right="0"/>
              <w:jc w:val="center"/>
              <w:rPr>
                <w:rFonts w:hint="default"/>
              </w:rPr>
            </w:pPr>
            <w:r>
              <w:rPr>
                <w:rFonts w:hint="eastAsia"/>
              </w:rPr>
              <w:t>3</w:t>
            </w:r>
          </w:p>
        </w:tc>
        <w:tc>
          <w:tcPr>
            <w:tcW w:w="1147" w:type="dxa"/>
          </w:tcPr>
          <w:p w14:paraId="291C59FD">
            <w:pPr>
              <w:keepNext w:val="0"/>
              <w:keepLines w:val="0"/>
              <w:suppressLineNumbers w:val="0"/>
              <w:spacing w:before="0" w:beforeAutospacing="0" w:after="0" w:afterAutospacing="0" w:line="360" w:lineRule="auto"/>
              <w:ind w:left="0" w:right="0"/>
              <w:jc w:val="left"/>
              <w:rPr>
                <w:rFonts w:hint="default"/>
              </w:rPr>
            </w:pPr>
          </w:p>
        </w:tc>
        <w:tc>
          <w:tcPr>
            <w:tcW w:w="1147" w:type="dxa"/>
          </w:tcPr>
          <w:p w14:paraId="1B67A616">
            <w:pPr>
              <w:keepNext w:val="0"/>
              <w:keepLines w:val="0"/>
              <w:suppressLineNumbers w:val="0"/>
              <w:spacing w:before="0" w:beforeAutospacing="0" w:after="0" w:afterAutospacing="0" w:line="360" w:lineRule="auto"/>
              <w:ind w:left="0" w:right="0"/>
              <w:jc w:val="left"/>
              <w:rPr>
                <w:rFonts w:hint="default"/>
              </w:rPr>
            </w:pPr>
          </w:p>
        </w:tc>
        <w:tc>
          <w:tcPr>
            <w:tcW w:w="1147" w:type="dxa"/>
          </w:tcPr>
          <w:p w14:paraId="1AA279D3">
            <w:pPr>
              <w:keepNext w:val="0"/>
              <w:keepLines w:val="0"/>
              <w:suppressLineNumbers w:val="0"/>
              <w:spacing w:before="0" w:beforeAutospacing="0" w:after="0" w:afterAutospacing="0" w:line="360" w:lineRule="auto"/>
              <w:ind w:left="0" w:right="0"/>
              <w:jc w:val="left"/>
              <w:rPr>
                <w:rFonts w:hint="default"/>
              </w:rPr>
            </w:pPr>
          </w:p>
        </w:tc>
        <w:tc>
          <w:tcPr>
            <w:tcW w:w="1147" w:type="dxa"/>
          </w:tcPr>
          <w:p w14:paraId="7200AD1A">
            <w:pPr>
              <w:keepNext w:val="0"/>
              <w:keepLines w:val="0"/>
              <w:suppressLineNumbers w:val="0"/>
              <w:spacing w:before="0" w:beforeAutospacing="0" w:after="0" w:afterAutospacing="0" w:line="360" w:lineRule="auto"/>
              <w:ind w:left="0" w:right="0"/>
              <w:jc w:val="left"/>
              <w:rPr>
                <w:rFonts w:hint="default"/>
              </w:rPr>
            </w:pPr>
          </w:p>
        </w:tc>
        <w:tc>
          <w:tcPr>
            <w:tcW w:w="1147" w:type="dxa"/>
          </w:tcPr>
          <w:p w14:paraId="61E554D2">
            <w:pPr>
              <w:keepNext w:val="0"/>
              <w:keepLines w:val="0"/>
              <w:suppressLineNumbers w:val="0"/>
              <w:spacing w:before="0" w:beforeAutospacing="0" w:after="0" w:afterAutospacing="0" w:line="360" w:lineRule="auto"/>
              <w:ind w:left="0" w:right="0"/>
              <w:jc w:val="left"/>
              <w:rPr>
                <w:rFonts w:hint="default"/>
              </w:rPr>
            </w:pPr>
          </w:p>
        </w:tc>
        <w:tc>
          <w:tcPr>
            <w:tcW w:w="1147" w:type="dxa"/>
          </w:tcPr>
          <w:p w14:paraId="0965F5F5">
            <w:pPr>
              <w:keepNext w:val="0"/>
              <w:keepLines w:val="0"/>
              <w:suppressLineNumbers w:val="0"/>
              <w:spacing w:before="0" w:beforeAutospacing="0" w:after="0" w:afterAutospacing="0" w:line="360" w:lineRule="auto"/>
              <w:ind w:left="0" w:right="0"/>
              <w:jc w:val="left"/>
              <w:rPr>
                <w:rFonts w:hint="default"/>
              </w:rPr>
            </w:pPr>
          </w:p>
        </w:tc>
        <w:tc>
          <w:tcPr>
            <w:tcW w:w="1147" w:type="dxa"/>
          </w:tcPr>
          <w:p w14:paraId="3FD1F736">
            <w:pPr>
              <w:keepNext w:val="0"/>
              <w:keepLines w:val="0"/>
              <w:suppressLineNumbers w:val="0"/>
              <w:spacing w:before="0" w:beforeAutospacing="0" w:after="0" w:afterAutospacing="0" w:line="360" w:lineRule="auto"/>
              <w:ind w:left="0" w:right="0"/>
              <w:jc w:val="left"/>
              <w:rPr>
                <w:rFonts w:hint="default"/>
              </w:rPr>
            </w:pPr>
          </w:p>
        </w:tc>
      </w:tr>
      <w:tr w14:paraId="0DD18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47" w:type="dxa"/>
          </w:tcPr>
          <w:p w14:paraId="74A27D52">
            <w:pPr>
              <w:keepNext w:val="0"/>
              <w:keepLines w:val="0"/>
              <w:suppressLineNumbers w:val="0"/>
              <w:spacing w:before="0" w:beforeAutospacing="0" w:after="0" w:afterAutospacing="0" w:line="360" w:lineRule="auto"/>
              <w:ind w:left="0" w:right="0"/>
              <w:jc w:val="center"/>
              <w:rPr>
                <w:rFonts w:hint="default"/>
              </w:rPr>
            </w:pPr>
            <w:r>
              <w:rPr>
                <w:rFonts w:hint="eastAsia"/>
              </w:rPr>
              <w:t>4</w:t>
            </w:r>
          </w:p>
        </w:tc>
        <w:tc>
          <w:tcPr>
            <w:tcW w:w="1147" w:type="dxa"/>
          </w:tcPr>
          <w:p w14:paraId="2E6BED42">
            <w:pPr>
              <w:keepNext w:val="0"/>
              <w:keepLines w:val="0"/>
              <w:suppressLineNumbers w:val="0"/>
              <w:spacing w:before="0" w:beforeAutospacing="0" w:after="0" w:afterAutospacing="0" w:line="360" w:lineRule="auto"/>
              <w:ind w:left="0" w:right="0"/>
              <w:jc w:val="left"/>
              <w:rPr>
                <w:rFonts w:hint="default"/>
              </w:rPr>
            </w:pPr>
          </w:p>
        </w:tc>
        <w:tc>
          <w:tcPr>
            <w:tcW w:w="1147" w:type="dxa"/>
          </w:tcPr>
          <w:p w14:paraId="46689312">
            <w:pPr>
              <w:keepNext w:val="0"/>
              <w:keepLines w:val="0"/>
              <w:suppressLineNumbers w:val="0"/>
              <w:spacing w:before="0" w:beforeAutospacing="0" w:after="0" w:afterAutospacing="0" w:line="360" w:lineRule="auto"/>
              <w:ind w:left="0" w:right="0"/>
              <w:jc w:val="left"/>
              <w:rPr>
                <w:rFonts w:hint="default"/>
              </w:rPr>
            </w:pPr>
          </w:p>
        </w:tc>
        <w:tc>
          <w:tcPr>
            <w:tcW w:w="1147" w:type="dxa"/>
          </w:tcPr>
          <w:p w14:paraId="3261E0B7">
            <w:pPr>
              <w:keepNext w:val="0"/>
              <w:keepLines w:val="0"/>
              <w:suppressLineNumbers w:val="0"/>
              <w:spacing w:before="0" w:beforeAutospacing="0" w:after="0" w:afterAutospacing="0" w:line="360" w:lineRule="auto"/>
              <w:ind w:left="0" w:right="0"/>
              <w:jc w:val="left"/>
              <w:rPr>
                <w:rFonts w:hint="default"/>
              </w:rPr>
            </w:pPr>
          </w:p>
        </w:tc>
        <w:tc>
          <w:tcPr>
            <w:tcW w:w="1147" w:type="dxa"/>
          </w:tcPr>
          <w:p w14:paraId="7E5F70CA">
            <w:pPr>
              <w:keepNext w:val="0"/>
              <w:keepLines w:val="0"/>
              <w:suppressLineNumbers w:val="0"/>
              <w:spacing w:before="0" w:beforeAutospacing="0" w:after="0" w:afterAutospacing="0" w:line="360" w:lineRule="auto"/>
              <w:ind w:left="0" w:right="0"/>
              <w:jc w:val="left"/>
              <w:rPr>
                <w:rFonts w:hint="default"/>
              </w:rPr>
            </w:pPr>
          </w:p>
        </w:tc>
        <w:tc>
          <w:tcPr>
            <w:tcW w:w="1147" w:type="dxa"/>
          </w:tcPr>
          <w:p w14:paraId="5CA50162">
            <w:pPr>
              <w:keepNext w:val="0"/>
              <w:keepLines w:val="0"/>
              <w:suppressLineNumbers w:val="0"/>
              <w:spacing w:before="0" w:beforeAutospacing="0" w:after="0" w:afterAutospacing="0" w:line="360" w:lineRule="auto"/>
              <w:ind w:left="0" w:right="0"/>
              <w:jc w:val="left"/>
              <w:rPr>
                <w:rFonts w:hint="default"/>
              </w:rPr>
            </w:pPr>
          </w:p>
        </w:tc>
        <w:tc>
          <w:tcPr>
            <w:tcW w:w="1147" w:type="dxa"/>
          </w:tcPr>
          <w:p w14:paraId="4B40EBB5">
            <w:pPr>
              <w:keepNext w:val="0"/>
              <w:keepLines w:val="0"/>
              <w:suppressLineNumbers w:val="0"/>
              <w:spacing w:before="0" w:beforeAutospacing="0" w:after="0" w:afterAutospacing="0" w:line="360" w:lineRule="auto"/>
              <w:ind w:left="0" w:right="0"/>
              <w:jc w:val="left"/>
              <w:rPr>
                <w:rFonts w:hint="default"/>
              </w:rPr>
            </w:pPr>
          </w:p>
        </w:tc>
        <w:tc>
          <w:tcPr>
            <w:tcW w:w="1147" w:type="dxa"/>
          </w:tcPr>
          <w:p w14:paraId="3CA168CB">
            <w:pPr>
              <w:keepNext w:val="0"/>
              <w:keepLines w:val="0"/>
              <w:suppressLineNumbers w:val="0"/>
              <w:spacing w:before="0" w:beforeAutospacing="0" w:after="0" w:afterAutospacing="0" w:line="360" w:lineRule="auto"/>
              <w:ind w:left="0" w:right="0"/>
              <w:jc w:val="left"/>
              <w:rPr>
                <w:rFonts w:hint="default"/>
              </w:rPr>
            </w:pPr>
          </w:p>
        </w:tc>
      </w:tr>
      <w:tr w14:paraId="3EFD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147" w:type="dxa"/>
          </w:tcPr>
          <w:p w14:paraId="695C67F4">
            <w:pPr>
              <w:keepNext w:val="0"/>
              <w:keepLines w:val="0"/>
              <w:suppressLineNumbers w:val="0"/>
              <w:spacing w:before="0" w:beforeAutospacing="0" w:after="0" w:afterAutospacing="0" w:line="360" w:lineRule="auto"/>
              <w:ind w:left="0" w:right="0"/>
              <w:jc w:val="center"/>
              <w:rPr>
                <w:rFonts w:hint="default"/>
              </w:rPr>
            </w:pPr>
            <w:r>
              <w:rPr>
                <w:rFonts w:hint="eastAsia"/>
              </w:rPr>
              <w:t>.......</w:t>
            </w:r>
          </w:p>
        </w:tc>
        <w:tc>
          <w:tcPr>
            <w:tcW w:w="1147" w:type="dxa"/>
          </w:tcPr>
          <w:p w14:paraId="0973CC29">
            <w:pPr>
              <w:keepNext w:val="0"/>
              <w:keepLines w:val="0"/>
              <w:suppressLineNumbers w:val="0"/>
              <w:spacing w:before="0" w:beforeAutospacing="0" w:after="0" w:afterAutospacing="0" w:line="360" w:lineRule="auto"/>
              <w:ind w:left="0" w:right="0"/>
              <w:jc w:val="left"/>
              <w:rPr>
                <w:rFonts w:hint="default"/>
              </w:rPr>
            </w:pPr>
          </w:p>
        </w:tc>
        <w:tc>
          <w:tcPr>
            <w:tcW w:w="1147" w:type="dxa"/>
          </w:tcPr>
          <w:p w14:paraId="1B37C510">
            <w:pPr>
              <w:keepNext w:val="0"/>
              <w:keepLines w:val="0"/>
              <w:suppressLineNumbers w:val="0"/>
              <w:spacing w:before="0" w:beforeAutospacing="0" w:after="0" w:afterAutospacing="0" w:line="360" w:lineRule="auto"/>
              <w:ind w:left="0" w:right="0"/>
              <w:jc w:val="left"/>
              <w:rPr>
                <w:rFonts w:hint="default"/>
              </w:rPr>
            </w:pPr>
          </w:p>
        </w:tc>
        <w:tc>
          <w:tcPr>
            <w:tcW w:w="1147" w:type="dxa"/>
          </w:tcPr>
          <w:p w14:paraId="1E8C7B63">
            <w:pPr>
              <w:keepNext w:val="0"/>
              <w:keepLines w:val="0"/>
              <w:suppressLineNumbers w:val="0"/>
              <w:spacing w:before="0" w:beforeAutospacing="0" w:after="0" w:afterAutospacing="0" w:line="360" w:lineRule="auto"/>
              <w:ind w:left="0" w:right="0"/>
              <w:jc w:val="left"/>
              <w:rPr>
                <w:rFonts w:hint="default"/>
              </w:rPr>
            </w:pPr>
          </w:p>
        </w:tc>
        <w:tc>
          <w:tcPr>
            <w:tcW w:w="1147" w:type="dxa"/>
          </w:tcPr>
          <w:p w14:paraId="77525445">
            <w:pPr>
              <w:keepNext w:val="0"/>
              <w:keepLines w:val="0"/>
              <w:suppressLineNumbers w:val="0"/>
              <w:spacing w:before="0" w:beforeAutospacing="0" w:after="0" w:afterAutospacing="0" w:line="360" w:lineRule="auto"/>
              <w:ind w:left="0" w:right="0"/>
              <w:jc w:val="left"/>
              <w:rPr>
                <w:rFonts w:hint="default"/>
              </w:rPr>
            </w:pPr>
          </w:p>
        </w:tc>
        <w:tc>
          <w:tcPr>
            <w:tcW w:w="1147" w:type="dxa"/>
          </w:tcPr>
          <w:p w14:paraId="1CA7C573">
            <w:pPr>
              <w:keepNext w:val="0"/>
              <w:keepLines w:val="0"/>
              <w:suppressLineNumbers w:val="0"/>
              <w:spacing w:before="0" w:beforeAutospacing="0" w:after="0" w:afterAutospacing="0" w:line="360" w:lineRule="auto"/>
              <w:ind w:left="0" w:right="0"/>
              <w:jc w:val="left"/>
              <w:rPr>
                <w:rFonts w:hint="default"/>
              </w:rPr>
            </w:pPr>
          </w:p>
        </w:tc>
        <w:tc>
          <w:tcPr>
            <w:tcW w:w="1147" w:type="dxa"/>
          </w:tcPr>
          <w:p w14:paraId="5F3122B3">
            <w:pPr>
              <w:keepNext w:val="0"/>
              <w:keepLines w:val="0"/>
              <w:suppressLineNumbers w:val="0"/>
              <w:spacing w:before="0" w:beforeAutospacing="0" w:after="0" w:afterAutospacing="0" w:line="360" w:lineRule="auto"/>
              <w:ind w:left="0" w:right="0"/>
              <w:jc w:val="left"/>
              <w:rPr>
                <w:rFonts w:hint="default"/>
              </w:rPr>
            </w:pPr>
          </w:p>
        </w:tc>
        <w:tc>
          <w:tcPr>
            <w:tcW w:w="1147" w:type="dxa"/>
          </w:tcPr>
          <w:p w14:paraId="558A06DF">
            <w:pPr>
              <w:keepNext w:val="0"/>
              <w:keepLines w:val="0"/>
              <w:suppressLineNumbers w:val="0"/>
              <w:spacing w:before="0" w:beforeAutospacing="0" w:after="0" w:afterAutospacing="0" w:line="360" w:lineRule="auto"/>
              <w:ind w:left="0" w:right="0"/>
              <w:jc w:val="left"/>
              <w:rPr>
                <w:rFonts w:hint="default"/>
              </w:rPr>
            </w:pPr>
          </w:p>
        </w:tc>
      </w:tr>
    </w:tbl>
    <w:p w14:paraId="77600469">
      <w:pPr>
        <w:spacing w:line="360" w:lineRule="auto"/>
        <w:ind w:right="420"/>
        <w:rPr>
          <w:rFonts w:ascii="宋体" w:hAnsi="宋体" w:cs="宋体"/>
          <w:sz w:val="24"/>
        </w:rPr>
      </w:pPr>
      <w:r>
        <w:rPr>
          <w:rFonts w:hint="eastAsia" w:ascii="宋体" w:hAnsi="宋体" w:cs="宋体"/>
          <w:sz w:val="24"/>
        </w:rPr>
        <w:t>注：按本格式和要求提供。</w:t>
      </w:r>
    </w:p>
    <w:p w14:paraId="3AD3F20A">
      <w:pPr>
        <w:jc w:val="center"/>
        <w:rPr>
          <w:rFonts w:ascii="宋体" w:hAnsi="宋体" w:cs="宋体"/>
          <w:b/>
          <w:kern w:val="0"/>
          <w:sz w:val="32"/>
          <w:szCs w:val="32"/>
        </w:rPr>
      </w:pPr>
    </w:p>
    <w:p w14:paraId="3DE3E799">
      <w:pPr>
        <w:jc w:val="center"/>
        <w:rPr>
          <w:rFonts w:ascii="宋体" w:hAnsi="宋体" w:cs="宋体"/>
          <w:b/>
          <w:kern w:val="0"/>
          <w:sz w:val="32"/>
          <w:szCs w:val="32"/>
        </w:rPr>
      </w:pPr>
    </w:p>
    <w:p w14:paraId="542FF16E">
      <w:pPr>
        <w:jc w:val="left"/>
        <w:rPr>
          <w:rFonts w:ascii="宋体" w:hAnsi="宋体" w:cs="宋体"/>
          <w:b/>
          <w:kern w:val="0"/>
          <w:sz w:val="32"/>
          <w:szCs w:val="32"/>
        </w:rPr>
      </w:pPr>
      <w:r>
        <w:rPr>
          <w:rFonts w:hint="eastAsia" w:ascii="宋体" w:hAnsi="宋体" w:cs="宋体"/>
          <w:b/>
          <w:kern w:val="0"/>
          <w:sz w:val="32"/>
          <w:szCs w:val="32"/>
        </w:rPr>
        <w:br w:type="page"/>
      </w:r>
    </w:p>
    <w:p w14:paraId="1D9BF31E">
      <w:pPr>
        <w:jc w:val="center"/>
        <w:rPr>
          <w:rFonts w:ascii="宋体" w:hAnsi="宋体" w:cs="宋体"/>
          <w:b/>
          <w:kern w:val="0"/>
          <w:sz w:val="32"/>
          <w:szCs w:val="32"/>
        </w:rPr>
      </w:pPr>
      <w:r>
        <w:rPr>
          <w:rFonts w:hint="eastAsia" w:ascii="宋体" w:hAnsi="宋体" w:cs="宋体"/>
          <w:b/>
          <w:kern w:val="0"/>
          <w:sz w:val="32"/>
          <w:szCs w:val="32"/>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135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ABAA9D">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序号</w:t>
            </w:r>
          </w:p>
        </w:tc>
        <w:tc>
          <w:tcPr>
            <w:tcW w:w="3683" w:type="dxa"/>
          </w:tcPr>
          <w:p w14:paraId="01EC85FE">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招标文件章节及具体内容</w:t>
            </w:r>
          </w:p>
        </w:tc>
        <w:tc>
          <w:tcPr>
            <w:tcW w:w="3546" w:type="dxa"/>
          </w:tcPr>
          <w:p w14:paraId="2C6FDA49">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投标文件章节及具体内容</w:t>
            </w:r>
          </w:p>
        </w:tc>
        <w:tc>
          <w:tcPr>
            <w:tcW w:w="1276" w:type="dxa"/>
          </w:tcPr>
          <w:p w14:paraId="370A35C0">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偏离说明</w:t>
            </w:r>
          </w:p>
        </w:tc>
      </w:tr>
      <w:tr w14:paraId="07AF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878B50">
            <w:pPr>
              <w:keepNext w:val="0"/>
              <w:keepLines w:val="0"/>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1</w:t>
            </w:r>
          </w:p>
        </w:tc>
        <w:tc>
          <w:tcPr>
            <w:tcW w:w="3683" w:type="dxa"/>
          </w:tcPr>
          <w:p w14:paraId="31D28C3E">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3546" w:type="dxa"/>
          </w:tcPr>
          <w:p w14:paraId="3E6E54BD">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276" w:type="dxa"/>
          </w:tcPr>
          <w:p w14:paraId="34D1FCD4">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r>
      <w:tr w14:paraId="6212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E04808">
            <w:pPr>
              <w:keepNext w:val="0"/>
              <w:keepLines w:val="0"/>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2</w:t>
            </w:r>
          </w:p>
        </w:tc>
        <w:tc>
          <w:tcPr>
            <w:tcW w:w="3683" w:type="dxa"/>
          </w:tcPr>
          <w:p w14:paraId="238568C6">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3546" w:type="dxa"/>
          </w:tcPr>
          <w:p w14:paraId="4A3C065D">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276" w:type="dxa"/>
          </w:tcPr>
          <w:p w14:paraId="0C753883">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r>
      <w:tr w14:paraId="1473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D90C4C">
            <w:pPr>
              <w:keepNext w:val="0"/>
              <w:keepLines w:val="0"/>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w:t>
            </w:r>
          </w:p>
        </w:tc>
        <w:tc>
          <w:tcPr>
            <w:tcW w:w="3683" w:type="dxa"/>
          </w:tcPr>
          <w:p w14:paraId="05A4C3CB">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3546" w:type="dxa"/>
          </w:tcPr>
          <w:p w14:paraId="7B3A1D3C">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276" w:type="dxa"/>
          </w:tcPr>
          <w:p w14:paraId="09F8F748">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r>
    </w:tbl>
    <w:p w14:paraId="6B780C30">
      <w:pPr>
        <w:jc w:val="center"/>
        <w:rPr>
          <w:rFonts w:ascii="宋体" w:hAnsi="宋体" w:cs="宋体"/>
          <w:b/>
          <w:kern w:val="0"/>
          <w:sz w:val="32"/>
          <w:szCs w:val="32"/>
        </w:rPr>
      </w:pPr>
    </w:p>
    <w:p w14:paraId="7F18987A">
      <w:pPr>
        <w:spacing w:line="360" w:lineRule="auto"/>
        <w:ind w:right="420"/>
        <w:rPr>
          <w:rFonts w:ascii="宋体" w:hAnsi="宋体" w:cs="宋体"/>
          <w:sz w:val="24"/>
        </w:rPr>
      </w:pPr>
      <w:r>
        <w:rPr>
          <w:rFonts w:hint="eastAsia" w:ascii="宋体" w:hAnsi="宋体" w:cs="宋体"/>
          <w:sz w:val="24"/>
        </w:rPr>
        <w:t>注：1、按本格式和要求提供。</w:t>
      </w:r>
    </w:p>
    <w:p w14:paraId="06A5AB59">
      <w:pPr>
        <w:spacing w:line="360" w:lineRule="auto"/>
        <w:ind w:right="420"/>
        <w:rPr>
          <w:rFonts w:ascii="宋体" w:hAnsi="宋体" w:cs="宋体"/>
          <w:sz w:val="24"/>
        </w:rPr>
      </w:pPr>
      <w:r>
        <w:rPr>
          <w:rFonts w:hint="eastAsia" w:ascii="宋体" w:hAnsi="宋体" w:cs="宋体"/>
          <w:sz w:val="24"/>
        </w:rPr>
        <w:t>2、本表格所反映的偏离情况与“符合性审查资料”、“评标标准相应的商务技术资料”不一致的，以“符合性审查资料”、“评标标准相应的商务技术资料”为准。</w:t>
      </w:r>
    </w:p>
    <w:p w14:paraId="6848A525">
      <w:pPr>
        <w:spacing w:line="360" w:lineRule="auto"/>
        <w:ind w:right="420"/>
        <w:rPr>
          <w:rFonts w:ascii="宋体" w:hAnsi="宋体" w:cs="宋体"/>
          <w:sz w:val="24"/>
        </w:rPr>
      </w:pPr>
      <w:r>
        <w:rPr>
          <w:rFonts w:hint="eastAsia" w:ascii="宋体" w:hAnsi="宋体" w:cs="宋体"/>
          <w:sz w:val="24"/>
        </w:rPr>
        <w:t>3、投标人须保证：除商务技术偏离表列出的偏离外，投标人响应招标文件的全部非实质性要求。</w:t>
      </w:r>
    </w:p>
    <w:p w14:paraId="6695D3D8">
      <w:pPr>
        <w:spacing w:line="360" w:lineRule="auto"/>
        <w:ind w:right="420"/>
        <w:rPr>
          <w:rFonts w:ascii="宋体" w:hAnsi="宋体" w:cs="宋体"/>
          <w:sz w:val="24"/>
        </w:rPr>
      </w:pPr>
    </w:p>
    <w:p w14:paraId="0E649B65">
      <w:pPr>
        <w:ind w:firstLine="1911" w:firstLineChars="595"/>
        <w:rPr>
          <w:rFonts w:ascii="宋体" w:hAnsi="宋体" w:cs="宋体"/>
          <w:b/>
          <w:bCs/>
          <w:sz w:val="32"/>
          <w:szCs w:val="32"/>
        </w:rPr>
      </w:pPr>
    </w:p>
    <w:p w14:paraId="1A7AC3DB">
      <w:pPr>
        <w:ind w:firstLine="1911" w:firstLineChars="595"/>
        <w:rPr>
          <w:rFonts w:ascii="宋体" w:hAnsi="宋体" w:cs="宋体"/>
          <w:b/>
          <w:bCs/>
          <w:sz w:val="32"/>
          <w:szCs w:val="32"/>
        </w:rPr>
      </w:pPr>
    </w:p>
    <w:p w14:paraId="2EF9D5AD">
      <w:pPr>
        <w:widowControl/>
        <w:adjustRightInd/>
        <w:jc w:val="left"/>
        <w:rPr>
          <w:rFonts w:ascii="宋体" w:hAnsi="宋体" w:cs="宋体"/>
          <w:b/>
          <w:bCs/>
          <w:sz w:val="32"/>
          <w:szCs w:val="32"/>
        </w:rPr>
      </w:pPr>
      <w:r>
        <w:rPr>
          <w:rFonts w:ascii="宋体" w:hAnsi="宋体" w:cs="宋体"/>
          <w:b/>
          <w:bCs/>
          <w:sz w:val="32"/>
          <w:szCs w:val="32"/>
        </w:rPr>
        <w:br w:type="page"/>
      </w:r>
    </w:p>
    <w:p w14:paraId="74854094">
      <w:pPr>
        <w:ind w:firstLine="1911" w:firstLineChars="595"/>
        <w:rPr>
          <w:rFonts w:ascii="宋体" w:hAnsi="宋体" w:cs="宋体"/>
          <w:b/>
          <w:kern w:val="0"/>
          <w:sz w:val="32"/>
          <w:szCs w:val="32"/>
        </w:rPr>
      </w:pPr>
      <w:r>
        <w:rPr>
          <w:rFonts w:hint="eastAsia" w:ascii="宋体" w:hAnsi="宋体" w:cs="宋体"/>
          <w:b/>
          <w:bCs/>
          <w:sz w:val="32"/>
          <w:szCs w:val="32"/>
        </w:rPr>
        <w:t>九</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6C107D1">
      <w:pPr>
        <w:snapToGrid w:val="0"/>
        <w:spacing w:line="360" w:lineRule="auto"/>
        <w:rPr>
          <w:rFonts w:ascii="宋体" w:hAnsi="宋体" w:cs="宋体"/>
          <w:sz w:val="24"/>
        </w:rPr>
      </w:pPr>
    </w:p>
    <w:p w14:paraId="0AD5B014">
      <w:pPr>
        <w:snapToGrid w:val="0"/>
        <w:spacing w:line="360" w:lineRule="auto"/>
        <w:rPr>
          <w:rFonts w:ascii="宋体" w:hAnsi="宋体" w:cs="宋体"/>
          <w:kern w:val="0"/>
          <w:sz w:val="24"/>
        </w:rPr>
      </w:pPr>
      <w:r>
        <w:rPr>
          <w:rFonts w:hint="eastAsia" w:ascii="宋体" w:hAnsi="宋体" w:cs="宋体"/>
          <w:sz w:val="24"/>
          <w:lang w:eastAsia="zh-CN"/>
        </w:rPr>
        <w:t>杭州市上城区综合行政执法局</w:t>
      </w:r>
      <w:r>
        <w:rPr>
          <w:rFonts w:hint="eastAsia" w:ascii="宋体" w:hAnsi="宋体" w:cs="宋体"/>
          <w:sz w:val="24"/>
        </w:rPr>
        <w:t>、杭州建设工程造价咨询有限公司</w:t>
      </w:r>
      <w:r>
        <w:rPr>
          <w:rFonts w:hint="eastAsia" w:ascii="宋体" w:hAnsi="宋体" w:cs="宋体"/>
          <w:kern w:val="0"/>
          <w:sz w:val="24"/>
          <w:lang w:val="zh-CN"/>
        </w:rPr>
        <w:t>：</w:t>
      </w:r>
    </w:p>
    <w:p w14:paraId="43297CE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AC888E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B8989A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FC4FB0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527790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D5A622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EB079C1">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2089562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607496F">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30AAF1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713E23C8">
      <w:pPr>
        <w:autoSpaceDE w:val="0"/>
        <w:autoSpaceDN w:val="0"/>
        <w:spacing w:line="360" w:lineRule="auto"/>
        <w:ind w:left="2"/>
        <w:jc w:val="left"/>
        <w:rPr>
          <w:rFonts w:ascii="宋体" w:hAnsi="宋体" w:cs="宋体"/>
          <w:kern w:val="0"/>
          <w:sz w:val="24"/>
          <w:lang w:val="zh-CN"/>
        </w:rPr>
      </w:pPr>
    </w:p>
    <w:p w14:paraId="0015599F">
      <w:pPr>
        <w:autoSpaceDE w:val="0"/>
        <w:autoSpaceDN w:val="0"/>
        <w:spacing w:line="360" w:lineRule="auto"/>
        <w:ind w:left="2"/>
        <w:jc w:val="left"/>
        <w:rPr>
          <w:rFonts w:ascii="宋体" w:hAnsi="宋体" w:cs="宋体"/>
          <w:kern w:val="0"/>
          <w:sz w:val="24"/>
          <w:lang w:val="zh-CN"/>
        </w:rPr>
      </w:pPr>
    </w:p>
    <w:p w14:paraId="132BFD2D">
      <w:pPr>
        <w:autoSpaceDE w:val="0"/>
        <w:autoSpaceDN w:val="0"/>
        <w:spacing w:line="360" w:lineRule="auto"/>
        <w:ind w:left="2"/>
        <w:jc w:val="left"/>
        <w:rPr>
          <w:rFonts w:ascii="宋体" w:hAnsi="宋体" w:cs="宋体"/>
          <w:kern w:val="0"/>
          <w:sz w:val="24"/>
          <w:lang w:val="zh-CN"/>
        </w:rPr>
      </w:pPr>
    </w:p>
    <w:p w14:paraId="23B8C7D1">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529B015">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13237C6">
      <w:pPr>
        <w:spacing w:line="360" w:lineRule="auto"/>
        <w:jc w:val="center"/>
        <w:rPr>
          <w:rFonts w:ascii="宋体" w:hAnsi="宋体" w:cs="宋体"/>
          <w:b/>
          <w:bCs/>
          <w:sz w:val="24"/>
        </w:rPr>
      </w:pPr>
    </w:p>
    <w:p w14:paraId="6CDB972D">
      <w:pPr>
        <w:spacing w:line="360" w:lineRule="auto"/>
        <w:ind w:right="420"/>
        <w:rPr>
          <w:rFonts w:ascii="宋体" w:hAnsi="宋体" w:cs="宋体"/>
          <w:sz w:val="24"/>
        </w:rPr>
      </w:pPr>
      <w:r>
        <w:rPr>
          <w:rFonts w:hint="eastAsia" w:ascii="宋体" w:hAnsi="宋体" w:cs="宋体"/>
          <w:sz w:val="24"/>
        </w:rPr>
        <w:t>注：按本格式和要求提供。</w:t>
      </w:r>
    </w:p>
    <w:p w14:paraId="730C1870">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0BDEB51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3EC2823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6E5612F">
      <w:pPr>
        <w:spacing w:line="360" w:lineRule="auto"/>
        <w:jc w:val="center"/>
        <w:outlineLvl w:val="0"/>
        <w:rPr>
          <w:rFonts w:ascii="宋体" w:hAnsi="宋体" w:cs="宋体"/>
          <w:b/>
          <w:kern w:val="0"/>
          <w:sz w:val="36"/>
          <w:szCs w:val="36"/>
        </w:rPr>
      </w:pPr>
    </w:p>
    <w:p w14:paraId="7536BA2C">
      <w:pPr>
        <w:snapToGrid w:val="0"/>
        <w:spacing w:line="360" w:lineRule="auto"/>
        <w:rPr>
          <w:rFonts w:ascii="宋体" w:hAnsi="宋体" w:cs="宋体"/>
          <w:sz w:val="24"/>
        </w:rPr>
      </w:pPr>
      <w:r>
        <w:rPr>
          <w:rFonts w:hint="eastAsia" w:ascii="宋体" w:hAnsi="宋体" w:cs="宋体"/>
          <w:sz w:val="24"/>
        </w:rPr>
        <w:t>（1）开标一览表（报价表）………………………………………………………（页码）</w:t>
      </w:r>
    </w:p>
    <w:p w14:paraId="13ED2F42">
      <w:pPr>
        <w:snapToGrid w:val="0"/>
        <w:spacing w:line="360" w:lineRule="auto"/>
        <w:rPr>
          <w:rFonts w:ascii="宋体" w:hAnsi="宋体" w:cs="宋体"/>
          <w:sz w:val="24"/>
        </w:rPr>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35F72694">
      <w:pPr>
        <w:snapToGrid w:val="0"/>
        <w:spacing w:line="360" w:lineRule="auto"/>
        <w:ind w:right="480"/>
        <w:jc w:val="center"/>
        <w:rPr>
          <w:rFonts w:ascii="宋体" w:hAnsi="宋体" w:cs="宋体"/>
          <w:b/>
          <w:kern w:val="0"/>
          <w:sz w:val="32"/>
          <w:szCs w:val="32"/>
        </w:rPr>
      </w:pPr>
    </w:p>
    <w:p w14:paraId="79E0B0DA">
      <w:pPr>
        <w:snapToGrid w:val="0"/>
        <w:spacing w:line="360" w:lineRule="auto"/>
        <w:ind w:right="480"/>
        <w:jc w:val="center"/>
        <w:rPr>
          <w:rFonts w:ascii="宋体" w:hAnsi="宋体" w:cs="宋体"/>
          <w:b/>
          <w:kern w:val="0"/>
          <w:sz w:val="32"/>
          <w:szCs w:val="32"/>
        </w:rPr>
      </w:pPr>
    </w:p>
    <w:p w14:paraId="7A3B1640">
      <w:pPr>
        <w:snapToGrid w:val="0"/>
        <w:spacing w:line="360" w:lineRule="auto"/>
        <w:ind w:right="480"/>
        <w:jc w:val="center"/>
        <w:rPr>
          <w:rFonts w:ascii="宋体" w:hAnsi="宋体" w:cs="宋体"/>
          <w:b/>
          <w:kern w:val="0"/>
          <w:sz w:val="32"/>
          <w:szCs w:val="32"/>
        </w:rPr>
      </w:pPr>
    </w:p>
    <w:p w14:paraId="0F595455">
      <w:pPr>
        <w:snapToGrid w:val="0"/>
        <w:spacing w:line="360" w:lineRule="auto"/>
        <w:ind w:right="480"/>
        <w:jc w:val="center"/>
        <w:rPr>
          <w:rFonts w:ascii="宋体" w:hAnsi="宋体" w:cs="宋体"/>
          <w:b/>
          <w:kern w:val="0"/>
          <w:sz w:val="32"/>
          <w:szCs w:val="32"/>
        </w:rPr>
      </w:pPr>
    </w:p>
    <w:p w14:paraId="77FF3602">
      <w:pPr>
        <w:snapToGrid w:val="0"/>
        <w:spacing w:line="360" w:lineRule="auto"/>
        <w:ind w:right="480"/>
        <w:jc w:val="center"/>
        <w:rPr>
          <w:rFonts w:ascii="宋体" w:hAnsi="宋体" w:cs="宋体"/>
          <w:b/>
          <w:kern w:val="0"/>
          <w:sz w:val="32"/>
          <w:szCs w:val="32"/>
        </w:rPr>
      </w:pPr>
    </w:p>
    <w:p w14:paraId="24B5DB7D">
      <w:pPr>
        <w:snapToGrid w:val="0"/>
        <w:spacing w:line="360" w:lineRule="auto"/>
        <w:ind w:right="480"/>
        <w:jc w:val="center"/>
        <w:rPr>
          <w:rFonts w:ascii="宋体" w:hAnsi="宋体" w:cs="宋体"/>
          <w:b/>
          <w:kern w:val="0"/>
          <w:sz w:val="32"/>
          <w:szCs w:val="32"/>
        </w:rPr>
      </w:pPr>
    </w:p>
    <w:p w14:paraId="7DF7EC82">
      <w:pPr>
        <w:snapToGrid w:val="0"/>
        <w:spacing w:line="360" w:lineRule="auto"/>
        <w:ind w:right="480"/>
        <w:jc w:val="center"/>
        <w:rPr>
          <w:rFonts w:ascii="宋体" w:hAnsi="宋体" w:cs="宋体"/>
          <w:b/>
          <w:kern w:val="0"/>
          <w:sz w:val="32"/>
          <w:szCs w:val="32"/>
        </w:rPr>
      </w:pPr>
    </w:p>
    <w:p w14:paraId="4E05D2AD">
      <w:pPr>
        <w:snapToGrid w:val="0"/>
        <w:spacing w:line="360" w:lineRule="auto"/>
        <w:ind w:right="480"/>
        <w:jc w:val="center"/>
        <w:rPr>
          <w:rFonts w:ascii="宋体" w:hAnsi="宋体" w:cs="宋体"/>
          <w:b/>
          <w:kern w:val="0"/>
          <w:sz w:val="32"/>
          <w:szCs w:val="32"/>
        </w:rPr>
      </w:pPr>
    </w:p>
    <w:p w14:paraId="2A810400">
      <w:pPr>
        <w:snapToGrid w:val="0"/>
        <w:spacing w:line="360" w:lineRule="auto"/>
        <w:ind w:right="480"/>
        <w:jc w:val="center"/>
        <w:rPr>
          <w:rFonts w:ascii="宋体" w:hAnsi="宋体" w:cs="宋体"/>
          <w:b/>
          <w:kern w:val="0"/>
          <w:sz w:val="32"/>
          <w:szCs w:val="32"/>
        </w:rPr>
      </w:pPr>
    </w:p>
    <w:p w14:paraId="5EF333C6">
      <w:pPr>
        <w:snapToGrid w:val="0"/>
        <w:spacing w:line="360" w:lineRule="auto"/>
        <w:ind w:right="480"/>
        <w:jc w:val="center"/>
        <w:rPr>
          <w:rFonts w:ascii="宋体" w:hAnsi="宋体" w:cs="宋体"/>
          <w:b/>
          <w:kern w:val="0"/>
          <w:sz w:val="32"/>
          <w:szCs w:val="32"/>
        </w:rPr>
      </w:pPr>
    </w:p>
    <w:p w14:paraId="51C63BF5">
      <w:pPr>
        <w:snapToGrid w:val="0"/>
        <w:spacing w:line="360" w:lineRule="auto"/>
        <w:ind w:right="480"/>
        <w:jc w:val="center"/>
        <w:rPr>
          <w:rFonts w:ascii="宋体" w:hAnsi="宋体" w:cs="宋体"/>
          <w:b/>
          <w:kern w:val="0"/>
          <w:sz w:val="32"/>
          <w:szCs w:val="32"/>
        </w:rPr>
      </w:pPr>
    </w:p>
    <w:p w14:paraId="3011367C">
      <w:pPr>
        <w:snapToGrid w:val="0"/>
        <w:spacing w:line="360" w:lineRule="auto"/>
        <w:ind w:right="480"/>
        <w:jc w:val="center"/>
        <w:rPr>
          <w:rFonts w:ascii="宋体" w:hAnsi="宋体" w:cs="宋体"/>
          <w:b/>
          <w:kern w:val="0"/>
          <w:sz w:val="32"/>
          <w:szCs w:val="32"/>
        </w:rPr>
      </w:pPr>
    </w:p>
    <w:p w14:paraId="3BFBD4B6">
      <w:pPr>
        <w:snapToGrid w:val="0"/>
        <w:spacing w:line="360" w:lineRule="auto"/>
        <w:ind w:right="480"/>
        <w:jc w:val="center"/>
        <w:rPr>
          <w:rFonts w:ascii="宋体" w:hAnsi="宋体" w:cs="宋体"/>
          <w:b/>
          <w:kern w:val="0"/>
          <w:sz w:val="32"/>
          <w:szCs w:val="32"/>
        </w:rPr>
      </w:pPr>
    </w:p>
    <w:p w14:paraId="7BBA3262">
      <w:pPr>
        <w:snapToGrid w:val="0"/>
        <w:spacing w:line="360" w:lineRule="auto"/>
        <w:ind w:right="480"/>
        <w:jc w:val="center"/>
        <w:rPr>
          <w:rFonts w:ascii="宋体" w:hAnsi="宋体" w:cs="宋体"/>
          <w:b/>
          <w:kern w:val="0"/>
          <w:sz w:val="32"/>
          <w:szCs w:val="32"/>
        </w:rPr>
      </w:pPr>
    </w:p>
    <w:p w14:paraId="54AB443D">
      <w:pPr>
        <w:snapToGrid w:val="0"/>
        <w:spacing w:line="360" w:lineRule="auto"/>
        <w:ind w:right="480"/>
        <w:jc w:val="center"/>
        <w:rPr>
          <w:rFonts w:ascii="宋体" w:hAnsi="宋体" w:cs="宋体"/>
          <w:b/>
          <w:kern w:val="0"/>
          <w:sz w:val="32"/>
          <w:szCs w:val="32"/>
        </w:rPr>
      </w:pPr>
    </w:p>
    <w:p w14:paraId="024E59F3">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4BD94DAA">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5C9AC91D">
      <w:pPr>
        <w:snapToGrid w:val="0"/>
        <w:spacing w:line="360" w:lineRule="auto"/>
        <w:rPr>
          <w:rFonts w:ascii="宋体" w:hAnsi="宋体" w:cs="宋体"/>
          <w:kern w:val="0"/>
          <w:sz w:val="24"/>
        </w:rPr>
      </w:pPr>
      <w:r>
        <w:rPr>
          <w:rFonts w:hint="eastAsia" w:ascii="宋体" w:hAnsi="宋体" w:cs="宋体"/>
          <w:sz w:val="24"/>
          <w:lang w:eastAsia="zh-CN"/>
        </w:rPr>
        <w:t>杭州市上城区综合行政执法局</w:t>
      </w:r>
      <w:r>
        <w:rPr>
          <w:rFonts w:hint="eastAsia" w:ascii="宋体" w:hAnsi="宋体" w:cs="宋体"/>
          <w:sz w:val="24"/>
        </w:rPr>
        <w:t>、杭州建设工程造价咨询有限公司</w:t>
      </w:r>
      <w:r>
        <w:rPr>
          <w:rFonts w:hint="eastAsia" w:ascii="宋体" w:hAnsi="宋体" w:cs="宋体"/>
          <w:kern w:val="0"/>
          <w:sz w:val="24"/>
          <w:lang w:val="zh-CN"/>
        </w:rPr>
        <w:t>：</w:t>
      </w:r>
    </w:p>
    <w:p w14:paraId="1F406AB2">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w:t>
      </w:r>
      <w:r>
        <w:rPr>
          <w:rFonts w:hint="eastAsia" w:ascii="宋体" w:hAnsi="宋体" w:cs="宋体"/>
          <w:kern w:val="0"/>
          <w:sz w:val="24"/>
        </w:rPr>
        <w:t>报价</w:t>
      </w:r>
      <w:r>
        <w:rPr>
          <w:rFonts w:hint="eastAsia" w:ascii="宋体" w:hAnsi="宋体" w:cs="宋体"/>
          <w:kern w:val="0"/>
          <w:sz w:val="24"/>
          <w:lang w:val="zh-CN"/>
        </w:rPr>
        <w:t>完成</w:t>
      </w:r>
      <w:r>
        <w:rPr>
          <w:rFonts w:hint="eastAsia" w:ascii="宋体" w:hAnsi="宋体" w:cs="宋体"/>
          <w:sz w:val="24"/>
          <w:lang w:eastAsia="zh-CN"/>
        </w:rPr>
        <w:t>上城区城市管理智治平台改造项目（信创）</w:t>
      </w:r>
      <w:r>
        <w:rPr>
          <w:rFonts w:hint="eastAsia" w:ascii="宋体" w:hAnsi="宋体" w:cs="宋体"/>
          <w:sz w:val="24"/>
        </w:rPr>
        <w:t xml:space="preserve"> </w:t>
      </w:r>
      <w:r>
        <w:rPr>
          <w:rFonts w:hint="eastAsia" w:ascii="宋体" w:hAnsi="宋体" w:cs="宋体"/>
          <w:kern w:val="0"/>
          <w:sz w:val="24"/>
          <w:lang w:val="zh-CN"/>
        </w:rPr>
        <w:t>【招标编号：</w:t>
      </w:r>
      <w:r>
        <w:rPr>
          <w:rFonts w:hint="eastAsia" w:ascii="宋体" w:hAnsi="宋体" w:cs="宋体"/>
          <w:sz w:val="24"/>
          <w:lang w:eastAsia="zh-CN"/>
        </w:rPr>
        <w:t>HJZX-GKCG-F202514</w:t>
      </w:r>
      <w:r>
        <w:rPr>
          <w:rFonts w:hint="eastAsia" w:ascii="宋体" w:hAnsi="宋体" w:cs="宋体"/>
          <w:sz w:val="24"/>
        </w:rPr>
        <w:t>】的实施</w:t>
      </w:r>
      <w:r>
        <w:rPr>
          <w:rFonts w:hint="eastAsia" w:ascii="宋体" w:hAnsi="宋体" w:cs="宋体"/>
          <w:kern w:val="0"/>
          <w:sz w:val="24"/>
          <w:lang w:val="zh-CN"/>
        </w:rPr>
        <w:t>。</w:t>
      </w:r>
    </w:p>
    <w:p w14:paraId="37C86170">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1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2050"/>
        <w:gridCol w:w="2583"/>
        <w:gridCol w:w="2417"/>
        <w:gridCol w:w="1688"/>
        <w:gridCol w:w="1375"/>
      </w:tblGrid>
      <w:tr w14:paraId="43F8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837" w:type="dxa"/>
            <w:vAlign w:val="center"/>
          </w:tcPr>
          <w:p w14:paraId="7DB4A5AC">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序号</w:t>
            </w:r>
          </w:p>
        </w:tc>
        <w:tc>
          <w:tcPr>
            <w:tcW w:w="2050" w:type="dxa"/>
            <w:vAlign w:val="center"/>
          </w:tcPr>
          <w:p w14:paraId="7F01C8E3">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名称</w:t>
            </w:r>
          </w:p>
        </w:tc>
        <w:tc>
          <w:tcPr>
            <w:tcW w:w="2583" w:type="dxa"/>
            <w:vAlign w:val="center"/>
          </w:tcPr>
          <w:p w14:paraId="009A41C3">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lang w:val="en-US" w:eastAsia="zh-CN"/>
              </w:rPr>
              <w:t>投标</w:t>
            </w:r>
            <w:r>
              <w:rPr>
                <w:rFonts w:hint="eastAsia" w:ascii="宋体" w:hAnsi="宋体" w:cs="宋体"/>
                <w:b/>
                <w:sz w:val="24"/>
              </w:rPr>
              <w:t>总价</w:t>
            </w:r>
          </w:p>
        </w:tc>
        <w:tc>
          <w:tcPr>
            <w:tcW w:w="2417" w:type="dxa"/>
            <w:vAlign w:val="center"/>
          </w:tcPr>
          <w:p w14:paraId="290A58BC">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6BCE74E1">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lang w:val="en-US" w:eastAsia="zh-CN"/>
              </w:rPr>
            </w:pPr>
            <w:r>
              <w:rPr>
                <w:rFonts w:hint="eastAsia" w:ascii="宋体" w:hAnsi="宋体" w:cs="宋体"/>
                <w:b/>
                <w:sz w:val="24"/>
              </w:rPr>
              <w:t>服务</w:t>
            </w:r>
            <w:r>
              <w:rPr>
                <w:rFonts w:hint="eastAsia" w:ascii="宋体" w:hAnsi="宋体" w:cs="宋体"/>
                <w:b/>
                <w:sz w:val="24"/>
                <w:lang w:val="en-US" w:eastAsia="zh-CN"/>
              </w:rPr>
              <w:t>期限</w:t>
            </w:r>
          </w:p>
          <w:p w14:paraId="514218B1">
            <w:pPr>
              <w:keepNext w:val="0"/>
              <w:keepLines w:val="0"/>
              <w:suppressLineNumbers w:val="0"/>
              <w:spacing w:before="0" w:beforeAutospacing="0" w:after="0" w:afterAutospacing="0" w:line="360" w:lineRule="auto"/>
              <w:ind w:left="0" w:right="0"/>
              <w:jc w:val="center"/>
              <w:rPr>
                <w:rFonts w:hint="default" w:ascii="宋体" w:hAnsi="宋体" w:cs="宋体"/>
                <w:b/>
                <w:sz w:val="24"/>
              </w:rPr>
            </w:pPr>
          </w:p>
        </w:tc>
        <w:tc>
          <w:tcPr>
            <w:tcW w:w="1688" w:type="dxa"/>
            <w:vAlign w:val="center"/>
          </w:tcPr>
          <w:p w14:paraId="3B983EA8">
            <w:pPr>
              <w:keepNext w:val="0"/>
              <w:keepLines w:val="0"/>
              <w:suppressLineNumbers w:val="0"/>
              <w:spacing w:before="0" w:beforeAutospacing="0" w:after="0" w:afterAutospacing="0" w:line="360" w:lineRule="auto"/>
              <w:ind w:left="0" w:right="0"/>
              <w:jc w:val="center"/>
              <w:rPr>
                <w:rFonts w:hint="default" w:ascii="宋体" w:hAnsi="宋体" w:eastAsia="宋体" w:cs="宋体"/>
                <w:b/>
                <w:sz w:val="24"/>
                <w:lang w:val="en-US" w:eastAsia="zh-CN"/>
              </w:rPr>
            </w:pPr>
            <w:r>
              <w:rPr>
                <w:rFonts w:hint="eastAsia" w:ascii="宋体" w:hAnsi="宋体" w:cs="宋体"/>
                <w:b/>
                <w:sz w:val="24"/>
                <w:lang w:val="en-US" w:eastAsia="zh-CN"/>
              </w:rPr>
              <w:t>项目经理</w:t>
            </w:r>
          </w:p>
        </w:tc>
        <w:tc>
          <w:tcPr>
            <w:tcW w:w="1375" w:type="dxa"/>
            <w:vAlign w:val="center"/>
          </w:tcPr>
          <w:p w14:paraId="591721B4">
            <w:pPr>
              <w:keepNext w:val="0"/>
              <w:keepLines w:val="0"/>
              <w:suppressLineNumbers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备注</w:t>
            </w:r>
          </w:p>
        </w:tc>
      </w:tr>
      <w:tr w14:paraId="14D3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37" w:type="dxa"/>
            <w:vAlign w:val="center"/>
          </w:tcPr>
          <w:p w14:paraId="2F268375">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w:t>
            </w:r>
          </w:p>
        </w:tc>
        <w:tc>
          <w:tcPr>
            <w:tcW w:w="2050" w:type="dxa"/>
            <w:vAlign w:val="center"/>
          </w:tcPr>
          <w:p w14:paraId="30BB93B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583" w:type="dxa"/>
            <w:vAlign w:val="center"/>
          </w:tcPr>
          <w:p w14:paraId="290C5BA9">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417" w:type="dxa"/>
            <w:vAlign w:val="center"/>
          </w:tcPr>
          <w:p w14:paraId="5934C74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688" w:type="dxa"/>
            <w:vAlign w:val="center"/>
          </w:tcPr>
          <w:p w14:paraId="2A28CB38">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375" w:type="dxa"/>
            <w:vAlign w:val="center"/>
          </w:tcPr>
          <w:p w14:paraId="08AE9AE3">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11FC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37" w:type="dxa"/>
            <w:shd w:val="clear" w:color="auto" w:fill="auto"/>
            <w:vAlign w:val="center"/>
          </w:tcPr>
          <w:p w14:paraId="3A0A90C8">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w:t>
            </w:r>
          </w:p>
        </w:tc>
        <w:tc>
          <w:tcPr>
            <w:tcW w:w="2050" w:type="dxa"/>
            <w:shd w:val="clear" w:color="auto" w:fill="auto"/>
            <w:vAlign w:val="center"/>
          </w:tcPr>
          <w:p w14:paraId="08C9AAF7">
            <w:pPr>
              <w:keepNext w:val="0"/>
              <w:keepLines w:val="0"/>
              <w:suppressLineNumbers w:val="0"/>
              <w:snapToGrid w:val="0"/>
              <w:spacing w:before="0" w:beforeAutospacing="0" w:after="0" w:afterAutospacing="0" w:line="360" w:lineRule="auto"/>
              <w:ind w:left="0" w:right="0"/>
              <w:jc w:val="center"/>
              <w:rPr>
                <w:rFonts w:hint="default" w:ascii="宋体" w:hAnsi="宋体" w:cs="宋体"/>
                <w:kern w:val="0"/>
                <w:sz w:val="24"/>
              </w:rPr>
            </w:pPr>
            <w:r>
              <w:rPr>
                <w:rFonts w:hint="eastAsia" w:ascii="宋体" w:hAnsi="宋体" w:cs="宋体"/>
                <w:kern w:val="0"/>
                <w:sz w:val="24"/>
              </w:rPr>
              <w:t>.....</w:t>
            </w:r>
          </w:p>
        </w:tc>
        <w:tc>
          <w:tcPr>
            <w:tcW w:w="2583" w:type="dxa"/>
            <w:vAlign w:val="center"/>
          </w:tcPr>
          <w:p w14:paraId="1C9885C9">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417" w:type="dxa"/>
            <w:vAlign w:val="center"/>
          </w:tcPr>
          <w:p w14:paraId="109FC3A4">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688" w:type="dxa"/>
            <w:vAlign w:val="center"/>
          </w:tcPr>
          <w:p w14:paraId="153EF230">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375" w:type="dxa"/>
            <w:vAlign w:val="center"/>
          </w:tcPr>
          <w:p w14:paraId="4FB26E2C">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424D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37" w:type="dxa"/>
            <w:vAlign w:val="center"/>
          </w:tcPr>
          <w:p w14:paraId="7988FF2A">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050" w:type="dxa"/>
            <w:vAlign w:val="center"/>
          </w:tcPr>
          <w:p w14:paraId="3E5668E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583" w:type="dxa"/>
            <w:vAlign w:val="center"/>
          </w:tcPr>
          <w:p w14:paraId="173F2C58">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417" w:type="dxa"/>
            <w:vAlign w:val="center"/>
          </w:tcPr>
          <w:p w14:paraId="6D9DADB1">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688" w:type="dxa"/>
            <w:vAlign w:val="center"/>
          </w:tcPr>
          <w:p w14:paraId="00A0EF48">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375" w:type="dxa"/>
            <w:vAlign w:val="center"/>
          </w:tcPr>
          <w:p w14:paraId="477C85EE">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517D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37" w:type="dxa"/>
            <w:vAlign w:val="center"/>
          </w:tcPr>
          <w:p w14:paraId="7FE13E43">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050" w:type="dxa"/>
            <w:vAlign w:val="center"/>
          </w:tcPr>
          <w:p w14:paraId="4C275006">
            <w:pPr>
              <w:keepNext w:val="0"/>
              <w:keepLines w:val="0"/>
              <w:suppressLineNumbers w:val="0"/>
              <w:snapToGrid w:val="0"/>
              <w:spacing w:before="0" w:beforeAutospacing="0" w:after="0" w:afterAutospacing="0" w:line="360" w:lineRule="auto"/>
              <w:ind w:left="0" w:right="0"/>
              <w:jc w:val="center"/>
              <w:rPr>
                <w:rFonts w:hint="default" w:ascii="宋体" w:hAnsi="宋体" w:cs="宋体"/>
                <w:kern w:val="0"/>
                <w:sz w:val="24"/>
              </w:rPr>
            </w:pPr>
          </w:p>
        </w:tc>
        <w:tc>
          <w:tcPr>
            <w:tcW w:w="2583" w:type="dxa"/>
            <w:vAlign w:val="center"/>
          </w:tcPr>
          <w:p w14:paraId="49A9C28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417" w:type="dxa"/>
            <w:vAlign w:val="center"/>
          </w:tcPr>
          <w:p w14:paraId="0F8D604A">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688" w:type="dxa"/>
            <w:vAlign w:val="center"/>
          </w:tcPr>
          <w:p w14:paraId="376CD116">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375" w:type="dxa"/>
            <w:vAlign w:val="center"/>
          </w:tcPr>
          <w:p w14:paraId="68144F6E">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18B3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887" w:type="dxa"/>
            <w:gridSpan w:val="2"/>
            <w:vAlign w:val="center"/>
          </w:tcPr>
          <w:p w14:paraId="19AB6947">
            <w:pPr>
              <w:keepNext w:val="0"/>
              <w:keepLines w:val="0"/>
              <w:suppressLineNumbers w:val="0"/>
              <w:spacing w:before="0" w:beforeAutospacing="0" w:after="0" w:afterAutospacing="0" w:line="360" w:lineRule="auto"/>
              <w:ind w:left="0" w:right="0"/>
              <w:jc w:val="center"/>
              <w:rPr>
                <w:rFonts w:hint="default" w:ascii="宋体" w:hAnsi="宋体" w:cs="宋体"/>
                <w:b/>
                <w:bCs/>
                <w:kern w:val="0"/>
                <w:sz w:val="24"/>
              </w:rPr>
            </w:pPr>
            <w:r>
              <w:rPr>
                <w:rFonts w:hint="eastAsia" w:ascii="宋体" w:hAnsi="宋体" w:cs="宋体"/>
                <w:b/>
                <w:bCs/>
                <w:sz w:val="24"/>
              </w:rPr>
              <w:t>合计</w:t>
            </w:r>
          </w:p>
        </w:tc>
        <w:tc>
          <w:tcPr>
            <w:tcW w:w="2583" w:type="dxa"/>
            <w:vAlign w:val="center"/>
          </w:tcPr>
          <w:p w14:paraId="5AB6B999">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417" w:type="dxa"/>
            <w:vAlign w:val="center"/>
          </w:tcPr>
          <w:p w14:paraId="415AF04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688" w:type="dxa"/>
            <w:vAlign w:val="center"/>
          </w:tcPr>
          <w:p w14:paraId="251CD211">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375" w:type="dxa"/>
            <w:vAlign w:val="center"/>
          </w:tcPr>
          <w:p w14:paraId="33745536">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64268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887" w:type="dxa"/>
            <w:gridSpan w:val="2"/>
            <w:vAlign w:val="center"/>
          </w:tcPr>
          <w:p w14:paraId="61741796">
            <w:pPr>
              <w:keepNext w:val="0"/>
              <w:keepLines w:val="0"/>
              <w:suppressLineNumbers w:val="0"/>
              <w:snapToGrid w:val="0"/>
              <w:spacing w:before="0" w:beforeAutospacing="0" w:after="0" w:afterAutospacing="0" w:line="360" w:lineRule="auto"/>
              <w:ind w:left="0" w:right="0"/>
              <w:jc w:val="center"/>
              <w:rPr>
                <w:rFonts w:hint="default" w:ascii="宋体" w:hAnsi="宋体" w:cs="宋体"/>
                <w:b/>
                <w:bCs/>
                <w:sz w:val="24"/>
              </w:rPr>
            </w:pPr>
            <w:r>
              <w:rPr>
                <w:rFonts w:hint="eastAsia" w:ascii="宋体" w:hAnsi="宋体" w:cs="宋体"/>
                <w:b/>
                <w:bCs/>
                <w:sz w:val="24"/>
              </w:rPr>
              <w:t>投标报价（小写）</w:t>
            </w:r>
          </w:p>
        </w:tc>
        <w:tc>
          <w:tcPr>
            <w:tcW w:w="8063" w:type="dxa"/>
            <w:gridSpan w:val="4"/>
            <w:vAlign w:val="center"/>
          </w:tcPr>
          <w:p w14:paraId="0441E742">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2828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887" w:type="dxa"/>
            <w:gridSpan w:val="2"/>
            <w:vAlign w:val="center"/>
          </w:tcPr>
          <w:p w14:paraId="019A41B3">
            <w:pPr>
              <w:keepNext w:val="0"/>
              <w:keepLines w:val="0"/>
              <w:suppressLineNumbers w:val="0"/>
              <w:snapToGrid w:val="0"/>
              <w:spacing w:before="0" w:beforeAutospacing="0" w:after="0" w:afterAutospacing="0" w:line="360" w:lineRule="auto"/>
              <w:ind w:left="0" w:right="0"/>
              <w:jc w:val="center"/>
              <w:rPr>
                <w:rFonts w:hint="default" w:ascii="宋体" w:hAnsi="宋体" w:cs="宋体"/>
                <w:b/>
                <w:bCs/>
                <w:sz w:val="24"/>
              </w:rPr>
            </w:pPr>
            <w:r>
              <w:rPr>
                <w:rFonts w:hint="eastAsia" w:ascii="宋体" w:hAnsi="宋体" w:cs="宋体"/>
                <w:b/>
                <w:bCs/>
                <w:sz w:val="24"/>
              </w:rPr>
              <w:t>投标报价（大写）</w:t>
            </w:r>
          </w:p>
        </w:tc>
        <w:tc>
          <w:tcPr>
            <w:tcW w:w="8063" w:type="dxa"/>
            <w:gridSpan w:val="4"/>
            <w:vAlign w:val="center"/>
          </w:tcPr>
          <w:p w14:paraId="4FE1367D">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bl>
    <w:p w14:paraId="12CE4932">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12DDCEB">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w:t>
      </w:r>
      <w:r>
        <w:rPr>
          <w:rFonts w:hint="eastAsia" w:ascii="宋体" w:hAnsi="宋体" w:cs="宋体"/>
          <w:kern w:val="0"/>
          <w:sz w:val="24"/>
        </w:rPr>
        <w:t>要求</w:t>
      </w:r>
      <w:r>
        <w:rPr>
          <w:rFonts w:hint="eastAsia" w:ascii="宋体" w:hAnsi="宋体" w:cs="宋体"/>
          <w:kern w:val="0"/>
          <w:sz w:val="24"/>
          <w:lang w:val="zh-CN"/>
        </w:rPr>
        <w:t>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360A78AD">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0BF44BD3">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14:paraId="2159F29D">
      <w:pPr>
        <w:snapToGrid w:val="0"/>
        <w:spacing w:line="360" w:lineRule="auto"/>
        <w:ind w:firstLine="480" w:firstLineChars="200"/>
        <w:jc w:val="left"/>
        <w:rPr>
          <w:rFonts w:ascii="宋体" w:hAnsi="宋体" w:cs="宋体"/>
          <w:kern w:val="0"/>
          <w:sz w:val="24"/>
          <w:lang w:val="zh-CN"/>
        </w:rPr>
      </w:pPr>
    </w:p>
    <w:p w14:paraId="0714056C">
      <w:pPr>
        <w:spacing w:line="360" w:lineRule="auto"/>
        <w:ind w:firstLine="482" w:firstLineChars="200"/>
        <w:rPr>
          <w:rFonts w:ascii="宋体" w:hAnsi="宋体" w:cs="宋体"/>
          <w:b/>
          <w:sz w:val="24"/>
        </w:rPr>
      </w:pPr>
    </w:p>
    <w:p w14:paraId="19D7216E">
      <w:pPr>
        <w:spacing w:line="360" w:lineRule="auto"/>
        <w:ind w:firstLine="482" w:firstLineChars="200"/>
        <w:rPr>
          <w:rFonts w:ascii="宋体" w:hAnsi="宋体" w:cs="宋体"/>
          <w:b/>
          <w:kern w:val="0"/>
          <w:sz w:val="24"/>
        </w:rPr>
      </w:pPr>
    </w:p>
    <w:p w14:paraId="69F89FDF">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7DE6B2D6">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4CF5EADB">
      <w:pPr>
        <w:pStyle w:val="694"/>
        <w:keepNext w:val="0"/>
        <w:pageBreakBefore w:val="0"/>
        <w:numPr>
          <w:ilvl w:val="255"/>
          <w:numId w:val="0"/>
        </w:numPr>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二、报价情况说明（如果有）</w:t>
      </w:r>
    </w:p>
    <w:p w14:paraId="22EBC118">
      <w:pPr>
        <w:pStyle w:val="694"/>
        <w:keepNext w:val="0"/>
        <w:pageBreakBefore w:val="0"/>
        <w:tabs>
          <w:tab w:val="clear" w:pos="720"/>
        </w:tabs>
        <w:snapToGrid w:val="0"/>
        <w:spacing w:before="120" w:after="120"/>
        <w:ind w:firstLine="643"/>
        <w:jc w:val="left"/>
        <w:outlineLvl w:val="9"/>
        <w:rPr>
          <w:rFonts w:ascii="宋体" w:hAnsi="宋体" w:eastAsia="宋体" w:cs="宋体"/>
          <w:b w:val="0"/>
          <w:sz w:val="24"/>
          <w:szCs w:val="24"/>
        </w:rPr>
      </w:pPr>
      <w:r>
        <w:rPr>
          <w:rFonts w:hint="eastAsia" w:ascii="宋体" w:hAnsi="宋体" w:eastAsia="宋体" w:cs="宋体"/>
          <w:b w:val="0"/>
          <w:sz w:val="24"/>
          <w:szCs w:val="24"/>
        </w:rPr>
        <w:t>（如供应商报价低于项目预算50%的，应当提交本文档，详细阐述不影响产品质量或者诚信履约的具体原因</w:t>
      </w:r>
      <w:r>
        <w:rPr>
          <w:rFonts w:hint="eastAsia" w:ascii="宋体" w:hAnsi="宋体" w:eastAsia="宋体" w:cs="宋体"/>
          <w:kern w:val="2"/>
          <w:sz w:val="24"/>
          <w:szCs w:val="24"/>
        </w:rPr>
        <w:t>，否则投标无效。</w:t>
      </w:r>
      <w:r>
        <w:rPr>
          <w:rFonts w:hint="eastAsia" w:ascii="宋体" w:hAnsi="宋体" w:eastAsia="宋体" w:cs="宋体"/>
          <w:b w:val="0"/>
          <w:sz w:val="24"/>
          <w:szCs w:val="24"/>
        </w:rPr>
        <w:t>）</w:t>
      </w:r>
    </w:p>
    <w:p w14:paraId="274550D7">
      <w:pPr>
        <w:spacing w:line="360" w:lineRule="auto"/>
        <w:ind w:firstLine="482" w:firstLineChars="200"/>
        <w:rPr>
          <w:rFonts w:ascii="宋体" w:hAnsi="宋体" w:cs="宋体"/>
          <w:b/>
          <w:sz w:val="24"/>
        </w:rPr>
      </w:pPr>
    </w:p>
    <w:p w14:paraId="3B802742">
      <w:pPr>
        <w:pStyle w:val="694"/>
        <w:keepNext w:val="0"/>
        <w:pageBreakBefore w:val="0"/>
        <w:tabs>
          <w:tab w:val="clear" w:pos="720"/>
        </w:tabs>
        <w:snapToGrid w:val="0"/>
        <w:spacing w:before="120" w:after="120"/>
        <w:ind w:firstLine="643"/>
        <w:jc w:val="left"/>
        <w:outlineLvl w:val="9"/>
        <w:rPr>
          <w:rFonts w:ascii="宋体" w:hAnsi="宋体" w:eastAsia="宋体" w:cs="宋体"/>
          <w:b w:val="0"/>
          <w:sz w:val="24"/>
          <w:szCs w:val="24"/>
        </w:rPr>
      </w:pPr>
    </w:p>
    <w:p w14:paraId="569DEC42">
      <w:pPr>
        <w:pStyle w:val="694"/>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sz w:val="32"/>
          <w:szCs w:val="32"/>
        </w:rPr>
        <w:t>三、中小企业声明函（如果有）</w:t>
      </w:r>
    </w:p>
    <w:p w14:paraId="1324FB1F">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6E48C183">
      <w:pPr>
        <w:spacing w:line="360" w:lineRule="auto"/>
        <w:ind w:right="420" w:firstLine="3614" w:firstLineChars="1000"/>
        <w:rPr>
          <w:rFonts w:ascii="宋体" w:hAnsi="宋体" w:cs="宋体"/>
          <w:b/>
          <w:kern w:val="0"/>
          <w:sz w:val="36"/>
          <w:szCs w:val="36"/>
        </w:rPr>
      </w:pPr>
    </w:p>
    <w:p w14:paraId="4F7A09C6">
      <w:pPr>
        <w:spacing w:line="360" w:lineRule="auto"/>
        <w:ind w:right="420" w:firstLine="3614" w:firstLineChars="1000"/>
        <w:rPr>
          <w:rFonts w:ascii="宋体" w:hAnsi="宋体" w:cs="宋体"/>
          <w:b/>
          <w:kern w:val="0"/>
          <w:sz w:val="36"/>
          <w:szCs w:val="36"/>
        </w:rPr>
      </w:pPr>
    </w:p>
    <w:p w14:paraId="3025F27D">
      <w:pPr>
        <w:spacing w:line="360" w:lineRule="auto"/>
        <w:ind w:right="420" w:firstLine="3614" w:firstLineChars="1000"/>
        <w:rPr>
          <w:rFonts w:ascii="宋体" w:hAnsi="宋体" w:cs="宋体"/>
          <w:b/>
          <w:kern w:val="0"/>
          <w:sz w:val="36"/>
          <w:szCs w:val="36"/>
        </w:rPr>
      </w:pPr>
    </w:p>
    <w:p w14:paraId="155D5209">
      <w:pPr>
        <w:spacing w:line="360" w:lineRule="auto"/>
        <w:ind w:right="420" w:firstLine="3614" w:firstLineChars="1000"/>
        <w:rPr>
          <w:rFonts w:ascii="宋体" w:hAnsi="宋体" w:cs="宋体"/>
          <w:b/>
          <w:kern w:val="0"/>
          <w:sz w:val="36"/>
          <w:szCs w:val="36"/>
        </w:rPr>
      </w:pPr>
    </w:p>
    <w:p w14:paraId="3E2738A4">
      <w:pPr>
        <w:spacing w:line="360" w:lineRule="auto"/>
        <w:ind w:right="420" w:firstLine="3614" w:firstLineChars="1000"/>
        <w:rPr>
          <w:rFonts w:ascii="宋体" w:hAnsi="宋体" w:cs="宋体"/>
          <w:b/>
          <w:kern w:val="0"/>
          <w:sz w:val="36"/>
          <w:szCs w:val="36"/>
        </w:rPr>
      </w:pPr>
    </w:p>
    <w:p w14:paraId="78C294ED">
      <w:pPr>
        <w:spacing w:line="360" w:lineRule="auto"/>
        <w:ind w:right="420" w:firstLine="3614" w:firstLineChars="1000"/>
        <w:rPr>
          <w:rFonts w:ascii="宋体" w:hAnsi="宋体" w:cs="宋体"/>
          <w:b/>
          <w:kern w:val="0"/>
          <w:sz w:val="36"/>
          <w:szCs w:val="36"/>
        </w:rPr>
      </w:pPr>
    </w:p>
    <w:p w14:paraId="48065129">
      <w:pPr>
        <w:spacing w:line="360" w:lineRule="auto"/>
        <w:ind w:right="420" w:firstLine="3614" w:firstLineChars="1000"/>
        <w:rPr>
          <w:rFonts w:ascii="宋体" w:hAnsi="宋体" w:cs="宋体"/>
          <w:b/>
          <w:kern w:val="0"/>
          <w:sz w:val="36"/>
          <w:szCs w:val="36"/>
        </w:rPr>
      </w:pPr>
    </w:p>
    <w:p w14:paraId="37F1B070">
      <w:pPr>
        <w:spacing w:line="360" w:lineRule="auto"/>
        <w:ind w:right="420" w:firstLine="3614" w:firstLineChars="1000"/>
        <w:rPr>
          <w:rFonts w:ascii="宋体" w:hAnsi="宋体" w:cs="宋体"/>
          <w:b/>
          <w:kern w:val="0"/>
          <w:sz w:val="36"/>
          <w:szCs w:val="36"/>
        </w:rPr>
      </w:pPr>
    </w:p>
    <w:p w14:paraId="3D747BBB">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06D6F89E">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7C992B32">
      <w:pPr>
        <w:spacing w:line="360" w:lineRule="auto"/>
        <w:jc w:val="center"/>
        <w:rPr>
          <w:rFonts w:ascii="宋体" w:hAnsi="宋体" w:cs="宋体"/>
          <w:b/>
          <w:spacing w:val="6"/>
          <w:sz w:val="32"/>
          <w:szCs w:val="32"/>
        </w:rPr>
      </w:pPr>
      <w:bookmarkStart w:id="52" w:name="OLE_LINK14"/>
      <w:bookmarkStart w:id="53" w:name="OLE_LINK13"/>
      <w:r>
        <w:rPr>
          <w:rFonts w:hint="eastAsia" w:ascii="宋体" w:hAnsi="宋体" w:cs="宋体"/>
          <w:b/>
          <w:spacing w:val="6"/>
          <w:sz w:val="32"/>
          <w:szCs w:val="32"/>
        </w:rPr>
        <w:t>残疾人福利性单位声明函</w:t>
      </w:r>
    </w:p>
    <w:bookmarkEnd w:id="52"/>
    <w:bookmarkEnd w:id="53"/>
    <w:p w14:paraId="1486006C">
      <w:pPr>
        <w:spacing w:line="360" w:lineRule="auto"/>
        <w:rPr>
          <w:rFonts w:ascii="宋体" w:hAnsi="宋体" w:cs="宋体"/>
          <w:b/>
          <w:spacing w:val="6"/>
          <w:sz w:val="30"/>
          <w:szCs w:val="30"/>
        </w:rPr>
      </w:pPr>
    </w:p>
    <w:p w14:paraId="3233514D">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lang w:eastAsia="zh-CN"/>
        </w:rPr>
        <w:t>杭州市上城区综合行政执法局</w:t>
      </w:r>
      <w:r>
        <w:rPr>
          <w:rFonts w:hint="eastAsia" w:ascii="宋体" w:hAnsi="宋体" w:cs="宋体"/>
          <w:sz w:val="24"/>
        </w:rPr>
        <w:t>单位的</w:t>
      </w:r>
      <w:r>
        <w:rPr>
          <w:rFonts w:hint="eastAsia" w:ascii="宋体" w:hAnsi="宋体" w:cs="宋体"/>
          <w:sz w:val="24"/>
          <w:u w:val="single"/>
          <w:lang w:eastAsia="zh-CN"/>
        </w:rPr>
        <w:t>上城区城市管理智治平台改造项目（信创）</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04957210">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791BB3A">
      <w:pPr>
        <w:spacing w:line="360" w:lineRule="auto"/>
        <w:ind w:firstLine="480" w:firstLineChars="200"/>
        <w:rPr>
          <w:rFonts w:ascii="宋体" w:hAnsi="宋体" w:cs="宋体"/>
          <w:sz w:val="24"/>
        </w:rPr>
      </w:pPr>
    </w:p>
    <w:p w14:paraId="068A2EFD">
      <w:pPr>
        <w:spacing w:line="360" w:lineRule="auto"/>
        <w:ind w:firstLine="480" w:firstLineChars="200"/>
        <w:rPr>
          <w:rFonts w:ascii="宋体" w:hAnsi="宋体" w:cs="宋体"/>
          <w:sz w:val="24"/>
        </w:rPr>
      </w:pPr>
    </w:p>
    <w:p w14:paraId="47AB659A">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56DE255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9B5697D">
      <w:pPr>
        <w:spacing w:line="360" w:lineRule="auto"/>
        <w:ind w:firstLine="480" w:firstLineChars="200"/>
        <w:rPr>
          <w:rFonts w:ascii="宋体" w:hAnsi="宋体" w:cs="宋体"/>
          <w:sz w:val="24"/>
        </w:rPr>
      </w:pPr>
    </w:p>
    <w:p w14:paraId="541CC308">
      <w:pPr>
        <w:spacing w:line="360" w:lineRule="auto"/>
        <w:ind w:firstLine="420" w:firstLineChars="200"/>
        <w:rPr>
          <w:rFonts w:ascii="宋体" w:hAnsi="宋体" w:cs="宋体"/>
        </w:rPr>
      </w:pPr>
    </w:p>
    <w:p w14:paraId="42AADD7D">
      <w:pPr>
        <w:spacing w:line="360" w:lineRule="auto"/>
        <w:ind w:firstLine="420" w:firstLineChars="200"/>
        <w:rPr>
          <w:rFonts w:ascii="宋体" w:hAnsi="宋体" w:cs="宋体"/>
        </w:rPr>
      </w:pPr>
    </w:p>
    <w:p w14:paraId="0AC8F9B1">
      <w:pPr>
        <w:spacing w:line="360" w:lineRule="auto"/>
        <w:ind w:firstLine="420" w:firstLineChars="200"/>
        <w:rPr>
          <w:rFonts w:ascii="宋体" w:hAnsi="宋体" w:cs="宋体"/>
        </w:rPr>
      </w:pPr>
    </w:p>
    <w:p w14:paraId="215970E9">
      <w:pPr>
        <w:spacing w:line="360" w:lineRule="auto"/>
        <w:ind w:firstLine="420" w:firstLineChars="200"/>
        <w:rPr>
          <w:rFonts w:ascii="宋体" w:hAnsi="宋体" w:cs="宋体"/>
        </w:rPr>
      </w:pPr>
    </w:p>
    <w:p w14:paraId="6263E7C7">
      <w:pPr>
        <w:spacing w:line="360" w:lineRule="auto"/>
        <w:rPr>
          <w:rFonts w:ascii="宋体" w:hAnsi="宋体" w:cs="宋体"/>
          <w:b/>
          <w:sz w:val="24"/>
        </w:rPr>
      </w:pPr>
    </w:p>
    <w:p w14:paraId="5CA7CC78">
      <w:pPr>
        <w:spacing w:line="360" w:lineRule="auto"/>
        <w:rPr>
          <w:rFonts w:ascii="宋体" w:hAnsi="宋体" w:cs="宋体"/>
          <w:b/>
          <w:sz w:val="24"/>
        </w:rPr>
      </w:pPr>
    </w:p>
    <w:p w14:paraId="662DE9F4">
      <w:pPr>
        <w:spacing w:line="360" w:lineRule="auto"/>
        <w:rPr>
          <w:rFonts w:ascii="宋体" w:hAnsi="宋体" w:cs="宋体"/>
          <w:b/>
          <w:sz w:val="24"/>
        </w:rPr>
      </w:pPr>
    </w:p>
    <w:p w14:paraId="4F48E833">
      <w:pPr>
        <w:spacing w:line="360" w:lineRule="auto"/>
        <w:rPr>
          <w:rFonts w:ascii="宋体" w:hAnsi="宋体" w:cs="宋体"/>
          <w:b/>
          <w:sz w:val="24"/>
        </w:rPr>
      </w:pPr>
    </w:p>
    <w:p w14:paraId="08439396">
      <w:pPr>
        <w:spacing w:line="360" w:lineRule="auto"/>
        <w:rPr>
          <w:rFonts w:ascii="宋体" w:hAnsi="宋体" w:cs="宋体"/>
          <w:b/>
          <w:sz w:val="24"/>
        </w:rPr>
      </w:pPr>
    </w:p>
    <w:p w14:paraId="2FCDDE07">
      <w:pPr>
        <w:spacing w:line="360" w:lineRule="auto"/>
        <w:rPr>
          <w:rFonts w:ascii="宋体" w:hAnsi="宋体" w:cs="宋体"/>
          <w:b/>
          <w:sz w:val="24"/>
        </w:rPr>
      </w:pPr>
    </w:p>
    <w:p w14:paraId="428B07E9">
      <w:pPr>
        <w:spacing w:line="360" w:lineRule="auto"/>
        <w:rPr>
          <w:rFonts w:ascii="宋体" w:hAnsi="宋体" w:cs="宋体"/>
          <w:b/>
          <w:sz w:val="24"/>
        </w:rPr>
      </w:pPr>
    </w:p>
    <w:p w14:paraId="34133C4B">
      <w:pPr>
        <w:spacing w:line="360" w:lineRule="auto"/>
        <w:rPr>
          <w:rFonts w:ascii="宋体" w:hAnsi="宋体" w:cs="宋体"/>
          <w:b/>
          <w:sz w:val="24"/>
        </w:rPr>
      </w:pPr>
    </w:p>
    <w:p w14:paraId="21467349">
      <w:pPr>
        <w:spacing w:line="360" w:lineRule="auto"/>
        <w:rPr>
          <w:rFonts w:ascii="宋体" w:hAnsi="宋体" w:cs="宋体"/>
          <w:b/>
          <w:sz w:val="24"/>
        </w:rPr>
      </w:pPr>
    </w:p>
    <w:p w14:paraId="1A2B3581">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3609E13E">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668DC9E">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B91CEFD">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D6251A2">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83E6A56">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BF032C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555EE24">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91027C6">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DEEBA98">
      <w:pPr>
        <w:snapToGrid w:val="0"/>
        <w:spacing w:line="360" w:lineRule="auto"/>
        <w:rPr>
          <w:rFonts w:ascii="宋体" w:hAnsi="宋体" w:cs="宋体"/>
          <w:bCs/>
          <w:sz w:val="24"/>
        </w:rPr>
      </w:pPr>
      <w:r>
        <w:rPr>
          <w:rFonts w:hint="eastAsia" w:ascii="宋体" w:hAnsi="宋体" w:cs="宋体"/>
          <w:bCs/>
          <w:sz w:val="24"/>
        </w:rPr>
        <w:t>二、质疑项目基本情况</w:t>
      </w:r>
    </w:p>
    <w:p w14:paraId="22B98D28">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FD153CC">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4BB09CD">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B6F722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61F2D7F">
      <w:pPr>
        <w:snapToGrid w:val="0"/>
        <w:spacing w:line="360" w:lineRule="auto"/>
        <w:rPr>
          <w:rFonts w:ascii="宋体" w:hAnsi="宋体" w:cs="宋体"/>
          <w:bCs/>
          <w:sz w:val="24"/>
        </w:rPr>
      </w:pPr>
      <w:r>
        <w:rPr>
          <w:rFonts w:hint="eastAsia" w:ascii="宋体" w:hAnsi="宋体" w:cs="宋体"/>
          <w:bCs/>
          <w:sz w:val="24"/>
        </w:rPr>
        <w:t>三、质疑事项具体内容</w:t>
      </w:r>
    </w:p>
    <w:p w14:paraId="407CA11F">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79D58ED">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ABE9AA5">
      <w:pPr>
        <w:snapToGrid w:val="0"/>
        <w:spacing w:line="360" w:lineRule="auto"/>
        <w:rPr>
          <w:rFonts w:ascii="宋体" w:hAnsi="宋体" w:cs="宋体"/>
          <w:sz w:val="24"/>
        </w:rPr>
      </w:pPr>
      <w:r>
        <w:rPr>
          <w:rFonts w:hint="eastAsia" w:ascii="宋体" w:hAnsi="宋体" w:cs="宋体"/>
          <w:sz w:val="24"/>
          <w:u w:val="dotted"/>
        </w:rPr>
        <w:t xml:space="preserve">                                                       </w:t>
      </w:r>
    </w:p>
    <w:p w14:paraId="218D34EB">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F8C1012">
      <w:pPr>
        <w:snapToGrid w:val="0"/>
        <w:spacing w:line="360" w:lineRule="auto"/>
        <w:rPr>
          <w:rFonts w:ascii="宋体" w:hAnsi="宋体" w:cs="宋体"/>
          <w:sz w:val="24"/>
          <w:u w:val="dotted"/>
        </w:rPr>
      </w:pPr>
      <w:r>
        <w:rPr>
          <w:rFonts w:hint="eastAsia" w:ascii="宋体" w:hAnsi="宋体" w:cs="宋体"/>
          <w:sz w:val="24"/>
          <w:u w:val="dotted"/>
        </w:rPr>
        <w:t xml:space="preserve">                                                     </w:t>
      </w:r>
    </w:p>
    <w:p w14:paraId="4802EFC5">
      <w:pPr>
        <w:snapToGrid w:val="0"/>
        <w:spacing w:line="360" w:lineRule="auto"/>
        <w:rPr>
          <w:rFonts w:ascii="宋体" w:hAnsi="宋体" w:cs="宋体"/>
          <w:sz w:val="24"/>
          <w:u w:val="dotted"/>
        </w:rPr>
      </w:pPr>
      <w:r>
        <w:rPr>
          <w:rFonts w:hint="eastAsia" w:ascii="宋体" w:hAnsi="宋体" w:cs="宋体"/>
          <w:sz w:val="24"/>
        </w:rPr>
        <w:t>质疑事项2</w:t>
      </w:r>
    </w:p>
    <w:p w14:paraId="7F7355B8">
      <w:pPr>
        <w:snapToGrid w:val="0"/>
        <w:spacing w:line="360" w:lineRule="auto"/>
        <w:rPr>
          <w:rFonts w:ascii="宋体" w:hAnsi="宋体" w:cs="宋体"/>
          <w:sz w:val="24"/>
        </w:rPr>
      </w:pPr>
      <w:r>
        <w:rPr>
          <w:rFonts w:hint="eastAsia" w:ascii="宋体" w:hAnsi="宋体" w:cs="宋体"/>
          <w:sz w:val="24"/>
        </w:rPr>
        <w:t>……</w:t>
      </w:r>
    </w:p>
    <w:p w14:paraId="12A2BBF4">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AE6E2A4">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9C63695">
      <w:pPr>
        <w:spacing w:line="360" w:lineRule="auto"/>
        <w:rPr>
          <w:rFonts w:ascii="宋体" w:hAnsi="宋体" w:cs="宋体"/>
          <w:sz w:val="24"/>
        </w:rPr>
      </w:pPr>
      <w:r>
        <w:rPr>
          <w:rFonts w:hint="eastAsia" w:ascii="宋体" w:hAnsi="宋体" w:cs="宋体"/>
          <w:sz w:val="24"/>
        </w:rPr>
        <w:t xml:space="preserve">签字(签章)：                   公章：                      </w:t>
      </w:r>
    </w:p>
    <w:p w14:paraId="36812252">
      <w:pPr>
        <w:spacing w:line="360" w:lineRule="auto"/>
        <w:rPr>
          <w:rFonts w:ascii="宋体" w:hAnsi="宋体" w:cs="宋体"/>
          <w:sz w:val="24"/>
        </w:rPr>
      </w:pPr>
      <w:r>
        <w:rPr>
          <w:rFonts w:hint="eastAsia" w:ascii="宋体" w:hAnsi="宋体" w:cs="宋体"/>
          <w:sz w:val="24"/>
        </w:rPr>
        <w:t xml:space="preserve">日期：    </w:t>
      </w:r>
    </w:p>
    <w:p w14:paraId="67A7D40E">
      <w:pPr>
        <w:spacing w:line="360" w:lineRule="auto"/>
        <w:jc w:val="center"/>
        <w:rPr>
          <w:rFonts w:ascii="宋体" w:hAnsi="宋体" w:cs="宋体"/>
          <w:b/>
          <w:bCs/>
          <w:sz w:val="24"/>
        </w:rPr>
      </w:pPr>
    </w:p>
    <w:p w14:paraId="78BA9734">
      <w:pPr>
        <w:spacing w:line="360" w:lineRule="auto"/>
        <w:rPr>
          <w:rFonts w:ascii="宋体" w:hAnsi="宋体" w:cs="宋体"/>
          <w:b/>
          <w:sz w:val="24"/>
        </w:rPr>
      </w:pPr>
    </w:p>
    <w:p w14:paraId="1E8FF167">
      <w:pPr>
        <w:spacing w:line="360" w:lineRule="auto"/>
        <w:rPr>
          <w:rFonts w:ascii="宋体" w:hAnsi="宋体" w:cs="宋体"/>
          <w:b/>
          <w:sz w:val="24"/>
        </w:rPr>
      </w:pPr>
    </w:p>
    <w:p w14:paraId="5FD35BD0">
      <w:pPr>
        <w:spacing w:line="360" w:lineRule="auto"/>
        <w:rPr>
          <w:rFonts w:ascii="宋体" w:hAnsi="宋体" w:cs="宋体"/>
          <w:b/>
          <w:sz w:val="24"/>
        </w:rPr>
      </w:pPr>
    </w:p>
    <w:p w14:paraId="168F14C6">
      <w:pPr>
        <w:spacing w:line="360" w:lineRule="auto"/>
        <w:rPr>
          <w:rFonts w:ascii="宋体" w:hAnsi="宋体" w:cs="宋体"/>
          <w:b/>
          <w:sz w:val="24"/>
        </w:rPr>
      </w:pPr>
      <w:r>
        <w:rPr>
          <w:rFonts w:hint="eastAsia" w:ascii="宋体" w:hAnsi="宋体" w:cs="宋体"/>
          <w:b/>
          <w:sz w:val="24"/>
        </w:rPr>
        <w:t>质疑函制作说明：</w:t>
      </w:r>
    </w:p>
    <w:p w14:paraId="224CEB51">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D4FAFF6">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87E4F1E">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A4B298A">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E15A20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D34043A">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4369E85">
      <w:pPr>
        <w:widowControl/>
        <w:spacing w:line="360" w:lineRule="auto"/>
        <w:ind w:firstLine="600" w:firstLineChars="200"/>
        <w:jc w:val="left"/>
        <w:rPr>
          <w:rFonts w:ascii="宋体" w:hAnsi="宋体" w:cs="宋体"/>
          <w:sz w:val="30"/>
          <w:szCs w:val="30"/>
        </w:rPr>
      </w:pPr>
    </w:p>
    <w:p w14:paraId="4F389500">
      <w:pPr>
        <w:spacing w:line="360" w:lineRule="auto"/>
        <w:jc w:val="center"/>
        <w:rPr>
          <w:rFonts w:ascii="宋体" w:hAnsi="宋体" w:cs="宋体"/>
          <w:b/>
          <w:spacing w:val="6"/>
          <w:sz w:val="32"/>
          <w:szCs w:val="32"/>
        </w:rPr>
      </w:pPr>
    </w:p>
    <w:p w14:paraId="1137AC0D">
      <w:pPr>
        <w:spacing w:line="360" w:lineRule="auto"/>
        <w:jc w:val="center"/>
        <w:rPr>
          <w:rFonts w:ascii="宋体" w:hAnsi="宋体" w:cs="宋体"/>
          <w:b/>
          <w:spacing w:val="6"/>
          <w:sz w:val="32"/>
          <w:szCs w:val="32"/>
        </w:rPr>
      </w:pPr>
    </w:p>
    <w:p w14:paraId="43CC5A88">
      <w:pPr>
        <w:spacing w:line="360" w:lineRule="auto"/>
        <w:jc w:val="center"/>
        <w:rPr>
          <w:rFonts w:ascii="宋体" w:hAnsi="宋体" w:cs="宋体"/>
          <w:b/>
          <w:spacing w:val="6"/>
          <w:sz w:val="32"/>
          <w:szCs w:val="32"/>
        </w:rPr>
      </w:pPr>
    </w:p>
    <w:p w14:paraId="03BC0DEA">
      <w:pPr>
        <w:spacing w:line="360" w:lineRule="auto"/>
        <w:jc w:val="center"/>
        <w:rPr>
          <w:rFonts w:ascii="宋体" w:hAnsi="宋体" w:cs="宋体"/>
          <w:b/>
          <w:spacing w:val="6"/>
          <w:sz w:val="32"/>
          <w:szCs w:val="32"/>
        </w:rPr>
      </w:pPr>
    </w:p>
    <w:p w14:paraId="15CEAB8C">
      <w:pPr>
        <w:spacing w:line="360" w:lineRule="auto"/>
        <w:jc w:val="center"/>
        <w:rPr>
          <w:rFonts w:ascii="宋体" w:hAnsi="宋体" w:cs="宋体"/>
          <w:b/>
          <w:spacing w:val="6"/>
          <w:sz w:val="32"/>
          <w:szCs w:val="32"/>
        </w:rPr>
      </w:pPr>
    </w:p>
    <w:p w14:paraId="7667438D">
      <w:pPr>
        <w:spacing w:line="360" w:lineRule="auto"/>
        <w:jc w:val="center"/>
        <w:rPr>
          <w:rFonts w:ascii="宋体" w:hAnsi="宋体" w:cs="宋体"/>
          <w:b/>
          <w:spacing w:val="6"/>
          <w:sz w:val="32"/>
          <w:szCs w:val="32"/>
        </w:rPr>
      </w:pPr>
    </w:p>
    <w:p w14:paraId="658B3043">
      <w:pPr>
        <w:spacing w:line="360" w:lineRule="auto"/>
        <w:jc w:val="center"/>
        <w:rPr>
          <w:rFonts w:ascii="宋体" w:hAnsi="宋体" w:cs="宋体"/>
          <w:b/>
          <w:spacing w:val="6"/>
          <w:sz w:val="32"/>
          <w:szCs w:val="32"/>
        </w:rPr>
      </w:pPr>
    </w:p>
    <w:p w14:paraId="3429928B">
      <w:pPr>
        <w:spacing w:line="360" w:lineRule="auto"/>
        <w:jc w:val="center"/>
        <w:rPr>
          <w:rFonts w:ascii="宋体" w:hAnsi="宋体" w:cs="宋体"/>
          <w:b/>
          <w:spacing w:val="6"/>
          <w:sz w:val="32"/>
          <w:szCs w:val="32"/>
        </w:rPr>
      </w:pPr>
    </w:p>
    <w:p w14:paraId="58822771">
      <w:pPr>
        <w:spacing w:line="360" w:lineRule="auto"/>
        <w:jc w:val="center"/>
        <w:rPr>
          <w:rFonts w:ascii="宋体" w:hAnsi="宋体" w:cs="宋体"/>
          <w:b/>
          <w:spacing w:val="6"/>
          <w:sz w:val="32"/>
          <w:szCs w:val="32"/>
        </w:rPr>
      </w:pPr>
    </w:p>
    <w:p w14:paraId="5469E06C">
      <w:pPr>
        <w:spacing w:line="360" w:lineRule="auto"/>
        <w:jc w:val="center"/>
        <w:rPr>
          <w:rFonts w:ascii="宋体" w:hAnsi="宋体" w:cs="宋体"/>
          <w:b/>
          <w:spacing w:val="6"/>
          <w:sz w:val="32"/>
          <w:szCs w:val="32"/>
        </w:rPr>
      </w:pPr>
    </w:p>
    <w:p w14:paraId="39DEF316">
      <w:pPr>
        <w:spacing w:line="360" w:lineRule="auto"/>
        <w:jc w:val="center"/>
        <w:rPr>
          <w:rFonts w:ascii="宋体" w:hAnsi="宋体" w:cs="宋体"/>
          <w:b/>
          <w:spacing w:val="6"/>
          <w:sz w:val="32"/>
          <w:szCs w:val="32"/>
        </w:rPr>
      </w:pPr>
    </w:p>
    <w:p w14:paraId="04D31093">
      <w:pPr>
        <w:spacing w:line="360" w:lineRule="auto"/>
        <w:jc w:val="center"/>
        <w:rPr>
          <w:rFonts w:ascii="宋体" w:hAnsi="宋体" w:cs="宋体"/>
          <w:b/>
          <w:spacing w:val="6"/>
          <w:sz w:val="32"/>
          <w:szCs w:val="32"/>
        </w:rPr>
      </w:pPr>
    </w:p>
    <w:p w14:paraId="6A095E90">
      <w:pPr>
        <w:spacing w:line="360" w:lineRule="auto"/>
        <w:jc w:val="left"/>
        <w:rPr>
          <w:rFonts w:ascii="宋体" w:hAnsi="宋体" w:cs="宋体"/>
          <w:b/>
          <w:spacing w:val="6"/>
          <w:sz w:val="32"/>
          <w:szCs w:val="32"/>
        </w:rPr>
      </w:pPr>
    </w:p>
    <w:p w14:paraId="3268E522">
      <w:pPr>
        <w:spacing w:line="360" w:lineRule="auto"/>
        <w:jc w:val="left"/>
        <w:rPr>
          <w:rFonts w:ascii="宋体" w:hAnsi="宋体" w:cs="宋体"/>
          <w:b/>
          <w:spacing w:val="6"/>
          <w:sz w:val="32"/>
          <w:szCs w:val="32"/>
        </w:rPr>
      </w:pPr>
    </w:p>
    <w:p w14:paraId="3F13E2DB">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01DD2CA4">
      <w:pPr>
        <w:spacing w:line="360" w:lineRule="auto"/>
        <w:jc w:val="center"/>
        <w:rPr>
          <w:rFonts w:ascii="宋体" w:hAnsi="宋体" w:cs="宋体"/>
          <w:b/>
          <w:sz w:val="24"/>
        </w:rPr>
      </w:pPr>
    </w:p>
    <w:p w14:paraId="29738127">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5EC099A3">
      <w:pPr>
        <w:spacing w:line="360" w:lineRule="auto"/>
        <w:rPr>
          <w:rFonts w:ascii="宋体" w:hAnsi="宋体" w:cs="宋体"/>
          <w:sz w:val="24"/>
        </w:rPr>
      </w:pPr>
      <w:r>
        <w:rPr>
          <w:rFonts w:hint="eastAsia" w:ascii="宋体" w:hAnsi="宋体" w:cs="宋体"/>
          <w:sz w:val="24"/>
        </w:rPr>
        <w:t>一、投诉相关主体基本情况</w:t>
      </w:r>
    </w:p>
    <w:p w14:paraId="52BCA5B6">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82B489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48FAEA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B90A2C4">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86AFF75">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1AFCA87">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887BC1F">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792A65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972D611">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4621891">
      <w:pPr>
        <w:spacing w:line="360" w:lineRule="auto"/>
        <w:rPr>
          <w:rFonts w:ascii="宋体" w:hAnsi="宋体" w:cs="宋体"/>
          <w:sz w:val="24"/>
        </w:rPr>
      </w:pPr>
      <w:r>
        <w:rPr>
          <w:rFonts w:hint="eastAsia" w:ascii="宋体" w:hAnsi="宋体" w:cs="宋体"/>
          <w:sz w:val="24"/>
        </w:rPr>
        <w:t>被投诉人2</w:t>
      </w:r>
    </w:p>
    <w:p w14:paraId="23EBF166">
      <w:pPr>
        <w:spacing w:line="360" w:lineRule="auto"/>
        <w:rPr>
          <w:rFonts w:ascii="宋体" w:hAnsi="宋体" w:cs="宋体"/>
          <w:sz w:val="24"/>
          <w:u w:val="dotted"/>
        </w:rPr>
      </w:pPr>
      <w:r>
        <w:rPr>
          <w:rFonts w:hint="eastAsia" w:ascii="宋体" w:hAnsi="宋体" w:cs="宋体"/>
          <w:sz w:val="24"/>
        </w:rPr>
        <w:t>……</w:t>
      </w:r>
    </w:p>
    <w:p w14:paraId="4B1928D9">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A861F0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8BC815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02D41F0">
      <w:pPr>
        <w:spacing w:line="360" w:lineRule="auto"/>
        <w:rPr>
          <w:rFonts w:ascii="宋体" w:hAnsi="宋体" w:cs="宋体"/>
          <w:sz w:val="24"/>
        </w:rPr>
      </w:pPr>
      <w:r>
        <w:rPr>
          <w:rFonts w:hint="eastAsia" w:ascii="宋体" w:hAnsi="宋体" w:cs="宋体"/>
          <w:sz w:val="24"/>
        </w:rPr>
        <w:t>二、投诉项目基本情况</w:t>
      </w:r>
    </w:p>
    <w:p w14:paraId="4C1B7CED">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68AFF135">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209FA53">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FE33B84">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A5936C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4EF7D64">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0B32D3C">
      <w:pPr>
        <w:spacing w:line="360" w:lineRule="auto"/>
        <w:rPr>
          <w:rFonts w:ascii="宋体" w:hAnsi="宋体" w:cs="宋体"/>
          <w:sz w:val="24"/>
        </w:rPr>
      </w:pPr>
      <w:r>
        <w:rPr>
          <w:rFonts w:hint="eastAsia" w:ascii="宋体" w:hAnsi="宋体" w:cs="宋体"/>
          <w:sz w:val="24"/>
        </w:rPr>
        <w:t>三、质疑基本情况</w:t>
      </w:r>
    </w:p>
    <w:p w14:paraId="175F59AD">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E923D4B">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9B549B8">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F384B54">
      <w:pPr>
        <w:spacing w:line="360" w:lineRule="auto"/>
        <w:rPr>
          <w:rFonts w:ascii="宋体" w:hAnsi="宋体" w:cs="宋体"/>
          <w:sz w:val="24"/>
        </w:rPr>
      </w:pPr>
      <w:r>
        <w:rPr>
          <w:rFonts w:hint="eastAsia" w:ascii="宋体" w:hAnsi="宋体" w:cs="宋体"/>
          <w:sz w:val="24"/>
        </w:rPr>
        <w:t>四、投诉事项具体内容</w:t>
      </w:r>
    </w:p>
    <w:p w14:paraId="1A75E5F3">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01E9E2A0">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77F55DE">
      <w:pPr>
        <w:spacing w:line="360" w:lineRule="auto"/>
        <w:rPr>
          <w:rFonts w:ascii="宋体" w:hAnsi="宋体" w:cs="宋体"/>
          <w:sz w:val="24"/>
          <w:u w:val="dotted"/>
        </w:rPr>
      </w:pPr>
      <w:r>
        <w:rPr>
          <w:rFonts w:hint="eastAsia" w:ascii="宋体" w:hAnsi="宋体" w:cs="宋体"/>
          <w:sz w:val="24"/>
          <w:u w:val="dotted"/>
        </w:rPr>
        <w:t xml:space="preserve">                                                      </w:t>
      </w:r>
    </w:p>
    <w:p w14:paraId="30BEE38C">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27678DF">
      <w:pPr>
        <w:spacing w:line="360" w:lineRule="auto"/>
        <w:rPr>
          <w:rFonts w:ascii="宋体" w:hAnsi="宋体" w:cs="宋体"/>
          <w:sz w:val="24"/>
          <w:u w:val="dotted"/>
        </w:rPr>
      </w:pPr>
      <w:r>
        <w:rPr>
          <w:rFonts w:hint="eastAsia" w:ascii="宋体" w:hAnsi="宋体" w:cs="宋体"/>
          <w:sz w:val="24"/>
          <w:u w:val="dotted"/>
        </w:rPr>
        <w:t xml:space="preserve">                                                      </w:t>
      </w:r>
    </w:p>
    <w:p w14:paraId="76F5D548">
      <w:pPr>
        <w:spacing w:line="360" w:lineRule="auto"/>
        <w:rPr>
          <w:rFonts w:ascii="宋体" w:hAnsi="宋体" w:cs="宋体"/>
          <w:sz w:val="24"/>
        </w:rPr>
      </w:pPr>
      <w:r>
        <w:rPr>
          <w:rFonts w:hint="eastAsia" w:ascii="宋体" w:hAnsi="宋体" w:cs="宋体"/>
          <w:sz w:val="24"/>
        </w:rPr>
        <w:t>投诉事项2</w:t>
      </w:r>
    </w:p>
    <w:p w14:paraId="02128F68">
      <w:pPr>
        <w:spacing w:line="360" w:lineRule="auto"/>
        <w:rPr>
          <w:rFonts w:ascii="宋体" w:hAnsi="宋体" w:cs="宋体"/>
          <w:sz w:val="24"/>
          <w:u w:val="dotted"/>
        </w:rPr>
      </w:pPr>
      <w:r>
        <w:rPr>
          <w:rFonts w:hint="eastAsia" w:ascii="宋体" w:hAnsi="宋体" w:cs="宋体"/>
          <w:sz w:val="24"/>
        </w:rPr>
        <w:t>……</w:t>
      </w:r>
    </w:p>
    <w:p w14:paraId="7DAE95AA">
      <w:pPr>
        <w:spacing w:line="360" w:lineRule="auto"/>
        <w:rPr>
          <w:rFonts w:ascii="宋体" w:hAnsi="宋体" w:cs="宋体"/>
          <w:sz w:val="24"/>
        </w:rPr>
      </w:pPr>
      <w:r>
        <w:rPr>
          <w:rFonts w:hint="eastAsia" w:ascii="宋体" w:hAnsi="宋体" w:cs="宋体"/>
          <w:sz w:val="24"/>
        </w:rPr>
        <w:t>五、与投诉事项相关的投诉请求</w:t>
      </w:r>
    </w:p>
    <w:p w14:paraId="41383238">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64E4E15">
      <w:pPr>
        <w:spacing w:line="360" w:lineRule="auto"/>
        <w:rPr>
          <w:rFonts w:ascii="宋体" w:hAnsi="宋体" w:cs="宋体"/>
          <w:sz w:val="24"/>
          <w:u w:val="single"/>
        </w:rPr>
      </w:pPr>
      <w:r>
        <w:rPr>
          <w:rFonts w:hint="eastAsia" w:ascii="宋体" w:hAnsi="宋体" w:cs="宋体"/>
          <w:sz w:val="24"/>
        </w:rPr>
        <w:t xml:space="preserve">                                                                                                    </w:t>
      </w:r>
    </w:p>
    <w:p w14:paraId="1FB2A1E4">
      <w:pPr>
        <w:spacing w:line="360" w:lineRule="auto"/>
        <w:rPr>
          <w:rFonts w:ascii="宋体" w:hAnsi="宋体" w:cs="宋体"/>
          <w:sz w:val="24"/>
        </w:rPr>
      </w:pPr>
      <w:r>
        <w:rPr>
          <w:rFonts w:hint="eastAsia" w:ascii="宋体" w:hAnsi="宋体" w:cs="宋体"/>
          <w:sz w:val="24"/>
        </w:rPr>
        <w:t xml:space="preserve">签字(签章)：                   公章：                      </w:t>
      </w:r>
    </w:p>
    <w:p w14:paraId="34A2BE23">
      <w:pPr>
        <w:spacing w:line="360" w:lineRule="auto"/>
        <w:rPr>
          <w:rFonts w:ascii="宋体" w:hAnsi="宋体" w:cs="宋体"/>
          <w:sz w:val="24"/>
        </w:rPr>
      </w:pPr>
      <w:r>
        <w:rPr>
          <w:rFonts w:hint="eastAsia" w:ascii="宋体" w:hAnsi="宋体" w:cs="宋体"/>
          <w:sz w:val="24"/>
        </w:rPr>
        <w:t xml:space="preserve">日期：    </w:t>
      </w:r>
    </w:p>
    <w:p w14:paraId="6FBCC1C3">
      <w:pPr>
        <w:spacing w:line="360" w:lineRule="auto"/>
        <w:rPr>
          <w:rFonts w:ascii="宋体" w:hAnsi="宋体" w:cs="宋体"/>
          <w:b/>
          <w:sz w:val="24"/>
        </w:rPr>
      </w:pPr>
    </w:p>
    <w:p w14:paraId="1EB85054">
      <w:pPr>
        <w:spacing w:line="360" w:lineRule="auto"/>
        <w:rPr>
          <w:rFonts w:ascii="宋体" w:hAnsi="宋体" w:cs="宋体"/>
          <w:b/>
          <w:sz w:val="24"/>
        </w:rPr>
      </w:pPr>
    </w:p>
    <w:p w14:paraId="13227E62">
      <w:pPr>
        <w:spacing w:line="360" w:lineRule="auto"/>
        <w:rPr>
          <w:rFonts w:ascii="宋体" w:hAnsi="宋体" w:cs="宋体"/>
          <w:b/>
          <w:sz w:val="24"/>
        </w:rPr>
      </w:pPr>
      <w:r>
        <w:rPr>
          <w:rFonts w:hint="eastAsia" w:ascii="宋体" w:hAnsi="宋体" w:cs="宋体"/>
          <w:b/>
          <w:sz w:val="24"/>
        </w:rPr>
        <w:t>投诉书制作说明：</w:t>
      </w:r>
    </w:p>
    <w:p w14:paraId="0F2BCC19">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03917CC">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8801A97">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AF32DEC">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A3ABF3C">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25FF9E09">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41A1371">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A182E6B">
      <w:pPr>
        <w:spacing w:line="360" w:lineRule="auto"/>
        <w:rPr>
          <w:rFonts w:ascii="宋体" w:hAnsi="宋体" w:cs="宋体"/>
          <w:b/>
          <w:sz w:val="24"/>
        </w:rPr>
      </w:pPr>
    </w:p>
    <w:p w14:paraId="398A6821">
      <w:pPr>
        <w:autoSpaceDE w:val="0"/>
        <w:autoSpaceDN w:val="0"/>
        <w:jc w:val="center"/>
        <w:rPr>
          <w:rFonts w:ascii="宋体" w:hAnsi="宋体" w:cs="宋体"/>
          <w:b/>
          <w:spacing w:val="6"/>
          <w:sz w:val="32"/>
          <w:szCs w:val="32"/>
        </w:rPr>
      </w:pPr>
    </w:p>
    <w:p w14:paraId="5FC30671">
      <w:pPr>
        <w:autoSpaceDE w:val="0"/>
        <w:autoSpaceDN w:val="0"/>
        <w:jc w:val="center"/>
        <w:rPr>
          <w:rFonts w:ascii="宋体" w:hAnsi="宋体" w:cs="宋体"/>
          <w:b/>
          <w:spacing w:val="6"/>
          <w:sz w:val="32"/>
          <w:szCs w:val="32"/>
        </w:rPr>
      </w:pPr>
    </w:p>
    <w:p w14:paraId="221DB179">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F97FB08">
      <w:pPr>
        <w:spacing w:line="360" w:lineRule="auto"/>
        <w:rPr>
          <w:rFonts w:ascii="宋体" w:hAnsi="宋体" w:cs="宋体"/>
          <w:sz w:val="24"/>
          <w:u w:val="single"/>
        </w:rPr>
      </w:pPr>
    </w:p>
    <w:p w14:paraId="18CCFCD0">
      <w:pPr>
        <w:spacing w:line="360" w:lineRule="auto"/>
        <w:rPr>
          <w:rFonts w:ascii="宋体" w:hAnsi="宋体" w:cs="宋体"/>
          <w:sz w:val="24"/>
        </w:rPr>
      </w:pPr>
      <w:r>
        <w:rPr>
          <w:rFonts w:hint="eastAsia" w:ascii="宋体" w:hAnsi="宋体" w:cs="宋体"/>
          <w:sz w:val="24"/>
          <w:u w:val="single"/>
          <w:lang w:eastAsia="zh-CN"/>
        </w:rPr>
        <w:t>杭州市上城区综合行政执法局</w:t>
      </w:r>
      <w:r>
        <w:rPr>
          <w:rFonts w:hint="eastAsia" w:ascii="宋体" w:hAnsi="宋体" w:cs="宋体"/>
          <w:sz w:val="24"/>
          <w:u w:val="single"/>
        </w:rPr>
        <w:t>、杭州建设工程造价咨询有限公司：</w:t>
      </w:r>
    </w:p>
    <w:p w14:paraId="0629AA15">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上城区城市管理智治平台改造项目（信创）</w:t>
      </w:r>
      <w:r>
        <w:rPr>
          <w:rFonts w:hint="eastAsia" w:ascii="宋体" w:hAnsi="宋体" w:cs="宋体"/>
          <w:sz w:val="24"/>
        </w:rPr>
        <w:t xml:space="preserve"> 【招标编号：</w:t>
      </w:r>
      <w:r>
        <w:rPr>
          <w:rFonts w:hint="eastAsia" w:ascii="宋体" w:hAnsi="宋体" w:cs="宋体"/>
          <w:sz w:val="24"/>
          <w:lang w:eastAsia="zh-CN"/>
        </w:rPr>
        <w:t>HJZX-GKCG-F202514</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03415C7">
      <w:pPr>
        <w:spacing w:line="360" w:lineRule="auto"/>
        <w:ind w:firstLine="480" w:firstLineChars="200"/>
        <w:rPr>
          <w:rFonts w:ascii="宋体" w:hAnsi="宋体" w:cs="宋体"/>
          <w:sz w:val="24"/>
        </w:rPr>
      </w:pPr>
      <w:r>
        <w:rPr>
          <w:rFonts w:hint="eastAsia" w:ascii="宋体" w:hAnsi="宋体" w:cs="宋体"/>
          <w:sz w:val="24"/>
        </w:rPr>
        <w:t>特此说明。</w:t>
      </w:r>
    </w:p>
    <w:p w14:paraId="140CD6C9">
      <w:pPr>
        <w:spacing w:line="360" w:lineRule="auto"/>
        <w:ind w:firstLine="494"/>
        <w:rPr>
          <w:rFonts w:ascii="宋体" w:hAnsi="宋体" w:cs="宋体"/>
          <w:sz w:val="24"/>
        </w:rPr>
      </w:pPr>
    </w:p>
    <w:p w14:paraId="345727B9">
      <w:pPr>
        <w:spacing w:line="360" w:lineRule="auto"/>
        <w:ind w:firstLine="494"/>
        <w:rPr>
          <w:rFonts w:ascii="宋体" w:hAnsi="宋体" w:cs="宋体"/>
          <w:sz w:val="24"/>
        </w:rPr>
      </w:pPr>
    </w:p>
    <w:p w14:paraId="77CA7354">
      <w:pPr>
        <w:spacing w:line="360" w:lineRule="auto"/>
        <w:ind w:firstLine="494"/>
        <w:rPr>
          <w:rFonts w:ascii="宋体" w:hAnsi="宋体" w:cs="宋体"/>
          <w:sz w:val="24"/>
        </w:rPr>
      </w:pPr>
    </w:p>
    <w:p w14:paraId="5A5CA375">
      <w:pPr>
        <w:spacing w:line="360" w:lineRule="auto"/>
        <w:ind w:firstLine="494"/>
        <w:rPr>
          <w:rFonts w:ascii="宋体" w:hAnsi="宋体" w:cs="宋体"/>
          <w:sz w:val="24"/>
        </w:rPr>
      </w:pPr>
    </w:p>
    <w:p w14:paraId="227ECC57">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207D8BAA">
      <w:pPr>
        <w:ind w:right="1440" w:firstLine="494"/>
        <w:jc w:val="center"/>
        <w:rPr>
          <w:rFonts w:ascii="宋体" w:hAnsi="宋体" w:cs="宋体"/>
          <w:sz w:val="24"/>
        </w:rPr>
      </w:pPr>
      <w:r>
        <w:rPr>
          <w:rFonts w:hint="eastAsia" w:ascii="宋体" w:hAnsi="宋体" w:cs="宋体"/>
          <w:sz w:val="24"/>
        </w:rPr>
        <w:t xml:space="preserve">                              日期：       年     月     日</w:t>
      </w:r>
    </w:p>
    <w:p w14:paraId="2EA30E51">
      <w:pPr>
        <w:rPr>
          <w:rFonts w:ascii="宋体" w:hAnsi="宋体" w:cs="宋体"/>
          <w:sz w:val="24"/>
        </w:rPr>
      </w:pPr>
      <w:r>
        <w:rPr>
          <w:rFonts w:hint="eastAsia" w:ascii="宋体" w:hAnsi="宋体" w:cs="宋体"/>
          <w:b/>
          <w:bCs/>
          <w:sz w:val="24"/>
        </w:rPr>
        <w:t>附：</w:t>
      </w:r>
    </w:p>
    <w:p w14:paraId="0462C665">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54123B4F">
      <w:pPr>
        <w:autoSpaceDE w:val="0"/>
        <w:autoSpaceDN w:val="0"/>
        <w:jc w:val="center"/>
        <w:rPr>
          <w:rFonts w:ascii="宋体" w:hAnsi="宋体" w:cs="宋体"/>
          <w:b/>
          <w:spacing w:val="6"/>
          <w:sz w:val="32"/>
          <w:szCs w:val="32"/>
        </w:rPr>
      </w:pPr>
    </w:p>
    <w:p w14:paraId="667D8057">
      <w:pPr>
        <w:autoSpaceDE w:val="0"/>
        <w:autoSpaceDN w:val="0"/>
        <w:jc w:val="center"/>
        <w:rPr>
          <w:rFonts w:ascii="宋体" w:hAnsi="宋体" w:cs="宋体"/>
          <w:b/>
          <w:spacing w:val="6"/>
          <w:sz w:val="32"/>
          <w:szCs w:val="32"/>
        </w:rPr>
      </w:pPr>
    </w:p>
    <w:p w14:paraId="4770261C">
      <w:pPr>
        <w:autoSpaceDE w:val="0"/>
        <w:autoSpaceDN w:val="0"/>
        <w:jc w:val="center"/>
        <w:rPr>
          <w:rFonts w:ascii="宋体" w:hAnsi="宋体" w:cs="宋体"/>
          <w:b/>
          <w:spacing w:val="6"/>
          <w:sz w:val="32"/>
          <w:szCs w:val="32"/>
        </w:rPr>
      </w:pPr>
    </w:p>
    <w:p w14:paraId="55095DBE">
      <w:pPr>
        <w:autoSpaceDE w:val="0"/>
        <w:autoSpaceDN w:val="0"/>
        <w:jc w:val="center"/>
        <w:rPr>
          <w:rFonts w:ascii="宋体" w:hAnsi="宋体" w:cs="宋体"/>
          <w:b/>
          <w:spacing w:val="6"/>
          <w:sz w:val="32"/>
          <w:szCs w:val="32"/>
        </w:rPr>
      </w:pPr>
    </w:p>
    <w:p w14:paraId="19F41B9F">
      <w:pPr>
        <w:autoSpaceDE w:val="0"/>
        <w:autoSpaceDN w:val="0"/>
        <w:jc w:val="center"/>
        <w:rPr>
          <w:rFonts w:ascii="宋体" w:hAnsi="宋体" w:cs="宋体"/>
          <w:b/>
          <w:spacing w:val="6"/>
          <w:sz w:val="32"/>
          <w:szCs w:val="32"/>
        </w:rPr>
      </w:pPr>
    </w:p>
    <w:p w14:paraId="53ADD825">
      <w:pPr>
        <w:autoSpaceDE w:val="0"/>
        <w:autoSpaceDN w:val="0"/>
        <w:jc w:val="center"/>
        <w:rPr>
          <w:rFonts w:ascii="宋体" w:hAnsi="宋体" w:cs="宋体"/>
          <w:b/>
          <w:spacing w:val="6"/>
          <w:sz w:val="32"/>
          <w:szCs w:val="32"/>
        </w:rPr>
      </w:pPr>
    </w:p>
    <w:p w14:paraId="2D720B8F">
      <w:pPr>
        <w:autoSpaceDE w:val="0"/>
        <w:autoSpaceDN w:val="0"/>
        <w:jc w:val="center"/>
        <w:rPr>
          <w:rFonts w:ascii="宋体" w:hAnsi="宋体" w:cs="宋体"/>
          <w:b/>
          <w:spacing w:val="6"/>
          <w:sz w:val="32"/>
          <w:szCs w:val="32"/>
        </w:rPr>
      </w:pPr>
    </w:p>
    <w:p w14:paraId="4EBCEF91">
      <w:pPr>
        <w:autoSpaceDE w:val="0"/>
        <w:autoSpaceDN w:val="0"/>
        <w:jc w:val="center"/>
        <w:rPr>
          <w:rFonts w:ascii="宋体" w:hAnsi="宋体" w:cs="宋体"/>
          <w:b/>
          <w:spacing w:val="6"/>
          <w:sz w:val="32"/>
          <w:szCs w:val="32"/>
        </w:rPr>
      </w:pPr>
    </w:p>
    <w:p w14:paraId="0BBE6022">
      <w:pPr>
        <w:autoSpaceDE w:val="0"/>
        <w:autoSpaceDN w:val="0"/>
        <w:jc w:val="center"/>
        <w:rPr>
          <w:rFonts w:ascii="宋体" w:hAnsi="宋体" w:cs="宋体"/>
          <w:b/>
          <w:spacing w:val="6"/>
          <w:sz w:val="32"/>
          <w:szCs w:val="32"/>
        </w:rPr>
      </w:pPr>
    </w:p>
    <w:p w14:paraId="34446EEE">
      <w:pPr>
        <w:autoSpaceDE w:val="0"/>
        <w:autoSpaceDN w:val="0"/>
        <w:jc w:val="center"/>
        <w:rPr>
          <w:rFonts w:ascii="宋体" w:hAnsi="宋体" w:cs="宋体"/>
          <w:b/>
          <w:spacing w:val="6"/>
          <w:sz w:val="32"/>
          <w:szCs w:val="32"/>
        </w:rPr>
      </w:pPr>
    </w:p>
    <w:p w14:paraId="5B1AF0A8">
      <w:pPr>
        <w:autoSpaceDE w:val="0"/>
        <w:autoSpaceDN w:val="0"/>
        <w:jc w:val="center"/>
        <w:rPr>
          <w:rFonts w:ascii="宋体" w:hAnsi="宋体" w:cs="宋体"/>
          <w:b/>
          <w:spacing w:val="6"/>
          <w:sz w:val="32"/>
          <w:szCs w:val="32"/>
        </w:rPr>
      </w:pPr>
    </w:p>
    <w:p w14:paraId="3603E454">
      <w:pPr>
        <w:autoSpaceDE w:val="0"/>
        <w:autoSpaceDN w:val="0"/>
        <w:jc w:val="center"/>
        <w:rPr>
          <w:rFonts w:ascii="宋体" w:hAnsi="宋体" w:cs="宋体"/>
          <w:b/>
          <w:spacing w:val="6"/>
          <w:sz w:val="32"/>
          <w:szCs w:val="32"/>
        </w:rPr>
      </w:pPr>
    </w:p>
    <w:p w14:paraId="7792D8E3">
      <w:pPr>
        <w:autoSpaceDE w:val="0"/>
        <w:autoSpaceDN w:val="0"/>
        <w:jc w:val="center"/>
        <w:rPr>
          <w:rFonts w:ascii="宋体" w:hAnsi="宋体" w:cs="宋体"/>
          <w:b/>
          <w:spacing w:val="6"/>
          <w:sz w:val="32"/>
          <w:szCs w:val="32"/>
        </w:rPr>
      </w:pPr>
    </w:p>
    <w:p w14:paraId="043D4EFF">
      <w:pPr>
        <w:autoSpaceDE w:val="0"/>
        <w:autoSpaceDN w:val="0"/>
        <w:jc w:val="center"/>
        <w:rPr>
          <w:rFonts w:ascii="宋体" w:hAnsi="宋体" w:cs="宋体"/>
          <w:b/>
          <w:spacing w:val="6"/>
          <w:sz w:val="32"/>
          <w:szCs w:val="32"/>
        </w:rPr>
      </w:pPr>
    </w:p>
    <w:p w14:paraId="172572BB">
      <w:pPr>
        <w:autoSpaceDE w:val="0"/>
        <w:autoSpaceDN w:val="0"/>
        <w:jc w:val="center"/>
        <w:rPr>
          <w:rFonts w:ascii="宋体" w:hAnsi="宋体" w:cs="宋体"/>
          <w:b/>
          <w:spacing w:val="6"/>
          <w:sz w:val="32"/>
          <w:szCs w:val="32"/>
        </w:rPr>
      </w:pPr>
    </w:p>
    <w:p w14:paraId="57D7B2AE">
      <w:pPr>
        <w:autoSpaceDE w:val="0"/>
        <w:autoSpaceDN w:val="0"/>
        <w:jc w:val="center"/>
        <w:rPr>
          <w:rFonts w:ascii="宋体" w:hAnsi="宋体" w:cs="宋体"/>
          <w:b/>
          <w:spacing w:val="6"/>
          <w:sz w:val="32"/>
          <w:szCs w:val="32"/>
        </w:rPr>
      </w:pPr>
    </w:p>
    <w:p w14:paraId="49D9A0D5">
      <w:pPr>
        <w:autoSpaceDE w:val="0"/>
        <w:autoSpaceDN w:val="0"/>
        <w:jc w:val="center"/>
        <w:rPr>
          <w:rFonts w:ascii="宋体" w:hAnsi="宋体" w:cs="宋体"/>
          <w:b/>
          <w:spacing w:val="6"/>
          <w:sz w:val="32"/>
          <w:szCs w:val="32"/>
        </w:rPr>
      </w:pPr>
    </w:p>
    <w:p w14:paraId="0CBA8F5F">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43ABBD22">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73CEC2C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上城区城市管理智治平台改造项目（信创）</w:t>
      </w:r>
      <w:r>
        <w:rPr>
          <w:rFonts w:hint="eastAsia" w:ascii="宋体" w:hAnsi="宋体" w:cs="宋体"/>
          <w:sz w:val="24"/>
        </w:rPr>
        <w:t xml:space="preserve"> 【招标编号：</w:t>
      </w:r>
      <w:r>
        <w:rPr>
          <w:rFonts w:hint="eastAsia" w:ascii="宋体" w:hAnsi="宋体" w:cs="宋体"/>
          <w:sz w:val="24"/>
          <w:lang w:eastAsia="zh-CN"/>
        </w:rPr>
        <w:t>HJZX-GKCG-F202514</w:t>
      </w:r>
      <w:r>
        <w:rPr>
          <w:rFonts w:hint="eastAsia" w:ascii="宋体" w:hAnsi="宋体" w:cs="宋体"/>
          <w:sz w:val="24"/>
        </w:rPr>
        <w:t>】</w:t>
      </w:r>
      <w:r>
        <w:rPr>
          <w:rFonts w:hint="eastAsia" w:ascii="宋体" w:hAnsi="宋体" w:cs="宋体"/>
          <w:kern w:val="0"/>
          <w:sz w:val="24"/>
          <w:lang w:val="zh-CN"/>
        </w:rPr>
        <w:t xml:space="preserve">投标。 </w:t>
      </w:r>
    </w:p>
    <w:p w14:paraId="3624BD0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3DE2CF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w:t>
      </w:r>
      <w:r>
        <w:rPr>
          <w:rFonts w:hint="eastAsia" w:ascii="宋体" w:hAnsi="宋体" w:cs="宋体"/>
          <w:kern w:val="0"/>
          <w:sz w:val="24"/>
        </w:rPr>
        <w:t>响</w:t>
      </w:r>
      <w:r>
        <w:rPr>
          <w:rFonts w:hint="eastAsia" w:ascii="宋体" w:hAnsi="宋体" w:cs="宋体"/>
          <w:kern w:val="0"/>
          <w:sz w:val="24"/>
          <w:lang w:val="zh-CN"/>
        </w:rPr>
        <w:t>应等均对联合投标各方产生约束力。</w:t>
      </w:r>
    </w:p>
    <w:p w14:paraId="2043A76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w:t>
      </w:r>
      <w:r>
        <w:rPr>
          <w:rFonts w:hint="eastAsia" w:ascii="宋体" w:hAnsi="宋体" w:cs="宋体"/>
          <w:kern w:val="0"/>
          <w:sz w:val="24"/>
        </w:rPr>
        <w:t>所有联合体成员</w:t>
      </w:r>
      <w:r>
        <w:rPr>
          <w:rFonts w:hint="eastAsia" w:ascii="宋体" w:hAnsi="宋体" w:cs="宋体"/>
          <w:kern w:val="0"/>
          <w:sz w:val="24"/>
          <w:lang w:val="zh-CN"/>
        </w:rPr>
        <w:t>分工如下：</w:t>
      </w:r>
    </w:p>
    <w:p w14:paraId="5740D33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87337F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9CD626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4D00A14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r>
        <w:rPr>
          <w:rFonts w:hint="eastAsia" w:ascii="宋体" w:hAnsi="宋体" w:cs="宋体"/>
          <w:kern w:val="0"/>
          <w:sz w:val="24"/>
        </w:rPr>
        <w:t>根据项目具体情况二选一填写）</w:t>
      </w:r>
      <w:r>
        <w:rPr>
          <w:rFonts w:hint="eastAsia" w:ascii="宋体" w:hAnsi="宋体" w:cs="宋体"/>
          <w:kern w:val="0"/>
          <w:sz w:val="24"/>
          <w:lang w:val="zh-CN"/>
        </w:rPr>
        <w:t>。</w:t>
      </w:r>
    </w:p>
    <w:p w14:paraId="3B9F7E12">
      <w:pPr>
        <w:snapToGrid w:val="0"/>
        <w:spacing w:line="360" w:lineRule="auto"/>
        <w:ind w:firstLine="576"/>
        <w:rPr>
          <w:rFonts w:ascii="宋体" w:hAnsi="宋体" w:cs="宋体"/>
          <w:b/>
          <w:kern w:val="0"/>
          <w:sz w:val="24"/>
          <w:lang w:val="zh-CN"/>
        </w:rPr>
      </w:pPr>
      <w:sdt>
        <w:sdtPr>
          <w:rPr>
            <w:rFonts w:hint="eastAsia" w:ascii="宋体" w:hAnsi="宋体" w:cs="宋体"/>
            <w:kern w:val="0"/>
            <w:sz w:val="24"/>
          </w:rPr>
          <w:id w:val="14747901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w:t>
      </w:r>
      <w:r>
        <w:rPr>
          <w:rFonts w:hint="eastAsia" w:ascii="宋体" w:hAnsi="宋体" w:cs="宋体"/>
          <w:kern w:val="0"/>
          <w:sz w:val="24"/>
          <w:u w:val="single"/>
        </w:rPr>
        <w:t>（</w:t>
      </w:r>
      <w:bookmarkStart w:id="54"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4"/>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5"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5"/>
      <w:r>
        <w:rPr>
          <w:rFonts w:hint="eastAsia" w:ascii="宋体" w:hAnsi="宋体" w:cs="宋体"/>
          <w:b/>
          <w:kern w:val="0"/>
          <w:sz w:val="24"/>
          <w:lang w:val="zh-CN"/>
        </w:rPr>
        <w:t>）</w:t>
      </w:r>
    </w:p>
    <w:p w14:paraId="5C1E837E">
      <w:pPr>
        <w:spacing w:line="360" w:lineRule="auto"/>
        <w:ind w:firstLine="480" w:firstLineChars="200"/>
        <w:rPr>
          <w:rFonts w:ascii="宋体" w:hAnsi="宋体" w:cs="宋体"/>
          <w:b/>
          <w:bCs/>
          <w:kern w:val="0"/>
          <w:sz w:val="24"/>
          <w:lang w:val="zh-CN"/>
        </w:rPr>
      </w:pPr>
      <w:sdt>
        <w:sdtPr>
          <w:rPr>
            <w:rFonts w:hint="eastAsia" w:ascii="宋体" w:hAnsi="宋体" w:cs="宋体"/>
            <w:kern w:val="0"/>
            <w:sz w:val="24"/>
          </w:rPr>
          <w:id w:val="14746638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w:t>
      </w:r>
      <w:bookmarkStart w:id="5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6"/>
    </w:p>
    <w:p w14:paraId="4E4DB31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2DB2F7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6B89B85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08F63E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9F8FE2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7B020AF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9F0B25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235BD1C">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7DEFD0E6">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3CD432C5">
      <w:pPr>
        <w:spacing w:line="360" w:lineRule="auto"/>
        <w:ind w:right="420"/>
        <w:rPr>
          <w:rFonts w:ascii="宋体" w:hAnsi="宋体" w:cs="宋体"/>
          <w:sz w:val="24"/>
        </w:rPr>
      </w:pPr>
      <w:r>
        <w:rPr>
          <w:rFonts w:hint="eastAsia" w:ascii="宋体" w:hAnsi="宋体" w:cs="宋体"/>
          <w:sz w:val="24"/>
        </w:rPr>
        <w:t>注：按本格式和要求提供。</w:t>
      </w:r>
    </w:p>
    <w:p w14:paraId="3681C643">
      <w:pPr>
        <w:autoSpaceDE w:val="0"/>
        <w:autoSpaceDN w:val="0"/>
        <w:jc w:val="center"/>
        <w:rPr>
          <w:rFonts w:ascii="宋体" w:hAnsi="宋体" w:cs="宋体"/>
          <w:b/>
          <w:spacing w:val="6"/>
          <w:sz w:val="32"/>
          <w:szCs w:val="32"/>
        </w:rPr>
      </w:pPr>
    </w:p>
    <w:p w14:paraId="790707D6">
      <w:pPr>
        <w:autoSpaceDE w:val="0"/>
        <w:autoSpaceDN w:val="0"/>
        <w:jc w:val="center"/>
        <w:rPr>
          <w:rFonts w:ascii="宋体" w:hAnsi="宋体" w:cs="宋体"/>
          <w:b/>
          <w:spacing w:val="6"/>
          <w:sz w:val="32"/>
          <w:szCs w:val="32"/>
        </w:rPr>
      </w:pPr>
    </w:p>
    <w:p w14:paraId="0B82328A">
      <w:pPr>
        <w:autoSpaceDE w:val="0"/>
        <w:autoSpaceDN w:val="0"/>
        <w:jc w:val="center"/>
        <w:rPr>
          <w:rFonts w:ascii="宋体" w:hAnsi="宋体" w:cs="宋体"/>
          <w:b/>
          <w:spacing w:val="6"/>
          <w:sz w:val="32"/>
          <w:szCs w:val="32"/>
        </w:rPr>
      </w:pPr>
    </w:p>
    <w:p w14:paraId="19140ECA">
      <w:pPr>
        <w:autoSpaceDE w:val="0"/>
        <w:autoSpaceDN w:val="0"/>
        <w:jc w:val="center"/>
        <w:rPr>
          <w:rFonts w:ascii="宋体" w:hAnsi="宋体" w:cs="宋体"/>
          <w:b/>
          <w:spacing w:val="6"/>
          <w:sz w:val="32"/>
          <w:szCs w:val="32"/>
        </w:rPr>
      </w:pPr>
    </w:p>
    <w:p w14:paraId="35CB73B8">
      <w:pPr>
        <w:autoSpaceDE w:val="0"/>
        <w:autoSpaceDN w:val="0"/>
        <w:jc w:val="center"/>
        <w:rPr>
          <w:rFonts w:ascii="宋体" w:hAnsi="宋体" w:cs="宋体"/>
          <w:b/>
          <w:spacing w:val="6"/>
          <w:sz w:val="32"/>
          <w:szCs w:val="32"/>
        </w:rPr>
      </w:pPr>
    </w:p>
    <w:p w14:paraId="08A595E7">
      <w:pPr>
        <w:autoSpaceDE w:val="0"/>
        <w:autoSpaceDN w:val="0"/>
        <w:jc w:val="center"/>
        <w:rPr>
          <w:rFonts w:ascii="宋体" w:hAnsi="宋体" w:cs="宋体"/>
          <w:b/>
          <w:spacing w:val="6"/>
          <w:sz w:val="32"/>
          <w:szCs w:val="32"/>
        </w:rPr>
      </w:pPr>
    </w:p>
    <w:p w14:paraId="630A7E12">
      <w:pPr>
        <w:autoSpaceDE w:val="0"/>
        <w:autoSpaceDN w:val="0"/>
        <w:jc w:val="center"/>
        <w:rPr>
          <w:rFonts w:ascii="宋体" w:hAnsi="宋体" w:cs="宋体"/>
          <w:b/>
          <w:spacing w:val="6"/>
          <w:sz w:val="32"/>
          <w:szCs w:val="32"/>
        </w:rPr>
      </w:pPr>
    </w:p>
    <w:p w14:paraId="2F7BAB2E">
      <w:pPr>
        <w:autoSpaceDE w:val="0"/>
        <w:autoSpaceDN w:val="0"/>
        <w:jc w:val="center"/>
        <w:rPr>
          <w:rFonts w:ascii="宋体" w:hAnsi="宋体" w:cs="宋体"/>
          <w:b/>
          <w:spacing w:val="6"/>
          <w:sz w:val="32"/>
          <w:szCs w:val="32"/>
        </w:rPr>
      </w:pPr>
    </w:p>
    <w:p w14:paraId="7ADCD1E0">
      <w:pPr>
        <w:autoSpaceDE w:val="0"/>
        <w:autoSpaceDN w:val="0"/>
        <w:jc w:val="center"/>
        <w:rPr>
          <w:rFonts w:ascii="宋体" w:hAnsi="宋体" w:cs="宋体"/>
          <w:b/>
          <w:spacing w:val="6"/>
          <w:sz w:val="32"/>
          <w:szCs w:val="32"/>
        </w:rPr>
      </w:pPr>
    </w:p>
    <w:p w14:paraId="2ED6B90D">
      <w:pPr>
        <w:autoSpaceDE w:val="0"/>
        <w:autoSpaceDN w:val="0"/>
        <w:jc w:val="center"/>
        <w:rPr>
          <w:rFonts w:ascii="宋体" w:hAnsi="宋体" w:cs="宋体"/>
          <w:b/>
          <w:spacing w:val="6"/>
          <w:sz w:val="32"/>
          <w:szCs w:val="32"/>
        </w:rPr>
      </w:pPr>
    </w:p>
    <w:p w14:paraId="7511FDB1">
      <w:pPr>
        <w:autoSpaceDE w:val="0"/>
        <w:autoSpaceDN w:val="0"/>
        <w:jc w:val="center"/>
        <w:rPr>
          <w:rFonts w:ascii="宋体" w:hAnsi="宋体" w:cs="宋体"/>
          <w:b/>
          <w:spacing w:val="6"/>
          <w:sz w:val="32"/>
          <w:szCs w:val="32"/>
        </w:rPr>
      </w:pPr>
    </w:p>
    <w:p w14:paraId="18E588D0">
      <w:pPr>
        <w:autoSpaceDE w:val="0"/>
        <w:autoSpaceDN w:val="0"/>
        <w:jc w:val="center"/>
        <w:rPr>
          <w:rFonts w:ascii="宋体" w:hAnsi="宋体" w:cs="宋体"/>
          <w:b/>
          <w:spacing w:val="6"/>
          <w:sz w:val="32"/>
          <w:szCs w:val="32"/>
        </w:rPr>
      </w:pPr>
    </w:p>
    <w:p w14:paraId="5AD65854">
      <w:pPr>
        <w:autoSpaceDE w:val="0"/>
        <w:autoSpaceDN w:val="0"/>
        <w:jc w:val="center"/>
        <w:rPr>
          <w:rFonts w:ascii="宋体" w:hAnsi="宋体" w:cs="宋体"/>
          <w:b/>
          <w:spacing w:val="6"/>
          <w:sz w:val="32"/>
          <w:szCs w:val="32"/>
        </w:rPr>
      </w:pPr>
    </w:p>
    <w:p w14:paraId="2E23F953">
      <w:pPr>
        <w:autoSpaceDE w:val="0"/>
        <w:autoSpaceDN w:val="0"/>
        <w:jc w:val="center"/>
        <w:rPr>
          <w:rFonts w:ascii="宋体" w:hAnsi="宋体" w:cs="宋体"/>
          <w:b/>
          <w:spacing w:val="6"/>
          <w:sz w:val="32"/>
          <w:szCs w:val="32"/>
        </w:rPr>
      </w:pPr>
    </w:p>
    <w:p w14:paraId="08A6AA4C">
      <w:pPr>
        <w:autoSpaceDE w:val="0"/>
        <w:autoSpaceDN w:val="0"/>
        <w:jc w:val="center"/>
        <w:rPr>
          <w:rFonts w:ascii="宋体" w:hAnsi="宋体" w:cs="宋体"/>
          <w:b/>
          <w:spacing w:val="6"/>
          <w:sz w:val="32"/>
          <w:szCs w:val="32"/>
        </w:rPr>
      </w:pPr>
    </w:p>
    <w:p w14:paraId="71E4ADD3">
      <w:pPr>
        <w:autoSpaceDE w:val="0"/>
        <w:autoSpaceDN w:val="0"/>
        <w:jc w:val="center"/>
        <w:rPr>
          <w:rFonts w:ascii="宋体" w:hAnsi="宋体" w:cs="宋体"/>
          <w:b/>
          <w:spacing w:val="6"/>
          <w:sz w:val="32"/>
          <w:szCs w:val="32"/>
        </w:rPr>
      </w:pPr>
    </w:p>
    <w:p w14:paraId="7D4B3264">
      <w:pPr>
        <w:autoSpaceDE w:val="0"/>
        <w:autoSpaceDN w:val="0"/>
        <w:jc w:val="center"/>
        <w:rPr>
          <w:rFonts w:ascii="宋体" w:hAnsi="宋体" w:cs="宋体"/>
          <w:b/>
          <w:spacing w:val="6"/>
          <w:sz w:val="32"/>
          <w:szCs w:val="32"/>
        </w:rPr>
      </w:pPr>
    </w:p>
    <w:p w14:paraId="0B051444">
      <w:pPr>
        <w:autoSpaceDE w:val="0"/>
        <w:autoSpaceDN w:val="0"/>
        <w:jc w:val="center"/>
        <w:rPr>
          <w:rFonts w:ascii="宋体" w:hAnsi="宋体" w:cs="宋体"/>
          <w:b/>
          <w:spacing w:val="6"/>
          <w:sz w:val="32"/>
          <w:szCs w:val="32"/>
        </w:rPr>
      </w:pPr>
    </w:p>
    <w:p w14:paraId="4C446A76">
      <w:pPr>
        <w:autoSpaceDE w:val="0"/>
        <w:autoSpaceDN w:val="0"/>
        <w:jc w:val="center"/>
        <w:rPr>
          <w:rFonts w:ascii="宋体" w:hAnsi="宋体" w:cs="宋体"/>
          <w:b/>
          <w:spacing w:val="6"/>
          <w:sz w:val="32"/>
          <w:szCs w:val="32"/>
        </w:rPr>
      </w:pPr>
    </w:p>
    <w:p w14:paraId="2141EE03">
      <w:pPr>
        <w:autoSpaceDE w:val="0"/>
        <w:autoSpaceDN w:val="0"/>
        <w:jc w:val="center"/>
        <w:rPr>
          <w:rFonts w:ascii="宋体" w:hAnsi="宋体" w:cs="宋体"/>
          <w:b/>
          <w:spacing w:val="6"/>
          <w:sz w:val="32"/>
          <w:szCs w:val="32"/>
        </w:rPr>
      </w:pPr>
    </w:p>
    <w:p w14:paraId="34F478DE">
      <w:pPr>
        <w:autoSpaceDE w:val="0"/>
        <w:autoSpaceDN w:val="0"/>
        <w:jc w:val="center"/>
        <w:rPr>
          <w:rFonts w:ascii="宋体" w:hAnsi="宋体" w:cs="宋体"/>
          <w:b/>
          <w:spacing w:val="6"/>
          <w:sz w:val="32"/>
          <w:szCs w:val="32"/>
        </w:rPr>
      </w:pPr>
    </w:p>
    <w:p w14:paraId="13721150">
      <w:pPr>
        <w:autoSpaceDE w:val="0"/>
        <w:autoSpaceDN w:val="0"/>
        <w:jc w:val="center"/>
        <w:rPr>
          <w:rFonts w:ascii="宋体" w:hAnsi="宋体" w:cs="宋体"/>
          <w:b/>
          <w:spacing w:val="6"/>
          <w:sz w:val="32"/>
          <w:szCs w:val="32"/>
        </w:rPr>
      </w:pPr>
    </w:p>
    <w:p w14:paraId="0A8FBEF2">
      <w:pPr>
        <w:autoSpaceDE w:val="0"/>
        <w:autoSpaceDN w:val="0"/>
        <w:jc w:val="center"/>
        <w:rPr>
          <w:rFonts w:ascii="宋体" w:hAnsi="宋体" w:cs="宋体"/>
          <w:b/>
          <w:spacing w:val="6"/>
          <w:sz w:val="32"/>
          <w:szCs w:val="32"/>
        </w:rPr>
      </w:pPr>
    </w:p>
    <w:p w14:paraId="42E9FD98">
      <w:pPr>
        <w:snapToGrid w:val="0"/>
        <w:spacing w:line="360" w:lineRule="auto"/>
        <w:ind w:firstLine="3666" w:firstLineChars="1100"/>
        <w:rPr>
          <w:rFonts w:ascii="宋体" w:hAnsi="宋体" w:cs="宋体"/>
          <w:b/>
          <w:spacing w:val="6"/>
          <w:sz w:val="32"/>
          <w:szCs w:val="32"/>
        </w:rPr>
      </w:pPr>
    </w:p>
    <w:p w14:paraId="6DBB2227">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6CFDF91B">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58282A5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上城区城市管理智治平台改造项目（信创）</w:t>
      </w:r>
      <w:r>
        <w:rPr>
          <w:rFonts w:hint="eastAsia" w:ascii="宋体" w:hAnsi="宋体" w:cs="宋体"/>
          <w:sz w:val="24"/>
        </w:rPr>
        <w:t xml:space="preserve"> 【招标编号：</w:t>
      </w:r>
      <w:r>
        <w:rPr>
          <w:rFonts w:hint="eastAsia" w:ascii="宋体" w:hAnsi="宋体" w:cs="宋体"/>
          <w:sz w:val="24"/>
          <w:lang w:eastAsia="zh-CN"/>
        </w:rPr>
        <w:t>HJZX-GKCG-F202514</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A3AE64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w:t>
      </w:r>
      <w:r>
        <w:rPr>
          <w:rFonts w:hint="eastAsia" w:ascii="宋体" w:hAnsi="宋体" w:cs="宋体"/>
          <w:kern w:val="0"/>
          <w:sz w:val="24"/>
          <w:u w:val="single"/>
          <w:lang w:val="zh-CN"/>
        </w:rPr>
        <w:t>（投标人名称）</w:t>
      </w:r>
      <w:r>
        <w:rPr>
          <w:rFonts w:hint="eastAsia" w:ascii="宋体" w:hAnsi="宋体" w:cs="宋体"/>
          <w:kern w:val="0"/>
          <w:sz w:val="24"/>
          <w:lang w:val="zh-CN"/>
        </w:rPr>
        <w:t>将工作分包如下：</w:t>
      </w:r>
      <w:r>
        <w:rPr>
          <w:rFonts w:hint="eastAsia" w:ascii="宋体" w:hAnsi="宋体" w:cs="宋体"/>
          <w:b/>
          <w:bCs/>
          <w:i/>
          <w:iCs/>
          <w:kern w:val="0"/>
          <w:sz w:val="24"/>
          <w:lang w:val="zh-CN"/>
        </w:rPr>
        <w:t>（注：投标人只能将招标文件第二部分中“前附表”的“分包”规定的工作进行分包）</w:t>
      </w:r>
    </w:p>
    <w:p w14:paraId="3D0308D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p>
    <w:p w14:paraId="511F5535">
      <w:pPr>
        <w:snapToGrid w:val="0"/>
        <w:spacing w:line="360" w:lineRule="auto"/>
        <w:ind w:firstLine="576"/>
        <w:rPr>
          <w:rFonts w:ascii="宋体" w:hAnsi="宋体" w:cs="宋体"/>
          <w:kern w:val="0"/>
          <w:sz w:val="24"/>
          <w:u w:val="single"/>
        </w:rPr>
      </w:pP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（分包供应商2名称）；</w:t>
      </w:r>
    </w:p>
    <w:p w14:paraId="56269A81">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9F4571C">
      <w:pPr>
        <w:tabs>
          <w:tab w:val="left" w:pos="432"/>
        </w:tabs>
        <w:snapToGrid w:val="0"/>
        <w:ind w:left="664" w:leftChars="316" w:firstLine="228" w:firstLineChars="95"/>
        <w:rPr>
          <w:rFonts w:ascii="宋体" w:hAnsi="宋体" w:cs="宋体"/>
          <w:kern w:val="0"/>
          <w:sz w:val="24"/>
        </w:rPr>
      </w:pPr>
      <w:r>
        <w:rPr>
          <w:rFonts w:hint="eastAsia" w:ascii="宋体" w:hAnsi="宋体" w:cs="宋体"/>
          <w:kern w:val="0"/>
          <w:sz w:val="24"/>
        </w:rPr>
        <w:t>以上分包供应商</w:t>
      </w:r>
      <w:r>
        <w:rPr>
          <w:rFonts w:hint="eastAsia" w:ascii="宋体" w:hAnsi="宋体" w:cs="宋体"/>
          <w:kern w:val="0"/>
          <w:sz w:val="24"/>
          <w:lang w:val="zh-CN"/>
        </w:rPr>
        <w:t>具备所承</w:t>
      </w:r>
      <w:r>
        <w:rPr>
          <w:rFonts w:hint="eastAsia" w:ascii="宋体" w:hAnsi="宋体" w:cs="宋体"/>
          <w:kern w:val="0"/>
          <w:sz w:val="24"/>
        </w:rPr>
        <w:t>担</w:t>
      </w:r>
      <w:r>
        <w:rPr>
          <w:rFonts w:hint="eastAsia" w:ascii="宋体" w:hAnsi="宋体" w:cs="宋体"/>
          <w:kern w:val="0"/>
          <w:sz w:val="24"/>
          <w:lang w:val="zh-CN"/>
        </w:rPr>
        <w:t>分包工作内容相应的资质条件且不得再次分包。</w:t>
      </w:r>
    </w:p>
    <w:p w14:paraId="696387E9">
      <w:pPr>
        <w:pStyle w:val="4"/>
        <w:ind w:left="664" w:leftChars="316" w:firstLine="305" w:firstLineChars="95"/>
      </w:pPr>
    </w:p>
    <w:p w14:paraId="54F3B29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r>
        <w:rPr>
          <w:rFonts w:hint="eastAsia" w:ascii="宋体" w:hAnsi="宋体" w:cs="宋体"/>
          <w:kern w:val="0"/>
          <w:sz w:val="24"/>
        </w:rPr>
        <w:t>根据项目具体情况二选一填写）。</w:t>
      </w:r>
    </w:p>
    <w:p w14:paraId="79212B19">
      <w:pPr>
        <w:snapToGrid w:val="0"/>
        <w:spacing w:line="360" w:lineRule="auto"/>
        <w:ind w:firstLine="576"/>
        <w:rPr>
          <w:rFonts w:ascii="宋体" w:hAnsi="宋体" w:cs="宋体"/>
          <w:b/>
          <w:kern w:val="0"/>
          <w:sz w:val="24"/>
          <w:lang w:val="zh-CN"/>
        </w:rPr>
      </w:pPr>
      <w:sdt>
        <w:sdtPr>
          <w:rPr>
            <w:rFonts w:hint="eastAsia" w:ascii="宋体" w:hAnsi="宋体" w:cs="宋体"/>
            <w:kern w:val="0"/>
            <w:sz w:val="24"/>
          </w:rPr>
          <w:id w:val="14745199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F843AF7">
      <w:pPr>
        <w:spacing w:line="360" w:lineRule="auto"/>
        <w:ind w:firstLine="480" w:firstLineChars="200"/>
        <w:rPr>
          <w:rFonts w:ascii="宋体" w:hAnsi="宋体" w:cs="宋体"/>
          <w:b/>
          <w:bCs/>
          <w:kern w:val="0"/>
          <w:sz w:val="24"/>
          <w:lang w:val="zh-CN"/>
        </w:rPr>
      </w:pPr>
      <w:sdt>
        <w:sdtPr>
          <w:rPr>
            <w:rFonts w:hint="eastAsia" w:ascii="宋体" w:hAnsi="宋体" w:cs="宋体"/>
            <w:kern w:val="0"/>
            <w:sz w:val="24"/>
          </w:rPr>
          <w:id w:val="14746521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5CC02C4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67E3E7D">
      <w:pPr>
        <w:snapToGrid w:val="0"/>
        <w:spacing w:line="360" w:lineRule="auto"/>
        <w:ind w:firstLine="576"/>
        <w:rPr>
          <w:rFonts w:ascii="宋体" w:hAnsi="宋体" w:cs="宋体"/>
          <w:u w:val="single"/>
        </w:rPr>
      </w:pPr>
      <w:r>
        <w:rPr>
          <w:rFonts w:hint="eastAsia" w:ascii="宋体" w:hAnsi="宋体" w:cs="宋体"/>
          <w:u w:val="single"/>
        </w:rPr>
        <w:t xml:space="preserve">                                                                                  </w:t>
      </w:r>
    </w:p>
    <w:p w14:paraId="4977FBD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13B9576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6DDF40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3B7116A4">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5A455159">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7223FF6">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423BF7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7DE44894">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29E4AE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59400F4A">
      <w:pPr>
        <w:snapToGrid w:val="0"/>
        <w:spacing w:line="360" w:lineRule="auto"/>
        <w:ind w:left="5128" w:leftChars="342" w:hanging="4410" w:hangingChars="2100"/>
        <w:rPr>
          <w:rFonts w:ascii="宋体" w:hAnsi="宋体" w:cs="宋体"/>
          <w:kern w:val="0"/>
          <w:sz w:val="24"/>
          <w:lang w:val="zh-CN"/>
        </w:rPr>
      </w:pPr>
      <w:r>
        <w:rPr>
          <w:rFonts w:hint="eastAsia" w:ascii="宋体" w:hAnsi="宋体" w:cs="宋体"/>
          <w:u w:val="single"/>
        </w:rPr>
        <w:t xml:space="preserve">                                                                                 </w:t>
      </w:r>
      <w:r>
        <w:rPr>
          <w:rFonts w:hint="eastAsia" w:ascii="宋体" w:hAnsi="宋体" w:cs="宋体"/>
          <w:kern w:val="0"/>
          <w:sz w:val="24"/>
          <w:lang w:val="zh-CN"/>
        </w:rPr>
        <w:t xml:space="preserve">                                          投标人名称(电子签名)：</w:t>
      </w:r>
    </w:p>
    <w:p w14:paraId="571AB5BA">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0E58470B">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E991041">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048434D5">
      <w:pPr>
        <w:spacing w:line="360" w:lineRule="auto"/>
        <w:ind w:right="420"/>
        <w:rPr>
          <w:rFonts w:ascii="宋体" w:hAnsi="宋体" w:cs="宋体"/>
          <w:sz w:val="24"/>
        </w:rPr>
      </w:pPr>
      <w:r>
        <w:rPr>
          <w:rFonts w:hint="eastAsia" w:ascii="宋体" w:hAnsi="宋体" w:cs="宋体"/>
          <w:sz w:val="24"/>
        </w:rPr>
        <w:t>注：按本格式和要求提供。</w:t>
      </w:r>
    </w:p>
    <w:p w14:paraId="5C522A2B">
      <w:pPr>
        <w:autoSpaceDE w:val="0"/>
        <w:autoSpaceDN w:val="0"/>
        <w:jc w:val="center"/>
        <w:rPr>
          <w:rFonts w:ascii="宋体" w:hAnsi="宋体" w:cs="宋体"/>
          <w:b/>
          <w:spacing w:val="6"/>
          <w:sz w:val="32"/>
          <w:szCs w:val="32"/>
        </w:rPr>
      </w:pPr>
    </w:p>
    <w:p w14:paraId="50527719">
      <w:pPr>
        <w:autoSpaceDE w:val="0"/>
        <w:autoSpaceDN w:val="0"/>
        <w:jc w:val="center"/>
        <w:rPr>
          <w:rFonts w:ascii="宋体" w:hAnsi="宋体" w:cs="宋体"/>
          <w:b/>
          <w:spacing w:val="6"/>
          <w:sz w:val="32"/>
          <w:szCs w:val="32"/>
        </w:rPr>
      </w:pPr>
    </w:p>
    <w:p w14:paraId="31CFFCFC">
      <w:pPr>
        <w:autoSpaceDE w:val="0"/>
        <w:autoSpaceDN w:val="0"/>
        <w:jc w:val="center"/>
        <w:rPr>
          <w:rFonts w:ascii="宋体" w:hAnsi="宋体" w:cs="宋体"/>
          <w:b/>
          <w:spacing w:val="6"/>
          <w:sz w:val="32"/>
          <w:szCs w:val="32"/>
        </w:rPr>
      </w:pPr>
    </w:p>
    <w:p w14:paraId="5098A939">
      <w:pPr>
        <w:autoSpaceDE w:val="0"/>
        <w:autoSpaceDN w:val="0"/>
        <w:jc w:val="center"/>
        <w:rPr>
          <w:rFonts w:ascii="宋体" w:hAnsi="宋体" w:cs="宋体"/>
          <w:b/>
          <w:spacing w:val="6"/>
          <w:sz w:val="32"/>
          <w:szCs w:val="32"/>
        </w:rPr>
      </w:pPr>
    </w:p>
    <w:p w14:paraId="18FC2FE5">
      <w:pPr>
        <w:autoSpaceDE w:val="0"/>
        <w:autoSpaceDN w:val="0"/>
        <w:jc w:val="center"/>
        <w:rPr>
          <w:rFonts w:ascii="宋体" w:hAnsi="宋体" w:cs="宋体"/>
          <w:b/>
          <w:spacing w:val="6"/>
          <w:sz w:val="32"/>
          <w:szCs w:val="32"/>
        </w:rPr>
      </w:pPr>
    </w:p>
    <w:p w14:paraId="378EBABD">
      <w:pPr>
        <w:autoSpaceDE w:val="0"/>
        <w:autoSpaceDN w:val="0"/>
        <w:jc w:val="center"/>
        <w:rPr>
          <w:rFonts w:ascii="宋体" w:hAnsi="宋体" w:cs="宋体"/>
          <w:b/>
          <w:spacing w:val="6"/>
          <w:sz w:val="32"/>
          <w:szCs w:val="32"/>
        </w:rPr>
      </w:pPr>
    </w:p>
    <w:p w14:paraId="67F92BB8">
      <w:pPr>
        <w:autoSpaceDE w:val="0"/>
        <w:autoSpaceDN w:val="0"/>
        <w:jc w:val="center"/>
        <w:rPr>
          <w:rFonts w:ascii="宋体" w:hAnsi="宋体" w:cs="宋体"/>
          <w:b/>
          <w:spacing w:val="6"/>
          <w:sz w:val="32"/>
          <w:szCs w:val="32"/>
        </w:rPr>
      </w:pPr>
    </w:p>
    <w:p w14:paraId="205C11BF">
      <w:pPr>
        <w:autoSpaceDE w:val="0"/>
        <w:autoSpaceDN w:val="0"/>
        <w:jc w:val="center"/>
        <w:rPr>
          <w:rFonts w:ascii="宋体" w:hAnsi="宋体" w:cs="宋体"/>
          <w:b/>
          <w:spacing w:val="6"/>
          <w:sz w:val="32"/>
          <w:szCs w:val="32"/>
        </w:rPr>
      </w:pPr>
    </w:p>
    <w:p w14:paraId="285BC18C">
      <w:pPr>
        <w:autoSpaceDE w:val="0"/>
        <w:autoSpaceDN w:val="0"/>
        <w:jc w:val="center"/>
        <w:rPr>
          <w:rFonts w:ascii="宋体" w:hAnsi="宋体" w:cs="宋体"/>
          <w:b/>
          <w:spacing w:val="6"/>
          <w:sz w:val="32"/>
          <w:szCs w:val="32"/>
        </w:rPr>
      </w:pPr>
    </w:p>
    <w:p w14:paraId="0BB5A091">
      <w:pPr>
        <w:autoSpaceDE w:val="0"/>
        <w:autoSpaceDN w:val="0"/>
        <w:jc w:val="center"/>
        <w:rPr>
          <w:rFonts w:ascii="宋体" w:hAnsi="宋体" w:cs="宋体"/>
          <w:b/>
          <w:spacing w:val="6"/>
          <w:sz w:val="32"/>
          <w:szCs w:val="32"/>
        </w:rPr>
      </w:pPr>
    </w:p>
    <w:p w14:paraId="54A50ECF">
      <w:pPr>
        <w:autoSpaceDE w:val="0"/>
        <w:autoSpaceDN w:val="0"/>
        <w:jc w:val="center"/>
        <w:rPr>
          <w:rFonts w:ascii="宋体" w:hAnsi="宋体" w:cs="宋体"/>
          <w:b/>
          <w:spacing w:val="6"/>
          <w:sz w:val="32"/>
          <w:szCs w:val="32"/>
        </w:rPr>
      </w:pPr>
    </w:p>
    <w:p w14:paraId="31C6D9A6">
      <w:pPr>
        <w:autoSpaceDE w:val="0"/>
        <w:autoSpaceDN w:val="0"/>
        <w:jc w:val="center"/>
        <w:rPr>
          <w:rFonts w:ascii="宋体" w:hAnsi="宋体" w:cs="宋体"/>
          <w:b/>
          <w:spacing w:val="6"/>
          <w:sz w:val="32"/>
          <w:szCs w:val="32"/>
        </w:rPr>
      </w:pPr>
    </w:p>
    <w:p w14:paraId="567956C6">
      <w:pPr>
        <w:autoSpaceDE w:val="0"/>
        <w:autoSpaceDN w:val="0"/>
        <w:jc w:val="center"/>
        <w:rPr>
          <w:rFonts w:ascii="宋体" w:hAnsi="宋体" w:cs="宋体"/>
          <w:b/>
          <w:spacing w:val="6"/>
          <w:sz w:val="32"/>
          <w:szCs w:val="32"/>
        </w:rPr>
      </w:pPr>
    </w:p>
    <w:p w14:paraId="322F7C8F">
      <w:pPr>
        <w:autoSpaceDE w:val="0"/>
        <w:autoSpaceDN w:val="0"/>
        <w:jc w:val="center"/>
        <w:rPr>
          <w:rFonts w:ascii="宋体" w:hAnsi="宋体" w:cs="宋体"/>
          <w:b/>
          <w:spacing w:val="6"/>
          <w:sz w:val="32"/>
          <w:szCs w:val="32"/>
        </w:rPr>
      </w:pPr>
    </w:p>
    <w:p w14:paraId="08EED5AA">
      <w:pPr>
        <w:autoSpaceDE w:val="0"/>
        <w:autoSpaceDN w:val="0"/>
        <w:jc w:val="center"/>
        <w:rPr>
          <w:rFonts w:ascii="宋体" w:hAnsi="宋体" w:cs="宋体"/>
          <w:b/>
          <w:spacing w:val="6"/>
          <w:sz w:val="32"/>
          <w:szCs w:val="32"/>
        </w:rPr>
      </w:pPr>
    </w:p>
    <w:p w14:paraId="18DC979A">
      <w:pPr>
        <w:autoSpaceDE w:val="0"/>
        <w:autoSpaceDN w:val="0"/>
        <w:jc w:val="center"/>
        <w:rPr>
          <w:rFonts w:ascii="宋体" w:hAnsi="宋体" w:cs="宋体"/>
          <w:b/>
          <w:spacing w:val="6"/>
          <w:sz w:val="32"/>
          <w:szCs w:val="32"/>
        </w:rPr>
      </w:pPr>
    </w:p>
    <w:p w14:paraId="1B98BDDB">
      <w:pPr>
        <w:autoSpaceDE w:val="0"/>
        <w:autoSpaceDN w:val="0"/>
        <w:jc w:val="center"/>
        <w:rPr>
          <w:rFonts w:ascii="宋体" w:hAnsi="宋体" w:cs="宋体"/>
          <w:b/>
          <w:spacing w:val="6"/>
          <w:sz w:val="32"/>
          <w:szCs w:val="32"/>
        </w:rPr>
      </w:pPr>
    </w:p>
    <w:p w14:paraId="09B56AC4">
      <w:pPr>
        <w:autoSpaceDE w:val="0"/>
        <w:autoSpaceDN w:val="0"/>
        <w:jc w:val="center"/>
        <w:rPr>
          <w:rFonts w:ascii="宋体" w:hAnsi="宋体" w:cs="宋体"/>
          <w:b/>
          <w:spacing w:val="6"/>
          <w:sz w:val="32"/>
          <w:szCs w:val="32"/>
        </w:rPr>
      </w:pPr>
    </w:p>
    <w:p w14:paraId="19F1288F">
      <w:pPr>
        <w:autoSpaceDE w:val="0"/>
        <w:autoSpaceDN w:val="0"/>
        <w:jc w:val="center"/>
        <w:rPr>
          <w:rFonts w:ascii="宋体" w:hAnsi="宋体" w:cs="宋体"/>
          <w:b/>
          <w:spacing w:val="6"/>
          <w:sz w:val="32"/>
          <w:szCs w:val="32"/>
        </w:rPr>
      </w:pPr>
    </w:p>
    <w:p w14:paraId="11FF7D4F">
      <w:pPr>
        <w:autoSpaceDE w:val="0"/>
        <w:autoSpaceDN w:val="0"/>
        <w:jc w:val="center"/>
        <w:rPr>
          <w:rFonts w:ascii="宋体" w:hAnsi="宋体" w:cs="宋体"/>
          <w:b/>
          <w:spacing w:val="6"/>
          <w:sz w:val="32"/>
          <w:szCs w:val="32"/>
        </w:rPr>
      </w:pPr>
    </w:p>
    <w:p w14:paraId="510057E0">
      <w:pPr>
        <w:autoSpaceDE w:val="0"/>
        <w:autoSpaceDN w:val="0"/>
        <w:jc w:val="center"/>
        <w:rPr>
          <w:rFonts w:ascii="宋体" w:hAnsi="宋体" w:cs="宋体"/>
          <w:b/>
          <w:spacing w:val="6"/>
          <w:sz w:val="32"/>
          <w:szCs w:val="32"/>
        </w:rPr>
      </w:pPr>
    </w:p>
    <w:p w14:paraId="62489A00">
      <w:pPr>
        <w:autoSpaceDE w:val="0"/>
        <w:autoSpaceDN w:val="0"/>
        <w:jc w:val="center"/>
        <w:rPr>
          <w:rFonts w:ascii="宋体" w:hAnsi="宋体" w:cs="宋体"/>
          <w:b/>
          <w:spacing w:val="6"/>
          <w:sz w:val="32"/>
          <w:szCs w:val="32"/>
        </w:rPr>
      </w:pPr>
    </w:p>
    <w:p w14:paraId="104021BE">
      <w:pPr>
        <w:autoSpaceDE w:val="0"/>
        <w:autoSpaceDN w:val="0"/>
        <w:jc w:val="center"/>
        <w:rPr>
          <w:rFonts w:ascii="宋体" w:hAnsi="宋体" w:cs="宋体"/>
          <w:b/>
          <w:spacing w:val="6"/>
          <w:sz w:val="32"/>
          <w:szCs w:val="32"/>
        </w:rPr>
      </w:pPr>
    </w:p>
    <w:p w14:paraId="68B43C42">
      <w:pPr>
        <w:autoSpaceDE w:val="0"/>
        <w:autoSpaceDN w:val="0"/>
        <w:jc w:val="center"/>
        <w:rPr>
          <w:rFonts w:ascii="宋体" w:hAnsi="宋体" w:cs="宋体"/>
          <w:b/>
          <w:spacing w:val="6"/>
          <w:sz w:val="32"/>
          <w:szCs w:val="32"/>
        </w:rPr>
      </w:pPr>
    </w:p>
    <w:p w14:paraId="0275FBBA">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49F624CA">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288289FE">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杭州市上城区综合行政执法局</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上城区城市管理智治平台改造项目（信创）</w:t>
      </w:r>
      <w:r>
        <w:rPr>
          <w:rFonts w:hint="eastAsia" w:ascii="宋体" w:hAnsi="宋体" w:cs="宋体"/>
          <w:sz w:val="24"/>
          <w:u w:val="single"/>
        </w:rPr>
        <w:t xml:space="preserve">  </w:t>
      </w:r>
      <w:r>
        <w:rPr>
          <w:rFonts w:hint="eastAsia" w:ascii="宋体" w:hAnsi="宋体" w:cs="宋体"/>
          <w:sz w:val="24"/>
        </w:rPr>
        <w:t>采购活动，服务全部由符合政策要求的中小企业承接。相关企业（含联合体中的中小企业、签订分包意向协议的中小企业）的具体情况如下：</w:t>
      </w:r>
    </w:p>
    <w:p w14:paraId="51028B23">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rPr>
        <w:t>标的名称：</w:t>
      </w:r>
      <w:r>
        <w:rPr>
          <w:rFonts w:hint="eastAsia" w:ascii="宋体" w:hAnsi="宋体" w:cs="Arial"/>
          <w:kern w:val="0"/>
          <w:sz w:val="24"/>
          <w:u w:val="single"/>
          <w:lang w:val="en-US" w:eastAsia="zh-CN"/>
        </w:rPr>
        <w:t xml:space="preserve">     </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kern w:val="0"/>
          <w:sz w:val="24"/>
        </w:rPr>
        <w:t>属于</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sz w:val="24"/>
        </w:rPr>
        <w:t xml:space="preserve"> ；承接企业为 </w:t>
      </w:r>
      <w:r>
        <w:rPr>
          <w:rFonts w:hint="eastAsia" w:ascii="宋体" w:hAnsi="宋体" w:cs="宋体"/>
          <w:sz w:val="24"/>
          <w:u w:val="single"/>
        </w:rPr>
        <w:t>①（企业名称）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②（中型企业、小型企业、微型企业） </w:t>
      </w:r>
      <w:r>
        <w:rPr>
          <w:rFonts w:hint="eastAsia" w:ascii="宋体" w:hAnsi="宋体" w:cs="宋体"/>
          <w:sz w:val="24"/>
        </w:rPr>
        <w:t>；</w:t>
      </w:r>
    </w:p>
    <w:p w14:paraId="52BB35D3">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BB11EAF">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734CCFF">
      <w:pPr>
        <w:spacing w:line="360" w:lineRule="auto"/>
        <w:ind w:right="1760"/>
        <w:jc w:val="right"/>
        <w:rPr>
          <w:rFonts w:ascii="宋体" w:hAnsi="宋体" w:cs="宋体"/>
          <w:sz w:val="24"/>
        </w:rPr>
      </w:pPr>
      <w:r>
        <w:rPr>
          <w:rFonts w:hint="eastAsia" w:ascii="宋体" w:hAnsi="宋体" w:cs="宋体"/>
          <w:sz w:val="24"/>
        </w:rPr>
        <w:t>投标人名称（电子签名）：</w:t>
      </w:r>
    </w:p>
    <w:p w14:paraId="37021E0F">
      <w:pPr>
        <w:spacing w:line="360" w:lineRule="auto"/>
        <w:ind w:right="1120" w:firstLine="4680" w:firstLineChars="1950"/>
        <w:rPr>
          <w:rFonts w:ascii="宋体" w:hAnsi="宋体" w:cs="宋体"/>
          <w:sz w:val="24"/>
        </w:rPr>
      </w:pPr>
      <w:r>
        <w:rPr>
          <w:rFonts w:hint="eastAsia" w:ascii="宋体" w:hAnsi="宋体" w:cs="宋体"/>
          <w:sz w:val="24"/>
        </w:rPr>
        <w:t>日 期：</w:t>
      </w:r>
    </w:p>
    <w:p w14:paraId="2D2BA4BD">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6B39BBE9">
      <w:pPr>
        <w:spacing w:line="360" w:lineRule="auto"/>
        <w:ind w:right="420"/>
        <w:rPr>
          <w:rFonts w:ascii="宋体" w:hAnsi="宋体" w:cs="宋体"/>
          <w:sz w:val="24"/>
        </w:rPr>
      </w:pPr>
      <w:r>
        <w:rPr>
          <w:rFonts w:hint="eastAsia" w:ascii="宋体" w:hAnsi="宋体" w:cs="宋体"/>
          <w:sz w:val="24"/>
        </w:rPr>
        <w:t xml:space="preserve">   注：</w:t>
      </w:r>
    </w:p>
    <w:p w14:paraId="6CB88A67">
      <w:pPr>
        <w:spacing w:line="360" w:lineRule="auto"/>
        <w:ind w:right="420" w:firstLine="480" w:firstLineChars="200"/>
        <w:rPr>
          <w:rFonts w:ascii="宋体" w:hAnsi="宋体" w:cs="宋体"/>
          <w:sz w:val="24"/>
        </w:rPr>
      </w:pPr>
      <w:r>
        <w:rPr>
          <w:rFonts w:hint="eastAsia" w:ascii="宋体" w:hAnsi="宋体" w:cs="宋体"/>
          <w:sz w:val="24"/>
        </w:rPr>
        <w:t>1、应按本格式和要求填写。其中，标的名称和所属行业依据招标文件第二部分投标人须知前附表中“采购标的及其对应的中小企业划分标准所属行业”规定的要求填写，不得缺漏（声明函格式内容中已填写的，无需改动）；标记“①”处填写企业名称；从业人员、营业收入、资产总额填报上一年度数据，无上一年度数据的新成立企业可不填报；结合所填数据，依据《中小企业划型标准规定》（工信部联企业〔2011〕300号）规定，确定中型企业、小型企业、微型企业三种企业类型中的其中一种在标记“②”处填写。</w:t>
      </w:r>
    </w:p>
    <w:p w14:paraId="32687105">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CEDC064">
      <w:pPr>
        <w:rPr>
          <w:rFonts w:ascii="宋体" w:hAnsi="宋体" w:cs="宋体"/>
          <w:sz w:val="24"/>
        </w:rPr>
      </w:pPr>
      <w:r>
        <w:rPr>
          <w:rFonts w:hint="eastAsia" w:ascii="宋体" w:hAnsi="宋体" w:cs="宋体"/>
          <w:sz w:val="24"/>
        </w:rPr>
        <w:br w:type="page"/>
      </w:r>
    </w:p>
    <w:p w14:paraId="61E0445A">
      <w:pPr>
        <w:pStyle w:val="4"/>
        <w:rPr>
          <w:rFonts w:ascii="宋体" w:hAnsi="宋体" w:eastAsia="宋体" w:cs="宋体"/>
          <w:bCs w:val="0"/>
          <w:sz w:val="36"/>
          <w:szCs w:val="20"/>
          <w:lang w:val="en-US"/>
        </w:rPr>
      </w:pPr>
      <w:r>
        <w:rPr>
          <w:rFonts w:hint="eastAsia" w:ascii="宋体" w:hAnsi="宋体" w:eastAsia="宋体" w:cs="宋体"/>
          <w:bCs w:val="0"/>
          <w:sz w:val="36"/>
          <w:szCs w:val="20"/>
          <w:lang w:val="en-US"/>
        </w:rPr>
        <w:t>附件8：中小企业划型标准</w:t>
      </w:r>
    </w:p>
    <w:p w14:paraId="2A3A8EFB">
      <w:pPr>
        <w:spacing w:line="360" w:lineRule="auto"/>
      </w:pPr>
      <w:r>
        <w:rPr>
          <w:rFonts w:hint="eastAsia" w:ascii="宋体" w:hAnsi="宋体" w:cs="宋体"/>
          <w:kern w:val="0"/>
          <w:sz w:val="24"/>
        </w:rPr>
        <w:t>各行业划型标准为：</w:t>
      </w:r>
      <w:r>
        <w:rPr>
          <w:rFonts w:hint="eastAsia" w:ascii="宋体" w:hAnsi="宋体" w:cs="宋体"/>
          <w:kern w:val="0"/>
          <w:sz w:val="24"/>
        </w:rPr>
        <w:br w:type="textWrapping"/>
      </w:r>
      <w:r>
        <w:rPr>
          <w:rFonts w:hint="eastAsia" w:ascii="宋体" w:hAnsi="宋体" w:cs="宋体"/>
          <w:kern w:val="0"/>
          <w:sz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宋体"/>
          <w:kern w:val="0"/>
          <w:sz w:val="24"/>
        </w:rPr>
        <w:br w:type="textWrapping"/>
      </w:r>
      <w:r>
        <w:rPr>
          <w:rFonts w:hint="eastAsia" w:ascii="宋体" w:hAnsi="宋体" w:cs="宋体"/>
          <w:kern w:val="0"/>
          <w:sz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kern w:val="0"/>
          <w:sz w:val="24"/>
        </w:rPr>
        <w:br w:type="textWrapping"/>
      </w:r>
      <w:r>
        <w:rPr>
          <w:rFonts w:hint="eastAsia" w:ascii="宋体" w:hAnsi="宋体" w:cs="宋体"/>
          <w:kern w:val="0"/>
          <w:sz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kern w:val="0"/>
          <w:sz w:val="24"/>
        </w:rPr>
        <w:br w:type="textWrapping"/>
      </w:r>
      <w:r>
        <w:rPr>
          <w:rFonts w:hint="eastAsia" w:ascii="宋体" w:hAnsi="宋体" w:cs="宋体"/>
          <w:kern w:val="0"/>
          <w:sz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宋体"/>
          <w:kern w:val="0"/>
          <w:sz w:val="24"/>
        </w:rPr>
        <w:br w:type="textWrapping"/>
      </w:r>
      <w:r>
        <w:rPr>
          <w:rFonts w:hint="eastAsia" w:ascii="宋体" w:hAnsi="宋体" w:cs="宋体"/>
          <w:kern w:val="0"/>
          <w:sz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宋体"/>
          <w:kern w:val="0"/>
          <w:sz w:val="24"/>
        </w:rPr>
        <w:br w:type="textWrapping"/>
      </w:r>
      <w:r>
        <w:rPr>
          <w:rFonts w:hint="eastAsia" w:ascii="宋体" w:hAnsi="宋体" w:cs="宋体"/>
          <w:kern w:val="0"/>
          <w:sz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kern w:val="0"/>
          <w:sz w:val="24"/>
        </w:rPr>
        <w:br w:type="textWrapping"/>
      </w:r>
      <w:r>
        <w:rPr>
          <w:rFonts w:hint="eastAsia" w:ascii="宋体" w:hAnsi="宋体" w:cs="宋体"/>
          <w:kern w:val="0"/>
          <w:sz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宋体"/>
          <w:kern w:val="0"/>
          <w:sz w:val="24"/>
        </w:rPr>
        <w:br w:type="textWrapping"/>
      </w:r>
      <w:r>
        <w:rPr>
          <w:rFonts w:hint="eastAsia" w:ascii="宋体" w:hAnsi="宋体" w:cs="宋体"/>
          <w:kern w:val="0"/>
          <w:sz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宋体"/>
          <w:kern w:val="0"/>
          <w:sz w:val="24"/>
        </w:rPr>
        <w:br w:type="textWrapping"/>
      </w:r>
      <w:r>
        <w:rPr>
          <w:rFonts w:hint="eastAsia" w:ascii="宋体" w:hAnsi="宋体" w:cs="宋体"/>
          <w:kern w:val="0"/>
          <w:sz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kern w:val="0"/>
          <w:sz w:val="24"/>
        </w:rPr>
        <w:br w:type="textWrapping"/>
      </w:r>
      <w:r>
        <w:rPr>
          <w:rFonts w:hint="eastAsia" w:ascii="宋体" w:hAnsi="宋体" w:cs="宋体"/>
          <w:kern w:val="0"/>
          <w:sz w:val="24"/>
        </w:rPr>
        <w:t>　　（十六）其他未列明行业。从业人员300人以下的为中小微型企业。其中，从业人员100人及以上的为中型企业；从业人员10人及以上的为小型企业；从业人员10人以下的为微型企业。</w:t>
      </w:r>
    </w:p>
    <w:p w14:paraId="6824EDA4">
      <w:pPr>
        <w:pStyle w:val="4"/>
        <w:rPr>
          <w:rFonts w:ascii="宋体" w:hAnsi="宋体" w:eastAsia="宋体" w:cs="宋体"/>
          <w:lang w:val="en-US"/>
        </w:rPr>
      </w:pPr>
    </w:p>
    <w:p w14:paraId="7763A207">
      <w:pPr>
        <w:spacing w:line="360" w:lineRule="auto"/>
        <w:ind w:right="420"/>
        <w:rPr>
          <w:rFonts w:ascii="宋体" w:hAnsi="宋体" w:cs="宋体"/>
        </w:rPr>
      </w:pPr>
    </w:p>
    <w:p w14:paraId="300CBB67">
      <w:pPr>
        <w:spacing w:line="360" w:lineRule="auto"/>
        <w:rPr>
          <w:rFonts w:ascii="宋体" w:hAnsi="宋体" w:cs="宋体"/>
          <w:bCs/>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Arial"/>
    <w:panose1 w:val="00000000000000000000"/>
    <w:charset w:val="00"/>
    <w:family w:val="auto"/>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Helvetica Neue">
    <w:altName w:val="Times New Roman"/>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6657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54F9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523CD">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F978A">
    <w:pPr>
      <w:pStyle w:val="39"/>
      <w:framePr w:wrap="around" w:vAnchor="text" w:hAnchor="margin" w:xAlign="right" w:y="1"/>
      <w:rPr>
        <w:rStyle w:val="72"/>
      </w:rPr>
    </w:pPr>
    <w:r>
      <w:fldChar w:fldCharType="begin"/>
    </w:r>
    <w:r>
      <w:rPr>
        <w:rStyle w:val="72"/>
      </w:rPr>
      <w:instrText xml:space="preserve">PAGE  </w:instrText>
    </w:r>
    <w:r>
      <w:fldChar w:fldCharType="end"/>
    </w:r>
  </w:p>
  <w:p w14:paraId="6C83F206">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1C69D">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bookmarkStart w:id="57" w:name="_Toc91899912"/>
    <w:bookmarkStart w:id="58" w:name="_Toc131845147"/>
    <w:bookmarkStart w:id="59" w:name="_Toc36110187"/>
    <w:bookmarkStart w:id="60" w:name="_Toc164085800"/>
    <w:r>
      <w:rPr>
        <w:rFonts w:hint="eastAsia" w:ascii="仿宋_GB2312" w:eastAsia="仿宋_GB2312"/>
        <w:kern w:val="0"/>
        <w:szCs w:val="21"/>
      </w:rPr>
      <w:t xml:space="preserve"> 页</w:t>
    </w:r>
    <w:bookmarkEnd w:id="57"/>
    <w:bookmarkEnd w:id="58"/>
    <w:bookmarkEnd w:id="59"/>
    <w:bookmarkEnd w:id="6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4353B">
    <w:pPr>
      <w:pStyle w:val="39"/>
      <w:framePr w:wrap="around" w:vAnchor="text" w:hAnchor="margin" w:xAlign="right" w:y="1"/>
      <w:rPr>
        <w:rStyle w:val="72"/>
      </w:rPr>
    </w:pPr>
    <w:r>
      <w:fldChar w:fldCharType="begin"/>
    </w:r>
    <w:r>
      <w:rPr>
        <w:rStyle w:val="72"/>
      </w:rPr>
      <w:instrText xml:space="preserve">PAGE  </w:instrText>
    </w:r>
    <w:r>
      <w:fldChar w:fldCharType="end"/>
    </w:r>
  </w:p>
  <w:p w14:paraId="5DD4B0A6">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92D1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E89A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4C4C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7D38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5FA90D4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E931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37B3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6B86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C09BF">
    <w:pPr>
      <w:pStyle w:val="40"/>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22702">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4B5F9">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CFB8">
    <w:pPr>
      <w:pStyle w:val="40"/>
      <w:pBdr>
        <w:bottom w:val="single" w:color="auto" w:sz="6" w:space="0"/>
      </w:pBdr>
      <w:tabs>
        <w:tab w:val="center" w:pos="4535"/>
        <w:tab w:val="right" w:pos="9070"/>
        <w:tab w:val="clear" w:pos="4153"/>
        <w:tab w:val="clear" w:pos="8306"/>
      </w:tabs>
      <w:jc w:val="left"/>
    </w:pPr>
    <w:r>
      <w:rPr>
        <w:rFonts w:ascii="宋体" w:hAnsi="宋体" w:eastAsia="宋体" w:cs="宋体"/>
        <w:sz w:val="11"/>
        <w:szCs w:val="11"/>
      </w:rPr>
      <w:drawing>
        <wp:anchor distT="0" distB="0" distL="114300" distR="114300" simplePos="0" relativeHeight="251659264" behindDoc="1" locked="0" layoutInCell="1" allowOverlap="1">
          <wp:simplePos x="0" y="0"/>
          <wp:positionH relativeFrom="column">
            <wp:posOffset>-191770</wp:posOffset>
          </wp:positionH>
          <wp:positionV relativeFrom="paragraph">
            <wp:posOffset>-20955</wp:posOffset>
          </wp:positionV>
          <wp:extent cx="1742440" cy="227965"/>
          <wp:effectExtent l="0" t="0" r="10160" b="635"/>
          <wp:wrapNone/>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1742440" cy="227965"/>
                  </a:xfrm>
                  <a:prstGeom prst="rect">
                    <a:avLst/>
                  </a:prstGeom>
                  <a:noFill/>
                  <a:ln w="9525">
                    <a:noFill/>
                  </a:ln>
                </pic:spPr>
              </pic:pic>
            </a:graphicData>
          </a:graphic>
        </wp:anchor>
      </w:drawing>
    </w: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7F681">
    <w:pPr>
      <w:pStyle w:val="4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CC232">
    <w:pPr>
      <w:pStyle w:val="40"/>
      <w:rPr>
        <w:rFonts w:ascii="仿宋_GB2312" w:eastAsia="仿宋_GB2312"/>
        <w:b/>
        <w:i/>
        <w:u w:val="single"/>
      </w:rPr>
    </w:pPr>
    <w:r>
      <w:t></w:t>
    </w:r>
    <w:r>
      <w:rPr>
        <w:rFonts w:hint="eastAsia"/>
      </w:rPr>
      <w:t xml:space="preserve">                                                  </w:t>
    </w:r>
    <w:r>
      <w:t xml:space="preserve">             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FB31E">
    <w:pPr>
      <w:pStyle w:val="40"/>
      <w:jc w:val="right"/>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65E45">
    <w:pPr>
      <w:pStyle w:val="40"/>
      <w:rPr>
        <w:rFonts w:ascii="仿宋_GB2312" w:eastAsia="仿宋_GB2312"/>
        <w:b/>
        <w:i/>
        <w:u w:val="single"/>
      </w:rPr>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EC0EB">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FEDF6">
    <w:pPr>
      <w:pStyle w:val="40"/>
      <w:jc w:val="right"/>
      <w:rPr>
        <w:rFonts w:ascii="仿宋_GB2312" w:eastAsia="仿宋_GB2312"/>
        <w:b/>
        <w:i/>
        <w:u w:val="single"/>
      </w:rPr>
    </w:pPr>
    <w:r>
      <w:rPr>
        <w:rFonts w:hint="eastAsia"/>
      </w:rPr>
      <w:t xml:space="preserve">                                  </w:t>
    </w:r>
    <w:r>
      <w:t>杭州市政府采购公开招标文件</w:t>
    </w:r>
  </w:p>
  <w:p w14:paraId="4FB50E0D">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B4330">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B2C89"/>
    <w:multiLevelType w:val="singleLevel"/>
    <w:tmpl w:val="A03B2C89"/>
    <w:lvl w:ilvl="0" w:tentative="0">
      <w:start w:val="5"/>
      <w:numFmt w:val="chineseCounting"/>
      <w:suff w:val="space"/>
      <w:lvlText w:val="第%1部分"/>
      <w:lvlJc w:val="left"/>
      <w:rPr>
        <w:rFonts w:hint="eastAsia"/>
      </w:rPr>
    </w:lvl>
  </w:abstractNum>
  <w:abstractNum w:abstractNumId="1">
    <w:nsid w:val="A880D8BD"/>
    <w:multiLevelType w:val="singleLevel"/>
    <w:tmpl w:val="A880D8BD"/>
    <w:lvl w:ilvl="0" w:tentative="0">
      <w:start w:val="3"/>
      <w:numFmt w:val="chineseCounting"/>
      <w:suff w:val="space"/>
      <w:lvlText w:val="第%1部分"/>
      <w:lvlJc w:val="left"/>
      <w:rPr>
        <w:rFonts w:hint="eastAsia"/>
      </w:rPr>
    </w:lvl>
  </w:abstractNum>
  <w:abstractNum w:abstractNumId="2">
    <w:nsid w:val="BE2A02F0"/>
    <w:multiLevelType w:val="singleLevel"/>
    <w:tmpl w:val="BE2A02F0"/>
    <w:lvl w:ilvl="0" w:tentative="0">
      <w:start w:val="3"/>
      <w:numFmt w:val="chineseCounting"/>
      <w:suff w:val="space"/>
      <w:lvlText w:val="第%1部分"/>
      <w:lvlJc w:val="left"/>
      <w:rPr>
        <w:rFonts w:hint="eastAsia"/>
      </w:rPr>
    </w:lvl>
  </w:abstractNum>
  <w:abstractNum w:abstractNumId="3">
    <w:nsid w:val="D5131716"/>
    <w:multiLevelType w:val="singleLevel"/>
    <w:tmpl w:val="D5131716"/>
    <w:lvl w:ilvl="0" w:tentative="0">
      <w:start w:val="5"/>
      <w:numFmt w:val="decimal"/>
      <w:suff w:val="nothing"/>
      <w:lvlText w:val="%1、"/>
      <w:lvlJc w:val="left"/>
    </w:lvl>
  </w:abstractNum>
  <w:abstractNum w:abstractNumId="4">
    <w:nsid w:val="D7DED801"/>
    <w:multiLevelType w:val="singleLevel"/>
    <w:tmpl w:val="D7DED801"/>
    <w:lvl w:ilvl="0" w:tentative="0">
      <w:start w:val="2"/>
      <w:numFmt w:val="decimal"/>
      <w:suff w:val="nothing"/>
      <w:lvlText w:val="（%1）"/>
      <w:lvlJc w:val="left"/>
    </w:lvl>
  </w:abstractNum>
  <w:abstractNum w:abstractNumId="5">
    <w:nsid w:val="E46C26C6"/>
    <w:multiLevelType w:val="singleLevel"/>
    <w:tmpl w:val="E46C26C6"/>
    <w:lvl w:ilvl="0" w:tentative="0">
      <w:start w:val="1"/>
      <w:numFmt w:val="decimal"/>
      <w:suff w:val="nothing"/>
      <w:lvlText w:val="%1."/>
      <w:lvlJc w:val="left"/>
      <w:pPr>
        <w:ind w:left="630" w:hanging="425"/>
      </w:pPr>
      <w:rPr>
        <w:rFonts w:hint="default"/>
      </w:rPr>
    </w:lvl>
  </w:abstractNum>
  <w:abstractNum w:abstractNumId="6">
    <w:nsid w:val="EF7A8F4D"/>
    <w:multiLevelType w:val="singleLevel"/>
    <w:tmpl w:val="EF7A8F4D"/>
    <w:lvl w:ilvl="0" w:tentative="0">
      <w:start w:val="1"/>
      <w:numFmt w:val="decimal"/>
      <w:suff w:val="nothing"/>
      <w:lvlText w:val="%1、"/>
      <w:lvlJc w:val="left"/>
    </w:lvl>
  </w:abstractNum>
  <w:abstractNum w:abstractNumId="7">
    <w:nsid w:val="0CE5D3FC"/>
    <w:multiLevelType w:val="singleLevel"/>
    <w:tmpl w:val="0CE5D3FC"/>
    <w:lvl w:ilvl="0" w:tentative="0">
      <w:start w:val="4"/>
      <w:numFmt w:val="chineseCounting"/>
      <w:suff w:val="nothing"/>
      <w:lvlText w:val="%1、"/>
      <w:lvlJc w:val="left"/>
      <w:rPr>
        <w:rFonts w:hint="eastAsia"/>
      </w:rPr>
    </w:lvl>
  </w:abstractNum>
  <w:abstractNum w:abstractNumId="8">
    <w:nsid w:val="2074E8D0"/>
    <w:multiLevelType w:val="singleLevel"/>
    <w:tmpl w:val="2074E8D0"/>
    <w:lvl w:ilvl="0" w:tentative="0">
      <w:start w:val="1"/>
      <w:numFmt w:val="decimal"/>
      <w:lvlText w:val="%1."/>
      <w:lvlJc w:val="left"/>
      <w:pPr>
        <w:tabs>
          <w:tab w:val="left" w:pos="312"/>
        </w:tabs>
      </w:pPr>
    </w:lvl>
  </w:abstractNum>
  <w:abstractNum w:abstractNumId="9">
    <w:nsid w:val="730C0AF2"/>
    <w:multiLevelType w:val="singleLevel"/>
    <w:tmpl w:val="730C0AF2"/>
    <w:lvl w:ilvl="0" w:tentative="0">
      <w:start w:val="2"/>
      <w:numFmt w:val="chineseCounting"/>
      <w:suff w:val="nothing"/>
      <w:lvlText w:val="%1、"/>
      <w:lvlJc w:val="left"/>
      <w:rPr>
        <w:rFonts w:hint="eastAsia"/>
      </w:rPr>
    </w:lvl>
  </w:abstractNum>
  <w:num w:numId="1">
    <w:abstractNumId w:val="4"/>
  </w:num>
  <w:num w:numId="2">
    <w:abstractNumId w:val="1"/>
  </w:num>
  <w:num w:numId="3">
    <w:abstractNumId w:val="9"/>
  </w:num>
  <w:num w:numId="4">
    <w:abstractNumId w:val="8"/>
  </w:num>
  <w:num w:numId="5">
    <w:abstractNumId w:val="5"/>
  </w:num>
  <w:num w:numId="6">
    <w:abstractNumId w:val="2"/>
  </w:num>
  <w:num w:numId="7">
    <w:abstractNumId w:val="0"/>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ZDI1ODlhNWRlYjkxN2VjODFmOWI0MTRiZWU2ZjU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901"/>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493"/>
    <w:rsid w:val="001F6A92"/>
    <w:rsid w:val="001F6E3D"/>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4E92"/>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2B7D"/>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0D71"/>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ABA"/>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66C"/>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1FC3"/>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00E8"/>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9F7441"/>
    <w:rsid w:val="01B37585"/>
    <w:rsid w:val="01D55165"/>
    <w:rsid w:val="01DF6BF8"/>
    <w:rsid w:val="01EC2C57"/>
    <w:rsid w:val="025F0711"/>
    <w:rsid w:val="026B2E25"/>
    <w:rsid w:val="02794AFC"/>
    <w:rsid w:val="02824D4D"/>
    <w:rsid w:val="02BE0289"/>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E367F"/>
    <w:rsid w:val="04AF1889"/>
    <w:rsid w:val="04F66F48"/>
    <w:rsid w:val="05251E14"/>
    <w:rsid w:val="05A16594"/>
    <w:rsid w:val="05A7762D"/>
    <w:rsid w:val="060E5941"/>
    <w:rsid w:val="06110FAF"/>
    <w:rsid w:val="06493CA7"/>
    <w:rsid w:val="065A6178"/>
    <w:rsid w:val="066F1CF3"/>
    <w:rsid w:val="06757199"/>
    <w:rsid w:val="06823095"/>
    <w:rsid w:val="06930BB8"/>
    <w:rsid w:val="07245D42"/>
    <w:rsid w:val="07264C62"/>
    <w:rsid w:val="0779354C"/>
    <w:rsid w:val="07B0111D"/>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BF099D"/>
    <w:rsid w:val="09C13146"/>
    <w:rsid w:val="09C82C33"/>
    <w:rsid w:val="09E04166"/>
    <w:rsid w:val="0A1C0718"/>
    <w:rsid w:val="0A3E7710"/>
    <w:rsid w:val="0A5B7E63"/>
    <w:rsid w:val="0AA374A5"/>
    <w:rsid w:val="0AAB7649"/>
    <w:rsid w:val="0ABC5606"/>
    <w:rsid w:val="0B30404E"/>
    <w:rsid w:val="0B4C6C14"/>
    <w:rsid w:val="0B547599"/>
    <w:rsid w:val="0B631A88"/>
    <w:rsid w:val="0B683D45"/>
    <w:rsid w:val="0B78580F"/>
    <w:rsid w:val="0B7F3F11"/>
    <w:rsid w:val="0B884417"/>
    <w:rsid w:val="0BBD1434"/>
    <w:rsid w:val="0BF6188C"/>
    <w:rsid w:val="0BF73C91"/>
    <w:rsid w:val="0C170175"/>
    <w:rsid w:val="0C571A41"/>
    <w:rsid w:val="0C5C1171"/>
    <w:rsid w:val="0C5E1CBC"/>
    <w:rsid w:val="0C615B50"/>
    <w:rsid w:val="0C6A432F"/>
    <w:rsid w:val="0C8445DA"/>
    <w:rsid w:val="0C87121B"/>
    <w:rsid w:val="0CBA4E1D"/>
    <w:rsid w:val="0CC007F7"/>
    <w:rsid w:val="0CC617AC"/>
    <w:rsid w:val="0CE618DF"/>
    <w:rsid w:val="0CFE707A"/>
    <w:rsid w:val="0D063BDA"/>
    <w:rsid w:val="0D08375F"/>
    <w:rsid w:val="0D184CFB"/>
    <w:rsid w:val="0D440B59"/>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67916"/>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1B519E"/>
    <w:rsid w:val="111D3B37"/>
    <w:rsid w:val="11266F33"/>
    <w:rsid w:val="118963A1"/>
    <w:rsid w:val="11C6522A"/>
    <w:rsid w:val="11E104CC"/>
    <w:rsid w:val="11E20309"/>
    <w:rsid w:val="12255233"/>
    <w:rsid w:val="123234A3"/>
    <w:rsid w:val="12530213"/>
    <w:rsid w:val="127723A9"/>
    <w:rsid w:val="12862074"/>
    <w:rsid w:val="12883966"/>
    <w:rsid w:val="129E45B4"/>
    <w:rsid w:val="12D81596"/>
    <w:rsid w:val="12D8627F"/>
    <w:rsid w:val="12F11F28"/>
    <w:rsid w:val="13072A44"/>
    <w:rsid w:val="13200C1E"/>
    <w:rsid w:val="135F4BE2"/>
    <w:rsid w:val="139B1A0A"/>
    <w:rsid w:val="139D25C7"/>
    <w:rsid w:val="13BF3CE4"/>
    <w:rsid w:val="141008D8"/>
    <w:rsid w:val="14125FE6"/>
    <w:rsid w:val="146D271E"/>
    <w:rsid w:val="14982588"/>
    <w:rsid w:val="149A5AD9"/>
    <w:rsid w:val="14A7619D"/>
    <w:rsid w:val="14BA7E1E"/>
    <w:rsid w:val="150536C3"/>
    <w:rsid w:val="150C1963"/>
    <w:rsid w:val="151447A0"/>
    <w:rsid w:val="154A6454"/>
    <w:rsid w:val="15762120"/>
    <w:rsid w:val="16A8729C"/>
    <w:rsid w:val="16B33777"/>
    <w:rsid w:val="16BC70A7"/>
    <w:rsid w:val="16C6339E"/>
    <w:rsid w:val="172F2D79"/>
    <w:rsid w:val="1732087E"/>
    <w:rsid w:val="17557BEF"/>
    <w:rsid w:val="17D349C1"/>
    <w:rsid w:val="17E63F73"/>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1920FD"/>
    <w:rsid w:val="1B2A271F"/>
    <w:rsid w:val="1B530544"/>
    <w:rsid w:val="1B713184"/>
    <w:rsid w:val="1BA209CF"/>
    <w:rsid w:val="1BB4777D"/>
    <w:rsid w:val="1BD75AB8"/>
    <w:rsid w:val="1BD96C46"/>
    <w:rsid w:val="1C0459C2"/>
    <w:rsid w:val="1C1B3B4A"/>
    <w:rsid w:val="1C88086E"/>
    <w:rsid w:val="1D266CE1"/>
    <w:rsid w:val="1D3963AF"/>
    <w:rsid w:val="1D6A673C"/>
    <w:rsid w:val="1D9247AE"/>
    <w:rsid w:val="1DB45753"/>
    <w:rsid w:val="1DB567EC"/>
    <w:rsid w:val="1DF51A98"/>
    <w:rsid w:val="1E022DAA"/>
    <w:rsid w:val="1E2F53D8"/>
    <w:rsid w:val="1E3D060F"/>
    <w:rsid w:val="1E3F7D2E"/>
    <w:rsid w:val="1E4134E4"/>
    <w:rsid w:val="1E5062B3"/>
    <w:rsid w:val="1E523514"/>
    <w:rsid w:val="1E714A66"/>
    <w:rsid w:val="1E802593"/>
    <w:rsid w:val="1E861F8D"/>
    <w:rsid w:val="1E8B6156"/>
    <w:rsid w:val="1EA703CC"/>
    <w:rsid w:val="1EB7330C"/>
    <w:rsid w:val="1F0A0FF3"/>
    <w:rsid w:val="1F1C1B35"/>
    <w:rsid w:val="1F5771FF"/>
    <w:rsid w:val="1F7A08FD"/>
    <w:rsid w:val="1F8FBA8E"/>
    <w:rsid w:val="1FE868A9"/>
    <w:rsid w:val="1FFA25FF"/>
    <w:rsid w:val="20034907"/>
    <w:rsid w:val="20173E4B"/>
    <w:rsid w:val="204E48BC"/>
    <w:rsid w:val="207737BF"/>
    <w:rsid w:val="208921B3"/>
    <w:rsid w:val="20973DEB"/>
    <w:rsid w:val="20B26522"/>
    <w:rsid w:val="20B44310"/>
    <w:rsid w:val="21021A7E"/>
    <w:rsid w:val="211116EB"/>
    <w:rsid w:val="216133FC"/>
    <w:rsid w:val="21B5B083"/>
    <w:rsid w:val="21D56769"/>
    <w:rsid w:val="21E52EF3"/>
    <w:rsid w:val="21FB5D7B"/>
    <w:rsid w:val="22015E94"/>
    <w:rsid w:val="220B1C3D"/>
    <w:rsid w:val="221B2723"/>
    <w:rsid w:val="221D1D20"/>
    <w:rsid w:val="22334A87"/>
    <w:rsid w:val="22A52C56"/>
    <w:rsid w:val="22BE6801"/>
    <w:rsid w:val="22F8366E"/>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3A580A"/>
    <w:rsid w:val="258B00E2"/>
    <w:rsid w:val="25A917A6"/>
    <w:rsid w:val="25BE27CC"/>
    <w:rsid w:val="25F74A5C"/>
    <w:rsid w:val="261F1E81"/>
    <w:rsid w:val="26216C89"/>
    <w:rsid w:val="2628662C"/>
    <w:rsid w:val="262D45DE"/>
    <w:rsid w:val="26777E78"/>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D4522F"/>
    <w:rsid w:val="29F26D24"/>
    <w:rsid w:val="2A15033F"/>
    <w:rsid w:val="2A1662C1"/>
    <w:rsid w:val="2A1C7367"/>
    <w:rsid w:val="2A2815FA"/>
    <w:rsid w:val="2A6D6092"/>
    <w:rsid w:val="2A7D76B4"/>
    <w:rsid w:val="2B437463"/>
    <w:rsid w:val="2B6D12EE"/>
    <w:rsid w:val="2B7807EE"/>
    <w:rsid w:val="2BA50BF7"/>
    <w:rsid w:val="2BBF00EC"/>
    <w:rsid w:val="2BC37CFD"/>
    <w:rsid w:val="2BCD0EFA"/>
    <w:rsid w:val="2BD5237F"/>
    <w:rsid w:val="2BE536CE"/>
    <w:rsid w:val="2BE758D9"/>
    <w:rsid w:val="2C09049E"/>
    <w:rsid w:val="2C0A653C"/>
    <w:rsid w:val="2C191F85"/>
    <w:rsid w:val="2C6208C4"/>
    <w:rsid w:val="2CE82D6F"/>
    <w:rsid w:val="2D343236"/>
    <w:rsid w:val="2DD15014"/>
    <w:rsid w:val="2DF72DE4"/>
    <w:rsid w:val="2E0220AF"/>
    <w:rsid w:val="2E4B082A"/>
    <w:rsid w:val="2E5D4E86"/>
    <w:rsid w:val="2E5D790B"/>
    <w:rsid w:val="2E9A3C18"/>
    <w:rsid w:val="2EBB0FEE"/>
    <w:rsid w:val="2EC63002"/>
    <w:rsid w:val="2F0A6B38"/>
    <w:rsid w:val="2F3D63EF"/>
    <w:rsid w:val="2F946CCB"/>
    <w:rsid w:val="2FD25781"/>
    <w:rsid w:val="2FDC745C"/>
    <w:rsid w:val="2FFD7934"/>
    <w:rsid w:val="30733ACD"/>
    <w:rsid w:val="308C3862"/>
    <w:rsid w:val="309379D8"/>
    <w:rsid w:val="30A270F7"/>
    <w:rsid w:val="30DF1478"/>
    <w:rsid w:val="30EC586F"/>
    <w:rsid w:val="31652218"/>
    <w:rsid w:val="319C6071"/>
    <w:rsid w:val="31AC537E"/>
    <w:rsid w:val="31B86BF2"/>
    <w:rsid w:val="31E3679B"/>
    <w:rsid w:val="31E732FD"/>
    <w:rsid w:val="31F52DDF"/>
    <w:rsid w:val="31FA6D09"/>
    <w:rsid w:val="32517576"/>
    <w:rsid w:val="32BE5C2C"/>
    <w:rsid w:val="32FB6478"/>
    <w:rsid w:val="33263B3F"/>
    <w:rsid w:val="33587748"/>
    <w:rsid w:val="336963EB"/>
    <w:rsid w:val="337C6AEF"/>
    <w:rsid w:val="33816EEB"/>
    <w:rsid w:val="33C32EDD"/>
    <w:rsid w:val="33EB55CD"/>
    <w:rsid w:val="33EC4C02"/>
    <w:rsid w:val="340D2360"/>
    <w:rsid w:val="3410665D"/>
    <w:rsid w:val="34211214"/>
    <w:rsid w:val="342E63AB"/>
    <w:rsid w:val="34950E68"/>
    <w:rsid w:val="34986E94"/>
    <w:rsid w:val="34AF62C9"/>
    <w:rsid w:val="34CB4388"/>
    <w:rsid w:val="34FA6E12"/>
    <w:rsid w:val="354D7158"/>
    <w:rsid w:val="358D5588"/>
    <w:rsid w:val="358D63F4"/>
    <w:rsid w:val="363A3B40"/>
    <w:rsid w:val="364A002F"/>
    <w:rsid w:val="365302AE"/>
    <w:rsid w:val="36607A0A"/>
    <w:rsid w:val="366E227C"/>
    <w:rsid w:val="366F2E0D"/>
    <w:rsid w:val="367B6A5C"/>
    <w:rsid w:val="36846564"/>
    <w:rsid w:val="36A74ADA"/>
    <w:rsid w:val="36AD60D5"/>
    <w:rsid w:val="36B224F9"/>
    <w:rsid w:val="36EC0CC9"/>
    <w:rsid w:val="37267CA4"/>
    <w:rsid w:val="37293C66"/>
    <w:rsid w:val="373F410B"/>
    <w:rsid w:val="37EE7094"/>
    <w:rsid w:val="38296C89"/>
    <w:rsid w:val="383002EB"/>
    <w:rsid w:val="38586797"/>
    <w:rsid w:val="38BC0149"/>
    <w:rsid w:val="38D87D1C"/>
    <w:rsid w:val="393B4615"/>
    <w:rsid w:val="39463BE4"/>
    <w:rsid w:val="39636459"/>
    <w:rsid w:val="396B7F6C"/>
    <w:rsid w:val="39B417A9"/>
    <w:rsid w:val="39C75357"/>
    <w:rsid w:val="39FC5695"/>
    <w:rsid w:val="39FE8953"/>
    <w:rsid w:val="3A006D8E"/>
    <w:rsid w:val="3A357FC3"/>
    <w:rsid w:val="3A3651E5"/>
    <w:rsid w:val="3A744481"/>
    <w:rsid w:val="3A8C7BEF"/>
    <w:rsid w:val="3A906246"/>
    <w:rsid w:val="3B2349B7"/>
    <w:rsid w:val="3B30643F"/>
    <w:rsid w:val="3B4E5664"/>
    <w:rsid w:val="3B616CFF"/>
    <w:rsid w:val="3B6259F6"/>
    <w:rsid w:val="3B976654"/>
    <w:rsid w:val="3BC01EFC"/>
    <w:rsid w:val="3BCA786A"/>
    <w:rsid w:val="3BD31E2F"/>
    <w:rsid w:val="3BF15831"/>
    <w:rsid w:val="3C105946"/>
    <w:rsid w:val="3C2F0C22"/>
    <w:rsid w:val="3C471448"/>
    <w:rsid w:val="3C5F759A"/>
    <w:rsid w:val="3C6C525A"/>
    <w:rsid w:val="3CCE23CB"/>
    <w:rsid w:val="3CD17D17"/>
    <w:rsid w:val="3CE67BCF"/>
    <w:rsid w:val="3D3C7F39"/>
    <w:rsid w:val="3D440F09"/>
    <w:rsid w:val="3D4504A0"/>
    <w:rsid w:val="3D8734BB"/>
    <w:rsid w:val="3D9A11D4"/>
    <w:rsid w:val="3DA16D89"/>
    <w:rsid w:val="3DA364BE"/>
    <w:rsid w:val="3DE041CB"/>
    <w:rsid w:val="3DF55BB1"/>
    <w:rsid w:val="3E0D48F6"/>
    <w:rsid w:val="3E1868B4"/>
    <w:rsid w:val="3E377251"/>
    <w:rsid w:val="3E42664B"/>
    <w:rsid w:val="3E5A7334"/>
    <w:rsid w:val="3E7B5D6B"/>
    <w:rsid w:val="3E843E66"/>
    <w:rsid w:val="3E8F51FE"/>
    <w:rsid w:val="3E926F87"/>
    <w:rsid w:val="3E9A59DE"/>
    <w:rsid w:val="3EA031FF"/>
    <w:rsid w:val="3EAEFD80"/>
    <w:rsid w:val="3EAF4836"/>
    <w:rsid w:val="3EC33DFA"/>
    <w:rsid w:val="3F060E16"/>
    <w:rsid w:val="3F1D1096"/>
    <w:rsid w:val="3F2F0234"/>
    <w:rsid w:val="3F6363FE"/>
    <w:rsid w:val="3F756B8F"/>
    <w:rsid w:val="3F95482B"/>
    <w:rsid w:val="4019356B"/>
    <w:rsid w:val="40592157"/>
    <w:rsid w:val="406E1CAE"/>
    <w:rsid w:val="408E0F77"/>
    <w:rsid w:val="40A0133A"/>
    <w:rsid w:val="40B5207D"/>
    <w:rsid w:val="40C31A53"/>
    <w:rsid w:val="40F5154D"/>
    <w:rsid w:val="40FF545D"/>
    <w:rsid w:val="410067C8"/>
    <w:rsid w:val="414A7CB0"/>
    <w:rsid w:val="418F0D2A"/>
    <w:rsid w:val="41D01505"/>
    <w:rsid w:val="42474939"/>
    <w:rsid w:val="424C3C57"/>
    <w:rsid w:val="42613FF3"/>
    <w:rsid w:val="42660D96"/>
    <w:rsid w:val="428667D2"/>
    <w:rsid w:val="42AE38A9"/>
    <w:rsid w:val="42CD1CE0"/>
    <w:rsid w:val="42E1381E"/>
    <w:rsid w:val="42ED6459"/>
    <w:rsid w:val="42FE58DD"/>
    <w:rsid w:val="43174B3D"/>
    <w:rsid w:val="434B790E"/>
    <w:rsid w:val="4360274F"/>
    <w:rsid w:val="43977AB6"/>
    <w:rsid w:val="43A3342B"/>
    <w:rsid w:val="43C77C27"/>
    <w:rsid w:val="43DE09EE"/>
    <w:rsid w:val="44002FAD"/>
    <w:rsid w:val="449101DD"/>
    <w:rsid w:val="44A26C23"/>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32185E"/>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302F0B"/>
    <w:rsid w:val="4E4666C3"/>
    <w:rsid w:val="4E793892"/>
    <w:rsid w:val="4E800872"/>
    <w:rsid w:val="4EC569ED"/>
    <w:rsid w:val="4ED50EA1"/>
    <w:rsid w:val="4EEC050C"/>
    <w:rsid w:val="4EFF424E"/>
    <w:rsid w:val="4EFF7F5B"/>
    <w:rsid w:val="4F104EC3"/>
    <w:rsid w:val="4F47354A"/>
    <w:rsid w:val="4F911C54"/>
    <w:rsid w:val="4FCC53BC"/>
    <w:rsid w:val="4FE625E0"/>
    <w:rsid w:val="5021480F"/>
    <w:rsid w:val="50943942"/>
    <w:rsid w:val="50962ECB"/>
    <w:rsid w:val="50A42E38"/>
    <w:rsid w:val="50A4577F"/>
    <w:rsid w:val="50B73D1F"/>
    <w:rsid w:val="50BD5BC9"/>
    <w:rsid w:val="50C11EEE"/>
    <w:rsid w:val="50E97CFC"/>
    <w:rsid w:val="50FA4028"/>
    <w:rsid w:val="510D65B7"/>
    <w:rsid w:val="511157AB"/>
    <w:rsid w:val="5142540C"/>
    <w:rsid w:val="5182713F"/>
    <w:rsid w:val="518832C8"/>
    <w:rsid w:val="519D3C50"/>
    <w:rsid w:val="51A0432A"/>
    <w:rsid w:val="51A86090"/>
    <w:rsid w:val="51B7396D"/>
    <w:rsid w:val="522E4CC3"/>
    <w:rsid w:val="5244713B"/>
    <w:rsid w:val="52615633"/>
    <w:rsid w:val="526F4DE4"/>
    <w:rsid w:val="52977FD4"/>
    <w:rsid w:val="52A25790"/>
    <w:rsid w:val="52A96B6F"/>
    <w:rsid w:val="52B45975"/>
    <w:rsid w:val="52CB1F12"/>
    <w:rsid w:val="52D94AA4"/>
    <w:rsid w:val="52EA3A62"/>
    <w:rsid w:val="52F50BB8"/>
    <w:rsid w:val="52F55644"/>
    <w:rsid w:val="53097272"/>
    <w:rsid w:val="53544462"/>
    <w:rsid w:val="53864205"/>
    <w:rsid w:val="5397158E"/>
    <w:rsid w:val="54013861"/>
    <w:rsid w:val="54487265"/>
    <w:rsid w:val="544D6070"/>
    <w:rsid w:val="54605E1E"/>
    <w:rsid w:val="54B3506A"/>
    <w:rsid w:val="54C4229A"/>
    <w:rsid w:val="54CA0D16"/>
    <w:rsid w:val="54DD4057"/>
    <w:rsid w:val="54E7490F"/>
    <w:rsid w:val="550764A4"/>
    <w:rsid w:val="550B2BF6"/>
    <w:rsid w:val="55214EB5"/>
    <w:rsid w:val="55364EFD"/>
    <w:rsid w:val="555D4828"/>
    <w:rsid w:val="557A4C8B"/>
    <w:rsid w:val="55871CF5"/>
    <w:rsid w:val="558931E1"/>
    <w:rsid w:val="55923347"/>
    <w:rsid w:val="55925180"/>
    <w:rsid w:val="55983B1B"/>
    <w:rsid w:val="55A8376B"/>
    <w:rsid w:val="55DC29B6"/>
    <w:rsid w:val="55DD4241"/>
    <w:rsid w:val="566B6D1E"/>
    <w:rsid w:val="56917403"/>
    <w:rsid w:val="56A7A765"/>
    <w:rsid w:val="57032A2C"/>
    <w:rsid w:val="570F5219"/>
    <w:rsid w:val="575C16A5"/>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EC0C3"/>
    <w:rsid w:val="58482120"/>
    <w:rsid w:val="588444FC"/>
    <w:rsid w:val="58917D2F"/>
    <w:rsid w:val="5894085C"/>
    <w:rsid w:val="58AE4F0C"/>
    <w:rsid w:val="58B85899"/>
    <w:rsid w:val="58E363A9"/>
    <w:rsid w:val="595E1678"/>
    <w:rsid w:val="596D5BD4"/>
    <w:rsid w:val="597E3DD8"/>
    <w:rsid w:val="59F80043"/>
    <w:rsid w:val="5A09252F"/>
    <w:rsid w:val="5A0B2778"/>
    <w:rsid w:val="5A15174D"/>
    <w:rsid w:val="5A2A7C7B"/>
    <w:rsid w:val="5A3E2560"/>
    <w:rsid w:val="5A3E54F4"/>
    <w:rsid w:val="5A5D3B6E"/>
    <w:rsid w:val="5A637A76"/>
    <w:rsid w:val="5A6D33BA"/>
    <w:rsid w:val="5A792B1F"/>
    <w:rsid w:val="5A874767"/>
    <w:rsid w:val="5AA85BE2"/>
    <w:rsid w:val="5AAD6F28"/>
    <w:rsid w:val="5AD63A24"/>
    <w:rsid w:val="5B2E1A1D"/>
    <w:rsid w:val="5B843A1C"/>
    <w:rsid w:val="5B873E3F"/>
    <w:rsid w:val="5C02690E"/>
    <w:rsid w:val="5C196DA7"/>
    <w:rsid w:val="5C2A048C"/>
    <w:rsid w:val="5C585E94"/>
    <w:rsid w:val="5C80234E"/>
    <w:rsid w:val="5C8A680C"/>
    <w:rsid w:val="5D0C4701"/>
    <w:rsid w:val="5D0F0395"/>
    <w:rsid w:val="5D200FA7"/>
    <w:rsid w:val="5D221076"/>
    <w:rsid w:val="5D397964"/>
    <w:rsid w:val="5D503B28"/>
    <w:rsid w:val="5D5A391C"/>
    <w:rsid w:val="5D5F10C0"/>
    <w:rsid w:val="5D891B7B"/>
    <w:rsid w:val="5DA17E81"/>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BA1F31"/>
    <w:rsid w:val="5FCC5339"/>
    <w:rsid w:val="5FE34A5B"/>
    <w:rsid w:val="5FE567E3"/>
    <w:rsid w:val="5FFE1E36"/>
    <w:rsid w:val="60232584"/>
    <w:rsid w:val="60405681"/>
    <w:rsid w:val="607330CE"/>
    <w:rsid w:val="60825176"/>
    <w:rsid w:val="609F2AC4"/>
    <w:rsid w:val="60CE5BCF"/>
    <w:rsid w:val="60FA2EE8"/>
    <w:rsid w:val="61054A27"/>
    <w:rsid w:val="610A52BC"/>
    <w:rsid w:val="61126572"/>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8D79C4"/>
    <w:rsid w:val="65EB1A11"/>
    <w:rsid w:val="66195831"/>
    <w:rsid w:val="661C2CA5"/>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36AD6"/>
    <w:rsid w:val="68E937A3"/>
    <w:rsid w:val="693E15D3"/>
    <w:rsid w:val="695B4640"/>
    <w:rsid w:val="69627681"/>
    <w:rsid w:val="6977531D"/>
    <w:rsid w:val="69CC2BFF"/>
    <w:rsid w:val="69FD55B8"/>
    <w:rsid w:val="6A0B1C62"/>
    <w:rsid w:val="6A2406C8"/>
    <w:rsid w:val="6A444685"/>
    <w:rsid w:val="6A9D6278"/>
    <w:rsid w:val="6ADE0BD1"/>
    <w:rsid w:val="6AE96859"/>
    <w:rsid w:val="6B147746"/>
    <w:rsid w:val="6B24787C"/>
    <w:rsid w:val="6B573233"/>
    <w:rsid w:val="6B5B6274"/>
    <w:rsid w:val="6B777684"/>
    <w:rsid w:val="6B935D53"/>
    <w:rsid w:val="6BF90264"/>
    <w:rsid w:val="6C196F71"/>
    <w:rsid w:val="6C226FCB"/>
    <w:rsid w:val="6C24540A"/>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502A8"/>
    <w:rsid w:val="6F2A7D94"/>
    <w:rsid w:val="6F8331F1"/>
    <w:rsid w:val="6FAE1A09"/>
    <w:rsid w:val="6FB36A19"/>
    <w:rsid w:val="6FB86358"/>
    <w:rsid w:val="6FBF0E01"/>
    <w:rsid w:val="6FD75BF8"/>
    <w:rsid w:val="707723D0"/>
    <w:rsid w:val="707D6A8A"/>
    <w:rsid w:val="70F5661B"/>
    <w:rsid w:val="71360107"/>
    <w:rsid w:val="713B688E"/>
    <w:rsid w:val="719077DA"/>
    <w:rsid w:val="71D43752"/>
    <w:rsid w:val="71F1796A"/>
    <w:rsid w:val="72154626"/>
    <w:rsid w:val="72201725"/>
    <w:rsid w:val="72262B5D"/>
    <w:rsid w:val="72283FF7"/>
    <w:rsid w:val="722E7212"/>
    <w:rsid w:val="723A0474"/>
    <w:rsid w:val="725923E4"/>
    <w:rsid w:val="726E5CBB"/>
    <w:rsid w:val="72864BF7"/>
    <w:rsid w:val="729023FC"/>
    <w:rsid w:val="72954A65"/>
    <w:rsid w:val="72ED658E"/>
    <w:rsid w:val="7362065C"/>
    <w:rsid w:val="73C0646E"/>
    <w:rsid w:val="742222F5"/>
    <w:rsid w:val="744040C3"/>
    <w:rsid w:val="74476126"/>
    <w:rsid w:val="74706664"/>
    <w:rsid w:val="747F3682"/>
    <w:rsid w:val="749C4185"/>
    <w:rsid w:val="74EB7541"/>
    <w:rsid w:val="75067759"/>
    <w:rsid w:val="752E6DCD"/>
    <w:rsid w:val="7551380D"/>
    <w:rsid w:val="75600BE5"/>
    <w:rsid w:val="7564475C"/>
    <w:rsid w:val="7583797F"/>
    <w:rsid w:val="759D3E47"/>
    <w:rsid w:val="75D20F1D"/>
    <w:rsid w:val="75DA2C18"/>
    <w:rsid w:val="75F54412"/>
    <w:rsid w:val="761D08E0"/>
    <w:rsid w:val="765D347C"/>
    <w:rsid w:val="767F5073"/>
    <w:rsid w:val="76826699"/>
    <w:rsid w:val="76BD238D"/>
    <w:rsid w:val="76C87133"/>
    <w:rsid w:val="76CD08D5"/>
    <w:rsid w:val="76DB4B92"/>
    <w:rsid w:val="76DF8713"/>
    <w:rsid w:val="77052AA4"/>
    <w:rsid w:val="77136511"/>
    <w:rsid w:val="77184757"/>
    <w:rsid w:val="77340A39"/>
    <w:rsid w:val="77351FD0"/>
    <w:rsid w:val="77472422"/>
    <w:rsid w:val="777F31F2"/>
    <w:rsid w:val="77BD769A"/>
    <w:rsid w:val="77D1700D"/>
    <w:rsid w:val="77D67211"/>
    <w:rsid w:val="77DB6EBD"/>
    <w:rsid w:val="77EC04CC"/>
    <w:rsid w:val="784F0A0B"/>
    <w:rsid w:val="78775729"/>
    <w:rsid w:val="78A42DB0"/>
    <w:rsid w:val="78A656AB"/>
    <w:rsid w:val="78B2245C"/>
    <w:rsid w:val="78BB6E67"/>
    <w:rsid w:val="78E172CC"/>
    <w:rsid w:val="78EA1D1F"/>
    <w:rsid w:val="7904172F"/>
    <w:rsid w:val="790F7E27"/>
    <w:rsid w:val="792A231A"/>
    <w:rsid w:val="79316829"/>
    <w:rsid w:val="797E66A9"/>
    <w:rsid w:val="798518A4"/>
    <w:rsid w:val="79A97383"/>
    <w:rsid w:val="79E27E8B"/>
    <w:rsid w:val="79F645B9"/>
    <w:rsid w:val="79F850CE"/>
    <w:rsid w:val="79FD443C"/>
    <w:rsid w:val="7A1D1975"/>
    <w:rsid w:val="7A3E5150"/>
    <w:rsid w:val="7A4670D6"/>
    <w:rsid w:val="7A534B63"/>
    <w:rsid w:val="7A5C26D2"/>
    <w:rsid w:val="7A615382"/>
    <w:rsid w:val="7A67303B"/>
    <w:rsid w:val="7AAB1D04"/>
    <w:rsid w:val="7ABA4368"/>
    <w:rsid w:val="7AD05746"/>
    <w:rsid w:val="7B1F2484"/>
    <w:rsid w:val="7B257FFD"/>
    <w:rsid w:val="7B343476"/>
    <w:rsid w:val="7B5A2978"/>
    <w:rsid w:val="7B5A7E4C"/>
    <w:rsid w:val="7B667AF9"/>
    <w:rsid w:val="7B7468F8"/>
    <w:rsid w:val="7B97B7C7"/>
    <w:rsid w:val="7BEE0103"/>
    <w:rsid w:val="7BEFEBAF"/>
    <w:rsid w:val="7C0A0FE4"/>
    <w:rsid w:val="7C254906"/>
    <w:rsid w:val="7C3FBA57"/>
    <w:rsid w:val="7C590818"/>
    <w:rsid w:val="7C7C10F6"/>
    <w:rsid w:val="7C853BEA"/>
    <w:rsid w:val="7C881368"/>
    <w:rsid w:val="7CDC4D98"/>
    <w:rsid w:val="7CE27788"/>
    <w:rsid w:val="7D0C32F1"/>
    <w:rsid w:val="7D0F408D"/>
    <w:rsid w:val="7D491C6C"/>
    <w:rsid w:val="7D5429C0"/>
    <w:rsid w:val="7D5D9748"/>
    <w:rsid w:val="7D6E6D43"/>
    <w:rsid w:val="7DB57A34"/>
    <w:rsid w:val="7DBCB991"/>
    <w:rsid w:val="7DE60973"/>
    <w:rsid w:val="7DEF0916"/>
    <w:rsid w:val="7E1E5218"/>
    <w:rsid w:val="7E9A4E1F"/>
    <w:rsid w:val="7EA7723A"/>
    <w:rsid w:val="7ED52645"/>
    <w:rsid w:val="7EF56FBB"/>
    <w:rsid w:val="7EFFD5C6"/>
    <w:rsid w:val="7F0768EB"/>
    <w:rsid w:val="7F127234"/>
    <w:rsid w:val="7F143BEC"/>
    <w:rsid w:val="7F70A276"/>
    <w:rsid w:val="7F715AF2"/>
    <w:rsid w:val="7F886E69"/>
    <w:rsid w:val="7FFE0F09"/>
    <w:rsid w:val="8F2F99E7"/>
    <w:rsid w:val="9EF6D70B"/>
    <w:rsid w:val="9FFDEE6D"/>
    <w:rsid w:val="A7F9280E"/>
    <w:rsid w:val="AFFD79B9"/>
    <w:rsid w:val="BB7FA927"/>
    <w:rsid w:val="D3EE3DCA"/>
    <w:rsid w:val="D6DE5EB8"/>
    <w:rsid w:val="DE7C4D91"/>
    <w:rsid w:val="DF57B7F0"/>
    <w:rsid w:val="DFA75436"/>
    <w:rsid w:val="DFFB784C"/>
    <w:rsid w:val="DFFEA817"/>
    <w:rsid w:val="EB7FA686"/>
    <w:rsid w:val="ECA14CF8"/>
    <w:rsid w:val="F4E5E53A"/>
    <w:rsid w:val="F4F31DAF"/>
    <w:rsid w:val="F5C9E02D"/>
    <w:rsid w:val="F5FFD31F"/>
    <w:rsid w:val="F7CBDC77"/>
    <w:rsid w:val="FB6B1E6A"/>
    <w:rsid w:val="FB9C63DD"/>
    <w:rsid w:val="FC7FD603"/>
    <w:rsid w:val="FDFB129A"/>
    <w:rsid w:val="FE4F11C2"/>
    <w:rsid w:val="FE9E4729"/>
    <w:rsid w:val="FFFB5FF1"/>
    <w:rsid w:val="FFFF5E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6"/>
    <w:qFormat/>
    <w:uiPriority w:val="0"/>
    <w:rPr>
      <w:b/>
      <w:bCs/>
    </w:rPr>
  </w:style>
  <w:style w:type="paragraph" w:styleId="60">
    <w:name w:val="Body Text First Indent"/>
    <w:basedOn w:val="2"/>
    <w:next w:val="50"/>
    <w:link w:val="322"/>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5"/>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next w:val="39"/>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69"/>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321"/>
    <w:link w:val="319"/>
    <w:qFormat/>
    <w:uiPriority w:val="0"/>
    <w:pPr>
      <w:tabs>
        <w:tab w:val="right" w:leader="dot" w:pos="8268"/>
      </w:tabs>
      <w:adjustRightInd/>
    </w:pPr>
    <w:rPr>
      <w:rFonts w:ascii="宋体" w:hAnsi="Courier New"/>
      <w:kern w:val="0"/>
      <w:sz w:val="20"/>
      <w:szCs w:val="20"/>
    </w:rPr>
  </w:style>
  <w:style w:type="paragraph" w:customStyle="1" w:styleId="321">
    <w:name w:val="正文1"/>
    <w:basedOn w:val="31"/>
    <w:qFormat/>
    <w:uiPriority w:val="0"/>
    <w:pPr>
      <w:ind w:left="0" w:leftChars="0" w:firstLine="480" w:firstLineChars="200"/>
    </w:pPr>
    <w:rPr>
      <w:rFonts w:ascii="仿宋_GB2312" w:hAnsi="Courier New" w:eastAsia="仿宋_GB2312"/>
      <w:kern w:val="28"/>
      <w:sz w:val="24"/>
    </w:rPr>
  </w:style>
  <w:style w:type="character" w:customStyle="1" w:styleId="322">
    <w:name w:val="正文首行缩进 字符"/>
    <w:link w:val="60"/>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0"/>
    <w:qFormat/>
    <w:uiPriority w:val="99"/>
    <w:rPr>
      <w:kern w:val="2"/>
      <w:sz w:val="21"/>
      <w:szCs w:val="24"/>
    </w:rPr>
  </w:style>
  <w:style w:type="character" w:customStyle="1" w:styleId="346">
    <w:name w:val="签名 字符"/>
    <w:link w:val="41"/>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2"/>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0"/>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5"/>
    <w:next w:val="235"/>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5"/>
    <w:next w:val="235"/>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7"/>
    <w:qFormat/>
    <w:uiPriority w:val="0"/>
    <w:rPr>
      <w:kern w:val="2"/>
      <w:sz w:val="21"/>
      <w:szCs w:val="24"/>
      <w:lang w:val="zh-CN"/>
    </w:rPr>
  </w:style>
  <w:style w:type="character" w:customStyle="1" w:styleId="933">
    <w:name w:val="无间隔 字符"/>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标题 21"/>
    <w:basedOn w:val="1"/>
    <w:qFormat/>
    <w:uiPriority w:val="1"/>
    <w:pPr>
      <w:autoSpaceDE w:val="0"/>
      <w:autoSpaceDN w:val="0"/>
      <w:spacing w:before="140"/>
      <w:ind w:left="600"/>
      <w:jc w:val="left"/>
      <w:outlineLvl w:val="2"/>
    </w:pPr>
    <w:rPr>
      <w:rFonts w:ascii="宋体" w:hAnsi="宋体" w:cs="宋体"/>
      <w:kern w:val="0"/>
      <w:sz w:val="27"/>
      <w:szCs w:val="27"/>
      <w:lang w:val="zh-CN" w:bidi="zh-CN"/>
    </w:rPr>
  </w:style>
  <w:style w:type="paragraph" w:customStyle="1" w:styleId="966">
    <w:name w:val="_Style 4"/>
    <w:basedOn w:val="1"/>
    <w:qFormat/>
    <w:uiPriority w:val="34"/>
    <w:pPr>
      <w:widowControl/>
      <w:adjustRightInd/>
      <w:spacing w:after="200"/>
      <w:ind w:firstLine="420" w:firstLineChars="200"/>
      <w:jc w:val="left"/>
    </w:pPr>
    <w:rPr>
      <w:rFonts w:ascii="仿宋" w:hAnsi="仿宋" w:eastAsia="仿宋_GB2312" w:cs="黑体"/>
      <w:kern w:val="0"/>
      <w:sz w:val="28"/>
      <w:szCs w:val="22"/>
    </w:rPr>
  </w:style>
  <w:style w:type="paragraph" w:customStyle="1" w:styleId="967">
    <w:name w:val="null3"/>
    <w:qFormat/>
    <w:uiPriority w:val="0"/>
    <w:rPr>
      <w:rFonts w:hint="eastAsia" w:ascii="Calibri" w:hAnsi="Calibri" w:eastAsia="宋体" w:cs="Times New Roman"/>
      <w:lang w:val="en-US" w:eastAsia="zh-CN" w:bidi="ar-SA"/>
    </w:rPr>
  </w:style>
  <w:style w:type="paragraph" w:customStyle="1" w:styleId="968">
    <w:name w:val="Table Style 2"/>
    <w:qFormat/>
    <w:uiPriority w:val="0"/>
    <w:rPr>
      <w:rFonts w:ascii="Helvetica Neue" w:hAnsi="Helvetica Neue" w:eastAsia="Helvetica Neue" w:cs="Helvetica Neue"/>
      <w:color w:val="000000"/>
      <w:lang w:val="en-US" w:eastAsia="zh-CN" w:bidi="ar-SA"/>
    </w:rPr>
  </w:style>
  <w:style w:type="paragraph" w:customStyle="1" w:styleId="969">
    <w:name w:val="表格字体"/>
    <w:basedOn w:val="16"/>
    <w:qFormat/>
    <w:uiPriority w:val="0"/>
    <w:pPr>
      <w:spacing w:line="240" w:lineRule="auto"/>
      <w:ind w:firstLine="0"/>
      <w:jc w:val="center"/>
    </w:pPr>
    <w:rPr>
      <w:sz w:val="21"/>
    </w:rPr>
  </w:style>
  <w:style w:type="paragraph" w:customStyle="1" w:styleId="970">
    <w:name w:val="_正文"/>
    <w:basedOn w:val="1"/>
    <w:qFormat/>
    <w:uiPriority w:val="0"/>
    <w:pPr>
      <w:tabs>
        <w:tab w:val="left" w:pos="840"/>
      </w:tabs>
      <w:spacing w:line="360" w:lineRule="auto"/>
      <w:ind w:firstLine="200" w:firstLineChars="200"/>
    </w:pPr>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101</Pages>
  <Words>7023</Words>
  <Characters>7572</Characters>
  <Lines>1</Lines>
  <Paragraphs>1</Paragraphs>
  <TotalTime>2</TotalTime>
  <ScaleCrop>false</ScaleCrop>
  <LinksUpToDate>false</LinksUpToDate>
  <CharactersWithSpaces>8023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2021-08-05T16:22:00Z</dcterms:created>
  <dc:creator>玥</dc:creator>
  <cp:lastModifiedBy>野兔太郎</cp:lastModifiedBy>
  <cp:lastPrinted>2025-07-04T09:14:00Z</cp:lastPrinted>
  <dcterms:modified xsi:type="dcterms:W3CDTF">2025-07-09T10:40:56Z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849131EF717C4A1BBBD68C81136F8066_13</vt:lpwstr>
  </property>
  <property fmtid="{D5CDD505-2E9C-101B-9397-08002B2CF9AE}" pid="5" name="KSOTemplateDocerSaveRecord">
    <vt:lpwstr>eyJoZGlkIjoiMjU4MDY2YjUzYTZkNmZjYTVhM2I5MzhmOGFjZGZjNjAiLCJ1c2VySWQiOiI0MDk0MDE0ODMifQ==</vt:lpwstr>
  </property>
</Properties>
</file>