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adjustRightInd/>
        <w:spacing w:line="360" w:lineRule="auto"/>
        <w:rPr>
          <w:rFonts w:ascii="仿宋" w:hAnsi="仿宋" w:eastAsia="仿宋" w:cs="仿宋"/>
          <w:b/>
          <w:sz w:val="44"/>
          <w:szCs w:val="44"/>
        </w:rPr>
      </w:pPr>
      <w:r>
        <w:rPr>
          <w:rFonts w:hint="eastAsia" w:ascii="仿宋" w:hAnsi="仿宋" w:eastAsia="仿宋" w:cs="仿宋"/>
          <w:b/>
          <w:sz w:val="44"/>
          <w:szCs w:val="44"/>
        </w:rPr>
        <w:t xml:space="preserve"> </w:t>
      </w:r>
    </w:p>
    <w:p>
      <w:pPr>
        <w:tabs>
          <w:tab w:val="left" w:pos="1276"/>
        </w:tabs>
        <w:kinsoku/>
        <w:wordWrap w:val="0"/>
        <w:overflowPunct/>
        <w:topLinePunct/>
        <w:spacing w:line="1000" w:lineRule="exact"/>
        <w:jc w:val="center"/>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eastAsia="zh-CN"/>
        </w:rPr>
        <w:t>长合区企业百万员工大培训项目</w:t>
      </w:r>
    </w:p>
    <w:p>
      <w:pPr>
        <w:adjustRightInd/>
        <w:spacing w:line="360" w:lineRule="auto"/>
        <w:jc w:val="center"/>
        <w:rPr>
          <w:rFonts w:ascii="仿宋" w:hAnsi="仿宋" w:eastAsia="仿宋" w:cs="仿宋"/>
          <w:b/>
          <w:w w:val="95"/>
          <w:sz w:val="72"/>
          <w:szCs w:val="72"/>
          <w:lang w:val="zh-CN"/>
        </w:rPr>
      </w:pPr>
    </w:p>
    <w:p>
      <w:pPr>
        <w:adjustRightInd/>
        <w:spacing w:line="360" w:lineRule="auto"/>
        <w:jc w:val="center"/>
        <w:rPr>
          <w:rFonts w:ascii="仿宋" w:hAnsi="仿宋" w:eastAsia="仿宋" w:cs="仿宋"/>
          <w:b/>
          <w:w w:val="95"/>
          <w:sz w:val="72"/>
          <w:szCs w:val="72"/>
          <w:lang w:val="zh-CN"/>
        </w:rPr>
      </w:pPr>
    </w:p>
    <w:p>
      <w:pPr>
        <w:adjustRightInd/>
        <w:spacing w:line="360" w:lineRule="auto"/>
        <w:jc w:val="center"/>
        <w:rPr>
          <w:rFonts w:ascii="仿宋" w:hAnsi="仿宋" w:eastAsia="仿宋" w:cs="仿宋"/>
          <w:b/>
          <w:sz w:val="72"/>
          <w:szCs w:val="72"/>
        </w:rPr>
      </w:pPr>
      <w:r>
        <w:rPr>
          <w:rFonts w:hint="eastAsia" w:ascii="仿宋" w:hAnsi="仿宋" w:eastAsia="仿宋" w:cs="仿宋"/>
          <w:b/>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b/>
          <w:sz w:val="30"/>
          <w:szCs w:val="30"/>
        </w:rPr>
      </w:pPr>
    </w:p>
    <w:p>
      <w:pPr>
        <w:adjustRightInd/>
        <w:spacing w:line="360" w:lineRule="auto"/>
        <w:jc w:val="center"/>
        <w:rPr>
          <w:rFonts w:hint="eastAsia" w:ascii="仿宋" w:hAnsi="仿宋" w:eastAsia="仿宋" w:cs="仿宋"/>
          <w:b/>
          <w:sz w:val="28"/>
          <w:szCs w:val="20"/>
          <w:lang w:eastAsia="zh-CN"/>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FDCCX-2024-003(CG)</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pStyle w:val="182"/>
        <w:widowControl w:val="0"/>
        <w:spacing w:before="0" w:beforeAutospacing="0" w:after="0" w:afterAutospacing="0" w:line="360" w:lineRule="auto"/>
        <w:textAlignment w:val="auto"/>
        <w:rPr>
          <w:rFonts w:hint="default" w:ascii="仿宋" w:hAnsi="仿宋" w:eastAsia="仿宋" w:cs="仿宋"/>
          <w:b/>
          <w:kern w:val="2"/>
        </w:rPr>
      </w:pPr>
    </w:p>
    <w:p>
      <w:pPr>
        <w:pStyle w:val="182"/>
        <w:widowControl w:val="0"/>
        <w:spacing w:before="0" w:beforeAutospacing="0" w:after="0" w:afterAutospacing="0" w:line="360" w:lineRule="auto"/>
        <w:textAlignment w:val="auto"/>
        <w:rPr>
          <w:rFonts w:hint="default" w:ascii="仿宋" w:hAnsi="仿宋" w:eastAsia="仿宋" w:cs="仿宋"/>
          <w:b/>
          <w:kern w:val="2"/>
        </w:rPr>
      </w:pPr>
    </w:p>
    <w:p>
      <w:pPr>
        <w:spacing w:line="360" w:lineRule="auto"/>
        <w:rPr>
          <w:rFonts w:ascii="仿宋" w:hAnsi="仿宋" w:eastAsia="仿宋" w:cs="仿宋"/>
          <w:b/>
          <w:sz w:val="24"/>
        </w:rPr>
      </w:pPr>
      <w:r>
        <w:rPr>
          <w:rFonts w:hint="eastAsia" w:ascii="仿宋" w:hAnsi="仿宋" w:eastAsia="仿宋" w:cs="仿宋"/>
          <w:b/>
          <w:sz w:val="24"/>
        </w:rPr>
        <w:t xml:space="preserve">                                      </w:t>
      </w:r>
    </w:p>
    <w:p>
      <w:pPr>
        <w:snapToGrid w:val="0"/>
        <w:spacing w:line="360" w:lineRule="auto"/>
        <w:jc w:val="center"/>
        <w:rPr>
          <w:rFonts w:ascii="仿宋" w:hAnsi="仿宋" w:eastAsia="仿宋" w:cs="仿宋"/>
          <w:b/>
          <w:sz w:val="32"/>
          <w:szCs w:val="32"/>
        </w:rPr>
      </w:pPr>
    </w:p>
    <w:p>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采购单位：</w:t>
      </w:r>
      <w:r>
        <w:rPr>
          <w:rFonts w:hint="eastAsia" w:ascii="仿宋" w:hAnsi="仿宋" w:eastAsia="仿宋" w:cs="仿宋"/>
          <w:b/>
          <w:spacing w:val="-4"/>
          <w:sz w:val="28"/>
          <w:szCs w:val="28"/>
          <w:u w:val="single"/>
          <w:lang w:eastAsia="zh-CN"/>
        </w:rPr>
        <w:t>长三角（湖州）产业合作区管理委员会</w:t>
      </w:r>
      <w:r>
        <w:rPr>
          <w:rFonts w:hint="eastAsia" w:ascii="仿宋" w:hAnsi="仿宋" w:eastAsia="仿宋" w:cs="仿宋"/>
          <w:b/>
          <w:spacing w:val="-4"/>
          <w:sz w:val="28"/>
          <w:szCs w:val="28"/>
          <w:u w:val="single"/>
        </w:rPr>
        <w:t xml:space="preserve">         （盖章）  </w:t>
      </w:r>
    </w:p>
    <w:p>
      <w:pPr>
        <w:pStyle w:val="32"/>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代理机构：</w:t>
      </w:r>
      <w:r>
        <w:rPr>
          <w:rFonts w:hint="eastAsia" w:ascii="仿宋" w:hAnsi="仿宋" w:eastAsia="仿宋" w:cs="仿宋"/>
          <w:b/>
          <w:sz w:val="28"/>
          <w:szCs w:val="28"/>
          <w:u w:val="single"/>
          <w:lang w:eastAsia="zh-CN"/>
        </w:rPr>
        <w:t xml:space="preserve">浙江省房地产管理咨询有限公司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pPr>
        <w:pStyle w:val="32"/>
        <w:snapToGrid w:val="0"/>
        <w:spacing w:before="120" w:after="120" w:line="400" w:lineRule="exact"/>
        <w:rPr>
          <w:rFonts w:ascii="仿宋" w:hAnsi="仿宋" w:eastAsia="仿宋" w:cs="仿宋"/>
          <w:b/>
          <w:spacing w:val="-4"/>
          <w:sz w:val="28"/>
          <w:szCs w:val="28"/>
          <w:u w:val="single"/>
        </w:rPr>
      </w:pPr>
    </w:p>
    <w:p>
      <w:pPr>
        <w:spacing w:line="360" w:lineRule="auto"/>
        <w:jc w:val="center"/>
        <w:rPr>
          <w:rFonts w:ascii="仿宋" w:hAnsi="仿宋" w:eastAsia="仿宋" w:cs="仿宋"/>
          <w:sz w:val="24"/>
        </w:rPr>
      </w:pPr>
      <w:bookmarkStart w:id="0" w:name="_Toc11106"/>
      <w:bookmarkStart w:id="1" w:name="_Toc15483"/>
      <w:bookmarkStart w:id="2" w:name="_Toc26062"/>
      <w:r>
        <w:rPr>
          <w:rFonts w:hint="eastAsia" w:ascii="仿宋" w:hAnsi="仿宋" w:eastAsia="仿宋" w:cs="仿宋"/>
          <w:b/>
          <w:snapToGrid w:val="0"/>
          <w:sz w:val="32"/>
        </w:rPr>
        <w:t>日   期：202</w:t>
      </w:r>
      <w:r>
        <w:rPr>
          <w:rFonts w:hint="eastAsia" w:ascii="仿宋" w:hAnsi="仿宋" w:eastAsia="仿宋" w:cs="仿宋"/>
          <w:b/>
          <w:snapToGrid w:val="0"/>
          <w:sz w:val="32"/>
          <w:lang w:val="en-US" w:eastAsia="zh-CN"/>
        </w:rPr>
        <w:t>4</w:t>
      </w:r>
      <w:r>
        <w:rPr>
          <w:rFonts w:hint="eastAsia" w:ascii="仿宋" w:hAnsi="仿宋" w:eastAsia="仿宋" w:cs="仿宋"/>
          <w:b/>
          <w:snapToGrid w:val="0"/>
          <w:sz w:val="32"/>
        </w:rPr>
        <w:t>年0</w:t>
      </w:r>
      <w:r>
        <w:rPr>
          <w:rFonts w:hint="eastAsia" w:ascii="仿宋" w:hAnsi="仿宋" w:eastAsia="仿宋" w:cs="仿宋"/>
          <w:b/>
          <w:snapToGrid w:val="0"/>
          <w:sz w:val="32"/>
          <w:lang w:val="en-US" w:eastAsia="zh-CN"/>
        </w:rPr>
        <w:t>4</w:t>
      </w:r>
      <w:r>
        <w:rPr>
          <w:rFonts w:hint="eastAsia" w:ascii="仿宋" w:hAnsi="仿宋" w:eastAsia="仿宋" w:cs="仿宋"/>
          <w:b/>
          <w:snapToGrid w:val="0"/>
          <w:sz w:val="32"/>
        </w:rPr>
        <w:t>月</w:t>
      </w:r>
      <w:bookmarkEnd w:id="0"/>
      <w:bookmarkEnd w:id="1"/>
      <w:bookmarkEnd w:id="2"/>
      <w:r>
        <w:rPr>
          <w:rFonts w:hint="eastAsia" w:ascii="仿宋" w:hAnsi="仿宋" w:eastAsia="仿宋" w:cs="仿宋"/>
          <w:sz w:val="24"/>
        </w:rPr>
        <w:br w:type="page"/>
      </w:r>
      <w:bookmarkStart w:id="3" w:name="_Hlt67893495"/>
      <w:bookmarkEnd w:id="3"/>
    </w:p>
    <w:p>
      <w:pPr>
        <w:tabs>
          <w:tab w:val="left" w:pos="2268"/>
        </w:tabs>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ascii="仿宋" w:hAnsi="仿宋" w:eastAsia="仿宋" w:cs="仿宋"/>
          <w:sz w:val="24"/>
        </w:rPr>
      </w:pPr>
      <w:bookmarkStart w:id="4" w:name="_Hlt91233176"/>
      <w:bookmarkEnd w:id="4"/>
      <w:bookmarkStart w:id="5"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6" w:name="第一部分"/>
      <w:r>
        <w:rPr>
          <w:rFonts w:hint="eastAsia" w:ascii="仿宋" w:hAnsi="仿宋" w:eastAsia="仿宋" w:cs="仿宋"/>
          <w:b/>
          <w:sz w:val="36"/>
          <w:szCs w:val="36"/>
        </w:rPr>
        <w:br w:type="page"/>
      </w:r>
      <w:bookmarkEnd w:id="5"/>
      <w:bookmarkEnd w:id="6"/>
      <w:bookmarkStart w:id="7" w:name="_Hlt74728647"/>
      <w:bookmarkEnd w:id="7"/>
      <w:bookmarkStart w:id="8" w:name="_Hlt74729822"/>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仿宋" w:hAnsi="仿宋" w:eastAsia="仿宋" w:cs="仿宋"/>
          <w:b/>
          <w:sz w:val="36"/>
          <w:szCs w:val="20"/>
        </w:rPr>
        <w:t>第一部分  竞争性磋商公告</w:t>
      </w:r>
    </w:p>
    <w:p>
      <w:pPr>
        <w:spacing w:line="360" w:lineRule="auto"/>
        <w:rPr>
          <w:rFonts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长合区企业百万员工大培训项目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05</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21</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ascii="仿宋" w:hAnsi="仿宋" w:eastAsia="仿宋" w:cs="仿宋"/>
          <w:sz w:val="24"/>
        </w:rPr>
      </w:pPr>
    </w:p>
    <w:p>
      <w:pPr>
        <w:pStyle w:val="5"/>
        <w:numPr>
          <w:ilvl w:val="0"/>
          <w:numId w:val="0"/>
        </w:numPr>
        <w:ind w:left="432" w:hanging="432"/>
        <w:rPr>
          <w:rFonts w:ascii="仿宋" w:eastAsia="仿宋" w:cs="仿宋"/>
          <w:sz w:val="24"/>
          <w:szCs w:val="24"/>
        </w:rPr>
      </w:pPr>
      <w:bookmarkStart w:id="14" w:name="_Toc28359089"/>
      <w:bookmarkStart w:id="15" w:name="_Toc35393629"/>
      <w:bookmarkStart w:id="16" w:name="_Toc28359012"/>
      <w:bookmarkStart w:id="17" w:name="_Toc35393798"/>
      <w:r>
        <w:rPr>
          <w:rFonts w:hint="eastAsia" w:ascii="仿宋" w:eastAsia="仿宋" w:cs="仿宋"/>
          <w:sz w:val="24"/>
          <w:szCs w:val="24"/>
        </w:rPr>
        <w:t>一、项目基本情况</w:t>
      </w:r>
      <w:bookmarkEnd w:id="14"/>
      <w:bookmarkEnd w:id="15"/>
      <w:bookmarkEnd w:id="16"/>
      <w:bookmarkEnd w:id="17"/>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eastAsia="zh-CN"/>
        </w:rPr>
        <w:t>FDCCX-2024-003(CG)</w:t>
      </w:r>
    </w:p>
    <w:p>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长合区企业百万员工大培训项目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rPr>
        <w:t>预算金额（元）：</w:t>
      </w:r>
      <w:r>
        <w:rPr>
          <w:rFonts w:hint="eastAsia" w:ascii="仿宋" w:hAnsi="仿宋" w:eastAsia="仿宋" w:cs="仿宋"/>
          <w:bCs/>
          <w:sz w:val="24"/>
          <w:lang w:val="en-US" w:eastAsia="zh-CN"/>
        </w:rPr>
        <w:t>480000</w:t>
      </w:r>
    </w:p>
    <w:p>
      <w:pPr>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sz w:val="24"/>
          <w:lang w:eastAsia="zh-CN"/>
        </w:rPr>
        <w:t>长合区企业百万员工大培训项目，</w:t>
      </w:r>
      <w:r>
        <w:rPr>
          <w:rFonts w:hint="eastAsia" w:ascii="仿宋" w:hAnsi="仿宋" w:eastAsia="仿宋" w:cs="仿宋"/>
          <w:bCs/>
          <w:sz w:val="24"/>
        </w:rPr>
        <w:t>主要内容为</w:t>
      </w:r>
      <w:r>
        <w:rPr>
          <w:rFonts w:hint="eastAsia" w:ascii="仿宋" w:hAnsi="仿宋" w:eastAsia="仿宋" w:cs="仿宋"/>
          <w:sz w:val="24"/>
          <w:lang w:eastAsia="zh-CN"/>
        </w:rPr>
        <w:t>长合区企业</w:t>
      </w:r>
      <w:r>
        <w:rPr>
          <w:rFonts w:hint="eastAsia" w:ascii="仿宋" w:hAnsi="仿宋" w:eastAsia="仿宋" w:cs="仿宋"/>
          <w:sz w:val="24"/>
          <w:lang w:val="en-US" w:eastAsia="zh-CN"/>
        </w:rPr>
        <w:t>相关人员培训</w:t>
      </w:r>
      <w:r>
        <w:rPr>
          <w:rFonts w:hint="eastAsia" w:ascii="仿宋" w:hAnsi="仿宋" w:eastAsia="仿宋" w:cs="仿宋"/>
          <w:bCs/>
          <w:sz w:val="24"/>
        </w:rPr>
        <w:t>，</w:t>
      </w:r>
      <w:r>
        <w:rPr>
          <w:rFonts w:hint="eastAsia" w:ascii="仿宋" w:hAnsi="仿宋" w:eastAsia="仿宋" w:cs="仿宋"/>
          <w:b/>
          <w:sz w:val="24"/>
        </w:rPr>
        <w:t>详见磋商文件。</w:t>
      </w:r>
    </w:p>
    <w:p>
      <w:pPr>
        <w:spacing w:line="360" w:lineRule="auto"/>
        <w:ind w:firstLine="482" w:firstLineChars="200"/>
        <w:rPr>
          <w:rFonts w:ascii="仿宋" w:hAnsi="仿宋" w:eastAsia="仿宋" w:cs="仿宋"/>
          <w:sz w:val="24"/>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kern w:val="0"/>
          <w:sz w:val="24"/>
          <w:szCs w:val="24"/>
          <w:highlight w:val="none"/>
          <w:lang w:val="en-US" w:eastAsia="zh-CN" w:bidi="ar-SA"/>
        </w:rPr>
        <w:t>暂定合同签订起至2024年11月30日</w:t>
      </w:r>
      <w:r>
        <w:rPr>
          <w:rFonts w:hint="eastAsia" w:ascii="仿宋" w:hAnsi="仿宋" w:eastAsia="仿宋" w:cs="仿宋"/>
          <w:sz w:val="24"/>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kern w:val="2"/>
              <w:sz w:val="24"/>
              <w:szCs w:val="24"/>
              <w:lang w:val="en-US" w:eastAsia="zh-CN" w:bidi="ar-SA"/>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否。</w:t>
      </w:r>
    </w:p>
    <w:p>
      <w:pPr>
        <w:spacing w:line="360" w:lineRule="auto"/>
        <w:ind w:firstLine="480" w:firstLineChars="200"/>
        <w:rPr>
          <w:rFonts w:ascii="仿宋" w:hAnsi="仿宋" w:eastAsia="仿宋" w:cs="仿宋"/>
          <w:sz w:val="24"/>
        </w:rPr>
      </w:pPr>
      <w:bookmarkStart w:id="18" w:name="_Toc28359013"/>
      <w:bookmarkStart w:id="19" w:name="_Toc35393799"/>
      <w:bookmarkStart w:id="20" w:name="_Toc35393630"/>
      <w:bookmarkStart w:id="21" w:name="_Toc28359090"/>
      <w:r>
        <w:rPr>
          <w:rFonts w:hint="eastAsia" w:ascii="仿宋" w:hAnsi="仿宋" w:eastAsia="仿宋" w:cs="仿宋"/>
          <w:sz w:val="24"/>
        </w:rPr>
        <w:t>二、申请人的资格要求：</w:t>
      </w:r>
      <w:bookmarkEnd w:id="18"/>
      <w:bookmarkEnd w:id="19"/>
      <w:bookmarkEnd w:id="20"/>
      <w:bookmarkEnd w:id="21"/>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napToGrid w:val="0"/>
          <w:kern w:val="28"/>
          <w:sz w:val="24"/>
          <w:szCs w:val="20"/>
          <w:lang w:val="en-US" w:eastAsia="zh-CN"/>
        </w:rPr>
        <w:t>2</w:t>
      </w:r>
      <w:r>
        <w:rPr>
          <w:rFonts w:hint="eastAsia" w:ascii="仿宋" w:hAnsi="仿宋" w:eastAsia="仿宋" w:cs="仿宋"/>
          <w:snapToGrid w:val="0"/>
          <w:kern w:val="28"/>
          <w:sz w:val="24"/>
          <w:szCs w:val="20"/>
        </w:rPr>
        <w:t>.落实政府采购政策需满足的资格要求：</w:t>
      </w:r>
      <w:r>
        <w:rPr>
          <w:rFonts w:hint="eastAsia" w:ascii="仿宋" w:hAnsi="仿宋" w:eastAsia="仿宋" w:cs="仿宋"/>
          <w:kern w:val="0"/>
          <w:sz w:val="24"/>
        </w:rPr>
        <w:t>专</w:t>
      </w:r>
      <w:r>
        <w:rPr>
          <w:rFonts w:hint="eastAsia" w:ascii="仿宋" w:hAnsi="仿宋" w:eastAsia="仿宋" w:cs="仿宋"/>
          <w:sz w:val="24"/>
        </w:rPr>
        <w:t>门面向中小企业</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ascii="仿宋" w:hAnsi="仿宋" w:eastAsia="仿宋" w:cs="仿宋"/>
          <w:sz w:val="24"/>
        </w:rPr>
      </w:pPr>
      <w:bookmarkStart w:id="22" w:name="_Toc28359091"/>
      <w:bookmarkStart w:id="23" w:name="_Toc28359014"/>
      <w:bookmarkStart w:id="24" w:name="_Toc35393631"/>
      <w:bookmarkStart w:id="25" w:name="_Toc35393800"/>
      <w:r>
        <w:rPr>
          <w:rFonts w:hint="eastAsia" w:ascii="仿宋" w:hAnsi="仿宋" w:eastAsia="仿宋" w:cs="仿宋"/>
          <w:sz w:val="24"/>
        </w:rPr>
        <w:t>三、获取（下载）采购文件</w:t>
      </w:r>
      <w:bookmarkEnd w:id="22"/>
      <w:bookmarkEnd w:id="23"/>
      <w:bookmarkEnd w:id="24"/>
      <w:bookmarkEnd w:id="25"/>
    </w:p>
    <w:p>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09</w:t>
      </w:r>
      <w:r>
        <w:rPr>
          <w:rFonts w:hint="eastAsia" w:ascii="仿宋" w:hAnsi="仿宋" w:eastAsia="仿宋" w:cs="仿宋"/>
          <w:sz w:val="24"/>
        </w:rPr>
        <w:t>点</w:t>
      </w:r>
      <w:r>
        <w:rPr>
          <w:rFonts w:hint="eastAsia" w:ascii="仿宋" w:hAnsi="仿宋" w:eastAsia="仿宋" w:cs="仿宋"/>
          <w:sz w:val="24"/>
          <w:lang w:val="en-US" w:eastAsia="zh-CN"/>
        </w:rPr>
        <w:t>30</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5"/>
        <w:numPr>
          <w:ilvl w:val="0"/>
          <w:numId w:val="0"/>
        </w:numPr>
        <w:ind w:left="432" w:hanging="432"/>
        <w:rPr>
          <w:rFonts w:ascii="仿宋" w:eastAsia="仿宋" w:cs="仿宋"/>
          <w:sz w:val="24"/>
          <w:szCs w:val="24"/>
        </w:rPr>
      </w:pPr>
      <w:bookmarkStart w:id="26" w:name="_Toc28359092"/>
      <w:bookmarkStart w:id="27" w:name="_Toc28359015"/>
      <w:bookmarkStart w:id="28" w:name="_Toc35393632"/>
      <w:bookmarkStart w:id="29" w:name="_Toc35393801"/>
      <w:r>
        <w:rPr>
          <w:rFonts w:hint="eastAsia" w:ascii="仿宋" w:eastAsia="仿宋" w:cs="仿宋"/>
          <w:sz w:val="24"/>
          <w:szCs w:val="24"/>
        </w:rPr>
        <w:t>四、响应文件提交</w:t>
      </w:r>
      <w:bookmarkEnd w:id="26"/>
      <w:bookmarkEnd w:id="27"/>
      <w:bookmarkEnd w:id="28"/>
      <w:bookmarkEnd w:id="29"/>
      <w:r>
        <w:rPr>
          <w:rFonts w:hint="eastAsia" w:ascii="仿宋" w:eastAsia="仿宋" w:cs="仿宋"/>
          <w:sz w:val="24"/>
          <w:szCs w:val="24"/>
        </w:rPr>
        <w:t>（上传）</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05</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21</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pPr>
        <w:pStyle w:val="5"/>
        <w:numPr>
          <w:ilvl w:val="0"/>
          <w:numId w:val="0"/>
        </w:numPr>
        <w:ind w:left="432" w:hanging="432"/>
        <w:rPr>
          <w:rFonts w:ascii="仿宋" w:eastAsia="仿宋" w:cs="仿宋"/>
          <w:sz w:val="24"/>
          <w:szCs w:val="24"/>
        </w:rPr>
      </w:pPr>
      <w:bookmarkStart w:id="30" w:name="_Toc35393633"/>
      <w:bookmarkStart w:id="31" w:name="_Toc28359093"/>
      <w:bookmarkStart w:id="32" w:name="_Toc28359016"/>
      <w:bookmarkStart w:id="33" w:name="_Toc35393802"/>
      <w:r>
        <w:rPr>
          <w:rFonts w:hint="eastAsia" w:ascii="仿宋" w:eastAsia="仿宋" w:cs="仿宋"/>
          <w:sz w:val="24"/>
          <w:szCs w:val="24"/>
        </w:rPr>
        <w:t>五、响应文件开启</w:t>
      </w:r>
      <w:bookmarkEnd w:id="30"/>
      <w:bookmarkEnd w:id="31"/>
      <w:bookmarkEnd w:id="32"/>
      <w:bookmarkEnd w:id="33"/>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05</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21</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地点：湖州市公共资源交易中心2号楼二楼开标室（湖州市仁皇山片区金盖山路66号2号楼，届时详见二楼休息区电子显示屏），政采云平台（https://www.zcygov.cn/）。</w:t>
      </w:r>
    </w:p>
    <w:p>
      <w:pPr>
        <w:pStyle w:val="5"/>
        <w:numPr>
          <w:ilvl w:val="0"/>
          <w:numId w:val="0"/>
        </w:numPr>
        <w:ind w:left="432" w:hanging="432"/>
        <w:rPr>
          <w:rFonts w:ascii="仿宋" w:eastAsia="仿宋" w:cs="仿宋"/>
          <w:sz w:val="24"/>
          <w:szCs w:val="24"/>
        </w:rPr>
      </w:pPr>
      <w:bookmarkStart w:id="34" w:name="_Toc35393803"/>
      <w:bookmarkStart w:id="35" w:name="_Toc28359017"/>
      <w:bookmarkStart w:id="36" w:name="_Toc35393634"/>
      <w:bookmarkStart w:id="37" w:name="_Toc28359094"/>
      <w:r>
        <w:rPr>
          <w:rFonts w:hint="eastAsia" w:ascii="仿宋" w:eastAsia="仿宋" w:cs="仿宋"/>
          <w:sz w:val="24"/>
          <w:szCs w:val="24"/>
        </w:rPr>
        <w:t>六、公告期限</w:t>
      </w:r>
      <w:bookmarkEnd w:id="34"/>
      <w:bookmarkEnd w:id="35"/>
      <w:bookmarkEnd w:id="36"/>
      <w:bookmarkEnd w:id="37"/>
      <w:bookmarkStart w:id="82" w:name="_GoBack"/>
      <w:bookmarkEnd w:id="82"/>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5"/>
        <w:numPr>
          <w:ilvl w:val="0"/>
          <w:numId w:val="0"/>
        </w:numPr>
        <w:ind w:left="432" w:hanging="432"/>
        <w:rPr>
          <w:rFonts w:ascii="仿宋" w:eastAsia="仿宋" w:cs="仿宋"/>
          <w:sz w:val="24"/>
          <w:szCs w:val="24"/>
        </w:rPr>
      </w:pPr>
      <w:bookmarkStart w:id="38" w:name="_Toc35393804"/>
      <w:bookmarkStart w:id="39" w:name="_Toc35393635"/>
      <w:r>
        <w:rPr>
          <w:rFonts w:hint="eastAsia" w:ascii="仿宋" w:eastAsia="仿宋" w:cs="仿宋"/>
          <w:sz w:val="24"/>
          <w:szCs w:val="24"/>
        </w:rPr>
        <w:t>七、其他补充事宜</w:t>
      </w:r>
      <w:bookmarkEnd w:id="38"/>
      <w:bookmarkEnd w:id="39"/>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1</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lang w:val="en-US" w:eastAsia="zh-CN"/>
        </w:rPr>
        <w:t>3</w:t>
      </w:r>
      <w:r>
        <w:rPr>
          <w:rFonts w:hint="eastAsia" w:ascii="仿宋" w:hAnsi="仿宋" w:eastAsia="仿宋" w:cs="仿宋"/>
          <w:b/>
          <w:kern w:val="0"/>
          <w:sz w:val="24"/>
        </w:rPr>
        <w:t>.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w:t>
      </w:r>
      <w:r>
        <w:rPr>
          <w:rFonts w:hint="eastAsia" w:ascii="仿宋" w:hAnsi="仿宋" w:eastAsia="仿宋" w:cs="仿宋"/>
          <w:sz w:val="24"/>
          <w:lang w:eastAsia="zh-CN"/>
        </w:rPr>
        <w:t>）</w:t>
      </w:r>
      <w:r>
        <w:rPr>
          <w:rFonts w:hint="eastAsia" w:ascii="仿宋" w:hAnsi="仿宋" w:eastAsia="仿宋" w:cs="仿宋"/>
          <w:sz w:val="24"/>
        </w:rPr>
        <w:t>磋商文件公告期限与磋商公告的公告期限一致。</w:t>
      </w:r>
    </w:p>
    <w:p>
      <w:pPr>
        <w:pStyle w:val="5"/>
        <w:numPr>
          <w:ilvl w:val="0"/>
          <w:numId w:val="0"/>
        </w:numPr>
        <w:ind w:left="432" w:hanging="432"/>
        <w:rPr>
          <w:rFonts w:ascii="仿宋" w:eastAsia="仿宋" w:cs="仿宋"/>
          <w:sz w:val="24"/>
          <w:szCs w:val="24"/>
        </w:rPr>
      </w:pPr>
      <w:bookmarkStart w:id="40" w:name="_Toc35393805"/>
      <w:bookmarkStart w:id="41" w:name="_Toc28359095"/>
      <w:bookmarkStart w:id="42" w:name="_Toc28359018"/>
      <w:bookmarkStart w:id="43"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0"/>
      <w:bookmarkEnd w:id="41"/>
      <w:bookmarkEnd w:id="42"/>
      <w:bookmarkEnd w:id="43"/>
    </w:p>
    <w:p>
      <w:pPr>
        <w:pStyle w:val="5"/>
        <w:numPr>
          <w:ilvl w:val="0"/>
          <w:numId w:val="0"/>
        </w:numPr>
        <w:ind w:left="432" w:hanging="432"/>
        <w:rPr>
          <w:rFonts w:ascii="仿宋" w:eastAsia="仿宋" w:cs="仿宋"/>
          <w:sz w:val="24"/>
          <w:szCs w:val="24"/>
        </w:rPr>
      </w:pPr>
      <w:bookmarkStart w:id="44" w:name="_Toc28359019"/>
      <w:bookmarkStart w:id="45" w:name="_Toc28359096"/>
      <w:bookmarkStart w:id="46" w:name="_Toc35393637"/>
      <w:bookmarkStart w:id="47" w:name="_Toc35393806"/>
      <w:r>
        <w:rPr>
          <w:rFonts w:hint="eastAsia" w:ascii="仿宋" w:eastAsia="仿宋" w:cs="仿宋"/>
          <w:sz w:val="24"/>
          <w:szCs w:val="24"/>
        </w:rPr>
        <w:t>1.采购人信息</w:t>
      </w:r>
      <w:bookmarkEnd w:id="44"/>
      <w:bookmarkEnd w:id="45"/>
      <w:bookmarkEnd w:id="46"/>
      <w:bookmarkEnd w:id="47"/>
      <w:r>
        <w:rPr>
          <w:rFonts w:hint="eastAsia" w:ascii="仿宋" w:eastAsia="仿宋" w:cs="仿宋"/>
          <w:sz w:val="24"/>
          <w:szCs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kern w:val="0"/>
          <w:sz w:val="24"/>
          <w:lang w:eastAsia="zh-CN"/>
        </w:rPr>
        <w:t>长三角（湖州）产业合作区管理委员会</w:t>
      </w:r>
    </w:p>
    <w:p>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_GB2312" w:eastAsia="仿宋_GB2312"/>
          <w:sz w:val="24"/>
          <w:lang w:eastAsia="zh-CN"/>
        </w:rPr>
        <w:t>安吉县天子湖镇东阳路与站后大道交叉口</w:t>
      </w:r>
      <w:r>
        <w:rPr>
          <w:rFonts w:hint="eastAsia" w:ascii="仿宋" w:hAnsi="仿宋" w:eastAsia="仿宋" w:cs="仿宋"/>
          <w:kern w:val="0"/>
          <w:sz w:val="24"/>
        </w:rPr>
        <w:t xml:space="preserve">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spacing w:line="360" w:lineRule="auto"/>
        <w:rPr>
          <w:rFonts w:hint="eastAsia" w:ascii="仿宋" w:hAnsi="仿宋" w:eastAsia="仿宋_GB2312" w:cs="仿宋"/>
          <w:sz w:val="24"/>
          <w:lang w:eastAsia="zh-CN"/>
        </w:rPr>
      </w:pPr>
      <w:r>
        <w:rPr>
          <w:rFonts w:hint="eastAsia" w:ascii="仿宋" w:hAnsi="仿宋" w:eastAsia="仿宋" w:cs="仿宋"/>
          <w:sz w:val="24"/>
        </w:rPr>
        <w:t xml:space="preserve">    项目联系人（询问）：</w:t>
      </w:r>
      <w:r>
        <w:rPr>
          <w:rFonts w:hint="eastAsia" w:ascii="仿宋_GB2312" w:eastAsia="仿宋_GB2312"/>
          <w:sz w:val="24"/>
          <w:lang w:val="en-US" w:eastAsia="zh-CN"/>
        </w:rPr>
        <w:t>郭工</w:t>
      </w:r>
    </w:p>
    <w:p>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kern w:val="0"/>
          <w:sz w:val="24"/>
          <w:szCs w:val="24"/>
          <w:highlight w:val="none"/>
          <w:lang w:val="en-US" w:eastAsia="zh-CN"/>
        </w:rPr>
        <w:t>18768376798</w:t>
      </w:r>
    </w:p>
    <w:p>
      <w:pPr>
        <w:spacing w:line="360" w:lineRule="auto"/>
        <w:rPr>
          <w:rFonts w:hint="default" w:ascii="仿宋" w:hAnsi="仿宋" w:eastAsia="仿宋" w:cs="仿宋"/>
          <w:sz w:val="24"/>
          <w:highlight w:val="yellow"/>
          <w:lang w:val="en-US" w:eastAsia="zh-CN"/>
        </w:rPr>
      </w:pPr>
      <w:r>
        <w:rPr>
          <w:rFonts w:hint="eastAsia" w:ascii="仿宋" w:hAnsi="仿宋" w:eastAsia="仿宋" w:cs="仿宋"/>
          <w:sz w:val="24"/>
        </w:rPr>
        <w:t xml:space="preserve">    质疑联系人：</w:t>
      </w:r>
      <w:r>
        <w:rPr>
          <w:rFonts w:hint="eastAsia" w:ascii="仿宋" w:hAnsi="仿宋" w:eastAsia="仿宋" w:cs="仿宋"/>
          <w:sz w:val="24"/>
          <w:highlight w:val="none"/>
          <w:lang w:val="en-US" w:eastAsia="zh-CN"/>
        </w:rPr>
        <w:t>施工</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highlight w:val="none"/>
          <w:lang w:val="en-US" w:eastAsia="zh-CN"/>
        </w:rPr>
        <w:t xml:space="preserve">0572-2393876  </w:t>
      </w:r>
      <w:r>
        <w:rPr>
          <w:rFonts w:hint="eastAsia" w:ascii="仿宋" w:hAnsi="仿宋" w:eastAsia="仿宋" w:cs="仿宋"/>
          <w:sz w:val="24"/>
          <w:highlight w:val="none"/>
        </w:rPr>
        <w:t xml:space="preserve">      </w:t>
      </w:r>
    </w:p>
    <w:p>
      <w:pPr>
        <w:pStyle w:val="5"/>
        <w:numPr>
          <w:ilvl w:val="0"/>
          <w:numId w:val="0"/>
        </w:numPr>
        <w:ind w:left="432" w:hanging="432"/>
        <w:rPr>
          <w:rFonts w:ascii="仿宋" w:eastAsia="仿宋" w:cs="仿宋"/>
          <w:sz w:val="24"/>
        </w:rPr>
      </w:pPr>
      <w:bookmarkStart w:id="48" w:name="_Toc35393807"/>
      <w:bookmarkStart w:id="49" w:name="_Toc28359020"/>
      <w:bookmarkStart w:id="50" w:name="_Toc28359097"/>
      <w:bookmarkStart w:id="51" w:name="_Toc35393638"/>
      <w:r>
        <w:rPr>
          <w:rFonts w:hint="eastAsia" w:ascii="仿宋" w:eastAsia="仿宋" w:cs="仿宋"/>
          <w:sz w:val="24"/>
          <w:szCs w:val="24"/>
        </w:rPr>
        <w:t>2.采购代理机构信息</w:t>
      </w:r>
      <w:bookmarkEnd w:id="48"/>
      <w:bookmarkEnd w:id="49"/>
      <w:bookmarkEnd w:id="50"/>
      <w:bookmarkEnd w:id="51"/>
      <w:r>
        <w:rPr>
          <w:rFonts w:hint="eastAsia" w:ascii="仿宋" w:eastAsia="仿宋" w:cs="仿宋"/>
          <w:sz w:val="24"/>
          <w:szCs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 xml:space="preserve">浙江省房地产管理咨询有限公司 </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长兴县县前东街1100号</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项目联系人（询问）：小殷</w:t>
      </w:r>
    </w:p>
    <w:p>
      <w:pPr>
        <w:spacing w:line="360" w:lineRule="auto"/>
        <w:rPr>
          <w:rFonts w:ascii="仿宋" w:hAnsi="仿宋" w:eastAsia="仿宋" w:cs="仿宋"/>
          <w:sz w:val="24"/>
        </w:rPr>
      </w:pPr>
      <w:r>
        <w:rPr>
          <w:rFonts w:hint="eastAsia" w:ascii="仿宋" w:hAnsi="仿宋" w:eastAsia="仿宋" w:cs="仿宋"/>
          <w:sz w:val="24"/>
        </w:rPr>
        <w:t xml:space="preserve">    项目联系方式（询问）：18757757217 </w:t>
      </w:r>
    </w:p>
    <w:p>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陈</w:t>
      </w:r>
      <w:r>
        <w:rPr>
          <w:rFonts w:hint="eastAsia" w:ascii="仿宋" w:hAnsi="仿宋" w:eastAsia="仿宋" w:cs="仿宋"/>
          <w:sz w:val="24"/>
        </w:rPr>
        <w:t xml:space="preserve">女士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质疑联系方式：</w:t>
      </w:r>
      <w:r>
        <w:rPr>
          <w:rFonts w:hint="eastAsia" w:ascii="仿宋" w:hAnsi="仿宋" w:eastAsia="仿宋" w:cs="仿宋"/>
          <w:sz w:val="24"/>
          <w:lang w:eastAsia="zh-CN"/>
        </w:rPr>
        <w:t>0572-6066969</w:t>
      </w:r>
    </w:p>
    <w:p>
      <w:pPr>
        <w:spacing w:line="360" w:lineRule="auto"/>
        <w:rPr>
          <w:rFonts w:ascii="仿宋" w:hAnsi="仿宋" w:eastAsia="仿宋" w:cs="仿宋"/>
          <w:b/>
          <w:sz w:val="24"/>
        </w:rPr>
      </w:pPr>
      <w:bookmarkStart w:id="52" w:name="_Toc35393639"/>
      <w:bookmarkStart w:id="53" w:name="_Toc28359098"/>
      <w:bookmarkStart w:id="54" w:name="_Toc28359021"/>
      <w:bookmarkStart w:id="55" w:name="_Toc35393808"/>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2"/>
    <w:bookmarkEnd w:id="53"/>
    <w:bookmarkEnd w:id="54"/>
    <w:bookmarkEnd w:id="55"/>
    <w:p>
      <w:pPr>
        <w:spacing w:line="360" w:lineRule="auto"/>
        <w:ind w:firstLine="480"/>
        <w:rPr>
          <w:rFonts w:ascii="仿宋" w:hAnsi="仿宋" w:eastAsia="仿宋" w:cs="仿宋"/>
          <w:sz w:val="24"/>
        </w:rPr>
      </w:pPr>
      <w:r>
        <w:rPr>
          <w:rFonts w:hint="eastAsia" w:ascii="仿宋" w:hAnsi="仿宋" w:eastAsia="仿宋" w:cs="仿宋"/>
          <w:sz w:val="24"/>
        </w:rPr>
        <w:t>名    称：湖州市财政局政府采购监管处</w:t>
      </w:r>
    </w:p>
    <w:p>
      <w:pPr>
        <w:spacing w:line="360" w:lineRule="auto"/>
        <w:rPr>
          <w:rFonts w:ascii="仿宋" w:hAnsi="仿宋" w:eastAsia="仿宋" w:cs="仿宋"/>
          <w:sz w:val="24"/>
        </w:rPr>
      </w:pPr>
      <w:r>
        <w:rPr>
          <w:rFonts w:hint="eastAsia" w:ascii="仿宋" w:hAnsi="仿宋" w:eastAsia="仿宋" w:cs="仿宋"/>
          <w:sz w:val="24"/>
        </w:rPr>
        <w:t xml:space="preserve">    地    址：/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ind w:firstLine="480"/>
        <w:rPr>
          <w:rFonts w:hint="eastAsia" w:ascii="仿宋" w:hAnsi="仿宋" w:eastAsia="仿宋" w:cs="仿宋"/>
          <w:sz w:val="24"/>
        </w:rPr>
      </w:pPr>
      <w:r>
        <w:rPr>
          <w:rFonts w:hint="eastAsia" w:ascii="仿宋" w:hAnsi="仿宋" w:eastAsia="仿宋" w:cs="仿宋"/>
          <w:sz w:val="24"/>
        </w:rPr>
        <w:t>联系人 ：程先生</w:t>
      </w:r>
    </w:p>
    <w:p>
      <w:pPr>
        <w:spacing w:line="360" w:lineRule="auto"/>
        <w:ind w:firstLine="480"/>
        <w:rPr>
          <w:rFonts w:hint="eastAsia" w:ascii="仿宋" w:hAnsi="仿宋" w:eastAsia="仿宋" w:cs="仿宋"/>
          <w:sz w:val="24"/>
        </w:rPr>
      </w:pPr>
      <w:r>
        <w:rPr>
          <w:rFonts w:hint="eastAsia" w:ascii="仿宋" w:hAnsi="仿宋" w:eastAsia="仿宋" w:cs="仿宋"/>
          <w:sz w:val="24"/>
        </w:rPr>
        <w:t>监督投诉电话：0572-2150216</w:t>
      </w:r>
    </w:p>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2"/>
        <w:spacing w:line="360" w:lineRule="auto"/>
        <w:ind w:firstLine="480" w:firstLineChars="200"/>
        <w:jc w:val="right"/>
        <w:rPr>
          <w:rFonts w:ascii="仿宋" w:hAnsi="仿宋" w:eastAsia="仿宋" w:cs="仿宋"/>
          <w:sz w:val="24"/>
          <w:szCs w:val="24"/>
        </w:rPr>
      </w:pPr>
    </w:p>
    <w:p>
      <w:pPr>
        <w:pStyle w:val="32"/>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pPr>
        <w:pStyle w:val="392"/>
        <w:spacing w:before="0"/>
        <w:ind w:firstLine="0" w:firstLineChars="0"/>
        <w:rPr>
          <w:rFonts w:ascii="仿宋" w:hAnsi="仿宋" w:eastAsia="仿宋" w:cs="仿宋"/>
          <w:b/>
        </w:rPr>
      </w:pPr>
      <w:r>
        <w:rPr>
          <w:rFonts w:hint="eastAsia" w:ascii="仿宋" w:hAnsi="仿宋" w:eastAsia="仿宋" w:cs="仿宋"/>
          <w:b/>
          <w:szCs w:val="24"/>
        </w:rPr>
        <w:t>1.征集供应商</w:t>
      </w:r>
    </w:p>
    <w:p>
      <w:pPr>
        <w:pStyle w:val="392"/>
        <w:spacing w:before="0"/>
        <w:ind w:firstLine="480"/>
        <w:rPr>
          <w:rFonts w:ascii="仿宋" w:hAnsi="仿宋" w:eastAsia="仿宋" w:cs="仿宋"/>
          <w:szCs w:val="24"/>
        </w:rPr>
      </w:pPr>
      <w:r>
        <w:rPr>
          <w:rFonts w:hint="eastAsia" w:ascii="仿宋" w:hAnsi="仿宋" w:eastAsia="仿宋" w:cs="仿宋"/>
          <w:szCs w:val="24"/>
        </w:rPr>
        <w:t>1.1邀请供应商。</w:t>
      </w:r>
    </w:p>
    <w:p>
      <w:pPr>
        <w:pStyle w:val="392"/>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2"/>
        <w:spacing w:before="0"/>
        <w:ind w:firstLine="480"/>
        <w:rPr>
          <w:rFonts w:ascii="仿宋" w:hAnsi="仿宋" w:eastAsia="仿宋" w:cs="仿宋"/>
          <w:szCs w:val="24"/>
        </w:rPr>
      </w:pPr>
      <w:r>
        <w:rPr>
          <w:rFonts w:hint="eastAsia" w:ascii="仿宋" w:hAnsi="仿宋" w:eastAsia="仿宋" w:cs="仿宋"/>
          <w:szCs w:val="24"/>
        </w:rPr>
        <w:t>1.2供应商获取磋商文件。</w:t>
      </w:r>
    </w:p>
    <w:p>
      <w:pPr>
        <w:pStyle w:val="392"/>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pPr>
        <w:pStyle w:val="392"/>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pPr>
        <w:pStyle w:val="392"/>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pPr>
        <w:pStyle w:val="392"/>
        <w:spacing w:before="0"/>
        <w:ind w:firstLine="0" w:firstLineChars="0"/>
        <w:rPr>
          <w:rFonts w:ascii="仿宋" w:hAnsi="仿宋" w:eastAsia="仿宋" w:cs="仿宋"/>
          <w:b/>
        </w:rPr>
      </w:pPr>
      <w:r>
        <w:rPr>
          <w:rFonts w:hint="eastAsia" w:ascii="仿宋" w:hAnsi="仿宋" w:eastAsia="仿宋" w:cs="仿宋"/>
          <w:b/>
        </w:rPr>
        <w:t>2.响应文件开启与信用信息查询</w:t>
      </w:r>
    </w:p>
    <w:p>
      <w:pPr>
        <w:pStyle w:val="392"/>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2"/>
        <w:spacing w:before="0"/>
        <w:ind w:firstLine="0" w:firstLineChars="0"/>
        <w:rPr>
          <w:rFonts w:ascii="仿宋" w:hAnsi="仿宋" w:eastAsia="仿宋" w:cs="仿宋"/>
          <w:b/>
        </w:rPr>
      </w:pPr>
      <w:r>
        <w:rPr>
          <w:rFonts w:hint="eastAsia" w:ascii="仿宋" w:hAnsi="仿宋" w:eastAsia="仿宋" w:cs="仿宋"/>
          <w:b/>
        </w:rPr>
        <w:t>3.磋商与评审</w:t>
      </w:r>
    </w:p>
    <w:p>
      <w:pPr>
        <w:pStyle w:val="392"/>
        <w:spacing w:before="0"/>
        <w:ind w:firstLine="480"/>
        <w:rPr>
          <w:rFonts w:ascii="仿宋" w:hAnsi="仿宋" w:eastAsia="仿宋" w:cs="仿宋"/>
          <w:szCs w:val="24"/>
        </w:rPr>
      </w:pPr>
      <w:r>
        <w:rPr>
          <w:rFonts w:hint="eastAsia" w:ascii="仿宋" w:hAnsi="仿宋" w:eastAsia="仿宋" w:cs="仿宋"/>
          <w:szCs w:val="24"/>
        </w:rPr>
        <w:t>3.1磋商小组签到。</w:t>
      </w:r>
    </w:p>
    <w:p>
      <w:pPr>
        <w:pStyle w:val="392"/>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pPr>
        <w:pStyle w:val="392"/>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2"/>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pPr>
        <w:pStyle w:val="392"/>
        <w:spacing w:before="0"/>
        <w:ind w:firstLine="480"/>
        <w:rPr>
          <w:rFonts w:ascii="仿宋" w:hAnsi="仿宋" w:eastAsia="仿宋" w:cs="仿宋"/>
          <w:szCs w:val="24"/>
        </w:rPr>
      </w:pPr>
      <w:r>
        <w:rPr>
          <w:rFonts w:hint="eastAsia" w:ascii="仿宋" w:hAnsi="仿宋" w:eastAsia="仿宋" w:cs="仿宋"/>
          <w:szCs w:val="24"/>
        </w:rPr>
        <w:t>3.5磋商小组审查响应文件。</w:t>
      </w:r>
    </w:p>
    <w:p>
      <w:pPr>
        <w:pStyle w:val="392"/>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2"/>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pPr>
        <w:pStyle w:val="392"/>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2"/>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w:t>
      </w:r>
    </w:p>
    <w:p>
      <w:pPr>
        <w:pStyle w:val="392"/>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2"/>
        <w:spacing w:before="0"/>
        <w:ind w:firstLine="480"/>
        <w:rPr>
          <w:rFonts w:ascii="仿宋" w:hAnsi="仿宋" w:eastAsia="仿宋" w:cs="仿宋"/>
          <w:szCs w:val="24"/>
        </w:rPr>
      </w:pPr>
      <w:r>
        <w:rPr>
          <w:rFonts w:hint="eastAsia" w:ascii="仿宋" w:hAnsi="仿宋" w:eastAsia="仿宋" w:cs="仿宋"/>
          <w:szCs w:val="24"/>
        </w:rPr>
        <w:t>3.13采购代理机构唱价。</w:t>
      </w:r>
    </w:p>
    <w:p>
      <w:pPr>
        <w:pStyle w:val="392"/>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392"/>
        <w:spacing w:before="0"/>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补充说明：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392"/>
        <w:spacing w:before="0"/>
        <w:ind w:firstLine="0" w:firstLineChars="0"/>
        <w:rPr>
          <w:rFonts w:ascii="仿宋" w:hAnsi="仿宋" w:eastAsia="仿宋" w:cs="仿宋"/>
          <w:b/>
        </w:rPr>
      </w:pPr>
      <w:r>
        <w:rPr>
          <w:rFonts w:hint="eastAsia" w:ascii="仿宋" w:hAnsi="仿宋" w:eastAsia="仿宋" w:cs="仿宋"/>
          <w:b/>
        </w:rPr>
        <w:t>4. 成交</w:t>
      </w:r>
    </w:p>
    <w:p>
      <w:pPr>
        <w:pStyle w:val="392"/>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pPr>
        <w:pStyle w:val="392"/>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pPr>
        <w:pStyle w:val="392"/>
        <w:spacing w:before="0"/>
        <w:ind w:firstLine="480"/>
        <w:rPr>
          <w:rFonts w:ascii="仿宋" w:hAnsi="仿宋" w:eastAsia="仿宋" w:cs="仿宋"/>
          <w:szCs w:val="24"/>
        </w:rPr>
      </w:pPr>
      <w:r>
        <w:rPr>
          <w:rFonts w:hint="eastAsia" w:ascii="仿宋" w:hAnsi="仿宋" w:eastAsia="仿宋" w:cs="仿宋"/>
          <w:szCs w:val="24"/>
        </w:rPr>
        <w:t>5.3合同履约。</w:t>
      </w:r>
    </w:p>
    <w:p>
      <w:pPr>
        <w:pStyle w:val="392"/>
        <w:spacing w:before="0"/>
        <w:ind w:firstLine="480"/>
        <w:rPr>
          <w:rFonts w:ascii="仿宋" w:hAnsi="仿宋" w:eastAsia="仿宋" w:cs="仿宋"/>
          <w:szCs w:val="24"/>
        </w:rPr>
      </w:pPr>
      <w:r>
        <w:rPr>
          <w:rFonts w:hint="eastAsia" w:ascii="仿宋" w:hAnsi="仿宋" w:eastAsia="仿宋" w:cs="仿宋"/>
          <w:szCs w:val="24"/>
        </w:rPr>
        <w:t>5.4采购人组织验收。</w:t>
      </w:r>
    </w:p>
    <w:p>
      <w:pPr>
        <w:widowControl/>
        <w:adjustRightInd/>
        <w:jc w:val="left"/>
        <w:rPr>
          <w:rFonts w:ascii="仿宋" w:hAnsi="仿宋" w:eastAsia="仿宋" w:cs="仿宋"/>
          <w:b/>
          <w:sz w:val="24"/>
          <w:szCs w:val="20"/>
        </w:rPr>
      </w:pPr>
      <w:r>
        <w:rPr>
          <w:rFonts w:hint="eastAsia" w:ascii="仿宋" w:hAnsi="仿宋" w:eastAsia="仿宋" w:cs="仿宋"/>
          <w:b/>
        </w:rPr>
        <w:br w:type="page"/>
      </w:r>
    </w:p>
    <w:p>
      <w:pPr>
        <w:pStyle w:val="392"/>
        <w:spacing w:before="0"/>
        <w:ind w:firstLine="0" w:firstLineChars="0"/>
        <w:rPr>
          <w:rFonts w:ascii="仿宋" w:hAnsi="仿宋" w:eastAsia="仿宋" w:cs="仿宋"/>
          <w:b/>
        </w:rPr>
      </w:pPr>
      <w:r>
        <w:rPr>
          <w:rFonts w:hint="eastAsia" w:ascii="仿宋" w:hAnsi="仿宋" w:eastAsia="仿宋" w:cs="仿宋"/>
          <w:b/>
        </w:rPr>
        <w:t>6.竞争性磋商流程图</w:t>
      </w:r>
    </w:p>
    <w:p>
      <w:pPr>
        <w:pStyle w:val="392"/>
        <w:spacing w:before="0"/>
        <w:ind w:firstLine="0" w:firstLineChars="0"/>
        <w:rPr>
          <w:rFonts w:ascii="仿宋" w:hAnsi="仿宋" w:eastAsia="仿宋" w:cs="仿宋"/>
          <w:b/>
        </w:rPr>
      </w:pPr>
    </w:p>
    <w:p>
      <w:pPr>
        <w:widowControl/>
        <w:adjustRightInd/>
        <w:jc w:val="left"/>
        <w:rPr>
          <w:rFonts w:ascii="仿宋" w:hAnsi="仿宋" w:eastAsia="仿宋" w:cs="仿宋"/>
          <w:sz w:val="24"/>
        </w:rPr>
      </w:pPr>
      <w:r>
        <w:rPr>
          <w:rFonts w:hint="eastAsia" w:ascii="仿宋" w:hAnsi="仿宋" w:eastAsia="仿宋" w:cs="仿宋"/>
          <w:sz w:val="24"/>
        </w:rPr>
        <w:t xml:space="preserve">  </w:t>
      </w:r>
    </w:p>
    <w:p>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1"/>
      <w:r>
        <w:rPr>
          <w:rFonts w:hint="eastAsia" w:ascii="仿宋" w:hAnsi="仿宋" w:eastAsia="仿宋" w:cs="仿宋"/>
          <w:b/>
          <w:sz w:val="36"/>
          <w:szCs w:val="20"/>
        </w:rPr>
        <w:t xml:space="preserve">  供应商须知</w:t>
      </w:r>
      <w:bookmarkEnd w:id="12"/>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highlight w:val="none"/>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长合区企业百万员工大培训项目</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其他未列明行业 行业；</w:t>
            </w:r>
          </w:p>
          <w:p>
            <w:pPr>
              <w:pStyle w:val="5"/>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lang w:eastAsia="zh-CN"/>
              </w:rPr>
              <w:t>浙江省房地产管理咨询有限公司 （长兴县县前东街1100号</w:t>
            </w:r>
            <w:r>
              <w:rPr>
                <w:rFonts w:hint="eastAsia" w:ascii="仿宋" w:hAnsi="仿宋" w:eastAsia="仿宋" w:cs="仿宋"/>
                <w:sz w:val="24"/>
                <w:u w:val="single"/>
              </w:rPr>
              <w:t xml:space="preserve"> </w:t>
            </w:r>
            <w:r>
              <w:rPr>
                <w:rFonts w:hint="eastAsia" w:ascii="仿宋" w:hAnsi="仿宋" w:eastAsia="仿宋" w:cs="仿宋"/>
                <w:kern w:val="28"/>
                <w:sz w:val="24"/>
                <w:szCs w:val="24"/>
                <w:u w:val="single"/>
                <w:lang w:eastAsia="zh-CN"/>
              </w:rPr>
              <w:t>）</w:t>
            </w:r>
            <w:r>
              <w:rPr>
                <w:rFonts w:hint="eastAsia" w:ascii="仿宋" w:hAnsi="仿宋" w:eastAsia="仿宋" w:cs="仿宋"/>
                <w:sz w:val="24"/>
                <w:u w:val="single"/>
              </w:rPr>
              <w:t xml:space="preserve"> </w:t>
            </w:r>
            <w:r>
              <w:rPr>
                <w:rFonts w:hint="eastAsia" w:ascii="仿宋" w:hAnsi="仿宋" w:eastAsia="仿宋" w:cs="仿宋"/>
                <w:kern w:val="28"/>
                <w:sz w:val="24"/>
                <w:szCs w:val="24"/>
              </w:rPr>
              <w:t>；备份响应文件签收人员联系电话：</w:t>
            </w:r>
            <w:r>
              <w:rPr>
                <w:rFonts w:hint="eastAsia" w:ascii="仿宋" w:hAnsi="仿宋" w:eastAsia="仿宋" w:cs="仿宋"/>
                <w:kern w:val="28"/>
                <w:sz w:val="24"/>
                <w:szCs w:val="24"/>
                <w:u w:val="single"/>
              </w:rPr>
              <w:t>殷剑18757757217</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80" w:lineRule="exact"/>
              <w:rPr>
                <w:rFonts w:ascii="仿宋" w:hAnsi="仿宋" w:eastAsia="仿宋" w:cs="仿宋"/>
                <w:b/>
                <w:kern w:val="28"/>
                <w:sz w:val="24"/>
                <w:szCs w:val="24"/>
              </w:rPr>
            </w:pPr>
            <w:r>
              <w:rPr>
                <w:rFonts w:hint="eastAsia" w:ascii="仿宋" w:hAnsi="仿宋" w:eastAsia="仿宋" w:cs="仿宋"/>
                <w:b/>
                <w:kern w:val="28"/>
                <w:sz w:val="24"/>
                <w:szCs w:val="24"/>
              </w:rPr>
              <w:t>（1）本项目代理服务费以</w:t>
            </w:r>
            <w:r>
              <w:rPr>
                <w:rFonts w:hint="eastAsia" w:ascii="仿宋" w:hAnsi="仿宋" w:eastAsia="仿宋" w:cs="仿宋"/>
                <w:b/>
                <w:kern w:val="28"/>
                <w:sz w:val="24"/>
                <w:szCs w:val="24"/>
                <w:lang w:val="en-US" w:eastAsia="zh-CN"/>
              </w:rPr>
              <w:t>中标</w:t>
            </w:r>
            <w:r>
              <w:rPr>
                <w:rFonts w:hint="eastAsia" w:ascii="仿宋" w:hAnsi="仿宋" w:eastAsia="仿宋" w:cs="仿宋"/>
                <w:b/>
                <w:kern w:val="28"/>
                <w:sz w:val="24"/>
                <w:szCs w:val="24"/>
              </w:rPr>
              <w:t>金额为计算基础，参照计价格【2002】1980号文的收费标准</w:t>
            </w:r>
            <w:r>
              <w:rPr>
                <w:rFonts w:hint="eastAsia" w:ascii="仿宋" w:hAnsi="仿宋" w:eastAsia="仿宋" w:cs="仿宋"/>
                <w:b/>
                <w:kern w:val="28"/>
                <w:sz w:val="24"/>
                <w:szCs w:val="24"/>
                <w:lang w:val="en-US" w:eastAsia="zh-CN"/>
              </w:rPr>
              <w:t>的76%</w:t>
            </w:r>
            <w:r>
              <w:rPr>
                <w:rFonts w:hint="eastAsia" w:ascii="仿宋" w:hAnsi="仿宋" w:eastAsia="仿宋" w:cs="仿宋"/>
                <w:b/>
                <w:kern w:val="28"/>
                <w:sz w:val="24"/>
                <w:szCs w:val="24"/>
              </w:rPr>
              <w:t>向中标供应商收取</w:t>
            </w:r>
            <w:r>
              <w:rPr>
                <w:rFonts w:hint="eastAsia" w:ascii="仿宋" w:hAnsi="仿宋" w:eastAsia="仿宋" w:cs="仿宋"/>
                <w:b/>
                <w:kern w:val="28"/>
                <w:sz w:val="24"/>
                <w:szCs w:val="24"/>
                <w:lang w:eastAsia="zh-CN"/>
              </w:rPr>
              <w:t>，</w:t>
            </w:r>
            <w:r>
              <w:rPr>
                <w:rFonts w:hint="eastAsia" w:ascii="仿宋" w:hAnsi="仿宋" w:eastAsia="仿宋" w:cs="仿宋"/>
                <w:b/>
                <w:kern w:val="28"/>
                <w:sz w:val="24"/>
                <w:szCs w:val="24"/>
                <w:lang w:val="en-US" w:eastAsia="zh-CN"/>
              </w:rPr>
              <w:t>单个项目代理费不超过20万元，计算后单个项目收费低于4500元，按4500元收取</w:t>
            </w:r>
            <w:r>
              <w:rPr>
                <w:rFonts w:hint="eastAsia" w:ascii="仿宋" w:hAnsi="仿宋" w:eastAsia="仿宋" w:cs="仿宋"/>
                <w:b/>
                <w:kern w:val="28"/>
                <w:sz w:val="24"/>
                <w:szCs w:val="24"/>
              </w:rPr>
              <w:t>；以上费用，投标人应当自中标结果公告发布之日起5个工作日内一次性向采购代理机构支付。</w:t>
            </w:r>
          </w:p>
          <w:p>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（2）服务费支付：</w:t>
            </w:r>
          </w:p>
          <w:p>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① 代理服务费缴纳形式：汇票/支票/电汇/现金</w:t>
            </w:r>
          </w:p>
          <w:p>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② 代理服务费汇入以下账户 ：</w:t>
            </w:r>
          </w:p>
          <w:p>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收款人名称：浙江省房地产管理咨询有限公司长兴分公司</w:t>
            </w:r>
          </w:p>
          <w:p>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开户银行：湖州吴兴农村商业银行股份有限公司赵湾支行</w:t>
            </w:r>
          </w:p>
          <w:p>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 xml:space="preserve">银行账号：201000235192452 </w:t>
            </w:r>
          </w:p>
          <w:p>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（3）增值税发票开具资料：单位名称、税号（统一社会信用代码）、开户行名称、账号、地址及联系电话。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rPr>
              <w:t>特别说明</w:t>
            </w:r>
            <w:r>
              <w:rPr>
                <w:rFonts w:hint="eastAsia" w:ascii="仿宋" w:hAnsi="仿宋" w:eastAsia="仿宋" w:cs="仿宋"/>
                <w:b/>
                <w:sz w:val="24"/>
                <w:lang w:eastAsia="zh-CN"/>
              </w:rPr>
              <w:t>（</w:t>
            </w:r>
            <w:r>
              <w:rPr>
                <w:rFonts w:hint="eastAsia" w:ascii="仿宋" w:hAnsi="仿宋" w:eastAsia="仿宋" w:cs="仿宋"/>
                <w:b/>
                <w:sz w:val="24"/>
                <w:lang w:val="en-US" w:eastAsia="zh-CN"/>
              </w:rPr>
              <w:t>本项目不适用</w:t>
            </w:r>
            <w:r>
              <w:rPr>
                <w:rFonts w:hint="eastAsia" w:ascii="仿宋" w:hAnsi="仿宋" w:eastAsia="仿宋" w:cs="仿宋"/>
                <w:b/>
                <w:sz w:val="24"/>
                <w:lang w:eastAsia="zh-CN"/>
              </w:rPr>
              <w:t>）</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pPr>
        <w:snapToGrid w:val="0"/>
        <w:jc w:val="center"/>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2"/>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pPr>
        <w:pStyle w:val="392"/>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pPr>
        <w:pStyle w:val="32"/>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ascii="仿宋" w:hAnsi="仿宋" w:eastAsia="仿宋" w:cs="仿宋"/>
          <w:b/>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pPr>
        <w:pStyle w:val="392"/>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pPr>
        <w:pStyle w:val="32"/>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p>
    <w:p>
      <w:pPr>
        <w:pStyle w:val="32"/>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pPr>
        <w:pStyle w:val="32"/>
        <w:spacing w:line="360" w:lineRule="auto"/>
        <w:rPr>
          <w:rFonts w:ascii="仿宋" w:hAnsi="仿宋" w:eastAsia="仿宋" w:cs="仿宋"/>
          <w:b/>
          <w:sz w:val="24"/>
        </w:rPr>
      </w:pPr>
      <w:r>
        <w:rPr>
          <w:rFonts w:hint="eastAsia" w:ascii="仿宋" w:hAnsi="仿宋" w:eastAsia="仿宋" w:cs="仿宋"/>
          <w:b/>
          <w:sz w:val="24"/>
        </w:rPr>
        <w:t>1.在线询问、质疑、投诉</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仿宋"/>
          <w:b/>
          <w:sz w:val="24"/>
        </w:rPr>
      </w:pPr>
      <w:r>
        <w:rPr>
          <w:rFonts w:hint="eastAsia" w:ascii="仿宋" w:hAnsi="仿宋" w:eastAsia="仿宋" w:cs="仿宋"/>
          <w:b/>
          <w:sz w:val="24"/>
        </w:rPr>
        <w:t>3. 供应商质疑</w:t>
      </w:r>
    </w:p>
    <w:p>
      <w:pPr>
        <w:pStyle w:val="32"/>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pPr>
        <w:pStyle w:val="32"/>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2"/>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仿宋" w:hAnsi="仿宋" w:eastAsia="仿宋" w:cs="仿宋"/>
                <w:sz w:val="24"/>
              </w:rPr>
            </w:pPr>
          </w:p>
        </w:tc>
        <w:tc>
          <w:tcPr>
            <w:tcW w:w="4536" w:type="dxa"/>
            <w:vAlign w:val="center"/>
          </w:tcPr>
          <w:p>
            <w:pPr>
              <w:pStyle w:val="32"/>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2"/>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仿宋" w:hAnsi="仿宋" w:eastAsia="仿宋" w:cs="仿宋"/>
                <w:sz w:val="24"/>
              </w:rPr>
            </w:pPr>
          </w:p>
        </w:tc>
        <w:tc>
          <w:tcPr>
            <w:tcW w:w="4536" w:type="dxa"/>
            <w:vAlign w:val="center"/>
          </w:tcPr>
          <w:p>
            <w:pPr>
              <w:pStyle w:val="32"/>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2"/>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bl>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2"/>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ascii="仿宋" w:hAnsi="仿宋" w:eastAsia="仿宋" w:cs="仿宋"/>
          <w:b/>
          <w:sz w:val="24"/>
        </w:rPr>
      </w:pPr>
      <w:r>
        <w:rPr>
          <w:rFonts w:hint="eastAsia" w:ascii="仿宋" w:hAnsi="仿宋" w:eastAsia="仿宋" w:cs="仿宋"/>
          <w:b/>
          <w:sz w:val="24"/>
        </w:rPr>
        <w:t>4.供应商投诉</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2"/>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pPr>
        <w:pStyle w:val="392"/>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2"/>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2"/>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2"/>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pPr>
        <w:pStyle w:val="32"/>
        <w:spacing w:line="360" w:lineRule="auto"/>
        <w:rPr>
          <w:rFonts w:ascii="仿宋" w:hAnsi="仿宋" w:eastAsia="仿宋" w:cs="仿宋"/>
          <w:b/>
          <w:sz w:val="24"/>
          <w:szCs w:val="24"/>
        </w:rPr>
      </w:pPr>
      <w:r>
        <w:rPr>
          <w:rFonts w:hint="eastAsia" w:ascii="仿宋" w:hAnsi="仿宋" w:eastAsia="仿宋" w:cs="仿宋"/>
          <w:b/>
          <w:sz w:val="24"/>
        </w:rPr>
        <w:t>1. 响应文件的语言</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2"/>
        <w:spacing w:line="360" w:lineRule="auto"/>
        <w:rPr>
          <w:rFonts w:ascii="仿宋" w:hAnsi="仿宋" w:eastAsia="仿宋" w:cs="仿宋"/>
          <w:b/>
          <w:sz w:val="24"/>
          <w:szCs w:val="24"/>
        </w:rPr>
      </w:pPr>
      <w:r>
        <w:rPr>
          <w:rFonts w:hint="eastAsia" w:ascii="仿宋" w:hAnsi="仿宋" w:eastAsia="仿宋" w:cs="仿宋"/>
          <w:b/>
          <w:sz w:val="24"/>
        </w:rPr>
        <w:t>2. 响应文件的组成</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p>
    <w:p>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pPr>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）政府采购供应商廉洁自律承诺书</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pPr>
        <w:numPr>
          <w:ilvl w:val="-1"/>
          <w:numId w:val="0"/>
        </w:numPr>
        <w:spacing w:line="360" w:lineRule="auto"/>
        <w:ind w:firstLine="0" w:firstLineChars="0"/>
        <w:rPr>
          <w:rFonts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2"/>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2"/>
        <w:spacing w:before="0"/>
        <w:ind w:firstLine="0" w:firstLineChars="0"/>
        <w:rPr>
          <w:rFonts w:ascii="仿宋" w:hAnsi="仿宋" w:eastAsia="仿宋" w:cs="仿宋"/>
          <w:b/>
          <w:szCs w:val="24"/>
        </w:rPr>
      </w:pPr>
    </w:p>
    <w:p>
      <w:pPr>
        <w:pStyle w:val="392"/>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pPr>
        <w:pStyle w:val="392"/>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2"/>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2"/>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ascii="仿宋" w:hAnsi="仿宋" w:eastAsia="仿宋" w:cs="仿宋"/>
          <w:b/>
          <w:sz w:val="24"/>
          <w:szCs w:val="24"/>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2"/>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2"/>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2"/>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2"/>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6" w:name="_Hlk101184471"/>
      <w:r>
        <w:rPr>
          <w:rFonts w:hint="eastAsia" w:ascii="仿宋" w:hAnsi="仿宋" w:eastAsia="仿宋" w:cs="仿宋"/>
          <w:sz w:val="24"/>
        </w:rPr>
        <w:t>资格审查情况、评审专家抽取规则、符合性审查情况、</w:t>
      </w:r>
      <w:bookmarkEnd w:id="56"/>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2"/>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numPr>
          <w:ilvl w:val="255"/>
          <w:numId w:val="0"/>
        </w:numPr>
        <w:rPr>
          <w:rFonts w:ascii="仿宋" w:eastAsia="仿宋" w:cs="仿宋"/>
        </w:rPr>
      </w:pPr>
      <w:r>
        <w:rPr>
          <w:rFonts w:hint="eastAsia" w:ascii="仿宋" w:eastAsia="仿宋" w:cs="仿宋"/>
          <w:sz w:val="24"/>
          <w:lang w:val="en-US"/>
        </w:rPr>
        <w:t>4.预付款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napToGrid w:val="0"/>
          <w:kern w:val="28"/>
          <w:sz w:val="24"/>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pPr>
        <w:pStyle w:val="24"/>
        <w:spacing w:line="360" w:lineRule="auto"/>
        <w:ind w:firstLine="0" w:firstLineChars="0"/>
        <w:rPr>
          <w:rFonts w:ascii="仿宋" w:hAnsi="仿宋" w:eastAsia="仿宋" w:cs="仿宋"/>
          <w:b/>
        </w:rPr>
      </w:pPr>
      <w:r>
        <w:rPr>
          <w:rFonts w:hint="eastAsia" w:ascii="仿宋" w:hAnsi="仿宋" w:eastAsia="仿宋" w:cs="仿宋"/>
          <w:b/>
        </w:rPr>
        <w:t>1.验收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3"/>
      <w:bookmarkStart w:id="57" w:name="_Hlt75236011"/>
      <w:bookmarkEnd w:id="57"/>
      <w:bookmarkStart w:id="58" w:name="_Hlt74714665"/>
      <w:bookmarkEnd w:id="58"/>
      <w:bookmarkStart w:id="59" w:name="_Hlt74729768"/>
      <w:bookmarkEnd w:id="59"/>
      <w:bookmarkStart w:id="60" w:name="_Hlt75236290"/>
      <w:bookmarkEnd w:id="60"/>
      <w:bookmarkStart w:id="61" w:name="_Hlt74707468"/>
      <w:bookmarkEnd w:id="61"/>
      <w:bookmarkStart w:id="62" w:name="_Hlt74730295"/>
      <w:bookmarkEnd w:id="62"/>
      <w:bookmarkStart w:id="63" w:name="_Hlt68072990"/>
      <w:bookmarkEnd w:id="63"/>
      <w:bookmarkStart w:id="64" w:name="_Hlt75236101"/>
      <w:bookmarkEnd w:id="64"/>
      <w:bookmarkStart w:id="65" w:name="_Hlt68057669"/>
      <w:bookmarkEnd w:id="65"/>
      <w:bookmarkStart w:id="66" w:name="第三部分"/>
      <w:bookmarkStart w:id="67" w:name="_Toc164416483"/>
      <w:r>
        <w:rPr>
          <w:rFonts w:hint="eastAsia" w:ascii="仿宋" w:hAnsi="仿宋" w:eastAsia="仿宋" w:cs="仿宋"/>
          <w:b/>
          <w:sz w:val="36"/>
          <w:szCs w:val="36"/>
        </w:rPr>
        <w:br w:type="page"/>
      </w: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pPr>
        <w:autoSpaceDE w:val="0"/>
        <w:autoSpaceDN w:val="0"/>
        <w:adjustRightInd w:val="0"/>
        <w:spacing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本技术（服务）要求适用于</w:t>
      </w:r>
      <w:r>
        <w:rPr>
          <w:rFonts w:hint="eastAsia" w:ascii="仿宋" w:hAnsi="仿宋" w:eastAsia="仿宋" w:cs="仿宋"/>
          <w:kern w:val="0"/>
          <w:sz w:val="24"/>
          <w:szCs w:val="24"/>
          <w:lang w:eastAsia="zh-CN"/>
        </w:rPr>
        <w:t>长合区企业百万员工大培训项目</w:t>
      </w:r>
      <w:r>
        <w:rPr>
          <w:rFonts w:hint="eastAsia" w:ascii="仿宋" w:hAnsi="仿宋" w:eastAsia="仿宋" w:cs="仿宋"/>
          <w:kern w:val="0"/>
          <w:sz w:val="24"/>
          <w:szCs w:val="24"/>
        </w:rPr>
        <w:t>的采购，是采购人为该项目的供应商提出的技术（服务）规范要求，为供应商完成响应文件的依据。本章所提出的内容为本项目的最低要求，供应商必须认真阅读以下内容，以免造成磋商损失。</w:t>
      </w:r>
    </w:p>
    <w:p>
      <w:pPr>
        <w:autoSpaceDE w:val="0"/>
        <w:autoSpaceDN w:val="0"/>
        <w:adjustRightInd w:val="0"/>
        <w:spacing w:line="340" w:lineRule="exact"/>
        <w:rPr>
          <w:rFonts w:hint="eastAsia" w:ascii="仿宋" w:hAnsi="仿宋" w:eastAsia="仿宋" w:cs="仿宋"/>
          <w:kern w:val="0"/>
          <w:sz w:val="24"/>
          <w:szCs w:val="24"/>
          <w:highlight w:val="none"/>
        </w:rPr>
      </w:pPr>
      <w:bookmarkStart w:id="68" w:name="_Toc282640725"/>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FDCCX-2024-003(CG)</w:t>
      </w:r>
    </w:p>
    <w:p>
      <w:pPr>
        <w:pStyle w:val="5"/>
        <w:keepLines w:val="0"/>
        <w:numPr>
          <w:ilvl w:val="0"/>
          <w:numId w:val="0"/>
        </w:numPr>
        <w:spacing w:before="159" w:beforeLines="50" w:beforeAutospacing="0" w:after="123" w:afterLines="39" w:afterAutospacing="0" w:line="340" w:lineRule="exact"/>
        <w:ind w:leftChars="0"/>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项目名称：</w:t>
      </w:r>
      <w:bookmarkStart w:id="69" w:name="_Toc414960368"/>
      <w:bookmarkStart w:id="70" w:name="_Toc402872196"/>
      <w:bookmarkStart w:id="71" w:name="_Toc15377552"/>
      <w:bookmarkStart w:id="72" w:name="_Toc493761850"/>
      <w:r>
        <w:rPr>
          <w:rFonts w:hint="eastAsia" w:ascii="仿宋" w:hAnsi="仿宋" w:eastAsia="仿宋" w:cs="仿宋"/>
          <w:b w:val="0"/>
          <w:bCs w:val="0"/>
          <w:kern w:val="0"/>
          <w:sz w:val="24"/>
          <w:szCs w:val="24"/>
          <w:lang w:eastAsia="zh-CN"/>
        </w:rPr>
        <w:t>长合区企业百万员工大培训项目</w:t>
      </w:r>
    </w:p>
    <w:p>
      <w:pPr>
        <w:pStyle w:val="5"/>
        <w:keepLines w:val="0"/>
        <w:numPr>
          <w:ilvl w:val="0"/>
          <w:numId w:val="0"/>
        </w:numPr>
        <w:spacing w:before="159" w:beforeLines="50" w:beforeAutospacing="0" w:after="123" w:afterLines="39" w:afterAutospacing="0" w:line="340" w:lineRule="exact"/>
        <w:ind w:leftChars="0"/>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一、</w:t>
      </w:r>
      <w:bookmarkEnd w:id="69"/>
      <w:bookmarkEnd w:id="70"/>
      <w:bookmarkEnd w:id="71"/>
      <w:bookmarkEnd w:id="72"/>
      <w:r>
        <w:rPr>
          <w:rFonts w:hint="eastAsia" w:ascii="仿宋" w:hAnsi="仿宋" w:eastAsia="仿宋" w:cs="仿宋"/>
          <w:kern w:val="0"/>
          <w:sz w:val="28"/>
          <w:szCs w:val="28"/>
          <w:lang w:val="en-US" w:eastAsia="zh-CN"/>
        </w:rPr>
        <w:t>采购内容</w:t>
      </w:r>
    </w:p>
    <w:bookmarkEnd w:id="68"/>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53"/>
        <w:gridCol w:w="1835"/>
        <w:gridCol w:w="203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6" w:type="pct"/>
            <w:noWrap w:val="0"/>
            <w:vAlign w:val="center"/>
          </w:tcPr>
          <w:p>
            <w:pPr>
              <w:snapToGrid w:val="0"/>
              <w:spacing w:line="400" w:lineRule="exact"/>
              <w:jc w:val="center"/>
              <w:rPr>
                <w:rFonts w:hint="eastAsia" w:ascii="仿宋" w:hAnsi="仿宋" w:eastAsia="仿宋" w:cs="仿宋"/>
                <w:color w:val="000000"/>
                <w:kern w:val="0"/>
                <w:sz w:val="24"/>
                <w:szCs w:val="24"/>
                <w:lang w:eastAsia="zh-CN"/>
              </w:rPr>
            </w:pPr>
            <w:bookmarkStart w:id="73" w:name="_Toc12488"/>
            <w:r>
              <w:rPr>
                <w:rFonts w:hint="eastAsia" w:ascii="仿宋" w:hAnsi="仿宋" w:eastAsia="仿宋" w:cs="仿宋"/>
                <w:color w:val="000000"/>
                <w:kern w:val="0"/>
                <w:sz w:val="24"/>
                <w:szCs w:val="24"/>
                <w:lang w:val="en-US" w:eastAsia="zh-CN"/>
              </w:rPr>
              <w:t>项目内容</w:t>
            </w:r>
          </w:p>
        </w:tc>
        <w:tc>
          <w:tcPr>
            <w:tcW w:w="4603" w:type="pct"/>
            <w:gridSpan w:val="4"/>
            <w:noWrap w:val="0"/>
            <w:vAlign w:val="center"/>
          </w:tcPr>
          <w:p>
            <w:pPr>
              <w:snapToGrid w:val="0"/>
              <w:spacing w:line="400" w:lineRule="exact"/>
              <w:jc w:val="center"/>
              <w:rPr>
                <w:rFonts w:hint="eastAsia" w:ascii="仿宋" w:hAnsi="仿宋" w:eastAsia="仿宋" w:cs="仿宋"/>
                <w:color w:val="000000"/>
                <w:kern w:val="0"/>
                <w:sz w:val="24"/>
                <w:szCs w:val="24"/>
                <w:lang w:eastAsia="zh-CN"/>
              </w:rPr>
            </w:pPr>
            <w:r>
              <w:rPr>
                <w:rFonts w:hint="eastAsia" w:ascii="仿宋" w:hAnsi="仿宋" w:eastAsia="仿宋" w:cs="仿宋"/>
                <w:kern w:val="0"/>
                <w:sz w:val="24"/>
                <w:szCs w:val="24"/>
                <w:lang w:eastAsia="zh-CN"/>
              </w:rPr>
              <w:t>长合区企业百万员工大培训项目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6" w:type="pct"/>
            <w:noWrap w:val="0"/>
            <w:vAlign w:val="center"/>
          </w:tcPr>
          <w:p>
            <w:pPr>
              <w:snapToGrid w:val="0"/>
              <w:spacing w:line="4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序号</w:t>
            </w:r>
          </w:p>
        </w:tc>
        <w:tc>
          <w:tcPr>
            <w:tcW w:w="1536" w:type="pct"/>
            <w:noWrap w:val="0"/>
            <w:vAlign w:val="center"/>
          </w:tcPr>
          <w:p>
            <w:pPr>
              <w:snapToGrid w:val="0"/>
              <w:spacing w:line="4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服务</w:t>
            </w:r>
            <w:r>
              <w:rPr>
                <w:rFonts w:hint="eastAsia" w:ascii="仿宋" w:hAnsi="仿宋" w:eastAsia="仿宋" w:cs="仿宋"/>
                <w:color w:val="000000"/>
                <w:kern w:val="0"/>
                <w:sz w:val="24"/>
                <w:szCs w:val="24"/>
                <w:lang w:val="en-US" w:eastAsia="zh-CN"/>
              </w:rPr>
              <w:t>内容</w:t>
            </w:r>
          </w:p>
        </w:tc>
        <w:tc>
          <w:tcPr>
            <w:tcW w:w="988" w:type="pct"/>
            <w:noWrap w:val="0"/>
            <w:vAlign w:val="center"/>
          </w:tcPr>
          <w:p>
            <w:pPr>
              <w:snapToGrid w:val="0"/>
              <w:spacing w:line="4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人数</w:t>
            </w:r>
          </w:p>
        </w:tc>
        <w:tc>
          <w:tcPr>
            <w:tcW w:w="1093" w:type="pct"/>
            <w:noWrap w:val="0"/>
            <w:vAlign w:val="center"/>
          </w:tcPr>
          <w:p>
            <w:pPr>
              <w:snapToGrid w:val="0"/>
              <w:spacing w:line="4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报价单价</w:t>
            </w:r>
          </w:p>
          <w:p>
            <w:pPr>
              <w:snapToGrid w:val="0"/>
              <w:spacing w:line="4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（最高限价）</w:t>
            </w:r>
          </w:p>
          <w:p>
            <w:pPr>
              <w:snapToGrid w:val="0"/>
              <w:spacing w:line="40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（元/人）</w:t>
            </w:r>
          </w:p>
        </w:tc>
        <w:tc>
          <w:tcPr>
            <w:tcW w:w="984" w:type="pct"/>
            <w:noWrap w:val="0"/>
            <w:vAlign w:val="center"/>
          </w:tcPr>
          <w:p>
            <w:pPr>
              <w:snapToGrid w:val="0"/>
              <w:spacing w:line="4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96" w:type="pct"/>
            <w:noWrap w:val="0"/>
            <w:vAlign w:val="center"/>
          </w:tcPr>
          <w:p>
            <w:pPr>
              <w:snapToGrid w:val="0"/>
              <w:spacing w:line="4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1</w:t>
            </w:r>
          </w:p>
        </w:tc>
        <w:tc>
          <w:tcPr>
            <w:tcW w:w="1536" w:type="pct"/>
            <w:noWrap w:val="0"/>
            <w:vAlign w:val="center"/>
          </w:tcPr>
          <w:p>
            <w:pPr>
              <w:snapToGrid w:val="0"/>
              <w:spacing w:line="400" w:lineRule="exact"/>
              <w:jc w:val="center"/>
              <w:rPr>
                <w:rFonts w:hint="eastAsia" w:ascii="仿宋" w:hAnsi="仿宋" w:eastAsia="仿宋" w:cs="仿宋"/>
                <w:color w:val="000000"/>
                <w:kern w:val="0"/>
                <w:sz w:val="24"/>
                <w:szCs w:val="24"/>
                <w:lang w:val="en-US" w:eastAsia="zh-CN"/>
              </w:rPr>
            </w:pPr>
          </w:p>
          <w:p>
            <w:pPr>
              <w:snapToGrid w:val="0"/>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具体要求</w:t>
            </w:r>
            <w:r>
              <w:rPr>
                <w:rFonts w:hint="default" w:ascii="仿宋" w:hAnsi="仿宋" w:eastAsia="仿宋" w:cs="仿宋"/>
                <w:color w:val="000000"/>
                <w:kern w:val="0"/>
                <w:sz w:val="24"/>
                <w:szCs w:val="24"/>
                <w:lang w:val="en-US" w:eastAsia="zh-CN"/>
              </w:rPr>
              <w:t>详见磋商文件。</w:t>
            </w:r>
          </w:p>
          <w:p>
            <w:pPr>
              <w:snapToGrid w:val="0"/>
              <w:spacing w:line="400" w:lineRule="exact"/>
              <w:jc w:val="center"/>
              <w:rPr>
                <w:rFonts w:hint="default" w:ascii="仿宋" w:hAnsi="仿宋" w:eastAsia="仿宋" w:cs="仿宋"/>
                <w:color w:val="000000"/>
                <w:kern w:val="0"/>
                <w:sz w:val="24"/>
                <w:szCs w:val="24"/>
                <w:lang w:val="en-US" w:eastAsia="zh-CN"/>
              </w:rPr>
            </w:pPr>
          </w:p>
        </w:tc>
        <w:tc>
          <w:tcPr>
            <w:tcW w:w="988" w:type="pct"/>
            <w:noWrap w:val="0"/>
            <w:vAlign w:val="center"/>
          </w:tcPr>
          <w:p>
            <w:pPr>
              <w:snapToGrid w:val="0"/>
              <w:spacing w:line="400" w:lineRule="exact"/>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4000人</w:t>
            </w:r>
          </w:p>
        </w:tc>
        <w:tc>
          <w:tcPr>
            <w:tcW w:w="1093" w:type="pct"/>
            <w:noWrap w:val="0"/>
            <w:vAlign w:val="center"/>
          </w:tcPr>
          <w:p>
            <w:pPr>
              <w:snapToGrid w:val="0"/>
              <w:spacing w:line="400" w:lineRule="exact"/>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w:t>
            </w:r>
          </w:p>
        </w:tc>
        <w:tc>
          <w:tcPr>
            <w:tcW w:w="984" w:type="pct"/>
            <w:noWrap w:val="0"/>
            <w:vAlign w:val="center"/>
          </w:tcPr>
          <w:p>
            <w:pPr>
              <w:snapToGrid w:val="0"/>
              <w:spacing w:line="400" w:lineRule="exact"/>
              <w:jc w:val="center"/>
              <w:rPr>
                <w:rFonts w:hint="default"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6" w:type="pct"/>
            <w:noWrap w:val="0"/>
            <w:vAlign w:val="center"/>
          </w:tcPr>
          <w:p>
            <w:pPr>
              <w:keepNext w:val="0"/>
              <w:keepLines w:val="0"/>
              <w:pageBreakBefore w:val="0"/>
              <w:kinsoku/>
              <w:overflowPunct/>
              <w:topLinePunct w:val="0"/>
              <w:bidi w:val="0"/>
              <w:snapToGrid w:val="0"/>
              <w:spacing w:line="240" w:lineRule="auto"/>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highlight w:val="none"/>
                <w:lang w:val="en-US" w:eastAsia="zh-CN"/>
              </w:rPr>
              <w:t>注</w:t>
            </w:r>
          </w:p>
        </w:tc>
        <w:tc>
          <w:tcPr>
            <w:tcW w:w="4603" w:type="pct"/>
            <w:gridSpan w:val="4"/>
            <w:noWrap w:val="0"/>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4"/>
                <w:szCs w:val="24"/>
                <w:shd w:val="clear" w:color="auto" w:fill="auto"/>
                <w:lang w:val="en-US" w:eastAsia="zh-CN"/>
              </w:rPr>
            </w:pPr>
            <w:r>
              <w:rPr>
                <w:rFonts w:hint="eastAsia" w:ascii="仿宋" w:hAnsi="仿宋" w:eastAsia="仿宋" w:cs="仿宋"/>
                <w:color w:val="auto"/>
                <w:kern w:val="0"/>
                <w:sz w:val="24"/>
                <w:szCs w:val="24"/>
                <w:shd w:val="clear" w:color="auto" w:fill="auto"/>
                <w:lang w:val="en-US" w:eastAsia="zh-CN"/>
              </w:rPr>
              <w:t>具体培训人数以实际为准，最终费用按报价单价*实际培训人数结算，总的结算款不得超总预</w:t>
            </w:r>
            <w:r>
              <w:rPr>
                <w:rFonts w:hint="eastAsia" w:ascii="仿宋" w:hAnsi="仿宋" w:eastAsia="仿宋" w:cs="仿宋"/>
                <w:sz w:val="24"/>
                <w:szCs w:val="24"/>
                <w:shd w:val="clear" w:color="auto" w:fill="auto"/>
                <w:lang w:val="en-US" w:eastAsia="zh-CN"/>
              </w:rPr>
              <w:t>算</w:t>
            </w:r>
            <w:r>
              <w:rPr>
                <w:rFonts w:hint="eastAsia" w:ascii="仿宋" w:hAnsi="仿宋" w:eastAsia="仿宋" w:cs="仿宋"/>
                <w:sz w:val="24"/>
                <w:szCs w:val="24"/>
                <w:highlight w:val="none"/>
                <w:shd w:val="clear" w:color="auto" w:fill="auto"/>
                <w:lang w:val="en-US" w:eastAsia="zh-CN"/>
              </w:rPr>
              <w:t>48</w:t>
            </w:r>
            <w:r>
              <w:rPr>
                <w:rFonts w:hint="eastAsia" w:ascii="仿宋" w:hAnsi="仿宋" w:eastAsia="仿宋" w:cs="仿宋"/>
                <w:sz w:val="24"/>
                <w:szCs w:val="24"/>
                <w:shd w:val="clear" w:color="auto" w:fill="auto"/>
                <w:lang w:val="en-US" w:eastAsia="zh-CN"/>
              </w:rPr>
              <w:t>万元。</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本项目培训人数暂估，根据企业上报情况最终确定，投标人应充分预估人数风险，以实际培训人数为准。</w:t>
            </w:r>
            <w:r>
              <w:rPr>
                <w:rFonts w:hint="eastAsia" w:ascii="仿宋" w:hAnsi="仿宋" w:eastAsia="仿宋" w:cs="仿宋"/>
                <w:color w:val="auto"/>
                <w:kern w:val="0"/>
                <w:sz w:val="24"/>
                <w:szCs w:val="24"/>
                <w:shd w:val="clear" w:color="auto" w:fill="auto"/>
                <w:lang w:val="en-US" w:eastAsia="zh-CN"/>
              </w:rPr>
              <w:t xml:space="preserve">  </w:t>
            </w:r>
          </w:p>
          <w:p>
            <w:pPr>
              <w:keepNext w:val="0"/>
              <w:keepLines w:val="0"/>
              <w:pageBreakBefore w:val="0"/>
              <w:kinsoku/>
              <w:overflowPunct/>
              <w:topLinePunct w:val="0"/>
              <w:bidi w:val="0"/>
              <w:snapToGrid w:val="0"/>
              <w:spacing w:line="240" w:lineRule="auto"/>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3、具体服务要求详见磋商文件。</w:t>
            </w:r>
            <w:r>
              <w:rPr>
                <w:rFonts w:hint="eastAsia" w:ascii="仿宋" w:hAnsi="仿宋" w:eastAsia="仿宋" w:cs="仿宋"/>
                <w:color w:val="auto"/>
                <w:kern w:val="0"/>
                <w:sz w:val="24"/>
                <w:szCs w:val="24"/>
                <w:shd w:val="clear" w:color="auto" w:fill="auto"/>
                <w:lang w:val="en-US" w:eastAsia="zh-CN"/>
              </w:rPr>
              <w:t xml:space="preserve">                            </w:t>
            </w:r>
          </w:p>
        </w:tc>
      </w:tr>
    </w:tbl>
    <w:p>
      <w:pPr>
        <w:pStyle w:val="5"/>
        <w:keepLines w:val="0"/>
        <w:numPr>
          <w:ilvl w:val="0"/>
          <w:numId w:val="11"/>
        </w:numPr>
        <w:spacing w:before="159" w:beforeLines="50" w:beforeAutospacing="0" w:after="123" w:afterLines="39" w:afterAutospacing="0" w:line="340" w:lineRule="exact"/>
        <w:ind w:left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主要服务对象及内容</w:t>
      </w:r>
      <w:bookmarkEnd w:id="73"/>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lang w:val="en-US" w:eastAsia="zh-CN" w:bidi="ar-SA"/>
        </w:rPr>
        <w:t>1、生产加工型小微企业（“三场所三企业”、使用危化品企业除外）主要负责人、安全管理人员、重点岗位人员安全培训，培训人数不少</w:t>
      </w:r>
      <w:r>
        <w:rPr>
          <w:rFonts w:hint="eastAsia" w:ascii="仿宋" w:hAnsi="仿宋" w:eastAsia="仿宋" w:cs="仿宋"/>
          <w:kern w:val="0"/>
          <w:sz w:val="24"/>
          <w:szCs w:val="24"/>
          <w:highlight w:val="none"/>
          <w:lang w:val="en-US" w:eastAsia="zh-CN" w:bidi="ar-SA"/>
        </w:rPr>
        <w:t>于3000名。</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2、“三场所三企业”、工贸行业使用危险化学品等危险性较高企业主要负责人、安全管理人员（含消防安全管理人员、消防控制室值班人员）、重点岗位人员安全培训，培训人数不少于500名。</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 危险化学品、非煤矿山、烟花爆竹、金属冶炼等高危行业企业主要负责人、安全管理人员、从业人员和各类生产经营单位特种作业人员安全培训，培训人数不少于500名。</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重点岗位人员包括动火作业、高处作业、有限空间作业、吊装作业、临时用电作业、破土作业、盲板抽堵、断路作业等八大高危作业和使用易燃爆危险化学品岗位人员。</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266"/>
        <w:gridCol w:w="1228"/>
        <w:gridCol w:w="1152"/>
        <w:gridCol w:w="147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177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类型</w:t>
            </w:r>
          </w:p>
        </w:tc>
        <w:tc>
          <w:tcPr>
            <w:tcW w:w="673"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计划培训人数</w:t>
            </w:r>
          </w:p>
        </w:tc>
        <w:tc>
          <w:tcPr>
            <w:tcW w:w="6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线下</w:t>
            </w:r>
          </w:p>
        </w:tc>
        <w:tc>
          <w:tcPr>
            <w:tcW w:w="808"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标准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(最高限价)</w:t>
            </w:r>
          </w:p>
        </w:tc>
        <w:tc>
          <w:tcPr>
            <w:tcW w:w="68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177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高危企业安全培训</w:t>
            </w:r>
          </w:p>
        </w:tc>
        <w:tc>
          <w:tcPr>
            <w:tcW w:w="673"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500人</w:t>
            </w:r>
          </w:p>
        </w:tc>
        <w:tc>
          <w:tcPr>
            <w:tcW w:w="6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≥8课时</w:t>
            </w:r>
          </w:p>
        </w:tc>
        <w:tc>
          <w:tcPr>
            <w:tcW w:w="808" w:type="pct"/>
            <w:vMerge w:val="restar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highlight w:val="none"/>
                <w:lang w:val="en-US" w:eastAsia="zh-CN" w:bidi="ar-SA"/>
              </w:rPr>
            </w:pP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highlight w:val="none"/>
                <w:lang w:val="en-US" w:eastAsia="zh-CN" w:bidi="ar-SA"/>
              </w:rPr>
            </w:pP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120元/人</w:t>
            </w:r>
          </w:p>
        </w:tc>
        <w:tc>
          <w:tcPr>
            <w:tcW w:w="681" w:type="pct"/>
            <w:vMerge w:val="restar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kern w:val="0"/>
                <w:sz w:val="24"/>
                <w:szCs w:val="24"/>
                <w:highlight w:val="yellow"/>
                <w:lang w:val="en-US" w:eastAsia="zh-CN" w:bidi="ar-SA"/>
              </w:rPr>
            </w:pP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kern w:val="0"/>
                <w:sz w:val="24"/>
                <w:szCs w:val="24"/>
                <w:highlight w:val="yellow"/>
                <w:lang w:val="en-US" w:eastAsia="zh-CN" w:bidi="ar-SA"/>
              </w:rPr>
            </w:pP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default" w:ascii="仿宋" w:hAnsi="仿宋" w:eastAsia="仿宋" w:cs="仿宋"/>
                <w:kern w:val="0"/>
                <w:sz w:val="24"/>
                <w:szCs w:val="24"/>
                <w:highlight w:val="yellow"/>
                <w:lang w:val="en-US" w:eastAsia="zh-CN" w:bidi="ar-SA"/>
              </w:rPr>
            </w:pPr>
            <w:r>
              <w:rPr>
                <w:rFonts w:hint="eastAsia" w:ascii="仿宋" w:hAnsi="仿宋" w:eastAsia="仿宋" w:cs="仿宋"/>
                <w:kern w:val="0"/>
                <w:sz w:val="24"/>
                <w:szCs w:val="24"/>
                <w:highlight w:val="none"/>
                <w:lang w:val="en-US" w:eastAsia="zh-CN" w:bidi="ar-SA"/>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p>
        </w:tc>
        <w:tc>
          <w:tcPr>
            <w:tcW w:w="177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危险性较高企业安全培训</w:t>
            </w:r>
          </w:p>
        </w:tc>
        <w:tc>
          <w:tcPr>
            <w:tcW w:w="673"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highlight w:val="none"/>
                <w:lang w:val="en-US" w:eastAsia="zh-CN" w:bidi="ar-SA"/>
              </w:rPr>
              <w:t>500人</w:t>
            </w:r>
          </w:p>
        </w:tc>
        <w:tc>
          <w:tcPr>
            <w:tcW w:w="6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≥8课时</w:t>
            </w:r>
          </w:p>
        </w:tc>
        <w:tc>
          <w:tcPr>
            <w:tcW w:w="808" w:type="pct"/>
            <w:vMerge w:val="continue"/>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仿宋" w:hAnsi="仿宋" w:eastAsia="仿宋" w:cs="仿宋"/>
                <w:kern w:val="0"/>
                <w:sz w:val="24"/>
                <w:szCs w:val="24"/>
                <w:lang w:val="en-US" w:eastAsia="zh-CN" w:bidi="ar-SA"/>
              </w:rPr>
            </w:pPr>
          </w:p>
        </w:tc>
        <w:tc>
          <w:tcPr>
            <w:tcW w:w="681" w:type="pct"/>
            <w:vMerge w:val="continue"/>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仿宋" w:hAnsi="仿宋" w:eastAsia="仿宋" w:cs="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w:t>
            </w:r>
          </w:p>
        </w:tc>
        <w:tc>
          <w:tcPr>
            <w:tcW w:w="177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生产加工型小微企业安全培训</w:t>
            </w:r>
          </w:p>
        </w:tc>
        <w:tc>
          <w:tcPr>
            <w:tcW w:w="673"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highlight w:val="none"/>
                <w:lang w:val="en-US" w:eastAsia="zh-CN" w:bidi="ar-SA"/>
              </w:rPr>
              <w:t>3000</w:t>
            </w:r>
            <w:r>
              <w:rPr>
                <w:rFonts w:hint="eastAsia" w:ascii="仿宋" w:hAnsi="仿宋" w:eastAsia="仿宋" w:cs="仿宋"/>
                <w:kern w:val="0"/>
                <w:sz w:val="24"/>
                <w:szCs w:val="24"/>
                <w:lang w:val="en-US" w:eastAsia="zh-CN" w:bidi="ar-SA"/>
              </w:rPr>
              <w:t>人</w:t>
            </w:r>
          </w:p>
        </w:tc>
        <w:tc>
          <w:tcPr>
            <w:tcW w:w="6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≥8课时</w:t>
            </w:r>
          </w:p>
        </w:tc>
        <w:tc>
          <w:tcPr>
            <w:tcW w:w="808" w:type="pct"/>
            <w:vMerge w:val="continue"/>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仿宋" w:hAnsi="仿宋" w:eastAsia="仿宋" w:cs="仿宋"/>
                <w:kern w:val="0"/>
                <w:sz w:val="24"/>
                <w:szCs w:val="24"/>
                <w:lang w:val="en-US" w:eastAsia="zh-CN" w:bidi="ar-SA"/>
              </w:rPr>
            </w:pPr>
          </w:p>
        </w:tc>
        <w:tc>
          <w:tcPr>
            <w:tcW w:w="681" w:type="pct"/>
            <w:vMerge w:val="continue"/>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20"/>
              <w:jc w:val="center"/>
              <w:textAlignment w:val="auto"/>
              <w:rPr>
                <w:rFonts w:hint="eastAsia" w:ascii="仿宋" w:hAnsi="仿宋" w:eastAsia="仿宋" w:cs="仿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32"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both"/>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w:t>
            </w:r>
          </w:p>
        </w:tc>
        <w:tc>
          <w:tcPr>
            <w:tcW w:w="4567" w:type="pct"/>
            <w:gridSpan w:val="5"/>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本次磋商采用固定单价合同，培训人数为暂定，具体以采购人要求为准。</w:t>
            </w:r>
          </w:p>
        </w:tc>
      </w:tr>
    </w:tbl>
    <w:p>
      <w:pPr>
        <w:pStyle w:val="404"/>
        <w:spacing w:before="0" w:beforeAutospacing="0" w:after="0" w:afterAutospacing="0" w:line="240" w:lineRule="auto"/>
        <w:rPr>
          <w:rFonts w:hint="eastAsia" w:ascii="仿宋" w:hAnsi="仿宋" w:eastAsia="仿宋" w:cs="仿宋"/>
          <w:lang w:val="en-US" w:eastAsia="zh-CN"/>
        </w:rPr>
      </w:pPr>
    </w:p>
    <w:p>
      <w:pPr>
        <w:pStyle w:val="5"/>
        <w:keepLines w:val="0"/>
        <w:numPr>
          <w:ilvl w:val="0"/>
          <w:numId w:val="11"/>
        </w:numPr>
        <w:spacing w:before="159" w:beforeLines="50" w:beforeAutospacing="0" w:after="123" w:afterLines="39" w:afterAutospacing="0" w:line="340" w:lineRule="exact"/>
        <w:ind w:left="0" w:leftChars="0" w:firstLine="0" w:firstLine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培训内容</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3.1、针对行业企业和对象不同，特别要结合近几年工矿商贸多发易发的事故成因开展针对性和专业性知识培训，因材施教，实行差异化培训，重点突出“遏重大、降较大”，让各类从业人员进一步掌握安全生产法律法规赋予的法定职责及违法导致的法律责任、应该履行的权利义务，以及提升一线从业人员的生产岗位应知应会、应急处置和逃生能力。安全培训以线下面授与线上学习相结合，并如实记录安全按培训、考核情况。</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3.2、各类生产经营单位从业人员首次参加安全培训，严格按照《浙江省应急管理厅关于继续推进企业百万员工安全大培训工作的通知》（浙应急基础[2021]9号）要求执行，所有线上学习必须在“浙江省安全生产网络学院”平台完成。</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3.3、具体培训标准及课时要求详见附件要求</w:t>
      </w:r>
    </w:p>
    <w:p>
      <w:pPr>
        <w:numPr>
          <w:ilvl w:val="0"/>
          <w:numId w:val="0"/>
        </w:numPr>
        <w:ind w:leftChars="0"/>
        <w:rPr>
          <w:rFonts w:hint="eastAsia" w:ascii="仿宋" w:hAnsi="仿宋" w:eastAsia="仿宋" w:cs="仿宋"/>
          <w:lang w:val="en-US" w:eastAsia="zh-CN"/>
        </w:rPr>
      </w:pPr>
    </w:p>
    <w:p>
      <w:pPr>
        <w:pStyle w:val="5"/>
        <w:keepLines w:val="0"/>
        <w:numPr>
          <w:ilvl w:val="0"/>
          <w:numId w:val="11"/>
        </w:numPr>
        <w:spacing w:before="159" w:beforeLines="50" w:beforeAutospacing="0" w:after="123" w:afterLines="39" w:afterAutospacing="0" w:line="340" w:lineRule="exact"/>
        <w:ind w:left="0" w:leftChars="0" w:firstLine="0" w:firstLine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任务分工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实施安全生产培训前采购单位审核第三方培训机构的师资力量、确定培训课程内容。区应急管理局成立工作组，监管培训过程，督促第三方培训机构做好各班次的人员登记、教学档案的整理汇总工作，全程跟踪培训质量并负责培训从业人员的考核工作。</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培训机构：负责安排培训项目涉及的岗位安全培训师资或与该岗位相近的培训师资，并报区局审核。负责参训人员的登记、班次排定、具体施教工作并做好培训人员培训档案管理工作。负责对线上学习的教学指导，定期跟踪各类人员线上学习情况，及时通知督促各类人员完成线上学习，统计汇总各类人员线上学习情况。线上学习原则上在线下培训完成之日起七天内完成，对于未能及时完成的人员，培训机构应及时通知并指导其学习，同时上报区应急管理局，由工作组负责督促其完成。培训机构应将各行业领域具有丰富实践经验的“能工巧匠”参与面授培训及线上教学工作，采取案例教学、现身说教、点对点指导教学的模式切实提升培训实效。第三方培训机构提供安全生产培训教师、教材、场地及相关教学设施设备；根据培训课时要求和培训规定制定培训班课程表；安排组织学员完成培训内容；做好培训期间的后勤保障及线下开班培训工作。</w:t>
      </w:r>
    </w:p>
    <w:p>
      <w:pPr>
        <w:pStyle w:val="5"/>
        <w:keepLines w:val="0"/>
        <w:numPr>
          <w:ilvl w:val="0"/>
          <w:numId w:val="11"/>
        </w:numPr>
        <w:spacing w:before="159" w:beforeLines="50" w:beforeAutospacing="0" w:after="123" w:afterLines="39" w:afterAutospacing="0" w:line="340" w:lineRule="exact"/>
        <w:ind w:left="0" w:leftChars="0" w:firstLine="0" w:firstLine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保障措施</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严格质量把控。分行业组织培训班，线下培训实施中、小班化教学，将同类行业的企业负责人、安全管理人员及重点岗位人员尽可能集中培训（主要负责人、安管员、特种作业人员实行小班化）。对企业负责人和安全管理岗位的从业人员突出法律法规、风险辨识等理论知识，将我区无隐患管理创建、涉燃爆粉尘整治、危化品风险管控措施、信息化监管、主体责任承诺公示等内容一并纳入培训范围。对一线从业人员重点强化安全用火、用气和火灾报警、扑救初期火灾等技能知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（二）提升参训比率。对指定片区企业重点加强工矿商贸企业安全生产培训，侧重危化品企业安全生产培训。</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开展督查检查。区应急局工作组在日常巡查检查过程中，将培训效果作为一项重要检查内容，重点询问参训人员对培训内容的掌握情况、施教人员的授课情况及相关合理化建议。工作组将及时记录相关反馈情况，并进一步优化培训模式。对参训人员普遍反映培训效果不理想的施教人员，区局将建议第三方培训机构及时调整。培训组织混乱、台账管理不规范、违反培训规章制度等行为一经发现，立即责令暂停培训予以整改。对多次发现上述行为的培训机构，将上报市局予以取消培训资格，并按各供应商招标得分情况，由高到低确定中标人依次递补培训。</w:t>
      </w:r>
    </w:p>
    <w:p>
      <w:pPr>
        <w:pStyle w:val="5"/>
        <w:keepLines w:val="0"/>
        <w:numPr>
          <w:ilvl w:val="0"/>
          <w:numId w:val="11"/>
        </w:numPr>
        <w:spacing w:before="159" w:beforeLines="50" w:beforeAutospacing="0" w:after="123" w:afterLines="39" w:afterAutospacing="0" w:line="340" w:lineRule="exact"/>
        <w:ind w:left="0" w:leftChars="0" w:firstLine="0" w:firstLine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其他要求</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1、成交供应商在履行合同义务期间，应遵守国家有关法律、法规、维护委托单位的合法权益。</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2、成交供应商应组建能够满足本项目服务需要的项目小组，按照工作范围和内容完成培训工作，并按约定向委托单位汇报工作进展。</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3、投标供应商应在响应文件中明确投入本项目服务的人员基本配备。</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4、投标供应商应在响应文件中明确投入本项目使用的工具器具仪器设备等详细数量及现况。</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5、成交供应商应自行承担项目实施过程中安全生产责任，采购人及使用单位任何情况下均不承担因此产生的任何法律责任和经济责任。</w:t>
      </w:r>
    </w:p>
    <w:p>
      <w:pPr>
        <w:pStyle w:val="5"/>
        <w:keepLines w:val="0"/>
        <w:numPr>
          <w:ilvl w:val="0"/>
          <w:numId w:val="11"/>
        </w:numPr>
        <w:spacing w:before="159" w:beforeLines="50" w:beforeAutospacing="0" w:after="123" w:afterLines="39" w:afterAutospacing="0" w:line="340" w:lineRule="exact"/>
        <w:ind w:left="0" w:leftChars="0" w:firstLine="0" w:firstLine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商务要求表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218"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▲服务时间和地点</w:t>
            </w:r>
          </w:p>
        </w:tc>
        <w:tc>
          <w:tcPr>
            <w:tcW w:w="378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1、培训时间暂定合同签订起至2024年11月30日，具体以采购人要求为准。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2、地点：培训地址由成交供应商提交采购人审核后确认。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218"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▲付款条件</w:t>
            </w:r>
          </w:p>
        </w:tc>
        <w:tc>
          <w:tcPr>
            <w:tcW w:w="378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合同签订并生效后支付合同金额的40%，剩余款项待培训结束后按实（培训人数）结算一次性付清。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注：在签订合同时，供应商明确表示无需预付款或者主动要求降低预付款比例的，采购合同可不适用前述规定。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收到供应商开具的发票后60日内将上述相关款项支付到合同约定的供应商账户。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218"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服务要求</w:t>
            </w:r>
          </w:p>
        </w:tc>
        <w:tc>
          <w:tcPr>
            <w:tcW w:w="378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0" w:firstLine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满足磋商文件规定的相关要求。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1218"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w:t>
            </w:r>
            <w:bookmarkStart w:id="74" w:name="_Toc28608"/>
            <w:r>
              <w:rPr>
                <w:rFonts w:hint="eastAsia" w:ascii="仿宋" w:hAnsi="仿宋" w:eastAsia="仿宋" w:cs="仿宋"/>
                <w:kern w:val="0"/>
                <w:sz w:val="24"/>
                <w:szCs w:val="24"/>
                <w:lang w:val="en-US" w:eastAsia="zh-CN" w:bidi="ar-SA"/>
              </w:rPr>
              <w:t>报价以及结算价</w:t>
            </w:r>
            <w:bookmarkEnd w:id="74"/>
          </w:p>
        </w:tc>
        <w:tc>
          <w:tcPr>
            <w:tcW w:w="378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1、报价应包括为完成本项目服务内容可能发生的各项费用，如交通、安全、通讯、设备（仪器）、劳力、资料、知识产权、保险、利润、税收等以及防疫防控经费等所有有关的管理成本。</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2、投标供应商应认真填报报价表中的所有内容，对没有填报的费用 ，采购人将不予支付，并认为此项费用已包含在报价总价中。</w:t>
            </w:r>
          </w:p>
          <w:p>
            <w:pPr>
              <w:pStyle w:val="2"/>
              <w:ind w:firstLine="480" w:firstLineChars="200"/>
              <w:rPr>
                <w:rFonts w:hint="default"/>
                <w:lang w:val="en-US" w:eastAsia="zh-CN"/>
              </w:rPr>
            </w:pPr>
            <w:r>
              <w:rPr>
                <w:rFonts w:hint="eastAsia" w:ascii="仿宋" w:hAnsi="仿宋" w:eastAsia="仿宋" w:cs="仿宋"/>
                <w:kern w:val="0"/>
                <w:szCs w:val="24"/>
                <w:lang w:val="en-US" w:eastAsia="zh-CN"/>
              </w:rPr>
              <w:t>3、最终结算价按投标单价*培训人数，总的结算款不得超过预算。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218"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安全生产要求</w:t>
            </w:r>
          </w:p>
        </w:tc>
        <w:tc>
          <w:tcPr>
            <w:tcW w:w="3781" w:type="pct"/>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成交供应商应自行承担项目实施过程中安全生产责任，采购人任何情况下均不承担因此产生的任何法律责任和经济责任。</w:t>
            </w:r>
          </w:p>
        </w:tc>
      </w:tr>
    </w:tbl>
    <w:p>
      <w:pPr>
        <w:snapToGri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本磋商文件中带 “</w:t>
      </w:r>
      <w:r>
        <w:rPr>
          <w:rFonts w:hint="eastAsia" w:ascii="仿宋" w:hAnsi="仿宋" w:eastAsia="仿宋" w:cs="仿宋"/>
          <w:kern w:val="0"/>
          <w:sz w:val="24"/>
          <w:szCs w:val="24"/>
        </w:rPr>
        <w:t>▲</w:t>
      </w:r>
      <w:r>
        <w:rPr>
          <w:rFonts w:hint="eastAsia" w:ascii="仿宋" w:hAnsi="仿宋" w:eastAsia="仿宋" w:cs="仿宋"/>
          <w:sz w:val="24"/>
          <w:szCs w:val="24"/>
        </w:rPr>
        <w:t>”的有关技术和商务条款为实质性条款，供应商必须在响应性文件中作出实质性响应。</w:t>
      </w:r>
    </w:p>
    <w:p>
      <w:pPr>
        <w:rPr>
          <w:rFonts w:hint="eastAsia" w:ascii="仿宋" w:hAnsi="仿宋" w:eastAsia="仿宋" w:cs="仿宋"/>
          <w:sz w:val="24"/>
          <w:szCs w:val="24"/>
        </w:rPr>
      </w:pPr>
    </w:p>
    <w:p>
      <w:pPr>
        <w:pStyle w:val="404"/>
        <w:rPr>
          <w:rFonts w:hint="eastAsia" w:ascii="仿宋" w:hAnsi="仿宋" w:eastAsia="仿宋" w:cs="仿宋"/>
        </w:rPr>
      </w:pPr>
    </w:p>
    <w:p>
      <w:pPr>
        <w:pStyle w:val="5"/>
        <w:keepLines w:val="0"/>
        <w:numPr>
          <w:ilvl w:val="0"/>
          <w:numId w:val="0"/>
        </w:numPr>
        <w:spacing w:before="159" w:beforeLines="50" w:beforeAutospacing="0" w:after="123" w:afterLines="39" w:afterAutospacing="0" w:line="340" w:lineRule="exact"/>
        <w:ind w:leftChars="0" w:firstLine="281" w:firstLineChars="100"/>
        <w:rPr>
          <w:rFonts w:hint="eastAsia" w:ascii="仿宋" w:hAnsi="仿宋" w:eastAsia="仿宋" w:cs="仿宋"/>
          <w:b/>
          <w:bCs/>
          <w:kern w:val="0"/>
          <w:sz w:val="28"/>
          <w:szCs w:val="28"/>
          <w:lang w:val="en-US" w:eastAsia="zh-CN"/>
        </w:rPr>
      </w:pPr>
    </w:p>
    <w:p>
      <w:pPr>
        <w:rPr>
          <w:rFonts w:hint="eastAsia" w:ascii="仿宋" w:hAnsi="仿宋" w:eastAsia="仿宋" w:cs="仿宋"/>
          <w:b/>
          <w:bCs/>
          <w:kern w:val="0"/>
          <w:sz w:val="28"/>
          <w:szCs w:val="28"/>
          <w:lang w:val="en-US" w:eastAsia="zh-CN"/>
        </w:rPr>
      </w:pPr>
    </w:p>
    <w:p>
      <w:pPr>
        <w:pStyle w:val="2"/>
        <w:rPr>
          <w:rFonts w:hint="eastAsia" w:ascii="仿宋" w:hAnsi="仿宋" w:eastAsia="仿宋" w:cs="仿宋"/>
          <w:b/>
          <w:bCs/>
          <w:kern w:val="0"/>
          <w:sz w:val="28"/>
          <w:szCs w:val="28"/>
          <w:lang w:val="en-US" w:eastAsia="zh-CN"/>
        </w:rPr>
      </w:pPr>
    </w:p>
    <w:p>
      <w:pPr>
        <w:pStyle w:val="3"/>
        <w:rPr>
          <w:rFonts w:hint="eastAsia" w:ascii="仿宋" w:hAnsi="仿宋" w:eastAsia="仿宋" w:cs="仿宋"/>
          <w:b/>
          <w:bCs/>
          <w:kern w:val="0"/>
          <w:sz w:val="28"/>
          <w:szCs w:val="28"/>
          <w:lang w:val="en-US" w:eastAsia="zh-CN"/>
        </w:rPr>
      </w:pPr>
    </w:p>
    <w:p>
      <w:pPr>
        <w:rPr>
          <w:rFonts w:hint="eastAsia" w:ascii="仿宋" w:hAnsi="仿宋" w:eastAsia="仿宋" w:cs="仿宋"/>
          <w:b/>
          <w:bCs/>
          <w:kern w:val="0"/>
          <w:sz w:val="28"/>
          <w:szCs w:val="28"/>
          <w:lang w:val="en-US" w:eastAsia="zh-CN"/>
        </w:rPr>
      </w:pPr>
    </w:p>
    <w:p>
      <w:pPr>
        <w:pStyle w:val="2"/>
        <w:rPr>
          <w:rFonts w:hint="eastAsia" w:ascii="仿宋" w:hAnsi="仿宋" w:eastAsia="仿宋" w:cs="仿宋"/>
          <w:b/>
          <w:bCs/>
          <w:kern w:val="0"/>
          <w:sz w:val="28"/>
          <w:szCs w:val="28"/>
          <w:lang w:val="en-US" w:eastAsia="zh-CN"/>
        </w:rPr>
      </w:pPr>
    </w:p>
    <w:p>
      <w:pPr>
        <w:pStyle w:val="3"/>
        <w:rPr>
          <w:rFonts w:hint="eastAsia" w:ascii="仿宋" w:hAnsi="仿宋" w:eastAsia="仿宋" w:cs="仿宋"/>
          <w:b/>
          <w:bCs/>
          <w:kern w:val="0"/>
          <w:sz w:val="28"/>
          <w:szCs w:val="28"/>
          <w:lang w:val="en-US" w:eastAsia="zh-CN"/>
        </w:rPr>
      </w:pPr>
    </w:p>
    <w:p>
      <w:pPr>
        <w:rPr>
          <w:rFonts w:hint="eastAsia" w:ascii="仿宋" w:hAnsi="仿宋" w:eastAsia="仿宋" w:cs="仿宋"/>
          <w:b/>
          <w:bCs/>
          <w:kern w:val="0"/>
          <w:sz w:val="28"/>
          <w:szCs w:val="28"/>
          <w:lang w:val="en-US" w:eastAsia="zh-CN"/>
        </w:rPr>
      </w:pPr>
    </w:p>
    <w:p>
      <w:pPr>
        <w:pStyle w:val="2"/>
        <w:rPr>
          <w:rFonts w:hint="eastAsia" w:ascii="仿宋" w:hAnsi="仿宋" w:eastAsia="仿宋" w:cs="仿宋"/>
          <w:b/>
          <w:bCs/>
          <w:kern w:val="0"/>
          <w:sz w:val="28"/>
          <w:szCs w:val="28"/>
          <w:lang w:val="en-US" w:eastAsia="zh-CN"/>
        </w:rPr>
      </w:pPr>
    </w:p>
    <w:p>
      <w:pPr>
        <w:pStyle w:val="5"/>
        <w:keepLines w:val="0"/>
        <w:numPr>
          <w:ilvl w:val="0"/>
          <w:numId w:val="0"/>
        </w:numPr>
        <w:spacing w:before="159" w:beforeLines="50" w:beforeAutospacing="0" w:after="123" w:afterLines="39" w:afterAutospacing="0" w:line="340" w:lineRule="exact"/>
        <w:ind w:leftChars="0" w:firstLine="281" w:firstLineChars="1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w:t>
      </w:r>
    </w:p>
    <w:p>
      <w:pPr>
        <w:pStyle w:val="5"/>
        <w:keepLines w:val="0"/>
        <w:numPr>
          <w:ilvl w:val="0"/>
          <w:numId w:val="0"/>
        </w:numPr>
        <w:spacing w:before="159" w:beforeLines="50" w:beforeAutospacing="0" w:after="123" w:afterLines="39" w:afterAutospacing="0" w:line="340" w:lineRule="exact"/>
        <w:ind w:leftChars="0" w:firstLine="843" w:firstLineChars="3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1.生产加工型小微企业安全技能提升培训标准</w:t>
      </w:r>
    </w:p>
    <w:p>
      <w:pPr>
        <w:pStyle w:val="5"/>
        <w:keepLines w:val="0"/>
        <w:numPr>
          <w:ilvl w:val="0"/>
          <w:numId w:val="0"/>
        </w:numPr>
        <w:spacing w:before="159" w:beforeLines="50" w:beforeAutospacing="0" w:after="123" w:afterLines="39" w:afterAutospacing="0" w:line="340" w:lineRule="exact"/>
        <w:ind w:leftChars="0" w:firstLine="843" w:firstLineChars="3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2.危险性较高企业安全技能提升培训标准</w:t>
      </w:r>
    </w:p>
    <w:p>
      <w:pPr>
        <w:pStyle w:val="5"/>
        <w:keepLines w:val="0"/>
        <w:numPr>
          <w:ilvl w:val="0"/>
          <w:numId w:val="0"/>
        </w:numPr>
        <w:spacing w:before="159" w:beforeLines="50" w:beforeAutospacing="0" w:after="123" w:afterLines="39" w:afterAutospacing="0" w:line="340" w:lineRule="exact"/>
        <w:ind w:leftChars="0" w:firstLine="843" w:firstLineChars="3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3.高危行业企业安全技能提升培训标准</w:t>
      </w:r>
    </w:p>
    <w:p>
      <w:pPr>
        <w:pStyle w:val="2"/>
        <w:rPr>
          <w:rFonts w:hint="eastAsia" w:ascii="仿宋" w:hAnsi="仿宋" w:eastAsia="仿宋" w:cs="仿宋"/>
        </w:rPr>
      </w:pPr>
    </w:p>
    <w:p>
      <w:pPr>
        <w:pStyle w:val="5"/>
        <w:keepLines w:val="0"/>
        <w:numPr>
          <w:ilvl w:val="0"/>
          <w:numId w:val="0"/>
        </w:numPr>
        <w:spacing w:before="159" w:beforeLines="50" w:beforeAutospacing="0" w:after="123" w:afterLines="39" w:afterAutospacing="0" w:line="340" w:lineRule="exac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附件1.生产加工型小微企业安全技能提升培训标准</w:t>
      </w:r>
    </w:p>
    <w:p>
      <w:pPr>
        <w:pStyle w:val="3"/>
        <w:rPr>
          <w:rFonts w:hint="eastAsia" w:ascii="仿宋" w:hAnsi="仿宋" w:eastAsia="仿宋" w:cs="仿宋"/>
          <w:b/>
          <w:sz w:val="28"/>
          <w:szCs w:val="28"/>
          <w:highlight w:val="none"/>
          <w:lang w:val="en-US" w:eastAsia="zh-CN"/>
        </w:rPr>
      </w:pPr>
    </w:p>
    <w:p>
      <w:pPr>
        <w:spacing w:line="360" w:lineRule="auto"/>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生产加工型小微企业安全技能提升培训标准</w:t>
      </w:r>
    </w:p>
    <w:p>
      <w:pPr>
        <w:spacing w:line="360" w:lineRule="auto"/>
        <w:rPr>
          <w:rFonts w:hint="eastAsia" w:ascii="仿宋" w:hAnsi="仿宋" w:eastAsia="仿宋" w:cs="仿宋"/>
          <w:b/>
          <w:color w:val="000000"/>
          <w:sz w:val="21"/>
          <w:szCs w:val="21"/>
          <w:highlight w:val="none"/>
        </w:rPr>
      </w:pP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一、主要负责人安全知识培训（8学时面授）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（一）安全生产法定职责。（3学时）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1）《安全生产法》《消防法》《刑法》《浙江省安全生产条例》《浙江省消防条例》《工伤保险条例》等法律法规；（2）有关本行业的规章、规程、规范和标准；（3）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2.安全生产履职：（1）生产经营单位安全生产主体责任；（2）主要负责人的安全职责及法律责任；（3）安全生产违法行为责任追究；（4）消防安全违法行为责任追究。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（二）安全生产管理。（3学时）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1.安全生产责任制：（1）安全生产组织保障；（2）安全生产规章制度；（3）安全生产经费投入。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2.安全生产管理：（1）安全生产管理的任务和基本内容；（2）特种设备、安全设施管理；（3）重大危险源管理；（4）消防安全管理；（5）安全生产标准化。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1）安全生产应急管理体系（包括应急管理体系的基本构成、建设原则、响应机制等）；（2）生产安全（火灾）事故应急预案（包括应急预案类型、应急预案编制及演练）；（3）应急救援力量建设；（4）消防力量联勤联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（三）事故调查处理和案例分析。（2学时）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1.事故救援与调查：（1）生产安全事故等级与分类；（2）生产安全事故报告与调查处理程序；（3）事故应急救援要求；（4）生产安全事故行政处罚相关规定。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2.典型事故案例分析：（1）重特大生产安全事故；（2）本行业领域典型生产安全事故。</w:t>
      </w: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二、安全管理人员业务能力培训（12学时面授）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（一）安全生产法规标准。（2学时）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1）《安全生产法》《消防法》《刑法》《浙江省安全生产条例》《浙江省消防条例》《工伤保险条例》等法律法规；（2）有关本行业的规章、规程、规范和标准；（3）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2.安全生产履职：（1）安全生产管理机构以及安全生产管理人员的安全职责及法律责任；（2）安全生产违法行为责任追究；（3）消防安全违法行为责任追究。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（二）安全生产管理。（4学时）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管理：（1）安全生产规章制度和安全操作规程编制；（2）重大危险源管理；（3）特种设备管理；（4）特种作业管理；（5）劳动防护用品管理；（6）隐患排查治理；（7）安全生产检查；（8）安全生产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2.安全生产技术：（1）动火作业、高处作业、有限空间作业、吊装作业、临时用电作业等安全技术；（2）特种设备安全技术；（3）安全生产标准化；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kern w:val="0"/>
          <w:sz w:val="24"/>
          <w:szCs w:val="24"/>
          <w:lang w:val="en-US" w:eastAsia="zh-CN" w:bidi="ar-SA"/>
        </w:rPr>
        <w:t>3.应急管理：（1）安全生产应急管理体系（包括应急管理体系的基本构成、建设原则、响应机制等）；（2）生产安全事故应急预案（包括应急预案类型、应急预案编制及演练）；（3）应急救援人员管理。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（三）消防安全管理。（4学时）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消防安全管理：（1）消防安全管理的任务和基本内容；（2）防火检查巡查；（3）消防车通道、疏散通道管理；（4）消防设施器材维护保养；（5）火灾隐患整改；（6）消防安全“四个能力”建设；（7）“厂中厂”消防安全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2.消防设施器材管理培训：（1）灭火器；（2）消防给水及消火栓系统；（3）火灾自动报警系统；（4）自动喷水灭火系统；（5）防烟排烟系统。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3.火灾事故处置：（1）火灾危险性；（2）火灾与应急处置预案；（3）初起火灾扑救；（4）报警基本常识；（5）疏散逃生。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（四）事故应急处置和案例分析。（2学时）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1.应急处置：（1）生产安全事故等级与分类；（2）生产安全事故报告法定要求；（3）事故现场应急处置要求；（4）生产安全事故行政处罚相关规定。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2.典型事故案例分析：（1）重特大生产安全事故；（2）本行业领域典型生产安全事故。</w:t>
      </w: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三、重点岗位人员岗位技能培训（12学时面授）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（一）安全生产基本知识。（3学时）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1.安全生产法规：（1）法律法规对从业人员的规定要求；（2）从业人员的安全生产权利义务；（3）作业岗位所涉相关标准、规范。</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2.安全行为规范：（1）常见违章作业行为；（2）违章作业的法律责任。</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（二）岗位安全作业。（6学时）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1.岗位作业：（1）安全操作规程；（2）劳动防护用品的穿戴与使用；（3）安全用具的使用。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2.基本技能：（1）危险源与隐患辨识；（2）用电安全、机械安全、防火防爆操作技能；（3）有限空间作业、高处作业、吊装作业安全要点；（4）消防设施器材使用实操。</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（三）应急处置。（3学时）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1.事故防范：（1）安全防范措施；（2）事故现场处置要点。</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自救互救：（1）消防安全“一懂三会”（懂得本场所用火、用电、用油、用气火灾危险性；会报警，发现火灾后会迅速拨打119电话报警；会灭火，发生火灾后会使用灭火器、消防栓等扑救初期火灾；会逃生，懂得逃生技巧，发生火灾后迅速逃离现场）；（2）触电、中毒、机械伤害等急救方法；（3）典型事故案例分析。</w:t>
      </w:r>
    </w:p>
    <w:p>
      <w:pPr>
        <w:pStyle w:val="3"/>
        <w:rPr>
          <w:rFonts w:hint="eastAsia" w:ascii="仿宋" w:hAnsi="仿宋" w:eastAsia="仿宋" w:cs="仿宋"/>
          <w:b/>
          <w:sz w:val="28"/>
          <w:szCs w:val="28"/>
          <w:highlight w:val="none"/>
          <w:lang w:val="en-US" w:eastAsia="zh-CN"/>
        </w:rPr>
      </w:pPr>
    </w:p>
    <w:p>
      <w:pPr>
        <w:pStyle w:val="3"/>
        <w:rPr>
          <w:rFonts w:hint="eastAsia" w:ascii="仿宋" w:hAnsi="仿宋" w:eastAsia="仿宋" w:cs="仿宋"/>
          <w:b/>
          <w:sz w:val="28"/>
          <w:szCs w:val="28"/>
          <w:highlight w:val="none"/>
          <w:lang w:val="en-US" w:eastAsia="zh-CN"/>
        </w:rPr>
      </w:pPr>
    </w:p>
    <w:p>
      <w:pPr>
        <w:pStyle w:val="3"/>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pStyle w:val="404"/>
        <w:rPr>
          <w:rFonts w:hint="eastAsia" w:ascii="仿宋" w:hAnsi="仿宋" w:eastAsia="仿宋" w:cs="仿宋"/>
          <w:b/>
          <w:sz w:val="28"/>
          <w:szCs w:val="28"/>
          <w:highlight w:val="none"/>
          <w:lang w:val="en-US" w:eastAsia="zh-CN"/>
        </w:rPr>
      </w:pPr>
    </w:p>
    <w:p>
      <w:pPr>
        <w:pStyle w:val="2"/>
        <w:rPr>
          <w:rFonts w:hint="eastAsia" w:ascii="仿宋" w:hAnsi="仿宋" w:eastAsia="仿宋" w:cs="仿宋"/>
          <w:b/>
          <w:sz w:val="28"/>
          <w:szCs w:val="28"/>
          <w:highlight w:val="none"/>
          <w:lang w:val="en-US" w:eastAsia="zh-CN"/>
        </w:rPr>
      </w:pPr>
    </w:p>
    <w:p>
      <w:pPr>
        <w:pStyle w:val="3"/>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pStyle w:val="404"/>
        <w:rPr>
          <w:rFonts w:hint="eastAsia" w:ascii="仿宋" w:hAnsi="仿宋" w:eastAsia="仿宋" w:cs="仿宋"/>
          <w:b/>
          <w:sz w:val="28"/>
          <w:szCs w:val="28"/>
          <w:highlight w:val="none"/>
          <w:lang w:val="en-US" w:eastAsia="zh-CN"/>
        </w:rPr>
      </w:pPr>
    </w:p>
    <w:p>
      <w:pPr>
        <w:pStyle w:val="2"/>
        <w:rPr>
          <w:rFonts w:hint="eastAsia" w:ascii="仿宋" w:hAnsi="仿宋" w:eastAsia="仿宋" w:cs="仿宋"/>
          <w:b/>
          <w:sz w:val="28"/>
          <w:szCs w:val="28"/>
          <w:highlight w:val="none"/>
          <w:lang w:val="en-US" w:eastAsia="zh-CN"/>
        </w:rPr>
      </w:pPr>
    </w:p>
    <w:p>
      <w:pPr>
        <w:pStyle w:val="3"/>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pStyle w:val="404"/>
        <w:rPr>
          <w:rFonts w:hint="eastAsia" w:ascii="仿宋" w:hAnsi="仿宋" w:eastAsia="仿宋" w:cs="仿宋"/>
          <w:b/>
          <w:sz w:val="28"/>
          <w:szCs w:val="28"/>
          <w:highlight w:val="none"/>
          <w:lang w:val="en-US" w:eastAsia="zh-CN"/>
        </w:rPr>
      </w:pPr>
    </w:p>
    <w:p>
      <w:pPr>
        <w:pStyle w:val="2"/>
        <w:rPr>
          <w:rFonts w:hint="eastAsia" w:ascii="仿宋" w:hAnsi="仿宋" w:eastAsia="仿宋" w:cs="仿宋"/>
          <w:b/>
          <w:sz w:val="28"/>
          <w:szCs w:val="28"/>
          <w:highlight w:val="none"/>
          <w:lang w:val="en-US" w:eastAsia="zh-CN"/>
        </w:rPr>
      </w:pPr>
    </w:p>
    <w:p>
      <w:pPr>
        <w:pStyle w:val="3"/>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pStyle w:val="404"/>
        <w:rPr>
          <w:rFonts w:hint="eastAsia" w:ascii="仿宋" w:hAnsi="仿宋" w:eastAsia="仿宋" w:cs="仿宋"/>
          <w:lang w:val="en-US" w:eastAsia="zh-CN"/>
        </w:rPr>
      </w:pPr>
    </w:p>
    <w:p>
      <w:pPr>
        <w:pStyle w:val="5"/>
        <w:keepLines w:val="0"/>
        <w:numPr>
          <w:ilvl w:val="0"/>
          <w:numId w:val="0"/>
        </w:numPr>
        <w:spacing w:before="159" w:beforeLines="50" w:beforeAutospacing="0" w:after="123" w:afterLines="39" w:afterAutospacing="0" w:line="340" w:lineRule="exac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附件2.危险性较高企业安全技能提升培训标准</w:t>
      </w:r>
    </w:p>
    <w:p>
      <w:pPr>
        <w:spacing w:line="360" w:lineRule="auto"/>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危险性较高企业安全技能提升培训标准</w:t>
      </w:r>
    </w:p>
    <w:p>
      <w:pPr>
        <w:spacing w:line="360" w:lineRule="auto"/>
        <w:rPr>
          <w:rFonts w:hint="eastAsia" w:ascii="仿宋" w:hAnsi="仿宋" w:eastAsia="仿宋" w:cs="仿宋"/>
          <w:b/>
          <w:color w:val="000000"/>
          <w:sz w:val="21"/>
          <w:szCs w:val="21"/>
          <w:highlight w:val="none"/>
        </w:rPr>
      </w:pP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一、主要负责人安全知识培训（8学时面授）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（一）安全生产法定职责。（3学时）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1）《安全生产法》《消防法》《刑法》《浙江省安全生产条例》《浙江省消防条例》《危险化学品安全管理条例》《工伤保险条例》等法律法规；（2）有关本行业的规章、规程、规范和标准；（3）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2.安全生产履职：（1）生产经营单位安全生产主体责任；（2）主要负责人的安全职责及法律责任；（3）安全生产违法行为责任追究；（4）消防安全违法行为责任追究。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（二）安全生产管理。（3学时）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1.安全生产责任制：（1）安全生产组织保障；（2）安全生产规章制度；（3）安全生产经费投入。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2.安全生产管理：（1）安全生产管理的任务和基本内容；（2）特种设备、安全设施管理；（3）重大危险源管理；（4）消防安全管理；（5）易燃易爆场所管理；（6）安全生产标准化。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1）安全生产应急管理体系（包括应急管理体系的基本构成、建设原则、响应机制等）；（2）生产安全事故应急预案（包括应急预案类型、应急预案编制及演练）；（3）应急救援力量建设；（4）消防力量联勤联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（三）事故调查处理和案例分析。（2学时）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1.事故救援与调查：（1）生产安全事故等级与分类；（2）生产安全事故报告与调查处理程序；（3）事故应急救援要求；（4）化学品事故应急处置要求；（5）生产安全事故行政处罚相关规定。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2.典型事故案例分析：（1）重特大生产安全事故；（2）本行业领域典型生产安全事故。</w:t>
      </w: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二、安全管理人员业务能力培训（12学时面授）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（一）安全生产法规标准。（2学时）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1）《安全生产法》《消防法》《刑法》《浙江省安全生产条例》《浙江省消防条例》《危险化学品安全管理条例》《工伤保险条例》等法律法规；（2）有关本行业的规章、规程、规范和标准；（3）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2.安全生产履职：（1）安全生产管理机构以及安全管理人员的安全职责及法律责任；（2）安全生产违法行为责任追究；（3）消防安全违法行为责任追究。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（二）安全生产管理。（4学时）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管理：（1）安全生产规章制度和安全操作规程编制；（2）重大危险源管理；（3）特种设备管理；（4）特种作业管理；（5）劳动防护用品管理；（6）双重预防体系；（7）涉爆粉尘、有限空间作业、喷涂作业场所管理；（8）安全生产检查；（9）安全生产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2.安全生产技术：（1）动火作业、高处作业、有限空间作业、吊装作业、临时用电作业、喷涂作业、液氨制冷作业等安全技术；（2）特种设备安全技术；（3）安全生产标准化。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1）安全生产应急管理体系（包括应急管理体系的基本构成、建设原则、响应机制等）；（2）生产安全事故应急预案（包括应急预案类型、应急预案编制及演练）；（3）化学品事故应急处置要求；（4）应急救援人员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（三）消防安全管理。（4学时）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消防安全管理：（1）消防安全管理的任务和基本内容；（2）防火检查巡查；（3）消防车通道、疏散通道管理；（4）消防设施器材维护保养；（5）火灾隐患整改；（6）消防力量建设；（7）消防控制室管理；（8）消防安全“四个能力”建设；（9）消防安全台账管理；（10）“厂中厂”消防安全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2.消防设施器材管理培训：（1）灭火器；（2）消防给水及消火栓系统；（3）火灾自动报警系统；（4）自动喷水灭火系统；（5）防烟排烟系统；（6）城市消防远程监控系统。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3.火灾事故处置：（1）火灾危险性；（2）火灾与应急处置预案；（3）初起火灾扑救；（4）报警基本常识；（5）专职（志愿）消防队、微型消防站响应；（6）疏散逃生。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（四）事故应急处置和案例分析。（2学时）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1.应急处置：（1）生产安全事故等级与分类；（2）生产安全事故报告法定要求；（3）化学品等事故应急处置要求；（4）生产安全事故行政处罚相关规定。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2.典型事故案例分析：（1）重特大生产安全（火灾）事故；（2）本行业领域典型生产安全（火灾）事故</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highlight w:val="none"/>
          <w:lang w:val="en-US" w:eastAsia="zh-CN"/>
        </w:rPr>
      </w:pPr>
    </w:p>
    <w:p>
      <w:pPr>
        <w:rPr>
          <w:rFonts w:hint="eastAsia" w:ascii="仿宋" w:hAnsi="仿宋" w:eastAsia="仿宋" w:cs="仿宋"/>
          <w:b/>
          <w:sz w:val="28"/>
          <w:szCs w:val="28"/>
          <w:highlight w:val="none"/>
          <w:lang w:val="en-US" w:eastAsia="zh-CN"/>
        </w:rPr>
      </w:pPr>
    </w:p>
    <w:p>
      <w:pPr>
        <w:pStyle w:val="404"/>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pStyle w:val="5"/>
        <w:keepLines w:val="0"/>
        <w:numPr>
          <w:ilvl w:val="0"/>
          <w:numId w:val="0"/>
        </w:numPr>
        <w:spacing w:before="159" w:beforeLines="50" w:beforeAutospacing="0" w:after="123" w:afterLines="39" w:afterAutospacing="0" w:line="340" w:lineRule="exac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附件3.高危行业企业安全技能提升培训标准</w:t>
      </w:r>
    </w:p>
    <w:p>
      <w:pPr>
        <w:spacing w:line="360" w:lineRule="auto"/>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高危行业企业安全技能提升培训标准</w:t>
      </w:r>
    </w:p>
    <w:p>
      <w:pPr>
        <w:spacing w:line="360" w:lineRule="auto"/>
        <w:ind w:firstLine="411" w:firstLineChars="196"/>
        <w:rPr>
          <w:rFonts w:hint="eastAsia" w:ascii="仿宋" w:hAnsi="仿宋" w:eastAsia="仿宋" w:cs="仿宋"/>
          <w:color w:val="000000"/>
          <w:sz w:val="21"/>
          <w:szCs w:val="21"/>
          <w:highlight w:val="none"/>
        </w:rPr>
      </w:pP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一、危险化学品企业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（一）主要负责人安全知识培训。（8学时面授）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1.安全生产法定职责。（3学时）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（2）安全生产履职：①生产经营单位安全生产主体责任；②主要负责人的安全职责及法律责任；③安全生产违法行为责任追究；④消防安全违法行为责任追究。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（1）安全生产责任制：①安全生产组织保障；②安全生产规章制度；③安全生产经费投入。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①安全生产管理的任务和基本内容；②特种设备、安全设施管理；③重大危险源管理；④消防安全管理；⑤易燃易爆场所管理；⑥危险工艺管控；⑦安全生产标准化；⑧先进的安全生产管理经验和理念。</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力量建设；④消防力量联勤联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3.事故调查处理和案例分析。（2学时）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（1）事故救援与调查：①生产安全事故等级与分类；②生产安全事故报告与调查处理程序；③事故应急救援要求；④化学品事故应急处置要求；⑤生产安全事故行政处罚相关规定。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（二）安全管理人员业务能力培训（12学时面授）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1.安全生产法规标准。（2学时）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（2）安全生产履职：①安全生产管理机构以及安全生产管理人员的安全职责及法律责任；②安全生产违法行为责任追究；③消防安全违法行为责任追究。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管理：①安全生产规章制度和安全操作规程编制；②重大危险源管理；③特种设备管理；④特种作业管理；⑤劳动防护用品管理；⑥双重预防体系；⑦易燃易爆场所管理；⑧危险工艺管控；⑨安全生产检查；⑩安全生产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（2）安全生产技术：①动火作业、高处作业、有限空间作业、吊装作业、临时用电作业等安全技术；②特种设备安全技术；③安全生产标准化；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3.消防安全管理。（4学时）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消防安全管理：①消防安全管理的任务和基本内容；②防火检查巡查；③消防车通道、疏散通道管理；④消防设施器材维护保养；⑤火灾隐患整改；⑥消防力量建设；⑦消防控制室管理；⑧消防安全“四个能力”建设；⑨消防安全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（2）消防设施器材管理培训：①灭火器；②消防给水及消火栓系统；③火灾自动报警系统；④自动喷水灭火系统；⑤防烟排烟系统；⑥城市消防远程监控系统。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（3）火灾事故处置：①火灾危险性；②火灾与应急处置预案；③初起火灾扑救；④报警基本常识；⑤专职（志愿）消防队、微型消防站响应；⑥疏散逃生。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4.事故应急处置和案例分析。（2学时）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（1）应急处置：①生产安全事故等级与分类；②生产安全事故报告法定要求；③化学品等事故应急处置要求；④生产安全事故行政处罚相关规定。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（三）从业人员安全生产培训。（72学时）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根据《浙江省高危行业领域安全技能提升行动计划实施方案》（浙应急基础〔2020〕2号）要求，培训学时和培训内容按照《高危行业企业从业人员安全生产培训大纲》执行。</w:t>
      </w: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二、非煤矿山企业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（一）主要负责人安全知识培训。（8学时面授）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1.安全生产法定职责。（3学时）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矿山安全法》《消防法》《刑法》《浙江省安全生产条例》《浙江省消防条例》《生产安全事故应急条例》《工伤保险条例》等法律法规；②有关本行业的规章、规程、规范和标准；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（2）安全生产履职：①生产经营单位安全生产主体责任；②主要负责人的安全职责及法律责任；③安全生产违法行为责任追究；④消防安全违法行为责任追究。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（1）安全生产责任制：①安全生产组织保障；②安全生产规章制度；③安全生产经费投入。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（2）安全生产管理：①安全生产管理的任务和基本内容；②特种设备、安全设施管理；③重大危险源管理；④消防安全管理；⑤矿山开采安全管理；⑥安全生产标准化；⑦先进的安全生产管理经验和理念。</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（3）应急管理：①安全生产应急管理体系（包括应急管理体系的基本构成、建设原则、响应机制等）；②生产安全事故应急预案（包括应急预案类型、应急预案编制及演练）；③应急救援力量建设。</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3.事故调查处理和案例分析。（2学时）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（1）事故救援与调查：①生产安全事故等级与分类；②生产安全事故报告与调查处理程序；③事故应急救援要求；④坍塌事故应急处置要求；⑤生产安全事故行政处罚相关规定。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（二）安全管理人员业务能力培训。（12学时面授）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1.安全生产法规标准。（2学时）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矿山安全法》《消防法》《刑法》《浙江省安全生产条例》《生产安全事故应急条例》《工伤保险条例》等法律法规；②有关本行业的规章、规程、规范和标准；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（2）安全生产履职：①安全生产管理机构以及安全生产管理人员的安全职责及法律责任；②安全生产违法行为责任追究；③消防安全违法行为责任追究。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管理：①安全生产规章制度和安全操作规程编制；②重大危险源管理；③特种设备管理；④特种作业管理；⑤劳动防护用品管理；⑥双重预防体系；⑦矿山开采现场管理；⑧安全生产检查；⑨安全生产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（2）安全生产技术：①动火作业、高处作业、有限空间作业、吊装作业、临时用电作业等安全技术；②特种设备安全技术；③安全生产标准化；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3.消防安全管理。（4学时）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消防安全管理：①消防安全管理的任务和基本内容；②防火检查巡查；③消防车通道、疏散通道管理；④消防设施器材维护保养；⑤火灾隐患整改；⑥消防力量建设；⑦消防安全“四个能力”建设；⑧消防安全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（2）消防设施器材管理培训：①灭火器；②消防给水及消火栓系统；③火灾自动报警系统；④自动喷水灭火系统。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（3）火灾事故处置：①火灾危险性；②火灾与应急处置预案；③初起火灾扑救；④报警基本常识；⑤专职（志愿）消防队、微型消防站响应；⑥疏散逃生。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4.事故应急处置和案例分析。（2学时）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（1）应急处置：①生产安全事故等级与分类；②生产安全事故报告法定要求；③矿山事故应急处置要求；④生产安全事故行政处罚相关规定。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（三）从业人员安全生产培训。（72学时）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根据《浙江省高危行业领域安全技能提升行动计划实施方案》（浙应急基础〔2020〕2号）要求，培训学时和培训内容按照《高危行业企业从业人员安全生产培训大纲》执行。</w:t>
      </w: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三、金属冶炼企业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（一）主要负责人安全知识培训。（8学时面授）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1.安全生产法定职责。（3学时）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（2）安全生产履职：①生产经营单位安全生产主体责任；②主要负责人的安全职责及法律责任；③安全生产违法行为责任追究；④消防安全违法行为责任追究。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（1）安全生产责任制：①安全生产组织保障；②安全生产规章制度；③安全生产经费投入。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①安全生产管理的任务和基本内容；②特种设备、安全设施管理；③重大危险源管理；④消防安全管理；⑤易燃易爆场所管理；⑥危险作业管控；⑦安全生产标准化；⑧先进的安全生产管理经验和理念。</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力量建设；④消防力量联勤联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3.事故调查处理和案例分析。（2学时）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（1）事故救援与调查：①生产安全事故等级与分类；②生产安全事故报告与调查处理程序；③事故应急救援要求；④金属冶炼事故应急处置要求；⑤生产安全事故行政处罚相关规定。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（二）安全管理人员业务能力培训。（12学时面授）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1.安全生产法规标准。（2学时）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消防法》《刑法》《浙江省安全生产条例》《浙江省消防条例》《危险化学品安全管理条例》《生产安全事故应急条例》《工伤保险条例》等法律法规；②有关本行业的规章、规程、规范和标准；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（2）安全生产履职：①安全生产管理机构以及安全生产管理人员的安全职责及法律责任；②安全生产违法行为责任追究；③消防安全违法行为责任追究。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管理：①安全生产规章制度和安全操作规程编制；②重大危险源管理；③特种设备管理；④特种作业管理；⑤劳动防护用品管理；⑥双重预防体系；⑦易燃易爆场所管理；⑧危险作业管控；⑨安全生产检查；⑩安全生产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（2）安全生产技术：①动火作业、高处作业、有限空间作业、吊装作业、临时用电作业、煤气作业等安全技术；②特种设备安全技术；③安全生产标准化。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3.消防安全管理。（4学时）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消防安全管理：①消防安全管理的任务和基本内容；②防火检查巡查；③消防车通道、疏散通道管理；④消防设施器材维护保养；⑤火灾隐患整改；⑥消防力量建设；⑦消防控制室管理；⑧消防安全“四个能力”建设；⑨消防安全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（2）消防设施器材管理培训：①灭火器；②消防给水及消火栓系统；③火灾自动报警系统；④自动喷水灭火系统。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（3）火灾事故处置：①火灾危险性；②火灾与应急处置预案；③初起火灾扑救；④报警基本常识；⑤专职（志愿）消防队、微型消防站响应；⑥疏散逃生。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4.事故应急处置和案例分析。（2学时）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（1）应急处置：①生产安全事故等级与分类；②生产安全事故报告法定要求；③金属冶炼事故应急处置要求；④生产安全事故行政处罚相关规定。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（2）典型事故案例分析：①重特大生产安全事故；②本行业领域典型生产安全事故。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（三）从业人员安全生产培训。（72学时）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根据《浙江省高危行业领域安全技能提升行动计划实施方案》（浙应急基础〔2020〕2号）要求，培训学时和培训内容按照《高危行业企业从业人员安全生产培训大纲》执行。</w:t>
      </w:r>
    </w:p>
    <w:p>
      <w:pPr>
        <w:spacing w:line="36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四、烟花爆竹企业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（一）主要负责人安全知识培训。（8学时面授）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1.安全生产法定职责。（3学时）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消防法》《刑法》《浙江省安全生产条例》《浙江省消防条例》《烟花爆竹安全管理条例》《生产安全事故应急条例》《工伤保险条例》等法律法规；②有关本行业的规章以及标准《烟花爆竹安全与质量》(GB10631-2013)；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（2）安全生产履职：①生产经营单位安全生产主体责任；②主要负责人的安全职责及法律责任；③安全生产违法行为责任追究；④消防安全违法行为责任追究。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2.安全生产管理。（3学时）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（1）安全生产责任制：①安全生产组织保障；②安全生产规章制度；③安全生产经费投入。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①安全生产管理的任务和基本内容；②安全设施管理；③重大危险源管理；④消防安全管理；⑤易燃易爆场所管理；⑥危险作业管控；⑦安全生产标准化；⑧先进的安全生产管理经验和理念。</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力量建设；④消防力量联勤联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3.事故调查处理和案例分析。（2学时）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（1）事故救援与调查：①生产安全事故等级与分类；②生产安全事故报告与调查处理程序；③烟花爆竹事故应急救援要求；④生产安全事故行政处罚相关规定。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（二）安全管理人员业务能力培训。（12学时面授）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1.安全生产法规标准。（2学时）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法律法规：①《安全生产法》《消防法》《刑法》《浙江省安全生产条例》《浙江省消防条例》《烟花爆竹安全管理条例》《生产安全事故应急条例》《工伤保险条例》等法律法规；②有关本行业的规章以及标准《烟花爆竹安全与质量》(GB10631-2013)；③国家安全生产工作方针、机制及中央领导关于加强安全生产指示精神。</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（2）安全生产履职：①安全生产管理机构以及安全生产管理人员的安全职责及法律责任；②安全生产违法行为责任追究；③消防安全违法行为责任追究。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安全生产管理：①安全生产规章制度和安全操作规程编制；②重大危险源管理；③特种作业管理；④劳动防护用品管理；⑤双重预防体系；⑥易燃易爆场所管理；⑦防静电防雷管理；⑧安全生产检查；⑨安全生产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（2）安全生产技术：①防静电防雷安全技术；②运输安全技术；③安全生产标准化。</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（3）应急管理：①安全生产应急管理体系（包括应急管理体系的基本构成、建设原则、响应机制等）；②生产安全事故应急预案（包括应急预案类型、应急预案编制及演练）；③应急救援人员管理。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3.消防安全管理。（4学时）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消防安全管理：①消防安全管理的任务和基本内容；②防火检查巡查；③消防车通道、疏散通道管理；④消防设施器材维护保养；⑤火灾隐患整改；⑥消防力量建设；⑦消防控制室管理；⑧消防安全“四个能力”建设；⑨消防安全台账管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（2）消防设施器材管理培训：①灭火器；②消防给水及消火栓系统；③火灾自动报警系统；④自动喷水灭火系统；⑤防烟排烟系统；⑥城市消防远程监控系统。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（3）火灾事故处置：①火灾危险性；②火灾与应急处置预案；③初起火灾扑救；④报警基本常识；⑤专职（志愿）消防队、微型消防站响应；⑥疏散逃生。</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4.事故应急处置和案例分析。（2学时）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（1）应急处置：①生产安全事故等级与分类；②生产安全事故报告法定要求；③烟花爆竹事故应急处置要求；④生产安全事故行政处罚相关规定。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（2）典型事故案例分析：①重特大生产安全（火灾）事故；②本行业领域典型生产安全（火灾）事故。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（三）从业人员安全生产培训。（72学时）</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根据《浙江省高危行业领域安全技能提升行动计划实施方案》（浙应急基础〔2020〕2号）要求，培训学时和培训内容按照《高危行业企业从业人员安全生产培训大纲》执行。</w:t>
      </w:r>
    </w:p>
    <w:p>
      <w:pPr>
        <w:autoSpaceDE w:val="0"/>
        <w:autoSpaceDN w:val="0"/>
        <w:adjustRightInd w:val="0"/>
        <w:snapToGrid w:val="0"/>
        <w:spacing w:line="400" w:lineRule="exact"/>
        <w:ind w:firstLine="640" w:firstLineChars="200"/>
        <w:textAlignment w:val="bottom"/>
        <w:rPr>
          <w:rFonts w:hint="eastAsia" w:ascii="仿宋" w:hAnsi="仿宋" w:eastAsia="仿宋" w:cs="仿宋"/>
          <w:sz w:val="32"/>
          <w:szCs w:val="32"/>
          <w:highlight w:val="none"/>
        </w:rPr>
      </w:pPr>
    </w:p>
    <w:p>
      <w:pPr>
        <w:widowControl/>
        <w:adjustRightInd/>
        <w:jc w:val="left"/>
        <w:rPr>
          <w:rFonts w:ascii="仿宋" w:hAnsi="仿宋" w:eastAsia="仿宋" w:cs="仿宋"/>
          <w:b/>
          <w:sz w:val="36"/>
          <w:szCs w:val="36"/>
        </w:rPr>
      </w:pPr>
    </w:p>
    <w:p>
      <w:pPr>
        <w:widowControl/>
        <w:adjustRightInd/>
        <w:jc w:val="left"/>
        <w:rPr>
          <w:rFonts w:ascii="仿宋" w:hAnsi="仿宋" w:eastAsia="仿宋" w:cs="仿宋"/>
          <w:b/>
          <w:sz w:val="36"/>
          <w:szCs w:val="36"/>
        </w:rPr>
      </w:pPr>
    </w:p>
    <w:p>
      <w:pPr>
        <w:widowControl/>
        <w:adjustRightInd/>
        <w:jc w:val="left"/>
        <w:rPr>
          <w:rFonts w:ascii="仿宋" w:hAnsi="仿宋" w:eastAsia="仿宋" w:cs="仿宋"/>
          <w:b/>
          <w:sz w:val="36"/>
          <w:szCs w:val="36"/>
        </w:rPr>
      </w:pPr>
    </w:p>
    <w:p>
      <w:pPr>
        <w:widowControl/>
        <w:adjustRightInd/>
        <w:jc w:val="left"/>
        <w:rPr>
          <w:rFonts w:ascii="仿宋" w:hAnsi="仿宋" w:eastAsia="仿宋" w:cs="仿宋"/>
          <w:b/>
          <w:sz w:val="36"/>
          <w:szCs w:val="36"/>
        </w:rPr>
      </w:pPr>
    </w:p>
    <w:p>
      <w:pPr>
        <w:widowControl/>
        <w:adjustRightInd/>
        <w:jc w:val="left"/>
        <w:rPr>
          <w:rFonts w:ascii="仿宋" w:hAnsi="仿宋" w:eastAsia="仿宋" w:cs="仿宋"/>
          <w:b/>
          <w:sz w:val="36"/>
          <w:szCs w:val="36"/>
        </w:rPr>
      </w:pPr>
    </w:p>
    <w:p>
      <w:pPr>
        <w:pStyle w:val="32"/>
        <w:rPr>
          <w:rFonts w:ascii="仿宋" w:hAnsi="仿宋" w:eastAsia="仿宋" w:cs="仿宋"/>
          <w:b/>
          <w:sz w:val="36"/>
          <w:szCs w:val="36"/>
        </w:rPr>
      </w:pPr>
    </w:p>
    <w:p>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 xml:space="preserve">第五部分  </w:t>
      </w:r>
      <w:bookmarkEnd w:id="66"/>
      <w:bookmarkEnd w:id="67"/>
      <w:bookmarkStart w:id="75" w:name="第四部分"/>
      <w:r>
        <w:rPr>
          <w:rFonts w:hint="eastAsia" w:ascii="仿宋" w:hAnsi="仿宋" w:eastAsia="仿宋" w:cs="仿宋"/>
          <w:b/>
          <w:sz w:val="36"/>
          <w:szCs w:val="36"/>
        </w:rPr>
        <w:t>评审方法及评审标准</w:t>
      </w:r>
    </w:p>
    <w:p>
      <w:pPr>
        <w:pStyle w:val="392"/>
        <w:spacing w:before="0"/>
        <w:ind w:firstLine="643"/>
        <w:jc w:val="center"/>
        <w:rPr>
          <w:rFonts w:ascii="仿宋" w:hAnsi="仿宋" w:eastAsia="仿宋" w:cs="仿宋"/>
          <w:b/>
          <w:sz w:val="32"/>
        </w:rPr>
      </w:pPr>
      <w:r>
        <w:rPr>
          <w:rFonts w:hint="eastAsia" w:ascii="仿宋" w:hAnsi="仿宋" w:eastAsia="仿宋" w:cs="仿宋"/>
          <w:b/>
          <w:sz w:val="32"/>
        </w:rPr>
        <w:t>评审方法前附表</w:t>
      </w:r>
    </w:p>
    <w:tbl>
      <w:tblPr>
        <w:tblStyle w:val="60"/>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87"/>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left"/>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分值</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管理制度：有健全的管理制度，制度完善合理有效的，符合本项目需求的得4-6分，较健全的得2-4分，一般得0-2分，未提供的不得分。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培训程序：</w:t>
            </w:r>
            <w:r>
              <w:rPr>
                <w:rFonts w:hint="eastAsia" w:ascii="仿宋" w:hAnsi="仿宋" w:eastAsia="仿宋" w:cs="仿宋"/>
                <w:kern w:val="2"/>
                <w:sz w:val="24"/>
                <w:szCs w:val="24"/>
                <w:lang w:val="en-US" w:eastAsia="zh-CN" w:bidi="ar-SA"/>
              </w:rPr>
              <w:t>有健全的安全培训程序文件，程序完善合理有效，符合本项目需求的的得4-6分，较健全的得2-4分，一般得0-2分，未提供的不得分。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质量控制体系：有健全的质量控制体系，质量控制体系科学合理有效，符合本项目需求的的得4-6分，较健全的得2-4分，一般得0-2分，未提供的不得分。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培训方案</w:t>
            </w:r>
            <w:r>
              <w:rPr>
                <w:rFonts w:hint="eastAsia" w:ascii="仿宋" w:hAnsi="仿宋" w:eastAsia="仿宋" w:cs="仿宋"/>
                <w:kern w:val="2"/>
                <w:sz w:val="24"/>
                <w:szCs w:val="24"/>
                <w:lang w:val="en-US" w:eastAsia="zh-CN" w:bidi="ar-SA"/>
              </w:rPr>
              <w:t>：根据供应商的培训计划（含培训目标、课程说明、授课计划表、本项目档案管理等内容）酌情打分。培训计划完整，执行性强的，符合本项目需求的得4-6分；培训计划较完整得2-4分；培训计划一般的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培训内容：内</w:t>
            </w:r>
            <w:r>
              <w:rPr>
                <w:rFonts w:hint="eastAsia" w:ascii="仿宋" w:hAnsi="仿宋" w:eastAsia="仿宋" w:cs="仿宋"/>
                <w:kern w:val="2"/>
                <w:sz w:val="24"/>
                <w:szCs w:val="24"/>
                <w:lang w:val="en-US" w:eastAsia="zh-CN" w:bidi="ar-SA"/>
              </w:rPr>
              <w:t>容设计新颖，针对性强，课件制作符合培训对象所需的得4-6分，内容设计较新颖，针对性较强，课件制作符合培训对象所需的得2-4分，内容设计基本新颖，有针对性，课件制作基本符合培训对象所需的得一般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培训机构人员安排情况，应明确人员岗位，工作内容等，人员配备充足、安排合理，专业配置齐全、经验丰富且岗位分明的得4-6；人员配备较充足、安排较合理，专业配置较齐全、经验较丰富且岗位分明的得2-4；人员配备不充足、安排基本合理，专业配置不全、经验较少的得0-2；未</w:t>
            </w:r>
            <w:r>
              <w:rPr>
                <w:rFonts w:hint="eastAsia" w:ascii="仿宋" w:hAnsi="仿宋" w:eastAsia="仿宋" w:cs="仿宋"/>
                <w:kern w:val="2"/>
                <w:sz w:val="24"/>
                <w:szCs w:val="24"/>
                <w:lang w:val="en-US" w:eastAsia="zh-CN" w:bidi="ar-SA"/>
              </w:rPr>
              <w:t>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后勤保障及应急预案：根据供应商提供的后勤保障及应急预案情况酌情打分。保障及预案可行性强的得4-6分；保障及预案满足采购人要求的得2-4分；保障及预案一般得0-2分，未提供的不得分。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服务承诺：根据服务人员力量配备及提供的服务承诺（根据招标需求做好档案管理等服务承诺）情况酌情打分。承诺可行性强且符合采购人需求的得4-6分；满足采购人要求得2-4分；服务承诺简单的得0-2分。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7441"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根据供应商提出合理化建议，并有相应的可操作措施。酌情计分，给予0-4分；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建议具有针对性，根据项目需求情况提出详细、具体、明确的建议等的，得2-4分；建议较为简单，有提出具体流程、方式方法的，得1-2分；未提供建议或者建议不可行或不符合项目的不得分。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top"/>
          </w:tc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培训设备：根据供应商针对培训的软硬件设施、设备配套情况等进行综合评定：设施与配套先进且齐全的得4-6分；基本满足培训要求的得2-4分；有欠缺或破旧的得0-2分。</w:t>
            </w:r>
          </w:p>
          <w:p>
            <w:pPr>
              <w:pStyle w:val="2"/>
              <w:rPr>
                <w:rFonts w:hint="default"/>
                <w:lang w:val="en-US" w:eastAsia="zh-CN"/>
              </w:rPr>
            </w:pPr>
            <w:r>
              <w:rPr>
                <w:rFonts w:hint="eastAsia" w:ascii="仿宋" w:hAnsi="仿宋" w:eastAsia="仿宋" w:cs="仿宋"/>
                <w:b/>
                <w:bCs/>
                <w:kern w:val="2"/>
                <w:sz w:val="24"/>
                <w:szCs w:val="24"/>
                <w:lang w:val="en-US" w:eastAsia="zh-CN" w:bidi="ar-SA"/>
              </w:rPr>
              <w:t>注：提供软硬件设施、设备配套图片及相关证明与说明材料。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1、供应商在长兴县或安吉县内具备开办不同规模培训班的固定培训场地的或承诺中标后提供的：</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（1）100（含）-200（不含）平方米的培训场地的得2分；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（2）200（含）-300（不含）平方米的培训场地的得3分；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（3）300（含）平方米以上的培训场地的得4分。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shd w:val="clear" w:color="auto" w:fill="auto"/>
                <w:lang w:val="en-US" w:eastAsia="zh-CN" w:bidi="ar-SA"/>
              </w:rPr>
              <w:t>注：上述按最高分计，不重复计分。（提供相应自有产权证明（房产证）或租用证明（租赁协议），同时提供场地实景图的证明材料，</w:t>
            </w:r>
            <w:r>
              <w:rPr>
                <w:rFonts w:hint="eastAsia" w:ascii="仿宋" w:hAnsi="仿宋" w:eastAsia="仿宋" w:cs="仿宋"/>
                <w:b/>
                <w:bCs/>
                <w:kern w:val="2"/>
                <w:sz w:val="24"/>
                <w:szCs w:val="24"/>
                <w:lang w:val="en-US" w:eastAsia="zh-CN" w:bidi="ar-SA"/>
              </w:rPr>
              <w:t>承诺中标后提供的提供承诺书</w:t>
            </w:r>
            <w:r>
              <w:rPr>
                <w:rFonts w:hint="eastAsia" w:ascii="仿宋" w:hAnsi="仿宋" w:eastAsia="仿宋" w:cs="仿宋"/>
                <w:kern w:val="2"/>
                <w:sz w:val="24"/>
                <w:szCs w:val="24"/>
                <w:lang w:val="en-US" w:eastAsia="zh-CN" w:bidi="ar-SA"/>
              </w:rPr>
              <w:t>，</w:t>
            </w:r>
            <w:r>
              <w:rPr>
                <w:rFonts w:hint="eastAsia" w:ascii="仿宋" w:hAnsi="仿宋" w:eastAsia="仿宋" w:cs="仿宋"/>
                <w:b/>
                <w:bCs/>
                <w:kern w:val="2"/>
                <w:sz w:val="24"/>
                <w:szCs w:val="24"/>
                <w:highlight w:val="none"/>
                <w:shd w:val="clear" w:color="auto" w:fill="auto"/>
                <w:lang w:val="en-US" w:eastAsia="zh-CN" w:bidi="ar-SA"/>
              </w:rPr>
              <w:t>不符合要求或未提供的均不得分。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2、供应商培训场地在长兴县或安吉县内具备档案室的或承诺中标后提供的得2分。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kern w:val="2"/>
                <w:sz w:val="24"/>
                <w:szCs w:val="24"/>
                <w:shd w:val="clear" w:color="FFFFFF" w:fill="D9D9D9"/>
                <w:lang w:val="en-US" w:eastAsia="zh-CN" w:bidi="ar-SA"/>
              </w:rPr>
            </w:pPr>
            <w:r>
              <w:rPr>
                <w:rFonts w:hint="eastAsia" w:ascii="仿宋" w:hAnsi="仿宋" w:eastAsia="仿宋" w:cs="仿宋"/>
                <w:b/>
                <w:bCs/>
                <w:kern w:val="2"/>
                <w:sz w:val="24"/>
                <w:szCs w:val="24"/>
                <w:highlight w:val="none"/>
                <w:shd w:val="clear" w:color="auto" w:fill="auto"/>
                <w:lang w:val="en-US" w:eastAsia="zh-CN" w:bidi="ar-SA"/>
              </w:rPr>
              <w:t>注：提供相应自有产权证明（房产证）或租用证明（租赁协议），同时提供档案室场景图证明材料，</w:t>
            </w:r>
            <w:r>
              <w:rPr>
                <w:rFonts w:hint="eastAsia" w:ascii="仿宋" w:hAnsi="仿宋" w:eastAsia="仿宋" w:cs="仿宋"/>
                <w:b/>
                <w:bCs/>
                <w:kern w:val="2"/>
                <w:sz w:val="24"/>
                <w:szCs w:val="24"/>
                <w:lang w:val="en-US" w:eastAsia="zh-CN" w:bidi="ar-SA"/>
              </w:rPr>
              <w:t>承诺中标后提供的提供承诺书，</w:t>
            </w:r>
            <w:r>
              <w:rPr>
                <w:rFonts w:hint="eastAsia" w:ascii="仿宋" w:hAnsi="仿宋" w:eastAsia="仿宋" w:cs="仿宋"/>
                <w:b/>
                <w:bCs/>
                <w:kern w:val="2"/>
                <w:sz w:val="24"/>
                <w:szCs w:val="24"/>
                <w:highlight w:val="none"/>
                <w:shd w:val="clear" w:color="auto" w:fill="auto"/>
                <w:lang w:val="en-US" w:eastAsia="zh-CN" w:bidi="ar-SA"/>
              </w:rPr>
              <w:t>不符合要求或未提供的均不得分。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eastAsia" w:ascii="仿宋" w:hAnsi="仿宋" w:eastAsia="仿宋" w:cs="仿宋"/>
                <w:color w:val="auto"/>
                <w:kern w:val="2"/>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eastAsia" w:ascii="仿宋" w:hAnsi="仿宋" w:eastAsia="仿宋" w:cs="仿宋"/>
                <w:color w:val="auto"/>
                <w:kern w:val="2"/>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eastAsia" w:ascii="仿宋" w:hAnsi="仿宋" w:eastAsia="仿宋" w:cs="仿宋"/>
                <w:color w:val="auto"/>
                <w:kern w:val="2"/>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eastAsia" w:ascii="仿宋" w:hAnsi="仿宋" w:eastAsia="仿宋" w:cs="仿宋"/>
                <w:color w:val="auto"/>
                <w:kern w:val="2"/>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jc w:val="center"/>
              <w:textAlignment w:val="baseline"/>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投入本项目的人员配备（22分）：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1、提供有效的由省级及以上安全培训师资证的专职教师，每提供一份得1分，最高得10分，没有及无法提供证书或证明的不得分。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注：须提供相关师资证书复印件（加盖单位公章）；同时须提供供应商为其缴纳的连续3个月的社保证明、劳动合同复印件。</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2、项目组成员具有中级注册安全工程师资格，每人得1分，最多得6分；具有一级注册消防工程师资格证书的专职人员，每证得2分，最多得4分。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注：①国家中级注册安全工程师、国家注册消防工程师人员须提供相关证明材料复印件以及供应商为其缴纳的连续3个月的社保证明、劳动合同复印件；</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color w:val="auto"/>
                <w:kern w:val="2"/>
                <w:sz w:val="24"/>
                <w:szCs w:val="24"/>
                <w:highlight w:val="none"/>
                <w:shd w:val="clear" w:color="FFFFFF" w:fill="D9D9D9"/>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②国家中级注册安全工程师、国家注册消防工程师应注册在供应商本机构，并分别在中国应急管理部网站、社会消防技术服务信息系统可查询且提供相对应网站截图。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left="420" w:leftChars="0" w:right="0" w:rightChars="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3、高级及以上工程师（与项目相关专业）职称证书的专职人员，每证得1分；本项累计最多得2分。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注：附相关证书资质证明，同时须提供供应商为其缴纳的连续3个月的社保证明；退休返聘人员提供身份证、聘用合同及职称证书。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权威认证（3分）：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投标人具有质量体系认证证书（有效）的，得1分；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具有环境管理体系认证证书（有效）的，得1分；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具有职业健康安全管理体系认证证书（有效）的，得1分。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2"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highlight w:val="none"/>
                <w:shd w:val="clear" w:color="auto" w:fill="auto"/>
                <w:lang w:val="en-US" w:eastAsia="zh-CN" w:bidi="ar-SA"/>
              </w:rPr>
              <w:t>注：提供证书复印件及全国认证认可信息公共服务平台认证查询截图。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744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企业业绩：</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rightChars="0" w:firstLine="480" w:firstLineChars="200"/>
              <w:jc w:val="lef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投标人提供2021年1月1日（签订合同日期）以来类似项目合同业绩，每个合同得0.5分，最高1分。</w:t>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82" w:firstLineChars="200"/>
              <w:jc w:val="left"/>
              <w:textAlignment w:val="baseline"/>
              <w:rPr>
                <w:rFonts w:hint="eastAsia" w:ascii="仿宋" w:hAnsi="仿宋" w:eastAsia="仿宋" w:cs="仿宋"/>
                <w:kern w:val="2"/>
                <w:sz w:val="24"/>
                <w:szCs w:val="24"/>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注：以上业绩须提供中标通知书和合同复印件并加盖公章为准。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7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8" w:line="360" w:lineRule="auto"/>
              <w:ind w:right="0"/>
              <w:jc w:val="center"/>
              <w:textAlignment w:val="baseline"/>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报价分10</w:t>
            </w:r>
          </w:p>
        </w:tc>
        <w:tc>
          <w:tcPr>
            <w:tcW w:w="7441" w:type="dxa"/>
            <w:noWrap w:val="0"/>
            <w:vAlign w:val="center"/>
          </w:tcPr>
          <w:p>
            <w:pPr>
              <w:widowControl/>
              <w:shd w:val="clear" w:color="auto" w:fill="FFFFFF"/>
              <w:spacing w:after="225" w:line="315" w:lineRule="atLeast"/>
              <w:ind w:firstLine="420"/>
              <w:jc w:val="left"/>
              <w:outlineLvl w:val="9"/>
              <w:rPr>
                <w:rFonts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w:t>
            </w:r>
            <w:r>
              <w:rPr>
                <w:rFonts w:hint="eastAsia" w:ascii="仿宋" w:hAnsi="仿宋" w:eastAsia="仿宋" w:cs="仿宋"/>
                <w:sz w:val="24"/>
                <w:lang w:val="en-US" w:eastAsia="zh-CN"/>
              </w:rPr>
              <w:t>1</w:t>
            </w:r>
            <w:r>
              <w:rPr>
                <w:rFonts w:hint="eastAsia" w:ascii="仿宋" w:hAnsi="仿宋" w:eastAsia="仿宋" w:cs="仿宋"/>
                <w:sz w:val="24"/>
              </w:rPr>
              <w:t>0］的计算公式计算。</w:t>
            </w:r>
          </w:p>
          <w:p>
            <w:pPr>
              <w:keepNext w:val="0"/>
              <w:keepLines w:val="0"/>
              <w:pageBreakBefore w:val="0"/>
              <w:widowControl/>
              <w:shd w:val="clear" w:color="auto" w:fill="FFFFFF"/>
              <w:kinsoku/>
              <w:wordWrap/>
              <w:overflowPunct/>
              <w:topLinePunct w:val="0"/>
              <w:autoSpaceDE/>
              <w:autoSpaceDN/>
              <w:bidi w:val="0"/>
              <w:adjustRightInd/>
              <w:snapToGrid/>
              <w:spacing w:before="0" w:after="225" w:line="315" w:lineRule="atLeast"/>
              <w:ind w:right="0" w:firstLine="420" w:firstLineChars="0"/>
              <w:jc w:val="left"/>
              <w:textAlignment w:val="auto"/>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sz w:val="24"/>
              </w:rPr>
              <w:t>评审过程中，不得去掉报价中的最高报价和最低报价。</w:t>
            </w:r>
          </w:p>
        </w:tc>
      </w:tr>
    </w:tbl>
    <w:p>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adjustRightInd/>
        <w:spacing w:line="360" w:lineRule="auto"/>
        <w:ind w:firstLine="482" w:firstLineChars="200"/>
        <w:rPr>
          <w:rFonts w:ascii="仿宋" w:hAnsi="仿宋" w:eastAsia="仿宋" w:cs="仿宋"/>
          <w:b/>
          <w:kern w:val="0"/>
          <w:sz w:val="24"/>
        </w:rPr>
      </w:pPr>
    </w:p>
    <w:p>
      <w:pPr>
        <w:pStyle w:val="392"/>
        <w:spacing w:before="0"/>
        <w:ind w:firstLine="643"/>
        <w:jc w:val="center"/>
        <w:rPr>
          <w:rFonts w:ascii="仿宋" w:hAnsi="仿宋" w:eastAsia="仿宋" w:cs="仿宋"/>
          <w:b/>
        </w:rPr>
      </w:pPr>
      <w:r>
        <w:rPr>
          <w:rFonts w:hint="eastAsia" w:ascii="仿宋" w:hAnsi="仿宋" w:eastAsia="仿宋" w:cs="仿宋"/>
          <w:b/>
          <w:sz w:val="32"/>
        </w:rPr>
        <w:t>一、评审方法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2"/>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pPr>
        <w:pStyle w:val="392"/>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w:t>
      </w:r>
    </w:p>
    <w:p>
      <w:pPr>
        <w:pStyle w:val="392"/>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2"/>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2"/>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pPr>
        <w:pStyle w:val="392"/>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pPr>
        <w:pStyle w:val="392"/>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2"/>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2"/>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pPr>
        <w:pStyle w:val="392"/>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2"/>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2"/>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pPr>
        <w:pStyle w:val="392"/>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pPr>
        <w:pStyle w:val="392"/>
        <w:spacing w:before="0"/>
        <w:ind w:firstLine="480"/>
        <w:rPr>
          <w:rFonts w:ascii="仿宋" w:hAnsi="仿宋" w:eastAsia="仿宋" w:cs="仿宋"/>
        </w:rPr>
      </w:pPr>
      <w:r>
        <w:rPr>
          <w:rFonts w:hint="eastAsia" w:ascii="仿宋" w:hAnsi="仿宋" w:eastAsia="仿宋" w:cs="仿宋"/>
        </w:rPr>
        <w:t>1.4磋商小组集中与单一供应商分别进行磋商；</w:t>
      </w:r>
    </w:p>
    <w:p>
      <w:pPr>
        <w:pStyle w:val="392"/>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pPr>
        <w:pStyle w:val="392"/>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2"/>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pPr>
        <w:pStyle w:val="392"/>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pPr>
        <w:pStyle w:val="392"/>
        <w:spacing w:before="0"/>
        <w:ind w:firstLine="480"/>
        <w:rPr>
          <w:rFonts w:ascii="仿宋" w:hAnsi="仿宋" w:eastAsia="仿宋" w:cs="仿宋"/>
        </w:rPr>
      </w:pPr>
      <w:r>
        <w:rPr>
          <w:rFonts w:hint="eastAsia" w:ascii="仿宋" w:hAnsi="仿宋" w:eastAsia="仿宋" w:cs="仿宋"/>
        </w:rPr>
        <w:t>1.9法律、法规、规章、磋商文件等规定的其它事项。</w:t>
      </w:r>
    </w:p>
    <w:p>
      <w:pPr>
        <w:pStyle w:val="392"/>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2"/>
        <w:spacing w:before="0"/>
        <w:ind w:firstLine="480"/>
        <w:rPr>
          <w:rFonts w:ascii="仿宋" w:hAnsi="仿宋" w:eastAsia="仿宋" w:cs="仿宋"/>
        </w:rPr>
      </w:pPr>
      <w:r>
        <w:rPr>
          <w:rFonts w:hint="eastAsia" w:ascii="仿宋" w:hAnsi="仿宋" w:eastAsia="仿宋" w:cs="仿宋"/>
        </w:rPr>
        <w:t>2.1确定参与本项目至评审结束前私自接触供应商；</w:t>
      </w:r>
    </w:p>
    <w:p>
      <w:pPr>
        <w:pStyle w:val="392"/>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2"/>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pPr>
        <w:pStyle w:val="392"/>
        <w:spacing w:before="0"/>
        <w:ind w:firstLine="480"/>
        <w:rPr>
          <w:rFonts w:ascii="仿宋" w:hAnsi="仿宋" w:eastAsia="仿宋" w:cs="仿宋"/>
        </w:rPr>
      </w:pPr>
      <w:r>
        <w:rPr>
          <w:rFonts w:hint="eastAsia" w:ascii="仿宋" w:hAnsi="仿宋" w:eastAsia="仿宋" w:cs="仿宋"/>
        </w:rPr>
        <w:t>2.4对需要专业判断的主观评审因素协商评分；</w:t>
      </w:r>
    </w:p>
    <w:p>
      <w:pPr>
        <w:pStyle w:val="392"/>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pPr>
        <w:pStyle w:val="392"/>
        <w:spacing w:before="0"/>
        <w:ind w:firstLine="480"/>
        <w:rPr>
          <w:rFonts w:ascii="仿宋" w:hAnsi="仿宋" w:eastAsia="仿宋" w:cs="仿宋"/>
        </w:rPr>
      </w:pPr>
      <w:r>
        <w:rPr>
          <w:rFonts w:hint="eastAsia" w:ascii="仿宋" w:hAnsi="仿宋" w:eastAsia="仿宋" w:cs="仿宋"/>
        </w:rPr>
        <w:t>2.6记录、复制或者带走任何评审资料；</w:t>
      </w:r>
    </w:p>
    <w:p>
      <w:pPr>
        <w:pStyle w:val="392"/>
        <w:spacing w:before="0"/>
        <w:ind w:firstLine="480"/>
        <w:rPr>
          <w:rFonts w:ascii="仿宋" w:hAnsi="仿宋" w:eastAsia="仿宋" w:cs="仿宋"/>
        </w:rPr>
      </w:pPr>
      <w:r>
        <w:rPr>
          <w:rFonts w:hint="eastAsia" w:ascii="仿宋" w:hAnsi="仿宋" w:eastAsia="仿宋" w:cs="仿宋"/>
        </w:rPr>
        <w:t>2.7其他不遵守评审纪律的行为。</w:t>
      </w:r>
    </w:p>
    <w:p>
      <w:pPr>
        <w:pStyle w:val="392"/>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2"/>
        <w:spacing w:before="0"/>
        <w:ind w:firstLine="0" w:firstLineChars="0"/>
        <w:rPr>
          <w:rFonts w:ascii="仿宋" w:hAnsi="仿宋" w:eastAsia="仿宋" w:cs="仿宋"/>
          <w:b/>
        </w:rPr>
      </w:pPr>
    </w:p>
    <w:p>
      <w:pPr>
        <w:pStyle w:val="392"/>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pPr>
        <w:pStyle w:val="392"/>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pPr>
        <w:pStyle w:val="392"/>
        <w:spacing w:before="0"/>
        <w:ind w:firstLine="0" w:firstLineChars="0"/>
        <w:rPr>
          <w:rFonts w:ascii="仿宋" w:hAnsi="仿宋" w:eastAsia="仿宋" w:cs="仿宋"/>
          <w:b/>
        </w:rPr>
      </w:pPr>
    </w:p>
    <w:p>
      <w:pPr>
        <w:pStyle w:val="392"/>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pPr>
        <w:pStyle w:val="392"/>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2"/>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4"/>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pPr>
        <w:pStyle w:val="71"/>
        <w:numPr>
          <w:ilvl w:val="0"/>
          <w:numId w:val="12"/>
        </w:numPr>
        <w:ind w:firstLineChars="0"/>
        <w:rPr>
          <w:rFonts w:ascii="仿宋" w:hAnsi="仿宋" w:eastAsia="仿宋" w:cs="仿宋"/>
        </w:rPr>
      </w:pPr>
      <w:r>
        <w:rPr>
          <w:rFonts w:hint="eastAsia" w:ascii="仿宋" w:hAnsi="仿宋" w:eastAsia="仿宋" w:cs="仿宋"/>
        </w:rPr>
        <w:t>使用伪造、变造的许可证件；</w:t>
      </w:r>
    </w:p>
    <w:p>
      <w:pPr>
        <w:pStyle w:val="71"/>
        <w:numPr>
          <w:ilvl w:val="0"/>
          <w:numId w:val="12"/>
        </w:numPr>
        <w:ind w:firstLineChars="0"/>
        <w:rPr>
          <w:rFonts w:ascii="仿宋" w:hAnsi="仿宋" w:eastAsia="仿宋" w:cs="仿宋"/>
        </w:rPr>
      </w:pPr>
      <w:r>
        <w:rPr>
          <w:rFonts w:hint="eastAsia" w:ascii="仿宋" w:hAnsi="仿宋" w:eastAsia="仿宋" w:cs="仿宋"/>
        </w:rPr>
        <w:t>提供虚假的财务状况或者业绩；</w:t>
      </w:r>
    </w:p>
    <w:p>
      <w:pPr>
        <w:pStyle w:val="71"/>
        <w:numPr>
          <w:ilvl w:val="0"/>
          <w:numId w:val="12"/>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pPr>
        <w:pStyle w:val="71"/>
        <w:numPr>
          <w:ilvl w:val="0"/>
          <w:numId w:val="12"/>
        </w:numPr>
        <w:ind w:firstLineChars="0"/>
        <w:rPr>
          <w:rFonts w:ascii="仿宋" w:hAnsi="仿宋" w:eastAsia="仿宋" w:cs="仿宋"/>
        </w:rPr>
      </w:pPr>
      <w:r>
        <w:rPr>
          <w:rFonts w:hint="eastAsia" w:ascii="仿宋" w:hAnsi="仿宋" w:eastAsia="仿宋" w:cs="仿宋"/>
        </w:rPr>
        <w:t>提供虚假的信用状况；</w:t>
      </w:r>
    </w:p>
    <w:p>
      <w:pPr>
        <w:pStyle w:val="71"/>
        <w:numPr>
          <w:ilvl w:val="0"/>
          <w:numId w:val="12"/>
        </w:numPr>
        <w:ind w:firstLineChars="0"/>
        <w:rPr>
          <w:rFonts w:ascii="仿宋" w:hAnsi="仿宋" w:eastAsia="仿宋" w:cs="仿宋"/>
        </w:rPr>
      </w:pPr>
      <w:r>
        <w:rPr>
          <w:rFonts w:hint="eastAsia" w:ascii="仿宋" w:hAnsi="仿宋" w:eastAsia="仿宋" w:cs="仿宋"/>
        </w:rPr>
        <w:t>其他弄虚作假的行为。</w:t>
      </w:r>
    </w:p>
    <w:p>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pPr>
        <w:pStyle w:val="71"/>
        <w:numPr>
          <w:ilvl w:val="0"/>
          <w:numId w:val="13"/>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71"/>
        <w:numPr>
          <w:ilvl w:val="0"/>
          <w:numId w:val="13"/>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71"/>
        <w:numPr>
          <w:ilvl w:val="0"/>
          <w:numId w:val="13"/>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pPr>
        <w:pStyle w:val="71"/>
        <w:numPr>
          <w:ilvl w:val="0"/>
          <w:numId w:val="13"/>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71"/>
        <w:numPr>
          <w:ilvl w:val="0"/>
          <w:numId w:val="13"/>
        </w:numPr>
        <w:ind w:firstLineChars="0"/>
        <w:rPr>
          <w:rFonts w:ascii="仿宋" w:hAnsi="仿宋" w:eastAsia="仿宋" w:cs="仿宋"/>
        </w:rPr>
      </w:pPr>
      <w:r>
        <w:rPr>
          <w:rFonts w:hint="eastAsia" w:ascii="仿宋" w:hAnsi="仿宋" w:eastAsia="仿宋" w:cs="仿宋"/>
        </w:rPr>
        <w:t>供应商之间事先约定由某一特定供应商中标、成交；</w:t>
      </w:r>
    </w:p>
    <w:p>
      <w:pPr>
        <w:pStyle w:val="71"/>
        <w:numPr>
          <w:ilvl w:val="0"/>
          <w:numId w:val="13"/>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pPr>
        <w:pStyle w:val="71"/>
        <w:numPr>
          <w:ilvl w:val="0"/>
          <w:numId w:val="13"/>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71"/>
        <w:numPr>
          <w:ilvl w:val="0"/>
          <w:numId w:val="13"/>
        </w:numPr>
        <w:ind w:firstLineChars="0"/>
        <w:rPr>
          <w:rFonts w:ascii="仿宋" w:hAnsi="仿宋" w:eastAsia="仿宋" w:cs="仿宋"/>
        </w:rPr>
      </w:pPr>
      <w:r>
        <w:rPr>
          <w:rFonts w:hint="eastAsia" w:ascii="仿宋" w:hAnsi="仿宋" w:eastAsia="仿宋" w:cs="仿宋"/>
        </w:rPr>
        <w:t>不同供应商的响应文件由同一单位或者个人编制；</w:t>
      </w:r>
    </w:p>
    <w:p>
      <w:pPr>
        <w:pStyle w:val="71"/>
        <w:numPr>
          <w:ilvl w:val="0"/>
          <w:numId w:val="13"/>
        </w:numPr>
        <w:ind w:firstLineChars="0"/>
        <w:rPr>
          <w:rFonts w:ascii="仿宋" w:hAnsi="仿宋" w:eastAsia="仿宋" w:cs="仿宋"/>
        </w:rPr>
      </w:pPr>
      <w:r>
        <w:rPr>
          <w:rFonts w:hint="eastAsia" w:ascii="仿宋" w:hAnsi="仿宋" w:eastAsia="仿宋" w:cs="仿宋"/>
        </w:rPr>
        <w:t>不同供应商委托同一单位或者个人办理响应事宜；</w:t>
      </w:r>
    </w:p>
    <w:p>
      <w:pPr>
        <w:pStyle w:val="71"/>
        <w:numPr>
          <w:ilvl w:val="0"/>
          <w:numId w:val="13"/>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pPr>
        <w:pStyle w:val="71"/>
        <w:numPr>
          <w:ilvl w:val="0"/>
          <w:numId w:val="13"/>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pPr>
        <w:pStyle w:val="71"/>
        <w:numPr>
          <w:ilvl w:val="0"/>
          <w:numId w:val="13"/>
        </w:numPr>
        <w:ind w:firstLineChars="0"/>
        <w:rPr>
          <w:rFonts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2"/>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w:t>
      </w:r>
      <w:r>
        <w:rPr>
          <w:rFonts w:hint="eastAsia" w:ascii="仿宋" w:hAnsi="仿宋" w:eastAsia="仿宋" w:cs="仿宋"/>
          <w:sz w:val="24"/>
          <w:szCs w:val="21"/>
          <w:lang w:val="en-US" w:eastAsia="zh-CN"/>
        </w:rPr>
        <w:t>2</w:t>
      </w:r>
      <w:r>
        <w:rPr>
          <w:rFonts w:hint="eastAsia" w:ascii="仿宋" w:hAnsi="仿宋" w:eastAsia="仿宋" w:cs="仿宋"/>
          <w:sz w:val="24"/>
          <w:szCs w:val="21"/>
        </w:rPr>
        <w:t>家的。</w:t>
      </w:r>
    </w:p>
    <w:p>
      <w:pPr>
        <w:pStyle w:val="392"/>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spacing w:before="0"/>
        <w:ind w:firstLine="0" w:firstLineChars="0"/>
        <w:rPr>
          <w:rFonts w:ascii="仿宋" w:hAnsi="仿宋" w:eastAsia="仿宋" w:cs="仿宋"/>
          <w:b/>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75"/>
      <w:r>
        <w:rPr>
          <w:rFonts w:hint="eastAsia" w:ascii="仿宋" w:hAnsi="仿宋" w:eastAsia="仿宋" w:cs="仿宋"/>
          <w:b/>
          <w:sz w:val="36"/>
          <w:szCs w:val="36"/>
        </w:rPr>
        <w:t xml:space="preserve">  拟签订的合同文本</w:t>
      </w:r>
    </w:p>
    <w:p>
      <w:pPr>
        <w:spacing w:line="360" w:lineRule="auto"/>
        <w:rPr>
          <w:rFonts w:ascii="仿宋" w:hAnsi="仿宋" w:eastAsia="仿宋" w:cs="仿宋"/>
          <w:sz w:val="24"/>
        </w:rPr>
      </w:pPr>
      <w:bookmarkStart w:id="76" w:name="第五部分"/>
      <w:bookmarkStart w:id="77" w:name="_Toc86217003"/>
    </w:p>
    <w:p>
      <w:pPr>
        <w:ind w:firstLine="1"/>
        <w:jc w:val="center"/>
        <w:rPr>
          <w:rFonts w:hint="eastAsia" w:ascii="仿宋" w:hAnsi="仿宋" w:eastAsia="仿宋" w:cs="仿宋"/>
          <w:b/>
          <w:sz w:val="28"/>
          <w:szCs w:val="28"/>
          <w:lang w:eastAsia="zh-CN"/>
        </w:rPr>
      </w:pPr>
      <w:r>
        <w:rPr>
          <w:rFonts w:hint="eastAsia" w:ascii="仿宋" w:hAnsi="仿宋" w:eastAsia="仿宋" w:cs="仿宋"/>
          <w:b/>
          <w:sz w:val="28"/>
          <w:szCs w:val="28"/>
        </w:rPr>
        <w:t>采购合同书（仅供参考）</w:t>
      </w:r>
    </w:p>
    <w:p>
      <w:pPr>
        <w:spacing w:line="360" w:lineRule="exact"/>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项目名称：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项目编号： </w:t>
      </w:r>
    </w:p>
    <w:p>
      <w:pPr>
        <w:spacing w:line="360" w:lineRule="auto"/>
        <w:rPr>
          <w:rFonts w:hint="eastAsia" w:ascii="仿宋" w:hAnsi="仿宋" w:eastAsia="仿宋" w:cs="仿宋"/>
          <w:sz w:val="24"/>
          <w:szCs w:val="24"/>
        </w:rPr>
      </w:pPr>
      <w:r>
        <w:rPr>
          <w:rFonts w:hint="eastAsia" w:ascii="仿宋" w:hAnsi="仿宋" w:eastAsia="仿宋" w:cs="仿宋"/>
          <w:sz w:val="24"/>
          <w:szCs w:val="24"/>
        </w:rPr>
        <w:t>甲方：                              乙方：</w:t>
      </w:r>
    </w:p>
    <w:p>
      <w:pPr>
        <w:spacing w:line="360" w:lineRule="auto"/>
        <w:rPr>
          <w:rFonts w:hint="eastAsia" w:ascii="仿宋" w:hAnsi="仿宋" w:eastAsia="仿宋" w:cs="仿宋"/>
          <w:sz w:val="24"/>
          <w:szCs w:val="24"/>
        </w:rPr>
      </w:pPr>
      <w:r>
        <w:rPr>
          <w:rFonts w:hint="eastAsia" w:ascii="仿宋" w:hAnsi="仿宋" w:eastAsia="仿宋" w:cs="仿宋"/>
          <w:sz w:val="24"/>
          <w:szCs w:val="24"/>
        </w:rPr>
        <w:t>甲乙双方关于              的结果，甲乙双方本着既严格执行国家有关政策，又兼顾双方利益的原则，经协商，特签订本合同书。</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一、</w:t>
      </w:r>
      <w:r>
        <w:rPr>
          <w:rFonts w:hint="eastAsia" w:ascii="仿宋" w:hAnsi="仿宋" w:eastAsia="仿宋" w:cs="仿宋"/>
          <w:sz w:val="24"/>
          <w:szCs w:val="24"/>
          <w:lang w:val="en-US" w:eastAsia="zh-CN"/>
        </w:rPr>
        <w:t>采购</w:t>
      </w:r>
      <w:r>
        <w:rPr>
          <w:rFonts w:hint="eastAsia" w:ascii="仿宋" w:hAnsi="仿宋" w:eastAsia="仿宋" w:cs="仿宋"/>
          <w:sz w:val="24"/>
          <w:szCs w:val="24"/>
        </w:rPr>
        <w:t>内容</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二、合同金额</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本合同金额为（大写）：人民币       （￥：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三、工作安排要求：</w:t>
      </w:r>
    </w:p>
    <w:p>
      <w:pPr>
        <w:spacing w:line="360" w:lineRule="auto"/>
        <w:rPr>
          <w:rFonts w:hint="default" w:ascii="仿宋" w:hAnsi="仿宋" w:eastAsia="仿宋" w:cs="仿宋"/>
          <w:sz w:val="24"/>
          <w:szCs w:val="24"/>
          <w:highlight w:val="red"/>
          <w:lang w:val="en-US" w:eastAsia="zh-CN"/>
        </w:rPr>
      </w:pPr>
      <w:r>
        <w:rPr>
          <w:rFonts w:hint="eastAsia" w:ascii="仿宋" w:hAnsi="仿宋" w:eastAsia="仿宋" w:cs="仿宋"/>
          <w:sz w:val="24"/>
          <w:szCs w:val="24"/>
          <w:lang w:val="en-US" w:eastAsia="zh-CN"/>
        </w:rPr>
        <w:t>四、服务标准：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、服务期限：</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1.服务期限：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2.服务方式：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3.服务地点：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w:t>
      </w:r>
      <w:r>
        <w:rPr>
          <w:rFonts w:hint="eastAsia" w:ascii="仿宋" w:hAnsi="仿宋" w:eastAsia="仿宋" w:cs="仿宋"/>
          <w:sz w:val="24"/>
          <w:szCs w:val="24"/>
          <w:lang w:val="en-US" w:eastAsia="zh-CN"/>
        </w:rPr>
        <w:t>费用</w:t>
      </w:r>
      <w:r>
        <w:rPr>
          <w:rFonts w:hint="eastAsia" w:ascii="仿宋" w:hAnsi="仿宋" w:eastAsia="仿宋" w:cs="仿宋"/>
          <w:sz w:val="24"/>
          <w:szCs w:val="24"/>
        </w:rPr>
        <w:t>支付</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 付款方式： </w:t>
      </w:r>
    </w:p>
    <w:p>
      <w:pPr>
        <w:spacing w:line="360" w:lineRule="auto"/>
        <w:rPr>
          <w:rFonts w:hint="default" w:ascii="仿宋" w:hAnsi="仿宋" w:eastAsia="仿宋" w:cs="仿宋"/>
          <w:sz w:val="24"/>
          <w:szCs w:val="24"/>
          <w:lang w:val="en-US"/>
        </w:rPr>
      </w:pPr>
      <w:r>
        <w:rPr>
          <w:rFonts w:hint="eastAsia" w:ascii="仿宋" w:hAnsi="仿宋" w:eastAsia="仿宋" w:cs="仿宋"/>
          <w:sz w:val="24"/>
          <w:szCs w:val="24"/>
        </w:rPr>
        <w:t>2.</w:t>
      </w:r>
      <w:r>
        <w:rPr>
          <w:rFonts w:hint="eastAsia" w:ascii="仿宋" w:hAnsi="仿宋" w:eastAsia="仿宋" w:cs="仿宋"/>
          <w:sz w:val="24"/>
          <w:szCs w:val="24"/>
          <w:lang w:val="en-US" w:eastAsia="zh-CN"/>
        </w:rPr>
        <w:t>以</w:t>
      </w:r>
      <w:r>
        <w:rPr>
          <w:rFonts w:hint="eastAsia" w:ascii="仿宋" w:hAnsi="仿宋" w:eastAsia="仿宋" w:cs="仿宋"/>
          <w:sz w:val="24"/>
          <w:szCs w:val="24"/>
          <w:shd w:val="clear" w:color="auto" w:fill="auto"/>
          <w:lang w:val="en-US" w:eastAsia="zh-CN"/>
        </w:rPr>
        <w:t>实际培训人数为准，费用明细：</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、税费</w:t>
      </w:r>
    </w:p>
    <w:p>
      <w:pPr>
        <w:spacing w:line="360" w:lineRule="auto"/>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八</w:t>
      </w:r>
      <w:r>
        <w:rPr>
          <w:rFonts w:hint="eastAsia" w:ascii="仿宋" w:hAnsi="仿宋" w:eastAsia="仿宋" w:cs="仿宋"/>
          <w:sz w:val="24"/>
          <w:szCs w:val="24"/>
        </w:rPr>
        <w:t>、</w:t>
      </w:r>
      <w:r>
        <w:rPr>
          <w:rFonts w:hint="eastAsia" w:ascii="仿宋" w:hAnsi="仿宋" w:eastAsia="仿宋" w:cs="仿宋"/>
          <w:sz w:val="24"/>
          <w:szCs w:val="24"/>
          <w:lang w:val="en-US" w:eastAsia="zh-CN"/>
        </w:rPr>
        <w:t>考核及其他要求：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1、乙方应按招标文件规定向甲方提供服务。</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、验收标准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十、违约责任</w:t>
      </w:r>
    </w:p>
    <w:p>
      <w:pPr>
        <w:spacing w:line="360" w:lineRule="auto"/>
        <w:rPr>
          <w:rFonts w:hint="eastAsia" w:ascii="仿宋" w:hAnsi="仿宋" w:eastAsia="仿宋" w:cs="仿宋"/>
          <w:sz w:val="24"/>
          <w:szCs w:val="24"/>
        </w:rPr>
      </w:pPr>
      <w:r>
        <w:rPr>
          <w:rFonts w:hint="eastAsia" w:ascii="仿宋" w:hAnsi="仿宋" w:eastAsia="仿宋" w:cs="仿宋"/>
          <w:sz w:val="24"/>
          <w:szCs w:val="24"/>
        </w:rPr>
        <w:t>1. 甲方无正当理由拒收服务计划，甲方向乙方偿付拒收服务总值的百分之五违约金。</w:t>
      </w:r>
    </w:p>
    <w:p>
      <w:pPr>
        <w:spacing w:line="360" w:lineRule="auto"/>
        <w:rPr>
          <w:rFonts w:hint="eastAsia" w:ascii="仿宋" w:hAnsi="仿宋" w:eastAsia="仿宋" w:cs="仿宋"/>
          <w:sz w:val="24"/>
          <w:szCs w:val="24"/>
        </w:rPr>
      </w:pPr>
      <w:r>
        <w:rPr>
          <w:rFonts w:hint="eastAsia" w:ascii="仿宋" w:hAnsi="仿宋" w:eastAsia="仿宋" w:cs="仿宋"/>
          <w:sz w:val="24"/>
          <w:szCs w:val="24"/>
        </w:rPr>
        <w:t>2. 甲方无故逾期验收和办理服务期限支付手续的,甲方应按逾期付款总额每日万分之五向乙方支付违约金。</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rPr>
          <w:rFonts w:hint="eastAsia" w:ascii="仿宋" w:hAnsi="仿宋" w:eastAsia="仿宋" w:cs="仿宋"/>
          <w:sz w:val="24"/>
          <w:szCs w:val="24"/>
        </w:rPr>
      </w:pPr>
      <w:r>
        <w:rPr>
          <w:rFonts w:hint="eastAsia" w:ascii="仿宋" w:hAnsi="仿宋" w:eastAsia="仿宋" w:cs="仿宋"/>
          <w:sz w:val="24"/>
          <w:szCs w:val="24"/>
        </w:rPr>
        <w:t>4. 乙方所提供的服务质量不符合合同规定及招标文件规定标准的，甲方有权拒收该继续服务，乙方愿意调整服务质量，按乙方部悔约行为处理。乙方拒绝改进服务的，甲方可单方面解除合同。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、不可抗力事件处理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1. 在合同有效期内，任何一方因不可抗力事件导致不能履行合同，则合同履行期可延长，其延长期与不可抗力影响期相同。</w:t>
      </w:r>
    </w:p>
    <w:p>
      <w:pPr>
        <w:spacing w:line="360" w:lineRule="auto"/>
        <w:rPr>
          <w:rFonts w:hint="eastAsia" w:ascii="仿宋" w:hAnsi="仿宋" w:eastAsia="仿宋" w:cs="仿宋"/>
          <w:sz w:val="24"/>
          <w:szCs w:val="24"/>
        </w:rPr>
      </w:pPr>
      <w:r>
        <w:rPr>
          <w:rFonts w:hint="eastAsia" w:ascii="仿宋" w:hAnsi="仿宋" w:eastAsia="仿宋" w:cs="仿宋"/>
          <w:sz w:val="24"/>
          <w:szCs w:val="24"/>
        </w:rPr>
        <w:t>2. 不可抗力事件发生后，应立即通知对方，并寄送有关权威机构出具的证明。</w:t>
      </w:r>
    </w:p>
    <w:p>
      <w:pPr>
        <w:spacing w:line="360" w:lineRule="auto"/>
        <w:rPr>
          <w:rFonts w:hint="eastAsia" w:ascii="仿宋" w:hAnsi="仿宋" w:eastAsia="仿宋" w:cs="仿宋"/>
          <w:sz w:val="24"/>
          <w:szCs w:val="24"/>
        </w:rPr>
      </w:pPr>
      <w:r>
        <w:rPr>
          <w:rFonts w:hint="eastAsia" w:ascii="仿宋" w:hAnsi="仿宋" w:eastAsia="仿宋" w:cs="仿宋"/>
          <w:sz w:val="24"/>
          <w:szCs w:val="24"/>
        </w:rPr>
        <w:t>3. 不可抗力事件延续120天以上，双方应通过友好协商，确定是否继续履行合同。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二</w:t>
      </w:r>
      <w:r>
        <w:rPr>
          <w:rFonts w:hint="eastAsia" w:ascii="仿宋" w:hAnsi="仿宋" w:eastAsia="仿宋" w:cs="仿宋"/>
          <w:sz w:val="24"/>
          <w:szCs w:val="24"/>
        </w:rPr>
        <w:t>、诉讼</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双方在执行合同中所发生的一切争议，应通过协商解决。如协商不成，可向甲方所在地法院起诉。</w:t>
      </w:r>
    </w:p>
    <w:p>
      <w:pPr>
        <w:spacing w:line="360" w:lineRule="auto"/>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三</w:t>
      </w:r>
      <w:r>
        <w:rPr>
          <w:rFonts w:hint="eastAsia" w:ascii="仿宋" w:hAnsi="仿宋" w:eastAsia="仿宋" w:cs="仿宋"/>
          <w:sz w:val="24"/>
          <w:szCs w:val="24"/>
        </w:rPr>
        <w:t>、合同生效及其它</w:t>
      </w:r>
    </w:p>
    <w:p>
      <w:pPr>
        <w:spacing w:line="360" w:lineRule="auto"/>
        <w:rPr>
          <w:rFonts w:hint="eastAsia" w:ascii="仿宋" w:hAnsi="仿宋" w:eastAsia="仿宋" w:cs="仿宋"/>
          <w:sz w:val="24"/>
          <w:szCs w:val="24"/>
        </w:rPr>
      </w:pPr>
      <w:r>
        <w:rPr>
          <w:rFonts w:hint="eastAsia" w:ascii="仿宋" w:hAnsi="仿宋" w:eastAsia="仿宋" w:cs="仿宋"/>
          <w:sz w:val="24"/>
          <w:szCs w:val="24"/>
        </w:rPr>
        <w:t>1. 合同经双方法定代表人或授权代表签字并加盖单位公章后生效。</w:t>
      </w:r>
    </w:p>
    <w:p>
      <w:pPr>
        <w:spacing w:line="360" w:lineRule="auto"/>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2.合同执行中涉及采购资金和采购内容修改或补充的，须经财政部门审批，并签书面补充协议报采购代理机构及长三角（湖州）产业合作区招标采购领导小组办公室备案，方可作为主合同不可分割的一部分。</w:t>
      </w:r>
    </w:p>
    <w:p>
      <w:pPr>
        <w:spacing w:line="360" w:lineRule="auto"/>
        <w:rPr>
          <w:rFonts w:hint="eastAsia" w:ascii="仿宋" w:hAnsi="仿宋" w:eastAsia="仿宋" w:cs="仿宋"/>
          <w:sz w:val="24"/>
          <w:szCs w:val="24"/>
        </w:rPr>
      </w:pPr>
      <w:r>
        <w:rPr>
          <w:rFonts w:hint="eastAsia" w:ascii="仿宋" w:hAnsi="仿宋" w:eastAsia="仿宋" w:cs="仿宋"/>
          <w:sz w:val="24"/>
          <w:szCs w:val="24"/>
        </w:rPr>
        <w:t>3.本合同未尽事宜，遵照《合同法》有关条文执行。</w:t>
      </w:r>
    </w:p>
    <w:p>
      <w:pPr>
        <w:spacing w:line="360" w:lineRule="auto"/>
        <w:rPr>
          <w:rFonts w:hint="eastAsia" w:ascii="仿宋" w:hAnsi="仿宋" w:eastAsia="仿宋" w:cs="仿宋"/>
          <w:sz w:val="24"/>
          <w:szCs w:val="24"/>
        </w:rPr>
      </w:pPr>
      <w:r>
        <w:rPr>
          <w:rFonts w:hint="eastAsia" w:ascii="仿宋" w:hAnsi="仿宋" w:eastAsia="仿宋" w:cs="仿宋"/>
          <w:sz w:val="24"/>
          <w:szCs w:val="24"/>
        </w:rPr>
        <w:t>4.本合同正本一式</w:t>
      </w:r>
      <w:r>
        <w:rPr>
          <w:rFonts w:hint="eastAsia" w:ascii="仿宋" w:hAnsi="仿宋" w:eastAsia="仿宋" w:cs="仿宋"/>
          <w:sz w:val="24"/>
          <w:szCs w:val="24"/>
          <w:lang w:val="en-US" w:eastAsia="zh-CN"/>
        </w:rPr>
        <w:t>四</w:t>
      </w:r>
      <w:r>
        <w:rPr>
          <w:rFonts w:hint="eastAsia" w:ascii="仿宋" w:hAnsi="仿宋" w:eastAsia="仿宋" w:cs="仿宋"/>
          <w:sz w:val="24"/>
          <w:szCs w:val="24"/>
        </w:rPr>
        <w:t>份，具有同等法律效力，甲乙双方各执一份；采购代理机构及</w:t>
      </w:r>
      <w:r>
        <w:rPr>
          <w:rFonts w:hint="eastAsia" w:ascii="仿宋" w:hAnsi="仿宋" w:eastAsia="仿宋" w:cs="仿宋"/>
          <w:sz w:val="24"/>
          <w:szCs w:val="24"/>
          <w:lang w:eastAsia="zh-CN"/>
        </w:rPr>
        <w:t>长三角（湖州）产业合作区招标采购领导小组办公室</w:t>
      </w:r>
      <w:r>
        <w:rPr>
          <w:rFonts w:hint="eastAsia" w:ascii="仿宋" w:hAnsi="仿宋" w:eastAsia="仿宋" w:cs="仿宋"/>
          <w:sz w:val="24"/>
          <w:szCs w:val="24"/>
        </w:rPr>
        <w:t>管理部门各执一份。</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甲方：                                   乙方：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地址：                                   地址：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法定（授权）代表人：                     法定（授权）代表人：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签字日期：      年  月  日               签字日期：      年  月  </w:t>
      </w:r>
    </w:p>
    <w:p>
      <w:pPr>
        <w:spacing w:line="320" w:lineRule="exact"/>
        <w:rPr>
          <w:rFonts w:hint="eastAsia" w:ascii="仿宋" w:hAnsi="仿宋" w:eastAsia="仿宋" w:cs="仿宋"/>
          <w:b/>
          <w:sz w:val="24"/>
          <w:szCs w:val="24"/>
        </w:rPr>
      </w:pPr>
    </w:p>
    <w:p>
      <w:pPr>
        <w:snapToGrid w:val="0"/>
        <w:spacing w:line="240" w:lineRule="auto"/>
        <w:ind w:firstLine="470" w:firstLineChars="196"/>
        <w:rPr>
          <w:rFonts w:hint="eastAsia" w:ascii="仿宋" w:hAnsi="仿宋" w:eastAsia="仿宋" w:cs="仿宋"/>
          <w:sz w:val="24"/>
          <w:szCs w:val="24"/>
          <w:highlight w:val="none"/>
        </w:rPr>
      </w:pPr>
    </w:p>
    <w:p>
      <w:pPr>
        <w:snapToGrid w:val="0"/>
        <w:spacing w:line="240" w:lineRule="auto"/>
        <w:ind w:firstLine="470" w:firstLineChars="196"/>
        <w:rPr>
          <w:rFonts w:hint="eastAsia" w:ascii="仿宋" w:hAnsi="仿宋" w:eastAsia="仿宋" w:cs="仿宋"/>
          <w:sz w:val="24"/>
          <w:szCs w:val="24"/>
          <w:highlight w:val="none"/>
        </w:rPr>
      </w:pPr>
    </w:p>
    <w:p>
      <w:pPr>
        <w:snapToGrid w:val="0"/>
        <w:spacing w:line="240" w:lineRule="auto"/>
        <w:ind w:firstLine="470" w:firstLineChars="196"/>
        <w:rPr>
          <w:rFonts w:hint="eastAsia" w:ascii="仿宋" w:hAnsi="仿宋" w:eastAsia="仿宋" w:cs="仿宋"/>
          <w:sz w:val="24"/>
          <w:szCs w:val="24"/>
          <w:highlight w:val="none"/>
        </w:rPr>
      </w:pPr>
    </w:p>
    <w:p>
      <w:pPr>
        <w:snapToGrid w:val="0"/>
        <w:spacing w:line="24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注：本合同仅作示范文本，具体以双方签定的正式合同为准，合同内容不得违背本</w:t>
      </w:r>
      <w:r>
        <w:rPr>
          <w:rFonts w:hint="eastAsia" w:ascii="仿宋" w:hAnsi="仿宋" w:eastAsia="仿宋" w:cs="仿宋"/>
          <w:sz w:val="24"/>
          <w:szCs w:val="24"/>
          <w:highlight w:val="none"/>
          <w:lang w:eastAsia="zh-CN"/>
        </w:rPr>
        <w:t>竞争性磋商</w:t>
      </w:r>
      <w:r>
        <w:rPr>
          <w:rFonts w:hint="eastAsia" w:ascii="仿宋" w:hAnsi="仿宋" w:eastAsia="仿宋" w:cs="仿宋"/>
          <w:sz w:val="24"/>
          <w:szCs w:val="24"/>
          <w:highlight w:val="none"/>
        </w:rPr>
        <w:t>文件实质性要求。</w:t>
      </w:r>
    </w:p>
    <w:p>
      <w:pPr>
        <w:spacing w:line="360" w:lineRule="auto"/>
        <w:ind w:left="-420" w:leftChars="-200" w:right="-420" w:rightChars="-200" w:firstLine="480" w:firstLineChars="200"/>
        <w:rPr>
          <w:rFonts w:ascii="仿宋" w:hAnsi="仿宋" w:eastAsia="仿宋" w:cs="仿宋"/>
          <w:sz w:val="24"/>
        </w:rPr>
      </w:pPr>
    </w:p>
    <w:p>
      <w:pPr>
        <w:spacing w:line="360" w:lineRule="auto"/>
        <w:ind w:firstLine="562" w:firstLineChars="200"/>
        <w:jc w:val="center"/>
        <w:rPr>
          <w:rFonts w:ascii="仿宋" w:hAnsi="仿宋" w:eastAsia="仿宋" w:cs="仿宋"/>
          <w:b/>
          <w:sz w:val="28"/>
          <w:szCs w:val="28"/>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hint="eastAsia" w:ascii="仿宋" w:hAnsi="仿宋" w:eastAsia="仿宋" w:cs="仿宋"/>
          <w:b/>
          <w:sz w:val="36"/>
          <w:szCs w:val="20"/>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76"/>
      <w:r>
        <w:rPr>
          <w:rFonts w:hint="eastAsia" w:ascii="仿宋" w:hAnsi="仿宋" w:eastAsia="仿宋" w:cs="仿宋"/>
          <w:b/>
          <w:sz w:val="36"/>
          <w:szCs w:val="20"/>
        </w:rPr>
        <w:t xml:space="preserve">  </w:t>
      </w:r>
      <w:bookmarkEnd w:id="77"/>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rPr>
          <w:rFonts w:ascii="宋体" w:hAnsi="宋体" w:cs="宋体"/>
          <w:sz w:val="24"/>
        </w:rPr>
      </w:pPr>
    </w:p>
    <w:p>
      <w:pPr>
        <w:pStyle w:val="3"/>
        <w:rPr>
          <w:rFonts w:hAnsi="宋体" w:cs="宋体"/>
        </w:rPr>
      </w:pPr>
    </w:p>
    <w:p>
      <w:pPr>
        <w:pStyle w:val="3"/>
        <w:ind w:firstLine="0"/>
        <w:rPr>
          <w:rFonts w:hAnsi="宋体" w:cs="宋体"/>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napToGrid w:val="0"/>
        <w:spacing w:line="360" w:lineRule="auto"/>
        <w:rPr>
          <w:rFonts w:ascii="仿宋" w:hAnsi="仿宋" w:eastAsia="仿宋" w:cs="仿宋"/>
          <w:kern w:val="0"/>
          <w:sz w:val="24"/>
          <w:lang w:val="zh-CN"/>
        </w:rPr>
      </w:pPr>
    </w:p>
    <w:p>
      <w:pPr>
        <w:snapToGrid w:val="0"/>
        <w:spacing w:line="360" w:lineRule="auto"/>
        <w:ind w:right="480"/>
        <w:jc w:val="center"/>
        <w:rPr>
          <w:rFonts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left"/>
        <w:outlineLvl w:val="0"/>
        <w:rPr>
          <w:rFonts w:ascii="仿宋" w:hAnsi="仿宋" w:eastAsia="仿宋" w:cs="仿宋"/>
          <w:b/>
          <w:kern w:val="0"/>
          <w:sz w:val="24"/>
        </w:rPr>
      </w:pPr>
    </w:p>
    <w:p>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14"/>
        </w:numPr>
        <w:snapToGrid w:val="0"/>
        <w:spacing w:line="360" w:lineRule="auto"/>
        <w:rPr>
          <w:rFonts w:ascii="仿宋" w:hAnsi="仿宋" w:eastAsia="仿宋" w:cs="仿宋"/>
          <w:sz w:val="24"/>
        </w:rPr>
      </w:pPr>
      <w:r>
        <w:rPr>
          <w:rFonts w:hint="eastAsia" w:ascii="仿宋" w:hAnsi="仿宋" w:eastAsia="仿宋" w:cs="仿宋"/>
          <w:sz w:val="24"/>
        </w:rPr>
        <w:t>响应函……………………………………………………………………………（页码）</w:t>
      </w:r>
    </w:p>
    <w:p>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）商务技术偏离表…………………………………………………………………（页码）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）政府采购供应商廉洁自律承诺书………………………………………………（页码）</w:t>
      </w:r>
    </w:p>
    <w:p/>
    <w:p>
      <w:pPr>
        <w:pStyle w:val="3"/>
      </w:pPr>
    </w:p>
    <w:p/>
    <w:p>
      <w:pPr>
        <w:pStyle w:val="3"/>
      </w:pPr>
    </w:p>
    <w:p/>
    <w:p>
      <w:pPr>
        <w:pStyle w:val="3"/>
      </w:pPr>
    </w:p>
    <w:p/>
    <w:p>
      <w:pPr>
        <w:pStyle w:val="3"/>
      </w:pPr>
    </w:p>
    <w:p/>
    <w:p>
      <w:pPr>
        <w:pStyle w:val="3"/>
      </w:pPr>
    </w:p>
    <w:p/>
    <w:p>
      <w:pPr>
        <w:pStyle w:val="3"/>
      </w:pPr>
    </w:p>
    <w:p/>
    <w:p>
      <w:pPr>
        <w:pStyle w:val="3"/>
      </w:pPr>
    </w:p>
    <w:p/>
    <w:p>
      <w:pPr>
        <w:pStyle w:val="3"/>
      </w:pPr>
    </w:p>
    <w:p/>
    <w:p>
      <w:pPr>
        <w:pStyle w:val="3"/>
      </w:pPr>
    </w:p>
    <w:p/>
    <w:p/>
    <w:p>
      <w:pPr>
        <w:pStyle w:val="71"/>
        <w:ind w:firstLine="480"/>
      </w:pPr>
    </w:p>
    <w:p>
      <w:pPr>
        <w:pStyle w:val="71"/>
        <w:ind w:firstLine="480"/>
      </w:pPr>
    </w:p>
    <w:p>
      <w:pPr>
        <w:pStyle w:val="71"/>
        <w:ind w:firstLine="480"/>
      </w:pPr>
    </w:p>
    <w:p>
      <w:pPr>
        <w:pStyle w:val="71"/>
        <w:ind w:firstLine="480"/>
      </w:pPr>
    </w:p>
    <w:p>
      <w:pPr>
        <w:pStyle w:val="3"/>
      </w:pPr>
    </w:p>
    <w:p/>
    <w:p>
      <w:pPr>
        <w:pStyle w:val="2"/>
      </w:pPr>
    </w:p>
    <w:p>
      <w:pPr>
        <w:pStyle w:val="3"/>
      </w:pPr>
    </w:p>
    <w:p/>
    <w:p>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71"/>
        <w:numPr>
          <w:ilvl w:val="0"/>
          <w:numId w:val="15"/>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.3按照磋商文件要求提交履约保证金；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.4在合同约定的期限内完成合同规定的全部义务。 </w:t>
      </w:r>
    </w:p>
    <w:p>
      <w:pPr>
        <w:numPr>
          <w:ilvl w:val="0"/>
          <w:numId w:val="15"/>
        </w:numPr>
        <w:adjustRightInd/>
        <w:spacing w:line="360" w:lineRule="auto"/>
        <w:rPr>
          <w:rFonts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ascii="仿宋" w:hAnsi="仿宋" w:eastAsia="仿宋" w:cs="仿宋"/>
          <w:kern w:val="0"/>
          <w:sz w:val="24"/>
          <w:lang w:val="zh-CN"/>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pStyle w:val="3"/>
        <w:rPr>
          <w:lang w:val="en-US"/>
        </w:rPr>
      </w:pPr>
    </w:p>
    <w:p/>
    <w:p/>
    <w:p/>
    <w:p/>
    <w:p/>
    <w:p>
      <w:pPr>
        <w:pStyle w:val="71"/>
        <w:ind w:firstLine="480"/>
      </w:pPr>
    </w:p>
    <w:p>
      <w:pPr>
        <w:pStyle w:val="71"/>
        <w:ind w:firstLine="480"/>
      </w:pPr>
    </w:p>
    <w:p>
      <w:pPr>
        <w:pStyle w:val="71"/>
        <w:ind w:firstLine="480"/>
      </w:pPr>
    </w:p>
    <w:p/>
    <w:p>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rPr>
          <w:rFonts w:ascii="仿宋" w:hAnsi="仿宋" w:eastAsia="仿宋" w:cs="仿宋"/>
          <w:kern w:val="0"/>
          <w:sz w:val="24"/>
          <w:lang w:val="zh-CN"/>
        </w:rPr>
      </w:pPr>
    </w:p>
    <w:p>
      <w:pPr>
        <w:autoSpaceDE w:val="0"/>
        <w:autoSpaceDN w:val="0"/>
        <w:spacing w:line="360" w:lineRule="auto"/>
        <w:ind w:firstLine="3534" w:firstLineChars="1100"/>
        <w:jc w:val="both"/>
        <w:rPr>
          <w:rFonts w:ascii="仿宋" w:hAnsi="仿宋" w:eastAsia="仿宋" w:cs="仿宋"/>
          <w:sz w:val="24"/>
        </w:rPr>
      </w:pPr>
      <w:r>
        <w:rPr>
          <w:rFonts w:hint="eastAsia" w:ascii="仿宋" w:hAnsi="仿宋" w:eastAsia="仿宋" w:cs="仿宋"/>
          <w:b/>
          <w:kern w:val="0"/>
          <w:sz w:val="32"/>
          <w:szCs w:val="32"/>
          <w:lang w:val="zh-CN"/>
        </w:rPr>
        <w:t>法人</w:t>
      </w:r>
      <w:r>
        <w:rPr>
          <w:rFonts w:hint="eastAsia" w:ascii="仿宋" w:hAnsi="仿宋" w:eastAsia="仿宋" w:cs="仿宋"/>
          <w:b/>
          <w:sz w:val="30"/>
          <w:szCs w:val="30"/>
        </w:rPr>
        <w:t>的身份证（复印件）</w:t>
      </w:r>
    </w:p>
    <w:p>
      <w:pPr>
        <w:pStyle w:val="618"/>
        <w:spacing w:line="360" w:lineRule="auto"/>
        <w:rPr>
          <w:rFonts w:ascii="仿宋" w:hAnsi="仿宋" w:eastAsia="仿宋" w:cs="仿宋"/>
          <w:bCs/>
          <w:sz w:val="24"/>
        </w:rPr>
      </w:pPr>
      <w:r>
        <w:rPr>
          <w:rFonts w:hint="eastAsia" w:ascii="仿宋" w:hAnsi="仿宋" w:eastAsia="仿宋" w:cs="仿宋"/>
          <w:bCs/>
          <w:sz w:val="24"/>
          <w:lang w:val="zh-CN"/>
        </w:rPr>
        <w:t>法人</w:t>
      </w: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spacing w:line="360" w:lineRule="auto"/>
              <w:rPr>
                <w:rFonts w:ascii="仿宋" w:hAnsi="仿宋" w:eastAsia="仿宋" w:cs="仿宋"/>
                <w:bCs/>
                <w:sz w:val="24"/>
              </w:rPr>
            </w:pPr>
            <w:r>
              <w:rPr>
                <w:rFonts w:hint="eastAsia" w:ascii="仿宋" w:hAnsi="仿宋" w:eastAsia="仿宋" w:cs="仿宋"/>
                <w:bCs/>
                <w:sz w:val="24"/>
              </w:rPr>
              <w:t>正面：                                 反面：</w:t>
            </w:r>
          </w:p>
          <w:p>
            <w:pPr>
              <w:pStyle w:val="618"/>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pacing w:line="360" w:lineRule="auto"/>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sz w:val="28"/>
          <w:szCs w:val="28"/>
        </w:rPr>
      </w:pPr>
    </w:p>
    <w:p>
      <w:pPr>
        <w:pStyle w:val="2"/>
        <w:rPr>
          <w:rFonts w:ascii="仿宋" w:hAnsi="仿宋" w:eastAsia="仿宋" w:cs="仿宋"/>
          <w:sz w:val="28"/>
          <w:szCs w:val="28"/>
        </w:rPr>
      </w:pPr>
    </w:p>
    <w:p>
      <w:pPr>
        <w:pStyle w:val="3"/>
      </w:pPr>
    </w:p>
    <w:p>
      <w:pPr>
        <w:widowControl/>
        <w:adjustRightInd/>
        <w:jc w:val="left"/>
        <w:rPr>
          <w:rFonts w:ascii="仿宋" w:hAnsi="仿宋" w:eastAsia="仿宋" w:cs="仿宋"/>
          <w:b/>
          <w:kern w:val="0"/>
          <w:sz w:val="32"/>
          <w:szCs w:val="32"/>
          <w:lang w:val="zh-CN"/>
        </w:rPr>
      </w:pPr>
    </w:p>
    <w:p>
      <w:pPr>
        <w:widowControl/>
        <w:adjustRightInd/>
        <w:ind w:firstLine="3012" w:firstLineChars="1000"/>
        <w:jc w:val="left"/>
        <w:rPr>
          <w:rFonts w:ascii="仿宋" w:hAnsi="仿宋" w:eastAsia="仿宋" w:cs="仿宋"/>
          <w:sz w:val="24"/>
        </w:rPr>
      </w:pPr>
      <w:r>
        <w:rPr>
          <w:rFonts w:hint="eastAsia" w:ascii="仿宋" w:hAnsi="仿宋" w:eastAsia="仿宋" w:cs="仿宋"/>
          <w:b/>
          <w:sz w:val="30"/>
          <w:szCs w:val="30"/>
        </w:rPr>
        <w:t>授权代表的身份证（复印件）</w:t>
      </w:r>
    </w:p>
    <w:p>
      <w:pPr>
        <w:pStyle w:val="618"/>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spacing w:line="360" w:lineRule="auto"/>
              <w:rPr>
                <w:rFonts w:ascii="仿宋" w:hAnsi="仿宋" w:eastAsia="仿宋" w:cs="仿宋"/>
                <w:bCs/>
                <w:sz w:val="24"/>
              </w:rPr>
            </w:pPr>
            <w:r>
              <w:rPr>
                <w:rFonts w:hint="eastAsia" w:ascii="仿宋" w:hAnsi="仿宋" w:eastAsia="仿宋" w:cs="仿宋"/>
                <w:bCs/>
                <w:sz w:val="24"/>
              </w:rPr>
              <w:t>正面：                                 反面：</w:t>
            </w:r>
          </w:p>
          <w:p>
            <w:pPr>
              <w:pStyle w:val="618"/>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ascii="仿宋" w:hAnsi="仿宋" w:eastAsia="仿宋" w:cs="仿宋"/>
          <w:sz w:val="28"/>
          <w:szCs w:val="28"/>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
    <w:p/>
    <w:p>
      <w:pPr>
        <w:numPr>
          <w:ilvl w:val="0"/>
          <w:numId w:val="0"/>
        </w:numPr>
        <w:snapToGrid w:val="0"/>
        <w:spacing w:line="360" w:lineRule="auto"/>
        <w:ind w:firstLine="2570" w:firstLineChars="800"/>
        <w:rPr>
          <w:rFonts w:ascii="仿宋" w:hAnsi="仿宋" w:eastAsia="仿宋" w:cs="仿宋"/>
          <w:b/>
          <w:kern w:val="0"/>
          <w:sz w:val="32"/>
          <w:szCs w:val="32"/>
        </w:rPr>
      </w:pP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lang w:val="en-US" w:eastAsia="zh-CN"/>
        </w:rPr>
        <w:t>4</w:t>
      </w:r>
      <w:r>
        <w:rPr>
          <w:rFonts w:hint="eastAsia" w:ascii="仿宋" w:hAnsi="仿宋" w:eastAsia="仿宋" w:cs="仿宋"/>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投标人保证：除商务技术偏离表列出的偏离外，投标人响应磋商文件的全部要求。不填写视同完全响应磋商文件要求。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rPr>
          <w:rFonts w:ascii="仿宋" w:hAnsi="仿宋" w:eastAsia="仿宋" w:cs="仿宋"/>
          <w:b/>
          <w:kern w:val="0"/>
          <w:sz w:val="32"/>
          <w:szCs w:val="32"/>
        </w:rPr>
      </w:pPr>
    </w:p>
    <w:p>
      <w:pPr>
        <w:pStyle w:val="3"/>
        <w:rPr>
          <w:rFonts w:ascii="仿宋" w:hAnsi="仿宋" w:eastAsia="仿宋" w:cs="仿宋"/>
          <w:b/>
          <w:kern w:val="0"/>
          <w:sz w:val="32"/>
          <w:szCs w:val="32"/>
          <w:lang w:val="en-US"/>
        </w:rPr>
      </w:pPr>
    </w:p>
    <w:p>
      <w:pPr>
        <w:rPr>
          <w:rFonts w:ascii="仿宋" w:hAnsi="仿宋" w:eastAsia="仿宋" w:cs="仿宋"/>
          <w:b/>
          <w:kern w:val="0"/>
          <w:sz w:val="32"/>
          <w:szCs w:val="32"/>
        </w:rPr>
      </w:pPr>
    </w:p>
    <w:p>
      <w:pPr>
        <w:pStyle w:val="3"/>
        <w:rPr>
          <w:rFonts w:ascii="仿宋" w:hAnsi="仿宋" w:eastAsia="仿宋" w:cs="仿宋"/>
          <w:b/>
          <w:kern w:val="0"/>
          <w:sz w:val="32"/>
          <w:szCs w:val="32"/>
          <w:lang w:val="en-US"/>
        </w:rPr>
      </w:pPr>
    </w:p>
    <w:p>
      <w:pPr>
        <w:rPr>
          <w:rFonts w:ascii="仿宋" w:hAnsi="仿宋" w:eastAsia="仿宋" w:cs="仿宋"/>
          <w:b/>
          <w:kern w:val="0"/>
          <w:sz w:val="32"/>
          <w:szCs w:val="32"/>
        </w:rPr>
      </w:pPr>
    </w:p>
    <w:p>
      <w:pPr>
        <w:pStyle w:val="3"/>
        <w:rPr>
          <w:rFonts w:ascii="仿宋" w:hAnsi="仿宋" w:eastAsia="仿宋" w:cs="仿宋"/>
          <w:b/>
          <w:kern w:val="0"/>
          <w:sz w:val="32"/>
          <w:szCs w:val="32"/>
          <w:lang w:val="en-US"/>
        </w:rPr>
      </w:pPr>
    </w:p>
    <w:p>
      <w:pPr>
        <w:rPr>
          <w:rFonts w:ascii="仿宋" w:hAnsi="仿宋" w:eastAsia="仿宋" w:cs="仿宋"/>
          <w:b/>
          <w:kern w:val="0"/>
          <w:sz w:val="32"/>
          <w:szCs w:val="32"/>
        </w:rPr>
      </w:pPr>
    </w:p>
    <w:p>
      <w:pPr>
        <w:pStyle w:val="71"/>
        <w:ind w:firstLine="643"/>
        <w:rPr>
          <w:rFonts w:ascii="仿宋" w:hAnsi="仿宋" w:eastAsia="仿宋" w:cs="仿宋"/>
          <w:b/>
          <w:kern w:val="0"/>
          <w:sz w:val="32"/>
          <w:szCs w:val="32"/>
        </w:rPr>
      </w:pPr>
    </w:p>
    <w:p>
      <w:pPr>
        <w:pStyle w:val="71"/>
        <w:ind w:firstLine="643"/>
        <w:rPr>
          <w:rFonts w:ascii="仿宋" w:hAnsi="仿宋" w:eastAsia="仿宋" w:cs="仿宋"/>
          <w:b/>
          <w:kern w:val="0"/>
          <w:sz w:val="32"/>
          <w:szCs w:val="32"/>
        </w:rPr>
      </w:pPr>
    </w:p>
    <w:p>
      <w:pPr>
        <w:pStyle w:val="3"/>
        <w:ind w:firstLine="0"/>
        <w:rPr>
          <w:rFonts w:ascii="仿宋" w:hAnsi="仿宋" w:eastAsia="仿宋" w:cs="仿宋"/>
          <w:b/>
          <w:kern w:val="0"/>
          <w:sz w:val="32"/>
          <w:szCs w:val="32"/>
          <w:lang w:val="en-US"/>
        </w:rPr>
      </w:pP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lang w:val="en-US" w:eastAsia="zh-CN"/>
        </w:rPr>
        <w:t>5</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pStyle w:val="71"/>
        <w:ind w:firstLine="480"/>
        <w:rPr>
          <w:rFonts w:ascii="仿宋" w:hAnsi="仿宋" w:eastAsia="仿宋" w:cs="仿宋"/>
          <w:kern w:val="0"/>
          <w:lang w:val="zh-CN"/>
        </w:rPr>
      </w:pPr>
    </w:p>
    <w:p>
      <w:pPr>
        <w:pStyle w:val="71"/>
        <w:ind w:firstLine="480"/>
        <w:rPr>
          <w:rFonts w:ascii="仿宋" w:hAnsi="仿宋" w:eastAsia="仿宋" w:cs="仿宋"/>
          <w:kern w:val="0"/>
          <w:lang w:val="zh-CN"/>
        </w:rPr>
      </w:pPr>
    </w:p>
    <w:p>
      <w:pPr>
        <w:pStyle w:val="71"/>
        <w:ind w:firstLine="480"/>
        <w:rPr>
          <w:rFonts w:ascii="仿宋" w:hAnsi="仿宋" w:eastAsia="仿宋" w:cs="仿宋"/>
          <w:kern w:val="0"/>
          <w:lang w:val="zh-CN"/>
        </w:rPr>
      </w:pPr>
    </w:p>
    <w:p>
      <w:pPr>
        <w:pStyle w:val="71"/>
        <w:ind w:firstLine="480"/>
        <w:rPr>
          <w:rFonts w:ascii="仿宋" w:hAnsi="仿宋" w:eastAsia="仿宋" w:cs="仿宋"/>
          <w:kern w:val="0"/>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numPr>
          <w:ilvl w:val="0"/>
          <w:numId w:val="16"/>
        </w:numPr>
        <w:spacing w:line="360" w:lineRule="auto"/>
        <w:rPr>
          <w:rFonts w:ascii="仿宋" w:hAnsi="仿宋" w:eastAsia="仿宋" w:cs="仿宋"/>
          <w:sz w:val="24"/>
        </w:rPr>
      </w:pPr>
      <w:r>
        <w:rPr>
          <w:rFonts w:hint="eastAsia" w:ascii="仿宋" w:hAnsi="仿宋" w:eastAsia="仿宋" w:cs="仿宋"/>
          <w:sz w:val="24"/>
        </w:rPr>
        <w:t>开标一览表（报价表）………………………………………………（页码）</w:t>
      </w:r>
    </w:p>
    <w:p>
      <w:pPr>
        <w:pStyle w:val="3"/>
        <w:ind w:firstLine="0"/>
        <w:rPr>
          <w:lang w:val="en-US"/>
        </w:rPr>
      </w:pPr>
    </w:p>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ind w:firstLine="480"/>
      </w:pPr>
    </w:p>
    <w:p>
      <w:pPr>
        <w:pStyle w:val="71"/>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60"/>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3198" w:type="dxa"/>
            <w:tcBorders>
              <w:tl2br w:val="nil"/>
              <w:tr2bl w:val="nil"/>
            </w:tcBorders>
            <w:vAlign w:val="center"/>
          </w:tcPr>
          <w:p>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5920" w:type="dxa"/>
            <w:tcBorders>
              <w:tl2br w:val="nil"/>
              <w:tr2bl w:val="nil"/>
            </w:tcBorders>
            <w:vAlign w:val="center"/>
          </w:tcPr>
          <w:p>
            <w:pPr>
              <w:spacing w:line="540" w:lineRule="exact"/>
              <w:jc w:val="center"/>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sz w:val="24"/>
              </w:rPr>
            </w:pPr>
            <w:r>
              <w:rPr>
                <w:rFonts w:hint="eastAsia" w:ascii="仿宋" w:hAnsi="仿宋" w:eastAsia="仿宋" w:cs="仿宋"/>
                <w:sz w:val="24"/>
                <w:lang w:val="en-US" w:eastAsia="zh-CN"/>
              </w:rPr>
              <w:t>单价</w:t>
            </w:r>
            <w:r>
              <w:rPr>
                <w:rFonts w:hint="eastAsia" w:ascii="仿宋" w:hAnsi="仿宋" w:eastAsia="仿宋" w:cs="仿宋"/>
                <w:sz w:val="24"/>
              </w:rPr>
              <w:t>（</w:t>
            </w:r>
            <w:r>
              <w:rPr>
                <w:rFonts w:hint="eastAsia" w:ascii="仿宋" w:hAnsi="仿宋" w:eastAsia="仿宋" w:cs="仿宋"/>
                <w:color w:val="000000"/>
                <w:kern w:val="0"/>
                <w:sz w:val="24"/>
                <w:szCs w:val="24"/>
                <w:lang w:val="en-US" w:eastAsia="zh-CN" w:bidi="ar-SA"/>
              </w:rPr>
              <w:t>元/人</w:t>
            </w:r>
            <w:r>
              <w:rPr>
                <w:rFonts w:hint="eastAsia" w:ascii="仿宋" w:hAnsi="仿宋" w:eastAsia="仿宋" w:cs="仿宋"/>
                <w:sz w:val="24"/>
              </w:rPr>
              <w:t>）</w:t>
            </w:r>
          </w:p>
        </w:tc>
        <w:tc>
          <w:tcPr>
            <w:tcW w:w="5920" w:type="dxa"/>
            <w:tcBorders>
              <w:tl2br w:val="nil"/>
              <w:tr2bl w:val="nil"/>
            </w:tcBorders>
            <w:vAlign w:val="center"/>
          </w:tcPr>
          <w:p>
            <w:pPr>
              <w:spacing w:line="540" w:lineRule="exact"/>
              <w:jc w:val="center"/>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投标总价(元)</w:t>
            </w:r>
          </w:p>
        </w:tc>
        <w:tc>
          <w:tcPr>
            <w:tcW w:w="5920" w:type="dxa"/>
            <w:tcBorders>
              <w:tl2br w:val="nil"/>
              <w:tr2bl w:val="nil"/>
            </w:tcBorders>
            <w:vAlign w:val="center"/>
          </w:tcPr>
          <w:p>
            <w:pPr>
              <w:spacing w:line="540" w:lineRule="exact"/>
              <w:jc w:val="center"/>
              <w:rPr>
                <w:rFonts w:ascii="仿宋" w:hAnsi="仿宋" w:eastAsia="仿宋" w:cs="仿宋"/>
                <w:sz w:val="24"/>
              </w:rPr>
            </w:pPr>
          </w:p>
        </w:tc>
      </w:tr>
    </w:tbl>
    <w:p>
      <w:pPr>
        <w:pStyle w:val="71"/>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p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ascii="仿宋" w:hAnsi="仿宋" w:eastAsia="仿宋" w:cs="仿宋"/>
          <w:b/>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最终结算价</w:t>
      </w:r>
      <w:r>
        <w:rPr>
          <w:rFonts w:hint="eastAsia" w:ascii="仿宋" w:hAnsi="仿宋" w:eastAsia="仿宋" w:cs="仿宋"/>
          <w:kern w:val="0"/>
          <w:sz w:val="24"/>
          <w:lang w:val="zh-CN" w:eastAsia="zh-CN"/>
        </w:rPr>
        <w:t>按成交单价*实际培训人数结算，总的结算款不得超总预算48万元。</w:t>
      </w:r>
    </w:p>
    <w:p>
      <w:pPr>
        <w:pStyle w:val="71"/>
        <w:ind w:firstLine="480"/>
        <w:rPr>
          <w:lang w:val="zh-CN"/>
        </w:rPr>
      </w:pPr>
    </w:p>
    <w:p>
      <w:pPr>
        <w:pStyle w:val="71"/>
        <w:ind w:firstLine="4080" w:firstLineChars="1700"/>
        <w:rPr>
          <w:rFonts w:ascii="仿宋" w:hAnsi="仿宋" w:eastAsia="仿宋" w:cs="仿宋"/>
          <w:kern w:val="0"/>
          <w:lang w:val="zh-CN"/>
        </w:rPr>
      </w:pPr>
    </w:p>
    <w:p>
      <w:pPr>
        <w:pStyle w:val="71"/>
        <w:ind w:firstLine="4080" w:firstLineChars="1700"/>
        <w:rPr>
          <w:rFonts w:ascii="仿宋" w:hAnsi="仿宋" w:eastAsia="仿宋" w:cs="仿宋"/>
          <w:kern w:val="0"/>
          <w:lang w:val="zh-CN"/>
        </w:rPr>
      </w:pPr>
    </w:p>
    <w:p>
      <w:pPr>
        <w:pStyle w:val="71"/>
        <w:ind w:firstLine="4080" w:firstLineChars="1700"/>
        <w:rPr>
          <w:rFonts w:ascii="仿宋" w:hAnsi="仿宋" w:eastAsia="仿宋" w:cs="仿宋"/>
          <w:kern w:val="0"/>
          <w:lang w:val="zh-CN"/>
        </w:rPr>
      </w:pPr>
      <w:r>
        <w:rPr>
          <w:rFonts w:hint="eastAsia" w:ascii="仿宋" w:hAnsi="仿宋" w:eastAsia="仿宋" w:cs="仿宋"/>
          <w:kern w:val="0"/>
          <w:lang w:val="zh-CN"/>
        </w:rPr>
        <w:t>供应商名称（电子签名）：</w:t>
      </w:r>
    </w:p>
    <w:p>
      <w:pPr>
        <w:pStyle w:val="71"/>
        <w:ind w:firstLine="4080" w:firstLineChars="1700"/>
        <w:rPr>
          <w:rFonts w:ascii="仿宋" w:hAnsi="仿宋" w:eastAsia="仿宋" w:cs="仿宋"/>
          <w:kern w:val="0"/>
          <w:lang w:val="zh-CN"/>
        </w:rPr>
      </w:pPr>
    </w:p>
    <w:p>
      <w:pPr>
        <w:pStyle w:val="71"/>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pPr>
        <w:widowControl/>
        <w:adjustRightInd/>
        <w:spacing w:line="240" w:lineRule="auto"/>
        <w:ind w:firstLine="0" w:firstLineChars="0"/>
        <w:jc w:val="center"/>
        <w:rPr>
          <w:lang w:val="en-US" w:eastAsia="zh-CN"/>
        </w:rPr>
      </w:pPr>
    </w:p>
    <w:p>
      <w:pPr>
        <w:pStyle w:val="71"/>
        <w:keepNext w:val="0"/>
        <w:keepLines w:val="0"/>
        <w:pageBreakBefore/>
        <w:widowControl/>
        <w:numPr>
          <w:ilvl w:val="255"/>
          <w:numId w:val="0"/>
        </w:numPr>
        <w:adjustRightInd/>
        <w:spacing w:before="100" w:beforeAutospacing="1" w:after="100" w:afterAutospacing="1" w:line="240" w:lineRule="auto"/>
        <w:ind w:left="0" w:firstLine="0" w:firstLineChars="0"/>
        <w:rPr>
          <w:rFonts w:hint="eastAsia" w:ascii="仿宋" w:hAnsi="仿宋" w:eastAsia="仿宋" w:cs="仿宋"/>
          <w:b/>
          <w:kern w:val="0"/>
          <w:sz w:val="32"/>
          <w:szCs w:val="32"/>
        </w:rPr>
      </w:pPr>
      <w:r>
        <w:rPr>
          <w:rFonts w:hint="default" w:ascii="仿宋" w:hAnsi="仿宋" w:eastAsia="仿宋" w:cs="仿宋"/>
          <w:b/>
          <w:kern w:val="0"/>
          <w:sz w:val="32"/>
          <w:szCs w:val="32"/>
        </w:rPr>
        <w:t>附件</w:t>
      </w:r>
    </w:p>
    <w:p>
      <w:pPr>
        <w:pStyle w:val="71"/>
        <w:numPr>
          <w:ilvl w:val="255"/>
          <w:numId w:val="0"/>
        </w:numPr>
        <w:spacing w:line="360" w:lineRule="auto"/>
        <w:ind w:firstLine="0" w:firstLineChars="0"/>
        <w:jc w:val="left"/>
        <w:rPr>
          <w:rFonts w:hint="eastAsia" w:ascii="仿宋" w:hAnsi="仿宋" w:eastAsia="仿宋" w:cs="仿宋"/>
          <w:b/>
          <w:spacing w:val="0"/>
          <w:kern w:val="0"/>
          <w:sz w:val="32"/>
          <w:szCs w:val="32"/>
        </w:rPr>
      </w:pPr>
      <w:r>
        <w:rPr>
          <w:rFonts w:hint="default" w:ascii="仿宋" w:hAnsi="仿宋" w:eastAsia="仿宋" w:cs="仿宋"/>
          <w:b/>
          <w:spacing w:val="0"/>
          <w:kern w:val="0"/>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pPr>
        <w:spacing w:line="360" w:lineRule="auto"/>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pPr>
        <w:spacing w:line="360" w:lineRule="auto"/>
        <w:jc w:val="left"/>
        <w:rPr>
          <w:rFonts w:ascii="仿宋" w:hAnsi="仿宋" w:eastAsia="仿宋" w:cs="仿宋"/>
          <w:b/>
          <w:sz w:val="24"/>
        </w:rPr>
      </w:pPr>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ascii="仿宋" w:hAnsi="仿宋" w:eastAsia="仿宋" w:cs="仿宋"/>
          <w:b/>
          <w:bCs/>
          <w:sz w:val="32"/>
          <w:szCs w:val="32"/>
        </w:rPr>
      </w:pP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0lbDuD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0lbDuD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GyKZpY6AgAAgAQAAA4AAAAAAAAAAQAgAAAAJwEAAGRy&#10;cy9lMm9Eb2MueG1sUEsFBgAAAAAGAAYAWQEAANM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ascii="仿宋" w:hAnsi="仿宋" w:eastAsia="仿宋" w:cs="仿宋"/>
          <w:b/>
          <w:sz w:val="32"/>
          <w:szCs w:val="32"/>
        </w:rPr>
      </w:pP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ascii="仿宋" w:hAnsi="仿宋" w:eastAsia="仿宋" w:cs="仿宋"/>
          <w:b/>
          <w:sz w:val="32"/>
          <w:szCs w:val="32"/>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p>
      <w:pPr>
        <w:pStyle w:val="71"/>
        <w:ind w:firstLine="4080" w:firstLineChars="1700"/>
        <w:rPr>
          <w:rFonts w:ascii="仿宋" w:hAnsi="仿宋" w:eastAsia="仿宋" w:cs="仿宋"/>
          <w:kern w:val="0"/>
        </w:rPr>
      </w:pP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78" w:name="_Toc131845147"/>
    <w:bookmarkStart w:id="79" w:name="_Toc91899912"/>
    <w:bookmarkStart w:id="80" w:name="_Toc164085800"/>
    <w:bookmarkStart w:id="81" w:name="_Toc36110187"/>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A244E"/>
    <w:multiLevelType w:val="singleLevel"/>
    <w:tmpl w:val="8D8A244E"/>
    <w:lvl w:ilvl="0" w:tentative="0">
      <w:start w:val="2"/>
      <w:numFmt w:val="chineseCounting"/>
      <w:suff w:val="nothing"/>
      <w:lvlText w:val="%1、"/>
      <w:lvlJc w:val="left"/>
      <w:rPr>
        <w:rFonts w:hint="eastAsia"/>
      </w:rPr>
    </w:lvl>
  </w:abstractNum>
  <w:abstractNum w:abstractNumId="1">
    <w:nsid w:val="92E48E4F"/>
    <w:multiLevelType w:val="singleLevel"/>
    <w:tmpl w:val="92E48E4F"/>
    <w:lvl w:ilvl="0" w:tentative="0">
      <w:start w:val="1"/>
      <w:numFmt w:val="decimal"/>
      <w:suff w:val="nothing"/>
      <w:lvlText w:val="（%1）"/>
      <w:lvlJc w:val="left"/>
    </w:lvl>
  </w:abstractNum>
  <w:abstractNum w:abstractNumId="2">
    <w:nsid w:val="A3BB790F"/>
    <w:multiLevelType w:val="singleLevel"/>
    <w:tmpl w:val="A3BB790F"/>
    <w:lvl w:ilvl="0" w:tentative="0">
      <w:start w:val="1"/>
      <w:numFmt w:val="decimal"/>
      <w:suff w:val="nothing"/>
      <w:lvlText w:val="（%1）"/>
      <w:lvlJc w:val="left"/>
    </w:lvl>
  </w:abstractNum>
  <w:abstractNum w:abstractNumId="3">
    <w:nsid w:val="CD116FD4"/>
    <w:multiLevelType w:val="singleLevel"/>
    <w:tmpl w:val="CD116FD4"/>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54AA631"/>
    <w:multiLevelType w:val="singleLevel"/>
    <w:tmpl w:val="054AA631"/>
    <w:lvl w:ilvl="0" w:tentative="0">
      <w:start w:val="1"/>
      <w:numFmt w:val="decimal"/>
      <w:suff w:val="nothing"/>
      <w:lvlText w:val="%1、"/>
      <w:lvlJc w:val="left"/>
    </w:lvl>
  </w:abstractNum>
  <w:abstractNum w:abstractNumId="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47D3400"/>
    <w:multiLevelType w:val="singleLevel"/>
    <w:tmpl w:val="647D3400"/>
    <w:lvl w:ilvl="0" w:tentative="0">
      <w:start w:val="1"/>
      <w:numFmt w:val="decimal"/>
      <w:suff w:val="nothing"/>
      <w:lvlText w:val="（%1）"/>
      <w:lvlJc w:val="left"/>
    </w:lvl>
  </w:abstractNum>
  <w:abstractNum w:abstractNumId="14">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6"/>
  </w:num>
  <w:num w:numId="3">
    <w:abstractNumId w:val="4"/>
  </w:num>
  <w:num w:numId="4">
    <w:abstractNumId w:val="5"/>
  </w:num>
  <w:num w:numId="5">
    <w:abstractNumId w:val="11"/>
  </w:num>
  <w:num w:numId="6">
    <w:abstractNumId w:val="14"/>
  </w:num>
  <w:num w:numId="7">
    <w:abstractNumId w:val="15"/>
  </w:num>
  <w:num w:numId="8">
    <w:abstractNumId w:val="1"/>
  </w:num>
  <w:num w:numId="9">
    <w:abstractNumId w:val="3"/>
  </w:num>
  <w:num w:numId="10">
    <w:abstractNumId w:val="7"/>
  </w:num>
  <w:num w:numId="11">
    <w:abstractNumId w:val="0"/>
  </w:num>
  <w:num w:numId="12">
    <w:abstractNumId w:val="9"/>
  </w:num>
  <w:num w:numId="13">
    <w:abstractNumId w:val="12"/>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B77F94"/>
    <w:rsid w:val="02DA0C0E"/>
    <w:rsid w:val="03DD35E4"/>
    <w:rsid w:val="05165077"/>
    <w:rsid w:val="065A6178"/>
    <w:rsid w:val="075562B7"/>
    <w:rsid w:val="079A699B"/>
    <w:rsid w:val="07F6164B"/>
    <w:rsid w:val="087A1B7A"/>
    <w:rsid w:val="08E74E25"/>
    <w:rsid w:val="08F24482"/>
    <w:rsid w:val="096B2097"/>
    <w:rsid w:val="0A5B7E63"/>
    <w:rsid w:val="0C87121B"/>
    <w:rsid w:val="0DF702FE"/>
    <w:rsid w:val="0E3F698B"/>
    <w:rsid w:val="0E926382"/>
    <w:rsid w:val="0F21508F"/>
    <w:rsid w:val="0F816ACD"/>
    <w:rsid w:val="0FB94501"/>
    <w:rsid w:val="10B047CF"/>
    <w:rsid w:val="10FC16EA"/>
    <w:rsid w:val="118963A1"/>
    <w:rsid w:val="127723A9"/>
    <w:rsid w:val="13072A44"/>
    <w:rsid w:val="13222073"/>
    <w:rsid w:val="133219C0"/>
    <w:rsid w:val="145044FA"/>
    <w:rsid w:val="14FC1AFD"/>
    <w:rsid w:val="16EF2014"/>
    <w:rsid w:val="17B620C0"/>
    <w:rsid w:val="17E63B1E"/>
    <w:rsid w:val="186742B0"/>
    <w:rsid w:val="197A599A"/>
    <w:rsid w:val="19C06489"/>
    <w:rsid w:val="1A5A1FD9"/>
    <w:rsid w:val="1A641C77"/>
    <w:rsid w:val="1B2A271F"/>
    <w:rsid w:val="1B890139"/>
    <w:rsid w:val="1CFC6ABD"/>
    <w:rsid w:val="1D07049F"/>
    <w:rsid w:val="1D266CE1"/>
    <w:rsid w:val="1D3963AF"/>
    <w:rsid w:val="1E714A66"/>
    <w:rsid w:val="1ECC4CEB"/>
    <w:rsid w:val="1F580919"/>
    <w:rsid w:val="1F7B6A8C"/>
    <w:rsid w:val="1FE868A9"/>
    <w:rsid w:val="208A34AF"/>
    <w:rsid w:val="211E26D6"/>
    <w:rsid w:val="21283D08"/>
    <w:rsid w:val="24CA15C7"/>
    <w:rsid w:val="25B440B3"/>
    <w:rsid w:val="2AA07D81"/>
    <w:rsid w:val="2AA1365A"/>
    <w:rsid w:val="2DD15014"/>
    <w:rsid w:val="2EFE0413"/>
    <w:rsid w:val="2FD25781"/>
    <w:rsid w:val="31491E1C"/>
    <w:rsid w:val="319C6071"/>
    <w:rsid w:val="327A1248"/>
    <w:rsid w:val="32DB72BE"/>
    <w:rsid w:val="33195738"/>
    <w:rsid w:val="342E63AB"/>
    <w:rsid w:val="34536CFA"/>
    <w:rsid w:val="345D260B"/>
    <w:rsid w:val="35C63DF9"/>
    <w:rsid w:val="365302AE"/>
    <w:rsid w:val="36D05CA3"/>
    <w:rsid w:val="37F142D2"/>
    <w:rsid w:val="39A13F14"/>
    <w:rsid w:val="3A0379ED"/>
    <w:rsid w:val="3A4F2913"/>
    <w:rsid w:val="3C514628"/>
    <w:rsid w:val="3C5F759A"/>
    <w:rsid w:val="3CCF5D67"/>
    <w:rsid w:val="3CF52058"/>
    <w:rsid w:val="3D5C78D4"/>
    <w:rsid w:val="3DB47341"/>
    <w:rsid w:val="3FFF72A6"/>
    <w:rsid w:val="42E1381E"/>
    <w:rsid w:val="437827C3"/>
    <w:rsid w:val="43FB717C"/>
    <w:rsid w:val="44CC7E02"/>
    <w:rsid w:val="451E447A"/>
    <w:rsid w:val="45345B76"/>
    <w:rsid w:val="465D28D3"/>
    <w:rsid w:val="46A911D9"/>
    <w:rsid w:val="47307808"/>
    <w:rsid w:val="4841222E"/>
    <w:rsid w:val="486F747C"/>
    <w:rsid w:val="495F59D2"/>
    <w:rsid w:val="4A3E2263"/>
    <w:rsid w:val="4B6D7BE2"/>
    <w:rsid w:val="4C8A7AFA"/>
    <w:rsid w:val="4C95449C"/>
    <w:rsid w:val="4CB103CD"/>
    <w:rsid w:val="4D512ED6"/>
    <w:rsid w:val="4D861CF6"/>
    <w:rsid w:val="4E0A676A"/>
    <w:rsid w:val="4EFF005A"/>
    <w:rsid w:val="4F0B5841"/>
    <w:rsid w:val="4FA31645"/>
    <w:rsid w:val="51A0432A"/>
    <w:rsid w:val="51A86DD8"/>
    <w:rsid w:val="527140E5"/>
    <w:rsid w:val="5292508F"/>
    <w:rsid w:val="52A96B6F"/>
    <w:rsid w:val="541D735B"/>
    <w:rsid w:val="543740A4"/>
    <w:rsid w:val="550764A4"/>
    <w:rsid w:val="551926E0"/>
    <w:rsid w:val="561279B9"/>
    <w:rsid w:val="56515F3B"/>
    <w:rsid w:val="572B71CA"/>
    <w:rsid w:val="57E958DA"/>
    <w:rsid w:val="5887626D"/>
    <w:rsid w:val="58AE4F0C"/>
    <w:rsid w:val="5A2A7C7B"/>
    <w:rsid w:val="5B1C38DA"/>
    <w:rsid w:val="5B9F0AB7"/>
    <w:rsid w:val="5C141922"/>
    <w:rsid w:val="5C80234E"/>
    <w:rsid w:val="5E0B5B8E"/>
    <w:rsid w:val="5E261785"/>
    <w:rsid w:val="5E543324"/>
    <w:rsid w:val="5F536514"/>
    <w:rsid w:val="5FCC5339"/>
    <w:rsid w:val="5FE70807"/>
    <w:rsid w:val="60E53485"/>
    <w:rsid w:val="61054A27"/>
    <w:rsid w:val="611D2366"/>
    <w:rsid w:val="62885958"/>
    <w:rsid w:val="62F277E6"/>
    <w:rsid w:val="63F501F8"/>
    <w:rsid w:val="64CE2EAA"/>
    <w:rsid w:val="662E75B1"/>
    <w:rsid w:val="66342C2E"/>
    <w:rsid w:val="663E784C"/>
    <w:rsid w:val="66CE24CF"/>
    <w:rsid w:val="67196227"/>
    <w:rsid w:val="685867EC"/>
    <w:rsid w:val="68D544E5"/>
    <w:rsid w:val="69FA3BC2"/>
    <w:rsid w:val="6B6523F0"/>
    <w:rsid w:val="6C477482"/>
    <w:rsid w:val="6DCE7B9A"/>
    <w:rsid w:val="6E517988"/>
    <w:rsid w:val="6E8E12EF"/>
    <w:rsid w:val="6F285BE4"/>
    <w:rsid w:val="71D43752"/>
    <w:rsid w:val="72632FC3"/>
    <w:rsid w:val="73DD6243"/>
    <w:rsid w:val="73F74EC0"/>
    <w:rsid w:val="749C4185"/>
    <w:rsid w:val="75DA2C18"/>
    <w:rsid w:val="765D14A6"/>
    <w:rsid w:val="76660D20"/>
    <w:rsid w:val="77057BFA"/>
    <w:rsid w:val="775319EF"/>
    <w:rsid w:val="790F1C77"/>
    <w:rsid w:val="7937200F"/>
    <w:rsid w:val="795B1ADE"/>
    <w:rsid w:val="79E7270F"/>
    <w:rsid w:val="7A67303B"/>
    <w:rsid w:val="7AAB1D04"/>
    <w:rsid w:val="7ABA4368"/>
    <w:rsid w:val="7B257FFD"/>
    <w:rsid w:val="7BD811F3"/>
    <w:rsid w:val="7C2B1DA5"/>
    <w:rsid w:val="7CF404F4"/>
    <w:rsid w:val="7DF4317E"/>
    <w:rsid w:val="7E64308B"/>
    <w:rsid w:val="7E78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0"/>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3"/>
    <w:autoRedefine/>
    <w:qFormat/>
    <w:uiPriority w:val="0"/>
    <w:pPr>
      <w:ind w:firstLine="420"/>
    </w:pPr>
    <w:rPr>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2"/>
    <w:autoRedefine/>
    <w:qFormat/>
    <w:uiPriority w:val="99"/>
    <w:pPr>
      <w:jc w:val="left"/>
    </w:pPr>
  </w:style>
  <w:style w:type="paragraph" w:styleId="22">
    <w:name w:val="Salutation"/>
    <w:basedOn w:val="1"/>
    <w:next w:val="1"/>
    <w:link w:val="480"/>
    <w:autoRedefine/>
    <w:qFormat/>
    <w:uiPriority w:val="0"/>
    <w:rPr>
      <w:rFonts w:ascii="仿宋_GB2312" w:eastAsia="仿宋_GB2312"/>
      <w:sz w:val="28"/>
      <w:szCs w:val="20"/>
    </w:rPr>
  </w:style>
  <w:style w:type="paragraph" w:styleId="23">
    <w:name w:val="Body Text 3"/>
    <w:basedOn w:val="1"/>
    <w:link w:val="579"/>
    <w:autoRedefine/>
    <w:qFormat/>
    <w:uiPriority w:val="0"/>
    <w:pPr>
      <w:jc w:val="center"/>
    </w:pPr>
    <w:rPr>
      <w:szCs w:val="20"/>
    </w:rPr>
  </w:style>
  <w:style w:type="paragraph" w:styleId="24">
    <w:name w:val="Body Text Indent"/>
    <w:basedOn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87"/>
    <w:autoRedefine/>
    <w:qFormat/>
    <w:uiPriority w:val="0"/>
    <w:rPr>
      <w:rFonts w:ascii="宋体" w:hAnsi="Courier New"/>
      <w:szCs w:val="20"/>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2"/>
    <w:basedOn w:val="24"/>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7"/>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7"/>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9"/>
    <w:next w:val="99"/>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6"/>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32"/>
    <w:next w:val="2"/>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1"/>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10"/>
    <w:autoRedefine/>
    <w:qFormat/>
    <w:uiPriority w:val="0"/>
    <w:rPr>
      <w:b/>
      <w:bCs/>
      <w:kern w:val="2"/>
      <w:sz w:val="24"/>
      <w:szCs w:val="24"/>
    </w:rPr>
  </w:style>
  <w:style w:type="character" w:customStyle="1" w:styleId="480">
    <w:name w:val="称呼 字符"/>
    <w:link w:val="22"/>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6"/>
    <w:autoRedefine/>
    <w:qFormat/>
    <w:uiPriority w:val="0"/>
    <w:rPr>
      <w:rFonts w:ascii="Arial" w:hAnsi="Arial" w:eastAsia="隶书"/>
      <w:b/>
      <w:bCs/>
      <w:kern w:val="28"/>
      <w:sz w:val="44"/>
      <w:szCs w:val="32"/>
      <w:lang w:val="en-US" w:eastAsia="zh-CN" w:bidi="ar-SA"/>
    </w:rPr>
  </w:style>
  <w:style w:type="character" w:customStyle="1" w:styleId="487">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字符"/>
    <w:link w:val="59"/>
    <w:autoRedefine/>
    <w:qFormat/>
    <w:uiPriority w:val="0"/>
    <w:rPr>
      <w:rFonts w:ascii="宋体" w:hAnsi="宋体"/>
      <w:kern w:val="2"/>
      <w:sz w:val="21"/>
      <w:szCs w:val="24"/>
    </w:rPr>
  </w:style>
  <w:style w:type="character" w:customStyle="1" w:styleId="501">
    <w:name w:val="正文文本缩进 2 字符"/>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字符"/>
    <w:link w:val="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4"/>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8"/>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3"/>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6"/>
    <w:autoRedefine/>
    <w:qFormat/>
    <w:uiPriority w:val="0"/>
    <w:rPr>
      <w:rFonts w:ascii="宋体"/>
      <w:kern w:val="2"/>
      <w:sz w:val="24"/>
      <w:szCs w:val="21"/>
      <w:lang w:val="zh-CN"/>
    </w:rPr>
  </w:style>
  <w:style w:type="character" w:customStyle="1" w:styleId="597">
    <w:name w:val="标题 4 字符"/>
    <w:link w:val="7"/>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9"/>
    <w:autoRedefine/>
    <w:qFormat/>
    <w:uiPriority w:val="0"/>
    <w:rPr>
      <w:rFonts w:ascii="Arial" w:hAnsi="Arial" w:eastAsia="黑体"/>
      <w:b/>
      <w:bCs/>
      <w:kern w:val="2"/>
      <w:sz w:val="24"/>
      <w:szCs w:val="24"/>
    </w:rPr>
  </w:style>
  <w:style w:type="character" w:customStyle="1" w:styleId="611">
    <w:name w:val="正文缩进 字符"/>
    <w:link w:val="17"/>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21"/>
    <w:autoRedefine/>
    <w:qFormat/>
    <w:uiPriority w:val="99"/>
    <w:rPr>
      <w:kern w:val="2"/>
      <w:sz w:val="21"/>
      <w:szCs w:val="24"/>
    </w:rPr>
  </w:style>
  <w:style w:type="character" w:customStyle="1" w:styleId="613">
    <w:name w:val="批注框文本 字符"/>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91"/>
    <w:basedOn w:val="6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41120</Words>
  <Characters>42555</Characters>
  <Lines>321</Lines>
  <Paragraphs>90</Paragraphs>
  <TotalTime>1</TotalTime>
  <ScaleCrop>false</ScaleCrop>
  <LinksUpToDate>false</LinksUpToDate>
  <CharactersWithSpaces>46167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WPS_1675923088</cp:lastModifiedBy>
  <cp:lastPrinted>2021-10-22T18:37:00Z</cp:lastPrinted>
  <dcterms:modified xsi:type="dcterms:W3CDTF">2024-05-07T07:09:38Z</dcterms:modified>
  <dc:title>杭州市市民卡扩大发卡工程</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D1AD6BE9DD8C4E74B1422D179BEB696F</vt:lpwstr>
  </property>
</Properties>
</file>