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rPr>
          <w:rFonts w:ascii="仿宋" w:hAnsi="仿宋" w:eastAsia="仿宋" w:cs="仿宋"/>
          <w:b/>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2024年城市书房和智慧借阅点建设项目</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编号：浙房咨2024【CG-004】</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pStyle w:val="79"/>
        <w:ind w:firstLine="480"/>
        <w:rPr>
          <w:rFonts w:ascii="仿宋" w:hAnsi="仿宋" w:eastAsia="仿宋" w:cs="仿宋"/>
          <w:sz w:val="24"/>
        </w:rPr>
      </w:pPr>
    </w:p>
    <w:p>
      <w:pPr>
        <w:pStyle w:val="79"/>
        <w:ind w:firstLine="480"/>
        <w:rPr>
          <w:rFonts w:ascii="仿宋" w:hAnsi="仿宋" w:eastAsia="仿宋" w:cs="仿宋"/>
          <w:sz w:val="24"/>
        </w:rPr>
      </w:pPr>
    </w:p>
    <w:p>
      <w:pPr>
        <w:spacing w:line="360" w:lineRule="auto"/>
        <w:jc w:val="center"/>
        <w:rPr>
          <w:rFonts w:ascii="仿宋" w:hAnsi="仿宋" w:eastAsia="仿宋" w:cs="仿宋"/>
          <w:sz w:val="24"/>
        </w:rPr>
      </w:pPr>
    </w:p>
    <w:p>
      <w:pPr>
        <w:pStyle w:val="79"/>
        <w:ind w:firstLine="0" w:firstLineChars="0"/>
        <w:rPr>
          <w:rFonts w:ascii="仿宋" w:hAnsi="仿宋" w:eastAsia="仿宋" w:cs="仿宋"/>
          <w:sz w:val="24"/>
        </w:rPr>
      </w:pPr>
    </w:p>
    <w:p>
      <w:pPr>
        <w:spacing w:line="360" w:lineRule="auto"/>
        <w:rPr>
          <w:rFonts w:ascii="仿宋" w:hAnsi="仿宋" w:eastAsia="仿宋" w:cs="仿宋"/>
          <w:sz w:val="32"/>
          <w:szCs w:val="32"/>
        </w:rPr>
      </w:pPr>
    </w:p>
    <w:p>
      <w:pPr>
        <w:snapToGrid w:val="0"/>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采购人：杭州高新技术产业开发区(滨江)文化和广电旅游体育局</w:t>
      </w:r>
    </w:p>
    <w:p>
      <w:pPr>
        <w:spacing w:line="480" w:lineRule="auto"/>
        <w:ind w:firstLine="640" w:firstLineChars="200"/>
        <w:rPr>
          <w:rFonts w:ascii="仿宋" w:hAnsi="仿宋" w:eastAsia="仿宋" w:cs="仿宋"/>
          <w:bCs/>
          <w:sz w:val="32"/>
          <w:szCs w:val="32"/>
        </w:rPr>
      </w:pPr>
      <w:r>
        <w:rPr>
          <w:rFonts w:hint="eastAsia" w:ascii="仿宋" w:hAnsi="仿宋" w:eastAsia="仿宋" w:cs="仿宋"/>
          <w:bCs/>
          <w:sz w:val="32"/>
          <w:szCs w:val="32"/>
        </w:rPr>
        <w:t>采购代理机构：浙江省房地产管理咨询有限公司</w:t>
      </w:r>
    </w:p>
    <w:p>
      <w:pPr>
        <w:snapToGrid w:val="0"/>
        <w:spacing w:line="480" w:lineRule="auto"/>
        <w:jc w:val="center"/>
        <w:rPr>
          <w:rFonts w:ascii="仿宋" w:hAnsi="仿宋" w:eastAsia="仿宋" w:cs="仿宋"/>
          <w:bCs/>
          <w:sz w:val="32"/>
          <w:szCs w:val="32"/>
        </w:rPr>
      </w:pPr>
      <w:r>
        <w:rPr>
          <w:rFonts w:hint="eastAsia" w:ascii="仿宋" w:hAnsi="仿宋" w:eastAsia="仿宋" w:cs="仿宋"/>
          <w:bCs/>
          <w:sz w:val="32"/>
          <w:szCs w:val="32"/>
        </w:rPr>
        <w:t>二〇二四年</w:t>
      </w:r>
      <w:r>
        <w:rPr>
          <w:rFonts w:hint="eastAsia" w:ascii="仿宋" w:hAnsi="仿宋" w:eastAsia="仿宋" w:cs="仿宋"/>
          <w:bCs/>
          <w:sz w:val="32"/>
          <w:szCs w:val="32"/>
          <w:lang w:val="en-US" w:eastAsia="zh-CN"/>
        </w:rPr>
        <w:t>五</w:t>
      </w:r>
      <w:bookmarkStart w:id="559" w:name="_GoBack"/>
      <w:bookmarkEnd w:id="559"/>
      <w:r>
        <w:rPr>
          <w:rFonts w:hint="eastAsia" w:ascii="仿宋" w:hAnsi="仿宋" w:eastAsia="仿宋" w:cs="仿宋"/>
          <w:bCs/>
          <w:sz w:val="32"/>
          <w:szCs w:val="32"/>
        </w:rPr>
        <w:t>月</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jc w:val="center"/>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tbl>
      <w:tblPr>
        <w:tblStyle w:val="63"/>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9955" w:type="dxa"/>
          </w:tcPr>
          <w:p>
            <w:pPr>
              <w:wordWrap w:val="0"/>
              <w:topLinePunct/>
              <w:adjustRightInd/>
              <w:spacing w:line="360" w:lineRule="auto"/>
              <w:rPr>
                <w:rFonts w:ascii="仿宋" w:hAnsi="仿宋" w:eastAsia="仿宋" w:cs="仿宋"/>
                <w:bCs/>
                <w:sz w:val="24"/>
              </w:rPr>
            </w:pPr>
            <w:r>
              <w:rPr>
                <w:rFonts w:hint="eastAsia" w:ascii="仿宋" w:hAnsi="仿宋" w:eastAsia="仿宋" w:cs="仿宋"/>
                <w:bCs/>
                <w:sz w:val="24"/>
              </w:rPr>
              <w:t>项目概况</w:t>
            </w:r>
          </w:p>
          <w:p>
            <w:pPr>
              <w:wordWrap w:val="0"/>
              <w:topLinePunct/>
              <w:adjustRightInd/>
              <w:spacing w:line="360" w:lineRule="auto"/>
              <w:ind w:firstLine="480" w:firstLineChars="200"/>
              <w:rPr>
                <w:rFonts w:ascii="仿宋" w:hAnsi="仿宋" w:eastAsia="仿宋" w:cs="仿宋"/>
                <w:b/>
                <w:sz w:val="24"/>
              </w:rPr>
            </w:pPr>
            <w:r>
              <w:rPr>
                <w:rFonts w:hint="eastAsia" w:ascii="仿宋" w:hAnsi="仿宋" w:eastAsia="仿宋" w:cs="仿宋"/>
                <w:bCs/>
                <w:sz w:val="24"/>
              </w:rPr>
              <w:t>2024年城市书房和智慧借阅点建设项目招标项目的潜在投标人应在政采云平台（https://www.zcygov.cn/）获取（下载）招标文件，并于202</w:t>
            </w:r>
            <w:r>
              <w:rPr>
                <w:rFonts w:hint="eastAsia" w:ascii="仿宋" w:hAnsi="仿宋" w:eastAsia="仿宋" w:cs="仿宋"/>
                <w:bCs/>
                <w:sz w:val="24"/>
                <w:lang w:val="en-US" w:eastAsia="zh-CN"/>
              </w:rPr>
              <w:t>4</w:t>
            </w:r>
            <w:r>
              <w:rPr>
                <w:rFonts w:hint="eastAsia" w:ascii="仿宋" w:hAnsi="仿宋" w:eastAsia="仿宋" w:cs="仿宋"/>
                <w:bCs/>
                <w:sz w:val="24"/>
              </w:rPr>
              <w:t>年</w:t>
            </w:r>
            <w:r>
              <w:rPr>
                <w:rFonts w:hint="eastAsia" w:ascii="仿宋" w:hAnsi="仿宋" w:eastAsia="仿宋" w:cs="仿宋"/>
                <w:bCs/>
                <w:sz w:val="24"/>
                <w:lang w:val="en-US" w:eastAsia="zh-CN"/>
              </w:rPr>
              <w:t>5</w:t>
            </w:r>
            <w:r>
              <w:rPr>
                <w:rFonts w:hint="eastAsia" w:ascii="仿宋" w:hAnsi="仿宋" w:eastAsia="仿宋" w:cs="仿宋"/>
                <w:bCs/>
                <w:sz w:val="24"/>
              </w:rPr>
              <w:t>月</w:t>
            </w:r>
            <w:r>
              <w:rPr>
                <w:rFonts w:hint="eastAsia" w:ascii="仿宋" w:hAnsi="仿宋" w:eastAsia="仿宋" w:cs="仿宋"/>
                <w:bCs/>
                <w:sz w:val="24"/>
                <w:lang w:val="en-US" w:eastAsia="zh-CN"/>
              </w:rPr>
              <w:t>29</w:t>
            </w:r>
            <w:r>
              <w:rPr>
                <w:rFonts w:hint="eastAsia" w:ascii="仿宋" w:hAnsi="仿宋" w:eastAsia="仿宋" w:cs="仿宋"/>
                <w:bCs/>
                <w:sz w:val="24"/>
              </w:rPr>
              <w:t>日</w:t>
            </w:r>
            <w:r>
              <w:rPr>
                <w:rFonts w:hint="eastAsia" w:ascii="仿宋" w:hAnsi="仿宋" w:eastAsia="仿宋" w:cs="仿宋"/>
                <w:bCs/>
                <w:sz w:val="24"/>
                <w:lang w:val="en-US" w:eastAsia="zh-CN"/>
              </w:rPr>
              <w:t>14</w:t>
            </w:r>
            <w:r>
              <w:rPr>
                <w:rFonts w:hint="eastAsia" w:ascii="仿宋" w:hAnsi="仿宋" w:eastAsia="仿宋" w:cs="仿宋"/>
                <w:bCs/>
                <w:sz w:val="24"/>
              </w:rPr>
              <w:t>点</w:t>
            </w:r>
            <w:r>
              <w:rPr>
                <w:rFonts w:hint="eastAsia" w:ascii="仿宋" w:hAnsi="仿宋" w:eastAsia="仿宋" w:cs="仿宋"/>
                <w:bCs/>
                <w:sz w:val="24"/>
                <w:lang w:val="en-US" w:eastAsia="zh-CN"/>
              </w:rPr>
              <w:t>00</w:t>
            </w:r>
            <w:r>
              <w:rPr>
                <w:rFonts w:hint="eastAsia" w:ascii="仿宋" w:hAnsi="仿宋" w:eastAsia="仿宋" w:cs="仿宋"/>
                <w:bCs/>
                <w:sz w:val="24"/>
              </w:rPr>
              <w:t>分00秒（北京时间）前递交（上传）投标文件。</w:t>
            </w:r>
          </w:p>
        </w:tc>
      </w:tr>
    </w:tbl>
    <w:p>
      <w:pPr>
        <w:wordWrap w:val="0"/>
        <w:topLinePunct/>
        <w:adjustRightInd/>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wordWrap w:val="0"/>
        <w:topLinePunct/>
        <w:adjustRightInd/>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项目编号：</w:t>
      </w:r>
      <w:r>
        <w:rPr>
          <w:rFonts w:hint="eastAsia" w:ascii="仿宋" w:hAnsi="仿宋" w:eastAsia="仿宋" w:cs="仿宋"/>
          <w:color w:val="000000" w:themeColor="text1"/>
          <w:sz w:val="24"/>
          <w14:textFill>
            <w14:solidFill>
              <w14:schemeClr w14:val="tx1"/>
            </w14:solidFill>
          </w14:textFill>
        </w:rPr>
        <w:t>浙房咨2024【CG-004】</w:t>
      </w:r>
    </w:p>
    <w:p>
      <w:pPr>
        <w:wordWrap w:val="0"/>
        <w:topLinePunct/>
        <w:adjustRightInd/>
        <w:spacing w:line="360" w:lineRule="auto"/>
        <w:ind w:firstLine="482" w:firstLineChars="200"/>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2024年城市书房和智慧借阅点建设项目</w:t>
      </w:r>
    </w:p>
    <w:p>
      <w:pPr>
        <w:wordWrap w:val="0"/>
        <w:topLinePunct/>
        <w:adjustRightInd/>
        <w:spacing w:line="360" w:lineRule="auto"/>
        <w:ind w:firstLine="482" w:firstLineChars="200"/>
        <w:rPr>
          <w:rFonts w:ascii="仿宋" w:hAnsi="仿宋" w:eastAsia="仿宋" w:cs="仿宋"/>
          <w:bCs/>
          <w:sz w:val="24"/>
        </w:rPr>
      </w:pPr>
      <w:r>
        <w:rPr>
          <w:rFonts w:hint="eastAsia" w:ascii="仿宋" w:hAnsi="仿宋" w:eastAsia="仿宋" w:cs="仿宋"/>
          <w:b/>
          <w:sz w:val="24"/>
        </w:rPr>
        <w:t>预算金额（元）：</w:t>
      </w:r>
      <w:r>
        <w:rPr>
          <w:rFonts w:hint="eastAsia" w:ascii="仿宋" w:hAnsi="仿宋" w:eastAsia="仿宋" w:cs="仿宋"/>
          <w:bCs/>
          <w:sz w:val="24"/>
        </w:rPr>
        <w:t xml:space="preserve">2000000 </w:t>
      </w:r>
    </w:p>
    <w:p>
      <w:pPr>
        <w:wordWrap w:val="0"/>
        <w:topLinePunct/>
        <w:adjustRightInd/>
        <w:spacing w:line="360" w:lineRule="auto"/>
        <w:ind w:firstLine="482" w:firstLineChars="200"/>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sz w:val="24"/>
        </w:rPr>
        <w:t>2000000</w:t>
      </w:r>
    </w:p>
    <w:p>
      <w:pPr>
        <w:pStyle w:val="16"/>
        <w:widowControl w:val="0"/>
        <w:wordWrap w:val="0"/>
        <w:topLinePunct/>
        <w:adjustRightInd/>
        <w:snapToGrid/>
        <w:spacing w:line="360" w:lineRule="auto"/>
        <w:ind w:firstLine="482" w:firstLineChars="20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2024年城市书房和智慧借阅点建设项目。主要内容：2024年城市书房和智慧借阅点建设。</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pPr>
        <w:pStyle w:val="130"/>
        <w:wordWrap w:val="0"/>
        <w:topLinePunct/>
        <w:adjustRightInd/>
        <w:spacing w:before="0"/>
        <w:ind w:firstLine="482"/>
        <w:outlineLvl w:val="2"/>
        <w:rPr>
          <w:rFonts w:ascii="仿宋" w:hAnsi="仿宋" w:eastAsia="仿宋" w:cs="仿宋"/>
          <w:color w:val="0000FF"/>
        </w:rPr>
      </w:pPr>
      <w:r>
        <w:rPr>
          <w:rFonts w:hint="eastAsia" w:ascii="仿宋" w:hAnsi="仿宋" w:eastAsia="仿宋" w:cs="仿宋"/>
          <w:b/>
        </w:rPr>
        <w:t>合同履约期限：</w:t>
      </w:r>
      <w:r>
        <w:rPr>
          <w:rFonts w:hint="eastAsia" w:ascii="仿宋" w:hAnsi="仿宋" w:eastAsia="仿宋" w:cs="仿宋"/>
          <w:bCs/>
        </w:rPr>
        <w:t>自合同签订之日起7个工作日内完成所有点位勘查工作，并提供所有点位的勘查报告。经采购人确认后，15个工作日完成设备安装调试（包含阳光房/柜体特色装饰）。整体项目完工截止时间为2024年9月30日。（物流配送服务为柜子正式运行后一年）</w:t>
      </w:r>
    </w:p>
    <w:p>
      <w:pPr>
        <w:pStyle w:val="16"/>
        <w:widowControl w:val="0"/>
        <w:wordWrap w:val="0"/>
        <w:topLinePunct/>
        <w:adjustRightInd/>
        <w:snapToGrid/>
        <w:spacing w:line="360" w:lineRule="auto"/>
        <w:ind w:firstLine="482" w:firstLineChars="200"/>
        <w:rPr>
          <w:rFonts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r>
        <w:rPr>
          <w:rFonts w:hint="eastAsia" w:ascii="仿宋" w:hAnsi="仿宋" w:eastAsia="仿宋" w:cs="仿宋"/>
          <w:b/>
          <w:snapToGrid/>
          <w:color w:val="auto"/>
          <w:kern w:val="2"/>
          <w:sz w:val="24"/>
        </w:rPr>
        <w:t>；</w:t>
      </w:r>
      <w:sdt>
        <w:sdtPr>
          <w:rPr>
            <w:rFonts w:hint="eastAsia" w:ascii="仿宋" w:hAnsi="仿宋" w:eastAsia="仿宋" w:cs="仿宋"/>
            <w:color w:val="auto"/>
            <w:kern w:val="0"/>
            <w:sz w:val="24"/>
          </w:rPr>
          <w:id w:val="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wordWrap w:val="0"/>
        <w:topLinePunct/>
        <w:adjustRightInd/>
        <w:spacing w:line="360" w:lineRule="auto"/>
        <w:rPr>
          <w:rFonts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pPr>
        <w:wordWrap w:val="0"/>
        <w:topLinePunct/>
        <w:adjustRightInd/>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wordWrap w:val="0"/>
        <w:topLinePunct/>
        <w:adjustRightInd/>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wordWrap w:val="0"/>
        <w:topLinePunct/>
        <w:adjustRightInd/>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专</w:t>
      </w:r>
      <w:r>
        <w:rPr>
          <w:rFonts w:hint="eastAsia" w:ascii="仿宋" w:hAnsi="仿宋" w:eastAsia="仿宋" w:cs="仿宋"/>
          <w:sz w:val="24"/>
        </w:rPr>
        <w:t>门面向中小企业</w:t>
      </w:r>
    </w:p>
    <w:p>
      <w:pPr>
        <w:wordWrap w:val="0"/>
        <w:topLinePunct/>
        <w:adjustRightInd/>
        <w:spacing w:line="360" w:lineRule="auto"/>
        <w:ind w:firstLine="480" w:firstLineChars="200"/>
        <w:rPr>
          <w:rFonts w:ascii="仿宋" w:hAnsi="仿宋" w:eastAsia="仿宋" w:cs="仿宋"/>
          <w:sz w:val="24"/>
          <w:u w:val="single"/>
        </w:rPr>
      </w:pPr>
      <w:r>
        <w:rPr>
          <w:rFonts w:hint="eastAsia" w:ascii="仿宋" w:hAnsi="仿宋" w:eastAsia="仿宋" w:cs="仿宋"/>
          <w:sz w:val="24"/>
        </w:rPr>
        <w:sym w:font="Wingdings 2" w:char="0052"/>
      </w:r>
      <w:r>
        <w:rPr>
          <w:rFonts w:hint="eastAsia" w:ascii="仿宋" w:hAnsi="仿宋" w:eastAsia="仿宋" w:cs="仿宋"/>
          <w:sz w:val="24"/>
        </w:rPr>
        <w:t>货物全部由符合政策要求的中小企业制造，提供中小企业声明函；</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货物全部由符合政策要求的小微企业制造，提供中小企业声明函；</w:t>
      </w:r>
    </w:p>
    <w:p>
      <w:pPr>
        <w:wordWrap w:val="0"/>
        <w:topLinePunct/>
        <w:adjustRightInd/>
        <w:spacing w:line="360" w:lineRule="auto"/>
        <w:ind w:firstLine="480" w:firstLineChars="200"/>
        <w:rPr>
          <w:rFonts w:ascii="仿宋" w:hAnsi="仿宋" w:eastAsia="仿宋" w:cs="仿宋"/>
          <w:sz w:val="24"/>
        </w:rPr>
      </w:pPr>
      <w:bookmarkStart w:id="12" w:name="_Hlk101132524"/>
      <w:r>
        <w:rPr>
          <w:rFonts w:hint="eastAsia" w:ascii="仿宋" w:hAnsi="仿宋" w:eastAsia="仿宋" w:cs="仿宋"/>
          <w:sz w:val="24"/>
        </w:rPr>
        <w:sym w:font="Wingdings 2" w:char="00A3"/>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ordWrap w:val="0"/>
        <w:topLinePunct/>
        <w:adjustRightInd/>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wordWrap w:val="0"/>
        <w:topLinePunct/>
        <w:adjustRightInd/>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29</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wordWrap w:val="0"/>
        <w:topLinePunct/>
        <w:adjustRightInd/>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wordWrap w:val="0"/>
        <w:topLinePunct/>
        <w:adjustRightInd/>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wordWrap w:val="0"/>
        <w:topLinePunct/>
        <w:adjustRightInd/>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wordWrap w:val="0"/>
        <w:topLinePunct/>
        <w:adjustRightInd/>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wordWrap w:val="0"/>
        <w:topLinePunct/>
        <w:adjustRightInd/>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2024年</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29</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秒</w:t>
      </w:r>
      <w:r>
        <w:rPr>
          <w:rFonts w:hint="eastAsia" w:ascii="仿宋" w:hAnsi="仿宋" w:eastAsia="仿宋" w:cs="仿宋"/>
          <w:color w:val="auto"/>
          <w:sz w:val="24"/>
        </w:rPr>
        <w:t>（北京时间）</w:t>
      </w:r>
    </w:p>
    <w:p>
      <w:pPr>
        <w:wordWrap w:val="0"/>
        <w:topLinePunct/>
        <w:adjustRightInd/>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wordWrap w:val="0"/>
        <w:topLinePunct/>
        <w:adjustRightInd/>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29</w:t>
      </w:r>
      <w:r>
        <w:rPr>
          <w:rFonts w:hint="eastAsia" w:ascii="仿宋" w:hAnsi="仿宋" w:eastAsia="仿宋" w:cs="仿宋"/>
          <w:color w:val="auto"/>
          <w:sz w:val="24"/>
          <w:u w:val="single"/>
        </w:rPr>
        <w:t>日14点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p>
    <w:p>
      <w:pPr>
        <w:wordWrap w:val="0"/>
        <w:topLinePunct/>
        <w:adjustRightInd/>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wordWrap w:val="0"/>
        <w:topLinePunct/>
        <w:adjustRightInd/>
        <w:spacing w:line="360" w:lineRule="auto"/>
        <w:rPr>
          <w:rFonts w:ascii="仿宋" w:hAnsi="仿宋" w:eastAsia="仿宋" w:cs="仿宋"/>
          <w:sz w:val="24"/>
        </w:rPr>
      </w:pPr>
      <w:r>
        <w:rPr>
          <w:rFonts w:hint="eastAsia" w:ascii="仿宋" w:hAnsi="仿宋" w:eastAsia="仿宋" w:cs="仿宋"/>
          <w:b/>
          <w:sz w:val="24"/>
        </w:rPr>
        <w:t xml:space="preserve">五、公告期限 </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wordWrap w:val="0"/>
        <w:topLinePunct/>
        <w:adjustRightInd/>
        <w:spacing w:line="360" w:lineRule="auto"/>
        <w:rPr>
          <w:rFonts w:ascii="仿宋" w:hAnsi="仿宋" w:eastAsia="仿宋" w:cs="仿宋"/>
          <w:b/>
          <w:sz w:val="24"/>
        </w:rPr>
      </w:pPr>
      <w:r>
        <w:rPr>
          <w:rFonts w:hint="eastAsia" w:ascii="仿宋" w:hAnsi="仿宋" w:eastAsia="仿宋" w:cs="仿宋"/>
          <w:b/>
          <w:sz w:val="24"/>
        </w:rPr>
        <w:t>六、其他补充事宜</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wordWrap w:val="0"/>
        <w:topLinePunct/>
        <w:adjustRightInd/>
        <w:spacing w:line="336"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1.采购人信息</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名    称：杭州高新技术产业开发区(滨江)文化和广电旅游体育局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地    址：杭州市泰安路200号区文化中心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传    真：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项目联系人（询问）：张老师  </w:t>
      </w:r>
    </w:p>
    <w:p>
      <w:pPr>
        <w:wordWrap w:val="0"/>
        <w:topLinePunct/>
        <w:adjustRightInd/>
        <w:spacing w:line="336" w:lineRule="auto"/>
        <w:ind w:firstLine="480" w:firstLineChars="200"/>
        <w:rPr>
          <w:rFonts w:ascii="仿宋" w:hAnsi="仿宋" w:eastAsia="仿宋" w:cs="仿宋"/>
          <w:color w:val="0000FF"/>
          <w:sz w:val="24"/>
        </w:rPr>
      </w:pPr>
      <w:r>
        <w:rPr>
          <w:rFonts w:hint="eastAsia" w:ascii="仿宋" w:hAnsi="仿宋" w:eastAsia="仿宋" w:cs="仿宋"/>
          <w:sz w:val="24"/>
        </w:rPr>
        <w:t>项目联系方式（询问）：0571-89521758</w:t>
      </w:r>
      <w:r>
        <w:rPr>
          <w:rFonts w:hint="eastAsia" w:ascii="仿宋" w:hAnsi="仿宋" w:eastAsia="仿宋" w:cs="仿宋"/>
          <w:color w:val="0000FF"/>
          <w:sz w:val="24"/>
        </w:rPr>
        <w:t xml:space="preserve">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质疑联系人：陈老师</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质疑联系方式：0571-89521024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2.采购代理机构信息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名    称：浙江省房地产管理咨询有限公司</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地    址：杭州市拱墅区绍兴路538号三立时代广场A座12层1206室</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传    真：/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项目联系人（询问）：寿文君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项目联系方式（询问）：18768469768</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val="en-US" w:eastAsia="zh-CN"/>
        </w:rPr>
        <w:t>赵红梅</w:t>
      </w:r>
      <w:r>
        <w:rPr>
          <w:rFonts w:hint="eastAsia" w:ascii="仿宋" w:hAnsi="仿宋" w:eastAsia="仿宋" w:cs="仿宋"/>
          <w:sz w:val="24"/>
        </w:rPr>
        <w:t xml:space="preserve">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质疑联系方式：13067939892</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rPr>
        <w:t xml:space="preserve"> </w:t>
      </w:r>
      <w:r>
        <w:rPr>
          <w:rFonts w:hint="eastAsia" w:ascii="仿宋" w:hAnsi="仿宋" w:eastAsia="仿宋" w:cs="仿宋"/>
          <w:sz w:val="24"/>
        </w:rPr>
        <w:t xml:space="preserve">同级政府采购监督管理部门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名    称：杭州市滨江区财政局 /浙江省政府采购行政裁决服务中心（杭州）</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地    址：杭州市江南大道328号701办公室/杭州市上城区四季青街道新业路市民之家G03办公室(快递仅限ems或顺丰)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传    真：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联系人 ：祝老师/朱女士、王女士</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监督投诉电话：电话：0571-89521210/0571-85252453</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 xml:space="preserve">政策咨询：陈先生、厉先生，0571-89580460、89580456   </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wordWrap w:val="0"/>
        <w:topLinePunct/>
        <w:adjustRightInd/>
        <w:spacing w:line="336"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4"/>
        <w:spacing w:line="240" w:lineRule="auto"/>
        <w:jc w:val="center"/>
        <w:rPr>
          <w:rFonts w:ascii="仿宋" w:eastAsia="仿宋" w:cs="仿宋"/>
          <w:sz w:val="36"/>
          <w:szCs w:val="20"/>
        </w:rPr>
      </w:pPr>
      <w:r>
        <w:rPr>
          <w:rFonts w:hint="eastAsia" w:ascii="仿宋" w:eastAsia="仿宋" w:cs="仿宋"/>
          <w:sz w:val="36"/>
          <w:szCs w:val="20"/>
        </w:rPr>
        <w:t>第二部分</w:t>
      </w:r>
      <w:bookmarkEnd w:id="8"/>
      <w:r>
        <w:rPr>
          <w:rFonts w:hint="eastAsia" w:ascii="仿宋" w:eastAsia="仿宋" w:cs="仿宋"/>
          <w:sz w:val="36"/>
          <w:szCs w:val="20"/>
        </w:rPr>
        <w:t xml:space="preserve"> 投标人须知</w:t>
      </w:r>
      <w:bookmarkEnd w:id="9"/>
    </w:p>
    <w:p>
      <w:pPr>
        <w:adjustRightInd/>
        <w:jc w:val="center"/>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8"/>
        <w:gridCol w:w="1888"/>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序号</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事项</w:t>
            </w:r>
          </w:p>
        </w:tc>
        <w:tc>
          <w:tcPr>
            <w:tcW w:w="7183"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r>
              <w:rPr>
                <w:rFonts w:hint="eastAsia" w:ascii="仿宋" w:hAnsi="仿宋" w:eastAsia="仿宋" w:cs="仿宋"/>
                <w:sz w:val="24"/>
              </w:rPr>
              <w:t>1</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项目属性与核心产品</w:t>
            </w:r>
          </w:p>
        </w:tc>
        <w:tc>
          <w:tcPr>
            <w:tcW w:w="7183" w:type="dxa"/>
            <w:vAlign w:val="center"/>
          </w:tcPr>
          <w:p>
            <w:pPr>
              <w:adjustRightInd/>
              <w:spacing w:line="320" w:lineRule="exact"/>
              <w:rPr>
                <w:rFonts w:ascii="仿宋" w:hAnsi="仿宋" w:eastAsia="仿宋" w:cs="仿宋"/>
                <w:sz w:val="24"/>
              </w:rPr>
            </w:pP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智能借阅柜</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r>
              <w:rPr>
                <w:rFonts w:hint="eastAsia" w:ascii="仿宋" w:hAnsi="仿宋" w:eastAsia="仿宋" w:cs="仿宋"/>
                <w:sz w:val="24"/>
              </w:rPr>
              <w:t>2</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7183" w:type="dxa"/>
            <w:vAlign w:val="center"/>
          </w:tcPr>
          <w:p>
            <w:pPr>
              <w:adjustRightInd/>
              <w:spacing w:line="320" w:lineRule="exact"/>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2024年城市书房和智慧借阅点建设项目</w:t>
            </w:r>
            <w:r>
              <w:rPr>
                <w:rFonts w:hint="eastAsia" w:ascii="仿宋" w:hAnsi="仿宋" w:eastAsia="仿宋" w:cs="仿宋"/>
                <w:kern w:val="0"/>
                <w:sz w:val="24"/>
              </w:rPr>
              <w:t>，属于</w:t>
            </w:r>
            <w:r>
              <w:rPr>
                <w:rFonts w:hint="eastAsia" w:ascii="仿宋" w:hAnsi="仿宋" w:eastAsia="仿宋" w:cs="仿宋"/>
                <w:kern w:val="0"/>
                <w:sz w:val="24"/>
                <w:u w:val="single"/>
              </w:rPr>
              <w:t>工业</w:t>
            </w:r>
            <w:r>
              <w:rPr>
                <w:rFonts w:hint="eastAsia" w:ascii="仿宋" w:hAnsi="仿宋" w:eastAsia="仿宋" w:cs="仿宋"/>
                <w:kern w:val="0"/>
                <w:sz w:val="24"/>
              </w:rPr>
              <w:t>行业；</w:t>
            </w:r>
          </w:p>
          <w:p>
            <w:pPr>
              <w:pStyle w:val="4"/>
              <w:keepLines w:val="0"/>
              <w:wordWrap w:val="0"/>
              <w:topLinePunct/>
              <w:spacing w:line="320" w:lineRule="exact"/>
              <w:ind w:left="0" w:firstLine="0"/>
              <w:rPr>
                <w:rFonts w:ascii="仿宋" w:eastAsia="仿宋" w:cs="仿宋"/>
                <w:lang w:val="en-US"/>
              </w:rPr>
            </w:pPr>
            <w:r>
              <w:rPr>
                <w:rFonts w:hint="eastAsia" w:ascii="仿宋" w:eastAsia="仿宋" w:cs="仿宋"/>
                <w:b w:val="0"/>
                <w:bCs w:val="0"/>
                <w:sz w:val="24"/>
                <w:szCs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spacing w:line="320" w:lineRule="exact"/>
              <w:jc w:val="center"/>
              <w:rPr>
                <w:rFonts w:ascii="仿宋" w:hAnsi="仿宋" w:eastAsia="仿宋" w:cs="仿宋"/>
                <w:sz w:val="24"/>
              </w:rPr>
            </w:pPr>
            <w:r>
              <w:rPr>
                <w:rFonts w:hint="eastAsia" w:ascii="仿宋" w:hAnsi="仿宋" w:eastAsia="仿宋" w:cs="仿宋"/>
                <w:sz w:val="24"/>
              </w:rPr>
              <w:t>3</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7183" w:type="dxa"/>
            <w:vAlign w:val="center"/>
          </w:tcPr>
          <w:p>
            <w:pPr>
              <w:adjustRightInd/>
              <w:spacing w:line="320" w:lineRule="exact"/>
              <w:rPr>
                <w:rFonts w:ascii="仿宋" w:hAnsi="仿宋" w:eastAsia="仿宋" w:cs="仿宋"/>
                <w:kern w:val="0"/>
                <w:sz w:val="24"/>
              </w:rPr>
            </w:pPr>
            <w:r>
              <w:rPr>
                <w:rFonts w:hint="eastAsia" w:ascii="仿宋" w:hAnsi="仿宋" w:eastAsia="仿宋" w:cs="仿宋"/>
                <w:kern w:val="0"/>
                <w:sz w:val="24"/>
              </w:rPr>
              <w:sym w:font="Wingdings 2" w:char="0052"/>
            </w:r>
            <w:r>
              <w:rPr>
                <w:rFonts w:hint="eastAsia" w:ascii="仿宋" w:hAnsi="仿宋" w:eastAsia="仿宋" w:cs="仿宋"/>
                <w:kern w:val="0"/>
                <w:sz w:val="24"/>
              </w:rPr>
              <w:t>本项目不允许采购进口产品。</w:t>
            </w:r>
          </w:p>
          <w:p>
            <w:pPr>
              <w:adjustRightInd/>
              <w:spacing w:line="320" w:lineRule="exact"/>
              <w:rPr>
                <w:rFonts w:ascii="仿宋" w:hAnsi="仿宋" w:eastAsia="仿宋" w:cs="仿宋"/>
              </w:rPr>
            </w:pPr>
            <w:r>
              <w:rPr>
                <w:rFonts w:hint="eastAsia" w:ascii="MS Gothic" w:hAnsi="MS Gothic" w:eastAsia="仿宋" w:cs="仿宋"/>
                <w:kern w:val="0"/>
                <w:sz w:val="24"/>
              </w:rPr>
              <w:t>☐</w:t>
            </w:r>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spacing w:line="320" w:lineRule="exact"/>
              <w:jc w:val="center"/>
              <w:rPr>
                <w:rFonts w:ascii="仿宋" w:hAnsi="仿宋" w:eastAsia="仿宋" w:cs="仿宋"/>
                <w:sz w:val="24"/>
              </w:rPr>
            </w:pPr>
            <w:r>
              <w:rPr>
                <w:rFonts w:hint="eastAsia" w:ascii="仿宋" w:hAnsi="仿宋" w:eastAsia="仿宋" w:cs="仿宋"/>
                <w:sz w:val="24"/>
              </w:rPr>
              <w:t>4</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分包</w:t>
            </w:r>
          </w:p>
        </w:tc>
        <w:tc>
          <w:tcPr>
            <w:tcW w:w="7183" w:type="dxa"/>
            <w:vAlign w:val="center"/>
          </w:tcPr>
          <w:p>
            <w:pPr>
              <w:adjustRightInd/>
              <w:spacing w:line="320" w:lineRule="exact"/>
              <w:rPr>
                <w:rFonts w:ascii="仿宋" w:hAnsi="仿宋" w:eastAsia="仿宋" w:cs="仿宋"/>
                <w:sz w:val="24"/>
              </w:rPr>
            </w:pPr>
            <w:r>
              <w:rPr>
                <w:rFonts w:hint="eastAsia" w:ascii="仿宋" w:hAnsi="仿宋" w:eastAsia="仿宋" w:cs="仿宋"/>
                <w:kern w:val="0"/>
                <w:sz w:val="24"/>
              </w:rPr>
              <w:sym w:font="Wingdings 2" w:char="00A3"/>
            </w:r>
            <w:r>
              <w:rPr>
                <w:rFonts w:hint="eastAsia" w:ascii="仿宋" w:hAnsi="仿宋" w:eastAsia="仿宋" w:cs="仿宋"/>
                <w:kern w:val="0"/>
                <w:sz w:val="24"/>
              </w:rPr>
              <w:t>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adjustRightInd/>
              <w:spacing w:line="320" w:lineRule="exact"/>
              <w:rPr>
                <w:rFonts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kern w:val="0"/>
                <w:sz w:val="24"/>
              </w:rPr>
              <w:t>B</w:t>
            </w:r>
            <w:r>
              <w:rPr>
                <w:rFonts w:hint="eastAsia" w:ascii="仿宋" w:hAnsi="仿宋" w:eastAsia="仿宋" w:cs="仿宋"/>
                <w:sz w:val="24"/>
              </w:rPr>
              <w:t>不同意分包。</w:t>
            </w:r>
          </w:p>
          <w:p>
            <w:pPr>
              <w:adjustRightInd/>
              <w:spacing w:line="320" w:lineRule="exact"/>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r>
              <w:rPr>
                <w:rFonts w:hint="eastAsia" w:ascii="仿宋" w:hAnsi="仿宋" w:eastAsia="仿宋" w:cs="仿宋"/>
                <w:sz w:val="24"/>
              </w:rPr>
              <w:t>5</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7183" w:type="dxa"/>
            <w:vAlign w:val="center"/>
          </w:tcPr>
          <w:p>
            <w:pPr>
              <w:adjustRightInd/>
              <w:spacing w:line="320" w:lineRule="exact"/>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pPr>
              <w:adjustRightInd/>
              <w:spacing w:line="320" w:lineRule="exact"/>
              <w:rPr>
                <w:rFonts w:ascii="仿宋" w:hAnsi="仿宋" w:eastAsia="仿宋" w:cs="仿宋"/>
                <w:sz w:val="24"/>
                <w:szCs w:val="20"/>
              </w:rPr>
            </w:pPr>
            <w:r>
              <w:rPr>
                <w:rFonts w:hint="eastAsia" w:ascii="仿宋" w:hAnsi="仿宋" w:eastAsia="仿宋" w:cs="仿宋"/>
                <w:kern w:val="0"/>
                <w:sz w:val="24"/>
              </w:rPr>
              <w:sym w:font="Wingdings 2" w:char="00A3"/>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spacing w:line="320" w:lineRule="exact"/>
              <w:jc w:val="center"/>
              <w:rPr>
                <w:rFonts w:ascii="仿宋" w:hAnsi="仿宋" w:eastAsia="仿宋" w:cs="仿宋"/>
                <w:sz w:val="24"/>
              </w:rPr>
            </w:pPr>
            <w:r>
              <w:rPr>
                <w:rFonts w:hint="eastAsia" w:ascii="仿宋" w:hAnsi="仿宋" w:eastAsia="仿宋" w:cs="仿宋"/>
                <w:sz w:val="24"/>
              </w:rPr>
              <w:t>6</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样品提供</w:t>
            </w:r>
          </w:p>
        </w:tc>
        <w:tc>
          <w:tcPr>
            <w:tcW w:w="7183" w:type="dxa"/>
            <w:vAlign w:val="center"/>
          </w:tcPr>
          <w:p>
            <w:pPr>
              <w:adjustRightInd/>
              <w:spacing w:line="320" w:lineRule="exact"/>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不要求提供。</w:t>
            </w:r>
          </w:p>
          <w:p>
            <w:pPr>
              <w:adjustRightInd/>
              <w:spacing w:line="320" w:lineRule="exact"/>
              <w:rPr>
                <w:rFonts w:ascii="仿宋" w:hAnsi="仿宋" w:eastAsia="仿宋" w:cs="仿宋"/>
                <w:kern w:val="0"/>
                <w:sz w:val="24"/>
              </w:rPr>
            </w:pPr>
            <w:r>
              <w:rPr>
                <w:rFonts w:hint="eastAsia" w:ascii="仿宋" w:hAnsi="仿宋" w:eastAsia="仿宋" w:cs="仿宋"/>
                <w:kern w:val="0"/>
                <w:sz w:val="24"/>
              </w:rPr>
              <w:sym w:font="Wingdings 2" w:char="00A3"/>
            </w:r>
            <w:r>
              <w:rPr>
                <w:rFonts w:hint="eastAsia" w:ascii="仿宋" w:hAnsi="仿宋" w:eastAsia="仿宋" w:cs="仿宋"/>
                <w:kern w:val="0"/>
                <w:sz w:val="24"/>
              </w:rPr>
              <w:t>B要求提供，</w:t>
            </w:r>
          </w:p>
          <w:p>
            <w:pPr>
              <w:adjustRightInd/>
              <w:spacing w:line="320" w:lineRule="exac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adjustRightInd/>
              <w:spacing w:line="320" w:lineRule="exac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adjustRightInd/>
              <w:spacing w:line="320" w:lineRule="exact"/>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adjustRightInd/>
              <w:spacing w:line="320" w:lineRule="exact"/>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adjustRightInd/>
              <w:spacing w:line="320" w:lineRule="exact"/>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adjustRightInd/>
              <w:spacing w:line="320" w:lineRule="exact"/>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adjustRightInd/>
              <w:spacing w:line="320" w:lineRule="exact"/>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spacing w:line="320" w:lineRule="exact"/>
              <w:jc w:val="center"/>
              <w:rPr>
                <w:rFonts w:ascii="仿宋" w:hAnsi="仿宋" w:eastAsia="仿宋" w:cs="仿宋"/>
                <w:sz w:val="24"/>
              </w:rPr>
            </w:pPr>
            <w:r>
              <w:rPr>
                <w:rFonts w:hint="eastAsia" w:ascii="仿宋" w:hAnsi="仿宋" w:eastAsia="仿宋" w:cs="仿宋"/>
                <w:sz w:val="24"/>
              </w:rPr>
              <w:t>7</w:t>
            </w:r>
          </w:p>
        </w:tc>
        <w:tc>
          <w:tcPr>
            <w:tcW w:w="1888" w:type="dxa"/>
            <w:vAlign w:val="center"/>
          </w:tcPr>
          <w:p>
            <w:pPr>
              <w:adjustRightInd/>
              <w:spacing w:line="320" w:lineRule="exact"/>
              <w:jc w:val="center"/>
              <w:rPr>
                <w:rFonts w:ascii="仿宋" w:hAnsi="仿宋" w:eastAsia="仿宋" w:cs="仿宋"/>
                <w:bCs/>
                <w:sz w:val="24"/>
              </w:rPr>
            </w:pPr>
            <w:r>
              <w:rPr>
                <w:rFonts w:hint="eastAsia" w:ascii="仿宋" w:hAnsi="仿宋" w:eastAsia="仿宋" w:cs="仿宋"/>
                <w:b/>
                <w:sz w:val="24"/>
              </w:rPr>
              <w:t>方案讲解演示</w:t>
            </w:r>
          </w:p>
        </w:tc>
        <w:tc>
          <w:tcPr>
            <w:tcW w:w="7183" w:type="dxa"/>
            <w:vAlign w:val="center"/>
          </w:tcPr>
          <w:p>
            <w:pPr>
              <w:adjustRightInd/>
              <w:spacing w:line="320" w:lineRule="exact"/>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pPr>
              <w:adjustRightInd/>
              <w:spacing w:line="320" w:lineRule="exact"/>
              <w:rPr>
                <w:rFonts w:ascii="仿宋" w:hAnsi="仿宋" w:eastAsia="仿宋" w:cs="仿宋"/>
                <w:kern w:val="0"/>
                <w:sz w:val="24"/>
              </w:rPr>
            </w:pPr>
            <w:r>
              <w:rPr>
                <w:rFonts w:hint="eastAsia" w:ascii="仿宋" w:hAnsi="仿宋" w:eastAsia="仿宋" w:cs="仿宋"/>
                <w:kern w:val="0"/>
                <w:sz w:val="24"/>
              </w:rPr>
              <w:sym w:font="Wingdings 2" w:char="00A3"/>
            </w:r>
            <w:r>
              <w:rPr>
                <w:rFonts w:hint="eastAsia" w:ascii="仿宋" w:hAnsi="仿宋" w:eastAsia="仿宋" w:cs="仿宋"/>
                <w:kern w:val="0"/>
                <w:sz w:val="24"/>
              </w:rPr>
              <w:t>B组织。</w:t>
            </w:r>
          </w:p>
          <w:p>
            <w:pPr>
              <w:adjustRightInd/>
              <w:spacing w:line="320" w:lineRule="exact"/>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pPr>
              <w:adjustRightInd/>
              <w:spacing w:line="320" w:lineRule="exact"/>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adjustRightInd/>
              <w:spacing w:line="320" w:lineRule="exact"/>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adjustRightInd/>
              <w:spacing w:line="320" w:lineRule="exact"/>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adjustRightInd/>
              <w:spacing w:line="320" w:lineRule="exact"/>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Merge w:val="restart"/>
          </w:tcPr>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r>
              <w:rPr>
                <w:rFonts w:hint="eastAsia" w:ascii="仿宋" w:hAnsi="仿宋" w:eastAsia="仿宋" w:cs="仿宋"/>
                <w:sz w:val="24"/>
              </w:rPr>
              <w:t>8</w:t>
            </w:r>
          </w:p>
        </w:tc>
        <w:tc>
          <w:tcPr>
            <w:tcW w:w="1888" w:type="dxa"/>
            <w:vMerge w:val="restart"/>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183" w:type="dxa"/>
            <w:vAlign w:val="center"/>
          </w:tcPr>
          <w:p>
            <w:pPr>
              <w:adjustRightInd/>
              <w:spacing w:line="320" w:lineRule="exact"/>
              <w:rPr>
                <w:rFonts w:ascii="仿宋" w:hAnsi="仿宋" w:eastAsia="仿宋" w:cs="仿宋"/>
                <w:sz w:val="24"/>
              </w:rPr>
            </w:pPr>
            <w:r>
              <w:rPr>
                <w:rFonts w:hint="eastAsia" w:ascii="仿宋" w:hAnsi="仿宋" w:eastAsia="仿宋" w:cs="仿宋"/>
                <w:sz w:val="24"/>
              </w:rPr>
              <w:t>（1）资格证明文件：见招标文件第二部分11.1。</w:t>
            </w:r>
          </w:p>
          <w:p>
            <w:pPr>
              <w:adjustRightInd/>
              <w:spacing w:line="320" w:lineRule="exact"/>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Merge w:val="continue"/>
          </w:tcPr>
          <w:p>
            <w:pPr>
              <w:adjustRightInd/>
              <w:spacing w:line="320" w:lineRule="exact"/>
              <w:jc w:val="center"/>
              <w:rPr>
                <w:rFonts w:ascii="仿宋" w:hAnsi="仿宋" w:eastAsia="仿宋" w:cs="仿宋"/>
                <w:sz w:val="24"/>
              </w:rPr>
            </w:pPr>
          </w:p>
        </w:tc>
        <w:tc>
          <w:tcPr>
            <w:tcW w:w="1888" w:type="dxa"/>
            <w:vMerge w:val="continue"/>
            <w:vAlign w:val="center"/>
          </w:tcPr>
          <w:p>
            <w:pPr>
              <w:adjustRightInd/>
              <w:spacing w:line="320" w:lineRule="exact"/>
              <w:jc w:val="center"/>
              <w:rPr>
                <w:rFonts w:ascii="仿宋" w:hAnsi="仿宋" w:eastAsia="仿宋" w:cs="仿宋"/>
                <w:b/>
                <w:sz w:val="24"/>
              </w:rPr>
            </w:pPr>
          </w:p>
        </w:tc>
        <w:tc>
          <w:tcPr>
            <w:tcW w:w="7183" w:type="dxa"/>
            <w:vAlign w:val="center"/>
          </w:tcPr>
          <w:p>
            <w:pPr>
              <w:adjustRightInd/>
              <w:spacing w:line="320" w:lineRule="exact"/>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tcPr>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r>
              <w:rPr>
                <w:rFonts w:hint="eastAsia" w:ascii="仿宋" w:hAnsi="仿宋" w:eastAsia="仿宋" w:cs="仿宋"/>
                <w:sz w:val="24"/>
              </w:rPr>
              <w:t>9</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节能产品、环境标志产品</w:t>
            </w:r>
          </w:p>
        </w:tc>
        <w:tc>
          <w:tcPr>
            <w:tcW w:w="7183" w:type="dxa"/>
            <w:vAlign w:val="center"/>
          </w:tcPr>
          <w:p>
            <w:pPr>
              <w:adjustRightInd/>
              <w:spacing w:line="320" w:lineRule="exact"/>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tcPr>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r>
              <w:rPr>
                <w:rFonts w:hint="eastAsia" w:ascii="仿宋" w:hAnsi="仿宋" w:eastAsia="仿宋" w:cs="仿宋"/>
                <w:sz w:val="24"/>
              </w:rPr>
              <w:t>10</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报价要求</w:t>
            </w:r>
          </w:p>
        </w:tc>
        <w:tc>
          <w:tcPr>
            <w:tcW w:w="7183" w:type="dxa"/>
            <w:vAlign w:val="center"/>
          </w:tcPr>
          <w:p>
            <w:pPr>
              <w:adjustRightInd/>
              <w:spacing w:line="320" w:lineRule="exact"/>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adjustRightInd/>
              <w:spacing w:line="32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adjustRightInd/>
              <w:spacing w:line="320" w:lineRule="exact"/>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adjustRightInd/>
              <w:spacing w:line="320" w:lineRule="exact"/>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adjustRightInd/>
              <w:spacing w:line="320" w:lineRule="exact"/>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adjustRightInd/>
              <w:spacing w:line="320" w:lineRule="exact"/>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spacing w:line="320" w:lineRule="exact"/>
              <w:jc w:val="center"/>
              <w:rPr>
                <w:rFonts w:ascii="仿宋" w:hAnsi="仿宋" w:eastAsia="仿宋" w:cs="仿宋"/>
                <w:sz w:val="24"/>
              </w:rPr>
            </w:pPr>
          </w:p>
          <w:p>
            <w:pPr>
              <w:adjustRightInd/>
              <w:spacing w:line="320" w:lineRule="exact"/>
              <w:jc w:val="center"/>
              <w:rPr>
                <w:rFonts w:ascii="仿宋" w:hAnsi="仿宋" w:eastAsia="仿宋" w:cs="仿宋"/>
                <w:sz w:val="24"/>
              </w:rPr>
            </w:pPr>
            <w:r>
              <w:rPr>
                <w:rFonts w:hint="eastAsia" w:ascii="仿宋" w:hAnsi="仿宋" w:eastAsia="仿宋" w:cs="仿宋"/>
                <w:sz w:val="24"/>
              </w:rPr>
              <w:t>11</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中小企业信用融资</w:t>
            </w:r>
          </w:p>
        </w:tc>
        <w:tc>
          <w:tcPr>
            <w:tcW w:w="7183" w:type="dxa"/>
            <w:vAlign w:val="center"/>
          </w:tcPr>
          <w:p>
            <w:pPr>
              <w:adjustRightInd/>
              <w:spacing w:line="320" w:lineRule="exact"/>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spacing w:line="320" w:lineRule="exact"/>
              <w:jc w:val="center"/>
              <w:rPr>
                <w:rFonts w:ascii="仿宋" w:hAnsi="仿宋" w:eastAsia="仿宋" w:cs="仿宋"/>
                <w:sz w:val="24"/>
              </w:rPr>
            </w:pPr>
            <w:r>
              <w:rPr>
                <w:rFonts w:hint="eastAsia" w:ascii="仿宋" w:hAnsi="仿宋" w:eastAsia="仿宋" w:cs="仿宋"/>
                <w:sz w:val="24"/>
              </w:rPr>
              <w:t>12</w:t>
            </w:r>
          </w:p>
        </w:tc>
        <w:tc>
          <w:tcPr>
            <w:tcW w:w="1888" w:type="dxa"/>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7183" w:type="dxa"/>
            <w:vAlign w:val="center"/>
          </w:tcPr>
          <w:p>
            <w:pPr>
              <w:pStyle w:val="34"/>
              <w:adjustRightInd/>
              <w:spacing w:line="320" w:lineRule="exact"/>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杭州市拱墅区绍兴路538号三立时代广场A座12层1206室</w:t>
            </w:r>
            <w:r>
              <w:rPr>
                <w:rFonts w:hint="eastAsia" w:ascii="仿宋" w:hAnsi="仿宋" w:eastAsia="仿宋" w:cs="仿宋"/>
                <w:kern w:val="28"/>
                <w:sz w:val="24"/>
                <w:szCs w:val="24"/>
              </w:rPr>
              <w:t>；备份投标文件签收人员联系电话：寿文君，18768469768</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Merge w:val="restart"/>
            <w:vAlign w:val="center"/>
          </w:tcPr>
          <w:p>
            <w:pPr>
              <w:adjustRightInd/>
              <w:spacing w:line="320" w:lineRule="exact"/>
              <w:jc w:val="center"/>
              <w:rPr>
                <w:rFonts w:ascii="仿宋" w:hAnsi="仿宋" w:eastAsia="仿宋" w:cs="仿宋"/>
                <w:sz w:val="24"/>
              </w:rPr>
            </w:pPr>
            <w:r>
              <w:rPr>
                <w:rFonts w:hint="eastAsia" w:ascii="仿宋" w:hAnsi="仿宋" w:eastAsia="仿宋" w:cs="仿宋"/>
                <w:sz w:val="24"/>
              </w:rPr>
              <w:t>13</w:t>
            </w:r>
          </w:p>
        </w:tc>
        <w:tc>
          <w:tcPr>
            <w:tcW w:w="1888" w:type="dxa"/>
            <w:vMerge w:val="restart"/>
            <w:vAlign w:val="center"/>
          </w:tcPr>
          <w:p>
            <w:pPr>
              <w:adjustRightInd/>
              <w:spacing w:line="320" w:lineRule="exact"/>
              <w:jc w:val="center"/>
              <w:rPr>
                <w:rFonts w:ascii="仿宋" w:hAnsi="仿宋" w:eastAsia="仿宋" w:cs="仿宋"/>
                <w:b/>
                <w:sz w:val="24"/>
              </w:rPr>
            </w:pPr>
            <w:r>
              <w:rPr>
                <w:rFonts w:hint="eastAsia" w:ascii="仿宋" w:hAnsi="仿宋" w:eastAsia="仿宋" w:cs="仿宋"/>
                <w:b/>
                <w:sz w:val="24"/>
              </w:rPr>
              <w:t>特别说明</w:t>
            </w:r>
          </w:p>
        </w:tc>
        <w:tc>
          <w:tcPr>
            <w:tcW w:w="7183" w:type="dxa"/>
            <w:vAlign w:val="center"/>
          </w:tcPr>
          <w:p>
            <w:pPr>
              <w:adjustRightInd/>
              <w:spacing w:line="320" w:lineRule="exact"/>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Merge w:val="continue"/>
          </w:tcPr>
          <w:p>
            <w:pPr>
              <w:adjustRightInd/>
              <w:spacing w:line="320" w:lineRule="exact"/>
              <w:jc w:val="center"/>
              <w:rPr>
                <w:rFonts w:ascii="仿宋" w:hAnsi="仿宋" w:eastAsia="仿宋" w:cs="仿宋"/>
                <w:sz w:val="24"/>
              </w:rPr>
            </w:pPr>
          </w:p>
        </w:tc>
        <w:tc>
          <w:tcPr>
            <w:tcW w:w="1888" w:type="dxa"/>
            <w:vMerge w:val="continue"/>
            <w:vAlign w:val="center"/>
          </w:tcPr>
          <w:p>
            <w:pPr>
              <w:adjustRightInd/>
              <w:spacing w:line="320" w:lineRule="exact"/>
              <w:jc w:val="center"/>
              <w:rPr>
                <w:rFonts w:ascii="仿宋" w:hAnsi="仿宋" w:eastAsia="仿宋" w:cs="仿宋"/>
                <w:b/>
                <w:sz w:val="24"/>
              </w:rPr>
            </w:pPr>
          </w:p>
        </w:tc>
        <w:tc>
          <w:tcPr>
            <w:tcW w:w="7183" w:type="dxa"/>
            <w:vAlign w:val="center"/>
          </w:tcPr>
          <w:p>
            <w:pPr>
              <w:adjustRightInd/>
              <w:spacing w:line="320" w:lineRule="exact"/>
              <w:rPr>
                <w:rFonts w:ascii="仿宋" w:hAnsi="仿宋" w:eastAsia="仿宋" w:cs="仿宋"/>
                <w:snapToGrid w:val="0"/>
                <w:kern w:val="28"/>
                <w:sz w:val="24"/>
              </w:rPr>
            </w:pPr>
            <w:r>
              <w:rPr>
                <w:rFonts w:hint="eastAsia" w:ascii="Wingdings" w:hAnsi="Wingdings" w:eastAsia="仿宋" w:cs="仿宋"/>
                <w:snapToGrid w:val="0"/>
                <w:kern w:val="0"/>
                <w:sz w:val="24"/>
              </w:rPr>
              <w:sym w:font="Wingdings 2" w:char="00A3"/>
            </w:r>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adjustRightInd/>
              <w:spacing w:line="320" w:lineRule="exact"/>
              <w:rPr>
                <w:rFonts w:ascii="仿宋" w:hAnsi="仿宋" w:eastAsia="仿宋" w:cs="仿宋"/>
                <w:snapToGrid w:val="0"/>
                <w:kern w:val="28"/>
                <w:sz w:val="24"/>
              </w:rPr>
            </w:pPr>
            <w:r>
              <w:rPr>
                <w:rFonts w:hint="eastAsia" w:ascii="Wingdings" w:hAnsi="Wingdings" w:eastAsia="仿宋" w:cs="仿宋"/>
                <w:snapToGrid w:val="0"/>
                <w:kern w:val="0"/>
                <w:sz w:val="24"/>
              </w:rPr>
              <w:sym w:font="Wingdings 2" w:char="0052"/>
            </w:r>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jc w:val="center"/>
              <w:rPr>
                <w:rFonts w:ascii="仿宋" w:hAnsi="仿宋" w:eastAsia="仿宋" w:cs="仿宋"/>
                <w:sz w:val="24"/>
              </w:rPr>
            </w:pPr>
            <w:r>
              <w:rPr>
                <w:rFonts w:hint="eastAsia" w:ascii="仿宋" w:hAnsi="仿宋" w:eastAsia="仿宋" w:cs="仿宋"/>
                <w:sz w:val="24"/>
              </w:rPr>
              <w:t>14</w:t>
            </w:r>
          </w:p>
        </w:tc>
        <w:tc>
          <w:tcPr>
            <w:tcW w:w="1888" w:type="dxa"/>
            <w:vAlign w:val="center"/>
          </w:tcPr>
          <w:p>
            <w:pPr>
              <w:adjustRightInd/>
              <w:jc w:val="center"/>
              <w:rPr>
                <w:rFonts w:ascii="仿宋" w:hAnsi="仿宋" w:eastAsia="仿宋" w:cs="仿宋"/>
                <w:b/>
                <w:sz w:val="24"/>
              </w:rPr>
            </w:pPr>
            <w:r>
              <w:rPr>
                <w:rFonts w:hint="eastAsia" w:ascii="仿宋" w:hAnsi="仿宋" w:eastAsia="仿宋" w:cs="仿宋"/>
                <w:b/>
                <w:sz w:val="24"/>
              </w:rPr>
              <w:t>采购代理服务费</w:t>
            </w:r>
          </w:p>
        </w:tc>
        <w:tc>
          <w:tcPr>
            <w:tcW w:w="7183" w:type="dxa"/>
            <w:vAlign w:val="center"/>
          </w:tcPr>
          <w:p>
            <w:pPr>
              <w:adjustRightInd/>
              <w:spacing w:line="360" w:lineRule="exact"/>
              <w:rPr>
                <w:rFonts w:ascii="仿宋" w:hAnsi="仿宋" w:eastAsia="仿宋" w:cs="仿宋"/>
                <w:kern w:val="0"/>
                <w:sz w:val="24"/>
              </w:rPr>
            </w:pPr>
            <w:r>
              <w:rPr>
                <w:rFonts w:hint="eastAsia" w:ascii="仿宋" w:hAnsi="仿宋" w:eastAsia="仿宋" w:cs="仿宋"/>
                <w:kern w:val="0"/>
                <w:sz w:val="24"/>
              </w:rPr>
              <w:t>本项目招标代理服务费按照26000元计取,由投标人报价时包含在投标价中, 采购代理机构在发中标通知书时一次性向中标单位收取。</w:t>
            </w:r>
          </w:p>
          <w:p>
            <w:pPr>
              <w:adjustRightInd/>
              <w:spacing w:line="360" w:lineRule="exact"/>
              <w:rPr>
                <w:rFonts w:ascii="仿宋" w:hAnsi="仿宋" w:eastAsia="仿宋" w:cs="仿宋"/>
                <w:kern w:val="0"/>
                <w:sz w:val="24"/>
              </w:rPr>
            </w:pPr>
            <w:r>
              <w:rPr>
                <w:rFonts w:hint="eastAsia" w:ascii="仿宋" w:hAnsi="仿宋" w:eastAsia="仿宋" w:cs="仿宋"/>
                <w:kern w:val="0"/>
                <w:sz w:val="24"/>
              </w:rPr>
              <w:t>代理服务费收款单位（户名）：浙江省房地产管理咨询有限公司</w:t>
            </w:r>
          </w:p>
          <w:p>
            <w:pPr>
              <w:adjustRightInd/>
              <w:spacing w:line="360" w:lineRule="exact"/>
              <w:rPr>
                <w:rFonts w:ascii="仿宋" w:hAnsi="仿宋" w:eastAsia="仿宋" w:cs="仿宋"/>
                <w:kern w:val="0"/>
                <w:sz w:val="24"/>
              </w:rPr>
            </w:pPr>
            <w:r>
              <w:rPr>
                <w:rFonts w:hint="eastAsia" w:ascii="仿宋" w:hAnsi="仿宋" w:eastAsia="仿宋" w:cs="仿宋"/>
                <w:kern w:val="0"/>
                <w:sz w:val="24"/>
              </w:rPr>
              <w:t xml:space="preserve">开  户：杭州银行保俶支行  </w:t>
            </w:r>
          </w:p>
          <w:p>
            <w:pPr>
              <w:adjustRightInd/>
              <w:spacing w:line="360" w:lineRule="exact"/>
              <w:rPr>
                <w:rFonts w:hint="eastAsia" w:ascii="Wingdings" w:hAnsi="Wingdings" w:eastAsia="仿宋" w:cs="仿宋"/>
                <w:kern w:val="0"/>
                <w:sz w:val="24"/>
              </w:rPr>
            </w:pPr>
            <w:r>
              <w:rPr>
                <w:rFonts w:hint="eastAsia" w:ascii="仿宋" w:hAnsi="仿宋" w:eastAsia="仿宋" w:cs="仿宋"/>
                <w:kern w:val="0"/>
                <w:sz w:val="24"/>
              </w:rPr>
              <w:t xml:space="preserve">账  号：77508100150602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18" w:type="dxa"/>
            <w:vAlign w:val="center"/>
          </w:tcPr>
          <w:p>
            <w:pPr>
              <w:adjustRightInd/>
              <w:jc w:val="center"/>
              <w:rPr>
                <w:rFonts w:ascii="仿宋" w:hAnsi="仿宋" w:eastAsia="仿宋" w:cs="仿宋"/>
                <w:sz w:val="24"/>
              </w:rPr>
            </w:pPr>
            <w:r>
              <w:rPr>
                <w:rFonts w:hint="eastAsia" w:ascii="仿宋" w:hAnsi="仿宋" w:eastAsia="仿宋" w:cs="仿宋"/>
                <w:sz w:val="24"/>
              </w:rPr>
              <w:t>15</w:t>
            </w:r>
          </w:p>
        </w:tc>
        <w:tc>
          <w:tcPr>
            <w:tcW w:w="1888" w:type="dxa"/>
            <w:vAlign w:val="center"/>
          </w:tcPr>
          <w:p>
            <w:pPr>
              <w:adjustRightInd/>
              <w:jc w:val="center"/>
              <w:rPr>
                <w:rFonts w:ascii="仿宋" w:hAnsi="仿宋" w:eastAsia="仿宋" w:cs="仿宋"/>
                <w:b/>
                <w:sz w:val="24"/>
              </w:rPr>
            </w:pPr>
            <w:r>
              <w:rPr>
                <w:rFonts w:hint="eastAsia" w:ascii="仿宋" w:hAnsi="仿宋" w:eastAsia="仿宋" w:cs="仿宋"/>
                <w:b/>
                <w:sz w:val="24"/>
              </w:rPr>
              <w:t>解释</w:t>
            </w:r>
          </w:p>
        </w:tc>
        <w:tc>
          <w:tcPr>
            <w:tcW w:w="7183" w:type="dxa"/>
            <w:vAlign w:val="center"/>
          </w:tcPr>
          <w:p>
            <w:pPr>
              <w:adjustRightInd/>
              <w:rPr>
                <w:rFonts w:hint="eastAsia" w:ascii="Wingdings" w:hAnsi="Wingdings" w:eastAsia="仿宋" w:cs="仿宋"/>
                <w:kern w:val="0"/>
                <w:sz w:val="24"/>
              </w:rPr>
            </w:pPr>
            <w:r>
              <w:rPr>
                <w:rFonts w:hint="eastAsia" w:ascii="仿宋" w:hAnsi="仿宋" w:eastAsia="仿宋" w:cs="仿宋"/>
                <w:sz w:val="24"/>
              </w:rPr>
              <w:t>本采购文件的解释权属于本项目采购人和采购代理机构。</w:t>
            </w:r>
          </w:p>
        </w:tc>
      </w:tr>
    </w:tbl>
    <w:p>
      <w:pPr>
        <w:snapToGrid w:val="0"/>
        <w:spacing w:line="360" w:lineRule="auto"/>
        <w:jc w:val="center"/>
        <w:rPr>
          <w:rFonts w:ascii="仿宋" w:hAnsi="仿宋" w:eastAsia="仿宋" w:cs="仿宋"/>
          <w:b/>
          <w:sz w:val="32"/>
          <w:szCs w:val="20"/>
        </w:rPr>
      </w:pPr>
    </w:p>
    <w:bookmarkEnd w:id="10"/>
    <w:p>
      <w:pPr>
        <w:rPr>
          <w:rFonts w:ascii="仿宋" w:hAnsi="仿宋" w:eastAsia="仿宋" w:cs="仿宋"/>
          <w:b/>
          <w:sz w:val="32"/>
          <w:szCs w:val="20"/>
        </w:rPr>
      </w:pPr>
      <w:bookmarkStart w:id="13" w:name="_Toc164416483"/>
      <w:bookmarkStart w:id="14" w:name="第三部分"/>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wordWrap w:val="0"/>
        <w:topLinePunct/>
        <w:adjustRightInd/>
        <w:spacing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1. 适用范围</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wordWrap w:val="0"/>
        <w:topLinePunct/>
        <w:adjustRightInd/>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wordWrap w:val="0"/>
        <w:topLinePunct/>
        <w:adjustRightInd/>
        <w:spacing w:line="360" w:lineRule="auto"/>
        <w:ind w:firstLine="482" w:firstLineChars="2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sz w:val="24"/>
        </w:rPr>
        <w:t xml:space="preserve"> </w:t>
      </w:r>
      <w:r>
        <w:rPr>
          <w:rFonts w:hint="eastAsia" w:ascii="仿宋" w:hAnsi="仿宋" w:eastAsia="仿宋" w:cs="仿宋"/>
          <w:b/>
          <w:sz w:val="24"/>
        </w:rPr>
        <w:t>采购项目需要落实的政府采购政策</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wordWrap w:val="0"/>
        <w:topLinePunct/>
        <w:adjustRightInd/>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pPr>
        <w:wordWrap w:val="0"/>
        <w:topLinePunct/>
        <w:adjustRightInd/>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4"/>
        <w:keepNext w:val="0"/>
        <w:keepLines w:val="0"/>
        <w:wordWrap w:val="0"/>
        <w:topLinePunct/>
        <w:ind w:left="0" w:firstLine="480" w:firstLineChars="200"/>
        <w:rPr>
          <w:rFonts w:ascii="仿宋" w:eastAsia="仿宋" w:cs="仿宋"/>
          <w:sz w:val="24"/>
        </w:rPr>
      </w:pPr>
      <w:r>
        <w:rPr>
          <w:rFonts w:hint="eastAsia" w:ascii="仿宋" w:eastAsia="仿宋" w:cs="仿宋"/>
          <w:b w:val="0"/>
          <w:bCs w:val="0"/>
          <w:sz w:val="24"/>
          <w:szCs w:val="24"/>
          <w:lang w:val="en-US"/>
        </w:rPr>
        <w:t>3.4.3 采购人应当贯彻落实知识产权保护相关法律法规，应当采购使用正版软件。</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3.5平等对待内外资企业和符合条件的破产重整企业</w:t>
      </w:r>
    </w:p>
    <w:p>
      <w:pPr>
        <w:wordWrap w:val="0"/>
        <w:topLinePunct/>
        <w:adjustRightInd/>
        <w:spacing w:line="360" w:lineRule="auto"/>
        <w:ind w:firstLine="480" w:firstLineChars="2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r>
        <w:rPr>
          <w:rFonts w:hint="eastAsia" w:ascii="仿宋" w:hAnsi="仿宋" w:eastAsia="仿宋" w:cs="仿宋"/>
          <w:sz w:val="24"/>
        </w:rPr>
        <w:t>、补偿救济</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kern w:val="2"/>
        </w:rPr>
      </w:pPr>
      <w:r>
        <w:rPr>
          <w:rFonts w:hint="eastAsia" w:ascii="仿宋" w:hAnsi="仿宋" w:eastAsia="仿宋" w:cs="仿宋"/>
          <w:kern w:val="2"/>
        </w:rPr>
        <w:t>4.1在线询问、质疑、投诉</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kern w:val="2"/>
        </w:rPr>
      </w:pPr>
      <w:r>
        <w:rPr>
          <w:rFonts w:hint="eastAsia" w:ascii="仿宋" w:hAnsi="仿宋" w:eastAsia="仿宋" w:cs="仿宋"/>
          <w:kern w:val="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topLinePunct/>
        <w:adjustRightInd/>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wordWrap w:val="0"/>
        <w:topLinePunct/>
        <w:adjustRightInd/>
        <w:spacing w:line="360" w:lineRule="auto"/>
        <w:ind w:firstLine="456" w:firstLineChars="200"/>
        <w:jc w:val="left"/>
        <w:rPr>
          <w:rFonts w:ascii="仿宋" w:hAnsi="仿宋" w:eastAsia="仿宋" w:cs="仿宋"/>
          <w:kern w:val="0"/>
          <w:sz w:val="24"/>
          <w:lang w:val="zh-CN"/>
        </w:rPr>
      </w:pPr>
      <w:r>
        <w:rPr>
          <w:rFonts w:hint="eastAsia" w:ascii="仿宋" w:hAnsi="仿宋" w:eastAsia="仿宋" w:cs="仿宋"/>
          <w:spacing w:val="-6"/>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ordWrap w:val="0"/>
        <w:topLinePunct/>
        <w:adjustRightInd/>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4"/>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widowControl w:val="0"/>
        <w:wordWrap w:val="0"/>
        <w:topLinePunct/>
        <w:adjustRightInd/>
        <w:snapToGrid/>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4"/>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4"/>
        <w:wordWrap w:val="0"/>
        <w:topLinePunct/>
        <w:adjustRightInd/>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4"/>
        <w:wordWrap w:val="0"/>
        <w:topLinePunct/>
        <w:adjustRightInd/>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4"/>
        <w:wordWrap w:val="0"/>
        <w:topLinePunct/>
        <w:adjustRightInd/>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4"/>
        <w:wordWrap w:val="0"/>
        <w:topLinePunct/>
        <w:adjustRightInd/>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4"/>
        <w:wordWrap w:val="0"/>
        <w:topLinePunct/>
        <w:adjustRightInd/>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4"/>
        <w:wordWrap w:val="0"/>
        <w:topLinePunct/>
        <w:adjustRightInd/>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4"/>
        <w:wordWrap w:val="0"/>
        <w:topLinePunct/>
        <w:adjustRightInd/>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质疑函范本及制作说明详见附件2。</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w:t>
      </w:r>
      <w:r>
        <w:rPr>
          <w:rFonts w:hint="eastAsia" w:ascii="仿宋" w:hAnsi="仿宋" w:eastAsia="仿宋" w:cs="仿宋"/>
          <w:spacing w:val="-6"/>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 xml:space="preserve">4.4.4 </w:t>
      </w:r>
      <w:r>
        <w:rPr>
          <w:rFonts w:hint="eastAsia" w:ascii="仿宋" w:hAnsi="仿宋" w:eastAsia="仿宋" w:cs="仿宋"/>
          <w:spacing w:val="-6"/>
        </w:rPr>
        <w:t>以联合体形式参加政府采购活动的，其投诉应当由组成联合体的所有供应商共同提出。</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4.5 补偿救济</w:t>
      </w:r>
    </w:p>
    <w:p>
      <w:pPr>
        <w:wordWrap w:val="0"/>
        <w:topLinePunct/>
        <w:adjustRightInd/>
        <w:spacing w:line="360" w:lineRule="auto"/>
        <w:ind w:firstLine="480" w:firstLineChars="200"/>
        <w:contextualSpacing/>
        <w:rPr>
          <w:rFonts w:ascii="仿宋" w:hAnsi="仿宋" w:eastAsia="仿宋" w:cs="仿宋"/>
          <w:sz w:val="24"/>
        </w:rPr>
      </w:pPr>
      <w:r>
        <w:rPr>
          <w:rFonts w:hint="eastAsia" w:ascii="仿宋" w:hAnsi="仿宋" w:eastAsia="仿宋" w:cs="仿宋"/>
          <w:sz w:val="24"/>
        </w:rPr>
        <w:t>采购人（行政机关）因政策变化、规划调整而不履行政府采购合同的，供应商可依据《杭州市涉企补偿救济实施办法（试行）》向采购人（行政机关）提起补偿申请。</w:t>
      </w:r>
    </w:p>
    <w:p>
      <w:pPr>
        <w:pStyle w:val="888"/>
        <w:widowControl w:val="0"/>
        <w:wordWrap w:val="0"/>
        <w:topLinePunct/>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投诉书范本及制作说明详见附件3。</w:t>
      </w:r>
    </w:p>
    <w:p>
      <w:pPr>
        <w:wordWrap w:val="0"/>
        <w:topLinePunct/>
        <w:adjustRightInd/>
        <w:spacing w:line="360" w:lineRule="auto"/>
        <w:jc w:val="center"/>
        <w:outlineLvl w:val="0"/>
        <w:rPr>
          <w:rFonts w:ascii="仿宋" w:hAnsi="仿宋" w:eastAsia="仿宋" w:cs="仿宋"/>
          <w:b/>
          <w:sz w:val="24"/>
        </w:rPr>
      </w:pPr>
      <w:r>
        <w:rPr>
          <w:rFonts w:hint="eastAsia" w:ascii="仿宋" w:hAnsi="仿宋" w:eastAsia="仿宋" w:cs="仿宋"/>
          <w:b/>
          <w:sz w:val="24"/>
        </w:rPr>
        <w:t>二、招标文件的构成、澄清、修改</w:t>
      </w:r>
    </w:p>
    <w:p>
      <w:pPr>
        <w:pStyle w:val="34"/>
        <w:wordWrap w:val="0"/>
        <w:topLinePunct/>
        <w:adjustRightInd/>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5．招标文件的构成</w:t>
      </w:r>
    </w:p>
    <w:p>
      <w:pPr>
        <w:pStyle w:val="34"/>
        <w:wordWrap w:val="0"/>
        <w:topLinePunct/>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wordWrap w:val="0"/>
        <w:topLinePunct/>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wordWrap w:val="0"/>
        <w:topLinePunct/>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wordWrap w:val="0"/>
        <w:topLinePunct/>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wordWrap w:val="0"/>
        <w:topLinePunct/>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wordWrap w:val="0"/>
        <w:topLinePunct/>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wordWrap w:val="0"/>
        <w:topLinePunct/>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wordWrap w:val="0"/>
        <w:topLinePunct/>
        <w:adjustRightInd/>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 招标文件的澄清、修改</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wordWrap w:val="0"/>
        <w:topLinePunct/>
        <w:autoSpaceDE/>
        <w:autoSpaceDN/>
        <w:adjustRightInd/>
        <w:jc w:val="center"/>
        <w:rPr>
          <w:rFonts w:ascii="仿宋" w:hAnsi="仿宋" w:eastAsia="仿宋" w:cs="仿宋"/>
          <w:b/>
          <w:szCs w:val="24"/>
        </w:rPr>
      </w:pPr>
      <w:r>
        <w:rPr>
          <w:rFonts w:hint="eastAsia" w:ascii="仿宋" w:hAnsi="仿宋" w:eastAsia="仿宋" w:cs="仿宋"/>
          <w:b/>
          <w:szCs w:val="24"/>
        </w:rPr>
        <w:t>三、投标</w:t>
      </w:r>
    </w:p>
    <w:p>
      <w:pPr>
        <w:pStyle w:val="34"/>
        <w:wordWrap w:val="0"/>
        <w:topLinePunct/>
        <w:adjustRightInd/>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7. 招标文件的获取</w:t>
      </w:r>
    </w:p>
    <w:p>
      <w:pPr>
        <w:wordWrap w:val="0"/>
        <w:topLinePunct/>
        <w:adjustRightInd/>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wordWrap w:val="0"/>
        <w:topLinePunct/>
        <w:adjustRightInd/>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wordWrap w:val="0"/>
        <w:topLinePunct/>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wordWrap w:val="0"/>
        <w:topLinePunct/>
        <w:adjustRightInd/>
        <w:spacing w:line="360" w:lineRule="auto"/>
        <w:ind w:firstLine="482" w:firstLineChars="200"/>
        <w:rPr>
          <w:rFonts w:ascii="仿宋" w:hAnsi="仿宋" w:eastAsia="仿宋" w:cs="仿宋"/>
          <w:b/>
          <w:sz w:val="24"/>
          <w:szCs w:val="24"/>
        </w:rPr>
      </w:pPr>
      <w:r>
        <w:rPr>
          <w:rFonts w:hint="eastAsia" w:ascii="仿宋" w:hAnsi="仿宋" w:eastAsia="仿宋" w:cs="仿宋"/>
          <w:b/>
          <w:kern w:val="28"/>
          <w:sz w:val="24"/>
          <w:szCs w:val="24"/>
        </w:rPr>
        <w:t>9.投标保证金</w:t>
      </w:r>
    </w:p>
    <w:p>
      <w:pPr>
        <w:pStyle w:val="16"/>
        <w:widowControl w:val="0"/>
        <w:wordWrap w:val="0"/>
        <w:topLinePunct/>
        <w:adjustRightInd/>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wordWrap w:val="0"/>
        <w:topLinePunct/>
        <w:adjustRightInd/>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10. 投标文件的语言</w:t>
      </w:r>
    </w:p>
    <w:p>
      <w:pPr>
        <w:wordWrap w:val="0"/>
        <w:topLinePunct/>
        <w:adjustRightInd/>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wordWrap w:val="0"/>
        <w:topLinePunct/>
        <w:adjustRightInd/>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11. 投标文件的组成</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11.1.2</w:t>
      </w:r>
      <w:bookmarkStart w:id="17" w:name="_Hlk101259339"/>
      <w:r>
        <w:rPr>
          <w:rFonts w:hint="eastAsia" w:ascii="仿宋" w:hAnsi="仿宋" w:eastAsia="仿宋" w:cs="仿宋"/>
          <w:snapToGrid w:val="0"/>
          <w:kern w:val="28"/>
          <w:sz w:val="24"/>
        </w:rPr>
        <w:t>联合协议</w:t>
      </w:r>
      <w:bookmarkEnd w:id="17"/>
      <w:r>
        <w:rPr>
          <w:rFonts w:hint="eastAsia" w:ascii="仿宋" w:hAnsi="仿宋" w:eastAsia="仿宋" w:cs="仿宋"/>
          <w:snapToGrid w:val="0"/>
          <w:kern w:val="28"/>
          <w:sz w:val="24"/>
        </w:rPr>
        <w:t>（如果有)；</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11.1.3落实政府采购政策需满足的资格要求：提供中小企业声明函；</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11.1.4本项目的特定资格要求：无。</w:t>
      </w:r>
    </w:p>
    <w:p>
      <w:pPr>
        <w:wordWrap w:val="0"/>
        <w:topLinePunct/>
        <w:adjustRightInd/>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rPr>
        <w:t>（如果有)</w:t>
      </w:r>
      <w:r>
        <w:rPr>
          <w:rFonts w:hint="eastAsia" w:ascii="仿宋" w:hAnsi="仿宋" w:eastAsia="仿宋" w:cs="仿宋"/>
          <w:sz w:val="24"/>
        </w:rPr>
        <w:t>；</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11.2.4符合性审查资料；</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11.2.5评标标准相应的商务技术资料；</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11.2.6投标标的清单；</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11.2.7商务技术偏离表；</w:t>
      </w:r>
    </w:p>
    <w:p>
      <w:pPr>
        <w:wordWrap w:val="0"/>
        <w:topLinePunct/>
        <w:adjustRightInd/>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wordWrap w:val="0"/>
        <w:topLinePunct/>
        <w:adjustRightInd/>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11.3.1开标一览表（报价表）；</w:t>
      </w:r>
    </w:p>
    <w:p>
      <w:pPr>
        <w:pStyle w:val="79"/>
        <w:wordWrap w:val="0"/>
        <w:topLinePunct/>
        <w:snapToGrid/>
        <w:spacing w:line="360" w:lineRule="auto"/>
        <w:ind w:firstLine="480"/>
        <w:rPr>
          <w:rFonts w:ascii="仿宋" w:hAnsi="仿宋" w:eastAsia="仿宋" w:cs="仿宋"/>
          <w:sz w:val="24"/>
        </w:rPr>
      </w:pPr>
      <w:r>
        <w:rPr>
          <w:rFonts w:hint="eastAsia" w:ascii="仿宋" w:hAnsi="仿宋" w:eastAsia="仿宋" w:cs="仿宋"/>
          <w:sz w:val="24"/>
          <w:szCs w:val="24"/>
          <w:lang w:val="en-US"/>
        </w:rPr>
        <w:t>11.3.2 报价情况说明（如供应商报价低于项目预算50%的，应当提交本文档，详细阐述不影响产品质量或者诚信履约的具体原因）；</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11.3.3中小企业声明函。</w:t>
      </w:r>
    </w:p>
    <w:p>
      <w:pPr>
        <w:wordWrap w:val="0"/>
        <w:topLinePunct/>
        <w:adjustRightInd/>
        <w:spacing w:line="360" w:lineRule="auto"/>
        <w:ind w:firstLine="482" w:firstLineChars="2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wordWrap w:val="0"/>
        <w:topLinePunct/>
        <w:adjustRightInd/>
        <w:spacing w:line="360" w:lineRule="auto"/>
        <w:ind w:firstLine="482" w:firstLineChars="200"/>
        <w:rPr>
          <w:rFonts w:ascii="仿宋" w:hAnsi="仿宋" w:eastAsia="仿宋" w:cs="仿宋"/>
          <w:b/>
          <w:sz w:val="24"/>
        </w:rPr>
      </w:pPr>
      <w:r>
        <w:rPr>
          <w:rFonts w:hint="eastAsia" w:ascii="仿宋" w:hAnsi="仿宋" w:eastAsia="仿宋" w:cs="仿宋"/>
          <w:b/>
          <w:sz w:val="24"/>
        </w:rPr>
        <w:t>投标人提供虚假材料投标的，投标无效。</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shd w:val="clear" w:color="auto" w:fill="FFFFFF"/>
        </w:rPr>
        <w:t>投标人应对投标文件中材料的真实性、合法性负责。</w:t>
      </w:r>
    </w:p>
    <w:p>
      <w:pPr>
        <w:pStyle w:val="130"/>
        <w:wordWrap w:val="0"/>
        <w:topLinePunct/>
        <w:adjustRightInd/>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wordWrap w:val="0"/>
        <w:topLinePunct/>
        <w:adjustRightInd/>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val="0"/>
        <w:topLinePunct/>
        <w:adjustRightInd/>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ordWrap w:val="0"/>
        <w:topLinePunct/>
        <w:adjustRightInd/>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wordWrap w:val="0"/>
        <w:topLinePunct/>
        <w:adjustRightInd/>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13.投标文件的签署、盖章</w:t>
      </w:r>
    </w:p>
    <w:p>
      <w:pPr>
        <w:pStyle w:val="130"/>
        <w:wordWrap w:val="0"/>
        <w:topLinePunct/>
        <w:adjustRightInd/>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0"/>
        <w:wordWrap w:val="0"/>
        <w:topLinePunct/>
        <w:adjustRightInd/>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0"/>
        <w:wordWrap w:val="0"/>
        <w:topLinePunct/>
        <w:adjustRightInd/>
        <w:spacing w:before="0"/>
        <w:ind w:firstLine="482"/>
        <w:rPr>
          <w:rFonts w:ascii="仿宋" w:hAnsi="仿宋" w:eastAsia="仿宋" w:cs="仿宋"/>
          <w:b/>
          <w:szCs w:val="24"/>
        </w:rPr>
      </w:pPr>
      <w:r>
        <w:rPr>
          <w:rFonts w:hint="eastAsia" w:ascii="仿宋" w:hAnsi="仿宋" w:eastAsia="仿宋" w:cs="仿宋"/>
          <w:b/>
          <w:szCs w:val="24"/>
        </w:rPr>
        <w:t>14. 投标文件的提交、补充、修改、撤回</w:t>
      </w:r>
    </w:p>
    <w:p>
      <w:pPr>
        <w:pStyle w:val="130"/>
        <w:wordWrap w:val="0"/>
        <w:topLinePunct/>
        <w:adjustRightInd/>
        <w:spacing w:before="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wordWrap w:val="0"/>
        <w:topLinePunct/>
        <w:adjustRightInd/>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wordWrap w:val="0"/>
        <w:topLinePunct/>
        <w:adjustRightInd/>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wordWrap w:val="0"/>
        <w:topLinePunct/>
        <w:adjustRightInd/>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15.备份投标文件</w:t>
      </w:r>
    </w:p>
    <w:p>
      <w:pPr>
        <w:pStyle w:val="34"/>
        <w:wordWrap w:val="0"/>
        <w:topLinePunct/>
        <w:adjustRightInd/>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4"/>
        <w:wordWrap w:val="0"/>
        <w:topLinePunct/>
        <w:adjustRightInd/>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wordWrap w:val="0"/>
        <w:topLinePunct/>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wordWrap w:val="0"/>
        <w:topLinePunct/>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wordWrap w:val="0"/>
        <w:topLinePunct/>
        <w:adjustRightInd/>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0"/>
        <w:wordWrap w:val="0"/>
        <w:topLinePunct/>
        <w:adjustRightInd/>
        <w:spacing w:before="0"/>
        <w:ind w:firstLine="482"/>
        <w:rPr>
          <w:rFonts w:ascii="仿宋" w:hAnsi="仿宋" w:eastAsia="仿宋" w:cs="仿宋"/>
          <w:b/>
          <w:szCs w:val="24"/>
        </w:rPr>
      </w:pPr>
      <w:r>
        <w:rPr>
          <w:rFonts w:hint="eastAsia" w:ascii="仿宋" w:hAnsi="仿宋" w:eastAsia="仿宋" w:cs="仿宋"/>
          <w:b/>
          <w:szCs w:val="24"/>
        </w:rPr>
        <w:t>16.投标文件的无效处理</w:t>
      </w:r>
    </w:p>
    <w:p>
      <w:pPr>
        <w:pStyle w:val="26"/>
        <w:wordWrap w:val="0"/>
        <w:topLinePunct/>
        <w:adjustRightInd/>
        <w:spacing w:line="360" w:lineRule="auto"/>
        <w:rPr>
          <w:rFonts w:ascii="仿宋" w:hAnsi="仿宋" w:eastAsia="仿宋" w:cs="仿宋"/>
        </w:rPr>
      </w:pPr>
      <w:r>
        <w:rPr>
          <w:rFonts w:hint="eastAsia" w:ascii="仿宋" w:hAnsi="仿宋" w:eastAsia="仿宋" w:cs="仿宋"/>
        </w:rPr>
        <w:t>有招标文件第四部分4.2规定的情形之一的，投标无效：</w:t>
      </w:r>
    </w:p>
    <w:p>
      <w:pPr>
        <w:pStyle w:val="130"/>
        <w:wordWrap w:val="0"/>
        <w:topLinePunct/>
        <w:adjustRightInd/>
        <w:spacing w:before="0"/>
        <w:ind w:firstLine="482"/>
        <w:rPr>
          <w:rFonts w:ascii="仿宋" w:hAnsi="仿宋" w:eastAsia="仿宋" w:cs="仿宋"/>
          <w:b/>
          <w:szCs w:val="24"/>
        </w:rPr>
      </w:pPr>
      <w:r>
        <w:rPr>
          <w:rFonts w:hint="eastAsia" w:ascii="仿宋" w:hAnsi="仿宋" w:eastAsia="仿宋" w:cs="仿宋"/>
          <w:b/>
          <w:szCs w:val="24"/>
        </w:rPr>
        <w:t>17.投标有效期</w:t>
      </w:r>
    </w:p>
    <w:p>
      <w:pPr>
        <w:wordWrap w:val="0"/>
        <w:topLinePunct/>
        <w:adjustRightInd/>
        <w:spacing w:line="360" w:lineRule="auto"/>
        <w:ind w:firstLine="480" w:firstLineChars="200"/>
        <w:rPr>
          <w:rFonts w:ascii="仿宋" w:hAnsi="仿宋" w:eastAsia="仿宋" w:cs="仿宋"/>
          <w:b/>
          <w:sz w:val="24"/>
        </w:rPr>
      </w:pPr>
      <w:r>
        <w:rPr>
          <w:rFonts w:hint="eastAsia" w:ascii="仿宋" w:hAnsi="仿宋" w:eastAsia="仿宋" w:cs="仿宋"/>
          <w:sz w:val="24"/>
        </w:rPr>
        <w:t>17.1投标有效期为从提交投标文件的截止之日起90天。▲</w:t>
      </w:r>
      <w:r>
        <w:rPr>
          <w:rFonts w:hint="eastAsia" w:ascii="仿宋" w:hAnsi="仿宋" w:eastAsia="仿宋" w:cs="仿宋"/>
          <w:b/>
          <w:sz w:val="24"/>
        </w:rPr>
        <w:t>投标人的投标文件中承诺的投标有效期少于招标文件中载明的投标有效期的，投标无效。</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0"/>
        <w:wordWrap w:val="0"/>
        <w:topLinePunct/>
        <w:adjustRightInd/>
        <w:spacing w:before="0"/>
        <w:ind w:firstLine="480"/>
        <w:rPr>
          <w:rFonts w:ascii="仿宋" w:hAnsi="仿宋" w:eastAsia="仿宋" w:cs="仿宋"/>
          <w:b/>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wordWrap w:val="0"/>
        <w:topLinePunct/>
        <w:adjustRightInd/>
        <w:spacing w:before="0"/>
        <w:ind w:firstLine="482"/>
        <w:rPr>
          <w:rFonts w:ascii="仿宋" w:hAnsi="仿宋" w:eastAsia="仿宋" w:cs="仿宋"/>
          <w:b/>
        </w:rPr>
      </w:pPr>
      <w:r>
        <w:rPr>
          <w:rFonts w:hint="eastAsia" w:ascii="仿宋" w:hAnsi="仿宋" w:eastAsia="仿宋" w:cs="仿宋"/>
          <w:b/>
        </w:rPr>
        <w:t>四、开标、资格审查与信用信息查询</w:t>
      </w:r>
    </w:p>
    <w:p>
      <w:pPr>
        <w:pStyle w:val="556"/>
        <w:wordWrap w:val="0"/>
        <w:topLinePunct/>
        <w:autoSpaceDE/>
        <w:autoSpaceDN/>
        <w:adjustRightInd/>
        <w:spacing w:before="0" w:line="360" w:lineRule="auto"/>
        <w:ind w:left="0" w:firstLine="482" w:firstLineChars="2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6"/>
        <w:wordWrap w:val="0"/>
        <w:topLinePunct/>
        <w:autoSpaceDE/>
        <w:autoSpaceDN/>
        <w:adjustRightInd/>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6"/>
        <w:wordWrap w:val="0"/>
        <w:topLinePunct/>
        <w:autoSpaceDE/>
        <w:autoSpaceDN/>
        <w:adjustRightInd/>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w:t>
      </w:r>
      <w:r>
        <w:rPr>
          <w:rFonts w:hint="eastAsia" w:ascii="仿宋" w:hAnsi="仿宋" w:eastAsia="仿宋" w:cs="仿宋"/>
          <w:spacing w:val="-6"/>
          <w:sz w:val="24"/>
        </w:rPr>
        <w:t>开标时，电子交易平台按开标时间自动提取所有投标文件。采购代理机构依托电子交易平台发起开始解密指令，投标人按照平台提示和招标文件的规定在半小时内完成在线解密。</w:t>
      </w:r>
    </w:p>
    <w:p>
      <w:pPr>
        <w:pStyle w:val="556"/>
        <w:wordWrap w:val="0"/>
        <w:topLinePunct/>
        <w:autoSpaceDE/>
        <w:autoSpaceDN/>
        <w:adjustRightInd/>
        <w:spacing w:before="0" w:line="360" w:lineRule="auto"/>
        <w:ind w:left="0" w:firstLine="480" w:firstLineChars="200"/>
        <w:contextualSpacing/>
        <w:rPr>
          <w:rFonts w:ascii="仿宋" w:hAnsi="仿宋" w:eastAsia="仿宋" w:cs="仿宋"/>
          <w:b/>
          <w:sz w:val="24"/>
        </w:rPr>
      </w:pPr>
      <w:r>
        <w:rPr>
          <w:rFonts w:hint="eastAsia" w:ascii="仿宋" w:hAnsi="仿宋" w:eastAsia="仿宋" w:cs="仿宋"/>
          <w:sz w:val="24"/>
        </w:rPr>
        <w:t>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ordWrap w:val="0"/>
        <w:topLinePunct/>
        <w:adjustRightInd/>
        <w:spacing w:line="360" w:lineRule="auto"/>
        <w:ind w:firstLine="482" w:firstLineChars="200"/>
        <w:jc w:val="left"/>
        <w:rPr>
          <w:rFonts w:ascii="仿宋" w:hAnsi="仿宋" w:eastAsia="仿宋" w:cs="仿宋"/>
          <w:b/>
          <w:sz w:val="24"/>
        </w:rPr>
      </w:pPr>
      <w:r>
        <w:rPr>
          <w:rFonts w:hint="eastAsia" w:ascii="仿宋" w:hAnsi="仿宋" w:eastAsia="仿宋" w:cs="仿宋"/>
          <w:b/>
          <w:sz w:val="24"/>
        </w:rPr>
        <w:t>19、资格审查</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pPr>
        <w:pStyle w:val="130"/>
        <w:wordWrap w:val="0"/>
        <w:topLinePunct/>
        <w:adjustRightInd/>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0"/>
        <w:wordWrap w:val="0"/>
        <w:topLinePunct/>
        <w:adjustRightInd/>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pPr>
        <w:pStyle w:val="130"/>
        <w:wordWrap w:val="0"/>
        <w:topLinePunct/>
        <w:adjustRightInd/>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0"/>
        <w:wordWrap w:val="0"/>
        <w:topLinePunct/>
        <w:adjustRightInd/>
        <w:spacing w:before="0"/>
        <w:ind w:firstLine="480"/>
        <w:rPr>
          <w:rFonts w:ascii="仿宋" w:hAnsi="仿宋" w:eastAsia="仿宋" w:cs="仿宋"/>
        </w:rPr>
      </w:pPr>
      <w:r>
        <w:rPr>
          <w:rFonts w:hint="eastAsia" w:ascii="仿宋" w:hAnsi="仿宋" w:eastAsia="仿宋" w:cs="仿宋"/>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wordWrap w:val="0"/>
        <w:topLinePunct/>
        <w:adjustRightInd/>
        <w:spacing w:before="0"/>
        <w:ind w:firstLine="482"/>
        <w:rPr>
          <w:rFonts w:ascii="仿宋" w:hAnsi="仿宋" w:eastAsia="仿宋" w:cs="仿宋"/>
          <w:b/>
          <w:szCs w:val="24"/>
        </w:rPr>
      </w:pPr>
      <w:r>
        <w:rPr>
          <w:rFonts w:hint="eastAsia" w:ascii="仿宋" w:hAnsi="仿宋" w:eastAsia="仿宋" w:cs="仿宋"/>
          <w:b/>
          <w:szCs w:val="24"/>
        </w:rPr>
        <w:t>20、信用信息查询</w:t>
      </w:r>
    </w:p>
    <w:p>
      <w:pPr>
        <w:pStyle w:val="130"/>
        <w:wordWrap w:val="0"/>
        <w:topLinePunct/>
        <w:adjustRightInd/>
        <w:spacing w:before="0"/>
        <w:ind w:firstLine="48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pPr>
        <w:pStyle w:val="130"/>
        <w:wordWrap w:val="0"/>
        <w:topLinePunct/>
        <w:adjustRightInd/>
        <w:spacing w:before="0"/>
        <w:ind w:firstLine="48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0"/>
        <w:wordWrap w:val="0"/>
        <w:topLinePunct/>
        <w:adjustRightInd/>
        <w:spacing w:before="0"/>
        <w:ind w:firstLine="48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0"/>
        <w:wordWrap w:val="0"/>
        <w:topLinePunct/>
        <w:adjustRightInd/>
        <w:spacing w:before="0"/>
        <w:ind w:firstLine="480"/>
        <w:rPr>
          <w:rFonts w:ascii="仿宋" w:hAnsi="仿宋" w:eastAsia="仿宋" w:cs="仿宋"/>
          <w:kern w:val="0"/>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wordWrap w:val="0"/>
        <w:topLinePunct/>
        <w:adjustRightInd/>
        <w:spacing w:line="360" w:lineRule="auto"/>
        <w:jc w:val="center"/>
        <w:outlineLvl w:val="0"/>
        <w:rPr>
          <w:rFonts w:ascii="仿宋" w:hAnsi="仿宋" w:eastAsia="仿宋" w:cs="仿宋"/>
          <w:b/>
          <w:sz w:val="24"/>
        </w:rPr>
      </w:pPr>
      <w:r>
        <w:rPr>
          <w:rFonts w:hint="eastAsia" w:ascii="仿宋" w:hAnsi="仿宋" w:eastAsia="仿宋" w:cs="仿宋"/>
          <w:b/>
          <w:sz w:val="24"/>
        </w:rPr>
        <w:t>五、评标</w:t>
      </w:r>
    </w:p>
    <w:p>
      <w:pPr>
        <w:wordWrap w:val="0"/>
        <w:topLinePunct/>
        <w:adjustRightInd/>
        <w:spacing w:line="360" w:lineRule="auto"/>
        <w:ind w:firstLine="482" w:firstLineChars="200"/>
        <w:rPr>
          <w:rFonts w:ascii="仿宋" w:hAnsi="仿宋" w:eastAsia="仿宋" w:cs="仿宋"/>
          <w:b/>
          <w:sz w:val="24"/>
        </w:rPr>
      </w:pPr>
      <w:bookmarkStart w:id="18" w:name="_Toc91899903"/>
      <w:r>
        <w:rPr>
          <w:rFonts w:hint="eastAsia" w:ascii="仿宋" w:hAnsi="仿宋" w:eastAsia="仿宋" w:cs="仿宋"/>
          <w:b/>
          <w:sz w:val="24"/>
        </w:rPr>
        <w:t>21.</w:t>
      </w:r>
      <w:r>
        <w:rPr>
          <w:rFonts w:hint="eastAsia" w:ascii="仿宋" w:hAnsi="仿宋" w:eastAsia="仿宋" w:cs="仿宋"/>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wordWrap w:val="0"/>
        <w:topLinePunct/>
        <w:adjustRightInd/>
        <w:spacing w:line="360" w:lineRule="auto"/>
        <w:ind w:firstLine="482" w:firstLineChars="200"/>
        <w:rPr>
          <w:rFonts w:ascii="仿宋" w:hAnsi="仿宋" w:eastAsia="仿宋" w:cs="仿宋"/>
          <w:b/>
          <w:sz w:val="24"/>
        </w:rPr>
      </w:pPr>
    </w:p>
    <w:p>
      <w:pPr>
        <w:wordWrap w:val="0"/>
        <w:topLinePunct/>
        <w:adjustRightInd/>
        <w:spacing w:line="360" w:lineRule="auto"/>
        <w:jc w:val="center"/>
        <w:outlineLvl w:val="0"/>
        <w:rPr>
          <w:rFonts w:ascii="仿宋" w:hAnsi="仿宋" w:eastAsia="仿宋" w:cs="仿宋"/>
          <w:b/>
          <w:sz w:val="24"/>
        </w:rPr>
      </w:pPr>
      <w:r>
        <w:rPr>
          <w:rFonts w:hint="eastAsia" w:ascii="仿宋" w:hAnsi="仿宋" w:eastAsia="仿宋" w:cs="仿宋"/>
          <w:b/>
          <w:sz w:val="24"/>
        </w:rPr>
        <w:t>六、定 标</w:t>
      </w:r>
    </w:p>
    <w:p>
      <w:pPr>
        <w:pStyle w:val="26"/>
        <w:wordWrap w:val="0"/>
        <w:topLinePunct/>
        <w:adjustRightInd/>
        <w:spacing w:line="360" w:lineRule="auto"/>
        <w:ind w:firstLine="482"/>
        <w:rPr>
          <w:rFonts w:ascii="仿宋" w:hAnsi="仿宋" w:eastAsia="仿宋" w:cs="仿宋"/>
          <w:b/>
        </w:rPr>
      </w:pPr>
      <w:r>
        <w:rPr>
          <w:rFonts w:hint="eastAsia" w:ascii="仿宋" w:hAnsi="仿宋" w:eastAsia="仿宋" w:cs="仿宋"/>
          <w:b/>
        </w:rPr>
        <w:t>22. 确定中标供应商</w:t>
      </w:r>
    </w:p>
    <w:p>
      <w:pPr>
        <w:pStyle w:val="130"/>
        <w:wordWrap w:val="0"/>
        <w:topLinePunct/>
        <w:adjustRightInd/>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wordWrap w:val="0"/>
        <w:topLinePunct/>
        <w:adjustRightInd/>
        <w:spacing w:before="0"/>
        <w:ind w:firstLine="482"/>
        <w:rPr>
          <w:rFonts w:ascii="仿宋" w:hAnsi="仿宋" w:eastAsia="仿宋" w:cs="仿宋"/>
          <w:b/>
          <w:szCs w:val="24"/>
        </w:rPr>
      </w:pPr>
      <w:r>
        <w:rPr>
          <w:rFonts w:hint="eastAsia" w:ascii="仿宋" w:hAnsi="仿宋" w:eastAsia="仿宋" w:cs="仿宋"/>
          <w:b/>
          <w:szCs w:val="24"/>
        </w:rPr>
        <w:t>23. 中标通知与中标结果公告</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23.3公告期限为1个工作日。</w:t>
      </w:r>
    </w:p>
    <w:p>
      <w:pPr>
        <w:pStyle w:val="130"/>
        <w:wordWrap w:val="0"/>
        <w:topLinePunct/>
        <w:adjustRightInd/>
        <w:spacing w:before="0"/>
        <w:ind w:firstLine="482"/>
        <w:rPr>
          <w:rStyle w:val="78"/>
          <w:rFonts w:ascii="仿宋" w:hAnsi="仿宋" w:eastAsia="仿宋" w:cs="仿宋"/>
          <w:sz w:val="24"/>
          <w:szCs w:val="24"/>
        </w:rPr>
      </w:pPr>
      <w:r>
        <w:rPr>
          <w:rFonts w:hint="eastAsia" w:ascii="仿宋" w:hAnsi="仿宋" w:eastAsia="仿宋" w:cs="仿宋"/>
          <w:b/>
          <w:szCs w:val="24"/>
        </w:rPr>
        <w:t xml:space="preserve">23.4 </w:t>
      </w:r>
      <w:r>
        <w:rPr>
          <w:rFonts w:hint="eastAsia" w:ascii="仿宋" w:hAnsi="仿宋" w:eastAsia="仿宋" w:cs="仿宋"/>
          <w:bCs/>
          <w:szCs w:val="24"/>
        </w:rPr>
        <w:t>由于中标、成交供应商原因导致重新采购的，应当承担支付代理费和专家评审费等费用在内的赔偿责任。</w:t>
      </w:r>
    </w:p>
    <w:p>
      <w:pPr>
        <w:wordWrap w:val="0"/>
        <w:topLinePunct/>
        <w:adjustRightInd/>
        <w:spacing w:line="360" w:lineRule="auto"/>
        <w:jc w:val="center"/>
        <w:rPr>
          <w:rFonts w:ascii="仿宋" w:hAnsi="仿宋" w:eastAsia="仿宋" w:cs="仿宋"/>
          <w:b/>
          <w:sz w:val="24"/>
        </w:rPr>
      </w:pPr>
      <w:r>
        <w:rPr>
          <w:rFonts w:hint="eastAsia" w:ascii="仿宋" w:hAnsi="仿宋" w:eastAsia="仿宋" w:cs="仿宋"/>
          <w:b/>
          <w:sz w:val="24"/>
        </w:rPr>
        <w:t>七、合同授予</w:t>
      </w:r>
    </w:p>
    <w:p>
      <w:pPr>
        <w:pStyle w:val="26"/>
        <w:wordWrap w:val="0"/>
        <w:topLinePunct/>
        <w:adjustRightInd/>
        <w:spacing w:line="360" w:lineRule="auto"/>
        <w:ind w:firstLine="482"/>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wordWrap w:val="0"/>
        <w:topLinePunct/>
        <w:adjustRightInd/>
        <w:spacing w:line="360" w:lineRule="auto"/>
        <w:ind w:firstLine="482"/>
        <w:rPr>
          <w:rFonts w:ascii="仿宋" w:hAnsi="仿宋" w:eastAsia="仿宋" w:cs="仿宋"/>
          <w:b/>
        </w:rPr>
      </w:pPr>
      <w:r>
        <w:rPr>
          <w:rFonts w:hint="eastAsia" w:ascii="仿宋" w:hAnsi="仿宋" w:eastAsia="仿宋" w:cs="仿宋"/>
          <w:b/>
        </w:rPr>
        <w:t>25. 合同的签订</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wordWrap w:val="0"/>
        <w:topLinePunct/>
        <w:adjustRightInd/>
        <w:spacing w:before="0"/>
        <w:ind w:firstLine="480"/>
        <w:rPr>
          <w:rFonts w:ascii="仿宋" w:hAnsi="仿宋" w:eastAsia="仿宋" w:cs="仿宋"/>
          <w:kern w:val="0"/>
        </w:rPr>
      </w:pPr>
      <w:r>
        <w:rPr>
          <w:rFonts w:hint="eastAsia" w:ascii="仿宋" w:hAnsi="仿宋" w:eastAsia="仿宋" w:cs="仿宋"/>
          <w:kern w:val="0"/>
          <w:lang w:val="zh-CN"/>
        </w:rPr>
        <w:t>25.2</w:t>
      </w:r>
      <w:r>
        <w:rPr>
          <w:rFonts w:hint="eastAsia" w:ascii="仿宋" w:hAnsi="仿宋" w:eastAsia="仿宋" w:cs="仿宋"/>
          <w:spacing w:val="-6"/>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6"/>
        <w:wordWrap w:val="0"/>
        <w:topLinePunct/>
        <w:adjustRightInd/>
        <w:spacing w:line="360" w:lineRule="auto"/>
        <w:ind w:firstLine="482"/>
        <w:rPr>
          <w:rFonts w:ascii="仿宋" w:hAnsi="仿宋" w:eastAsia="仿宋" w:cs="仿宋"/>
          <w:b/>
        </w:rPr>
      </w:pPr>
      <w:r>
        <w:rPr>
          <w:rFonts w:hint="eastAsia" w:ascii="仿宋" w:hAnsi="仿宋" w:eastAsia="仿宋" w:cs="仿宋"/>
          <w:b/>
        </w:rPr>
        <w:t>26. 履约保证金</w:t>
      </w:r>
    </w:p>
    <w:p>
      <w:pPr>
        <w:tabs>
          <w:tab w:val="left" w:pos="0"/>
        </w:tabs>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keepNext w:val="0"/>
        <w:keepLines w:val="0"/>
        <w:wordWrap w:val="0"/>
        <w:topLinePunct/>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keepNext w:val="0"/>
        <w:keepLines w:val="0"/>
        <w:wordWrap w:val="0"/>
        <w:topLinePunct/>
        <w:ind w:left="0" w:firstLine="482" w:firstLineChars="200"/>
        <w:rPr>
          <w:rFonts w:ascii="仿宋" w:eastAsia="仿宋" w:cs="仿宋"/>
          <w:sz w:val="24"/>
        </w:rPr>
      </w:pPr>
      <w:r>
        <w:rPr>
          <w:rFonts w:hint="eastAsia" w:ascii="仿宋" w:eastAsia="仿宋" w:cs="仿宋"/>
          <w:sz w:val="24"/>
          <w:szCs w:val="24"/>
          <w:lang w:val="en-US"/>
        </w:rPr>
        <w:t>27.预付款</w:t>
      </w:r>
    </w:p>
    <w:p>
      <w:pPr>
        <w:wordWrap w:val="0"/>
        <w:topLinePunct/>
        <w:adjustRightInd/>
        <w:spacing w:line="360" w:lineRule="auto"/>
        <w:ind w:firstLine="480" w:firstLineChars="200"/>
        <w:rPr>
          <w:rFonts w:ascii="仿宋" w:hAnsi="仿宋" w:eastAsia="仿宋" w:cs="仿宋"/>
          <w:b/>
          <w:sz w:val="24"/>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val="0"/>
        <w:topLinePunct/>
        <w:adjustRightInd/>
        <w:spacing w:line="360" w:lineRule="auto"/>
        <w:jc w:val="center"/>
        <w:rPr>
          <w:rFonts w:ascii="仿宋" w:hAnsi="仿宋" w:eastAsia="仿宋" w:cs="仿宋"/>
          <w:b/>
          <w:sz w:val="24"/>
        </w:rPr>
      </w:pPr>
      <w:r>
        <w:rPr>
          <w:rFonts w:hint="eastAsia" w:ascii="仿宋" w:hAnsi="仿宋" w:eastAsia="仿宋" w:cs="仿宋"/>
          <w:b/>
          <w:sz w:val="24"/>
        </w:rPr>
        <w:t>八、电子交易活动的中止</w:t>
      </w:r>
    </w:p>
    <w:p>
      <w:pPr>
        <w:pStyle w:val="130"/>
        <w:wordWrap w:val="0"/>
        <w:topLinePunct/>
        <w:adjustRightInd/>
        <w:spacing w:before="0"/>
        <w:ind w:firstLine="482"/>
        <w:rPr>
          <w:rFonts w:ascii="仿宋" w:hAnsi="仿宋" w:eastAsia="仿宋" w:cs="仿宋"/>
        </w:rPr>
      </w:pPr>
      <w:r>
        <w:rPr>
          <w:rFonts w:hint="eastAsia" w:ascii="仿宋" w:hAnsi="仿宋" w:eastAsia="仿宋" w:cs="仿宋"/>
          <w:b/>
          <w:bCs/>
          <w:szCs w:val="24"/>
        </w:rPr>
        <w:t>28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30"/>
        <w:wordWrap w:val="0"/>
        <w:topLinePunct/>
        <w:adjustRightInd/>
        <w:spacing w:before="0"/>
        <w:ind w:firstLine="48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wordWrap w:val="0"/>
        <w:topLinePunct/>
        <w:adjustRightInd/>
        <w:spacing w:line="360" w:lineRule="auto"/>
        <w:jc w:val="center"/>
        <w:rPr>
          <w:rFonts w:ascii="仿宋" w:hAnsi="仿宋" w:eastAsia="仿宋" w:cs="仿宋"/>
          <w:b/>
          <w:sz w:val="24"/>
        </w:rPr>
      </w:pPr>
      <w:r>
        <w:rPr>
          <w:rFonts w:hint="eastAsia" w:ascii="仿宋" w:hAnsi="仿宋" w:eastAsia="仿宋" w:cs="仿宋"/>
          <w:b/>
          <w:sz w:val="24"/>
        </w:rPr>
        <w:t>九、验收</w:t>
      </w:r>
    </w:p>
    <w:p>
      <w:pPr>
        <w:pStyle w:val="26"/>
        <w:wordWrap w:val="0"/>
        <w:topLinePunct/>
        <w:adjustRightInd/>
        <w:spacing w:line="360" w:lineRule="auto"/>
        <w:ind w:firstLine="482"/>
        <w:rPr>
          <w:rFonts w:ascii="仿宋" w:hAnsi="仿宋" w:eastAsia="仿宋" w:cs="仿宋"/>
          <w:b/>
        </w:rPr>
      </w:pPr>
      <w:r>
        <w:rPr>
          <w:rFonts w:hint="eastAsia" w:ascii="仿宋" w:hAnsi="仿宋" w:eastAsia="仿宋" w:cs="仿宋"/>
          <w:b/>
        </w:rPr>
        <w:t>30.验收</w:t>
      </w:r>
    </w:p>
    <w:p>
      <w:pPr>
        <w:tabs>
          <w:tab w:val="left" w:pos="0"/>
        </w:tabs>
        <w:wordWrap w:val="0"/>
        <w:topLinePunct/>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wordWrap w:val="0"/>
        <w:topLinePunct/>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wordWrap w:val="0"/>
        <w:topLinePunct/>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wordWrap w:val="0"/>
        <w:topLinePunct/>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68072990"/>
      <w:bookmarkEnd w:id="20"/>
      <w:bookmarkStart w:id="21" w:name="_Hlt68403820"/>
      <w:bookmarkEnd w:id="21"/>
      <w:bookmarkStart w:id="22" w:name="_Hlt74729768"/>
      <w:bookmarkEnd w:id="22"/>
      <w:bookmarkStart w:id="23" w:name="_Hlt68057669"/>
      <w:bookmarkEnd w:id="23"/>
      <w:bookmarkStart w:id="24" w:name="_Hlt68072998"/>
      <w:bookmarkEnd w:id="24"/>
      <w:bookmarkStart w:id="25" w:name="_Hlt75236290"/>
      <w:bookmarkEnd w:id="25"/>
      <w:bookmarkStart w:id="26" w:name="_Hlt74714665"/>
      <w:bookmarkEnd w:id="26"/>
      <w:bookmarkStart w:id="27" w:name="_Hlt75236101"/>
      <w:bookmarkEnd w:id="27"/>
      <w:bookmarkStart w:id="28" w:name="_Hlt74730295"/>
      <w:bookmarkEnd w:id="28"/>
      <w:bookmarkStart w:id="29" w:name="_Hlt75236011"/>
      <w:bookmarkEnd w:id="29"/>
      <w:bookmarkStart w:id="30" w:name="_Hlt68073093"/>
      <w:bookmarkEnd w:id="30"/>
    </w:p>
    <w:p>
      <w:pPr>
        <w:pStyle w:val="4"/>
        <w:keepNext w:val="0"/>
        <w:keepLines w:val="0"/>
        <w:wordWrap w:val="0"/>
        <w:topLinePunct/>
        <w:ind w:left="0"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79"/>
        <w:rPr>
          <w:rFonts w:ascii="仿宋" w:hAnsi="仿宋" w:eastAsia="仿宋" w:cs="仿宋"/>
        </w:rPr>
        <w:sectPr>
          <w:headerReference r:id="rId4" w:type="first"/>
          <w:footerReference r:id="rId7" w:type="first"/>
          <w:headerReference r:id="rId3" w:type="default"/>
          <w:footerReference r:id="rId5" w:type="default"/>
          <w:footerReference r:id="rId6" w:type="even"/>
          <w:pgSz w:w="11905" w:h="16838"/>
          <w:pgMar w:top="1440" w:right="1083" w:bottom="1440" w:left="1083" w:header="851" w:footer="992" w:gutter="0"/>
          <w:cols w:space="0" w:num="1"/>
          <w:titlePg/>
          <w:docGrid w:linePitch="312" w:charSpace="0"/>
        </w:sectPr>
      </w:pPr>
    </w:p>
    <w:bookmarkEnd w:id="13"/>
    <w:bookmarkEnd w:id="14"/>
    <w:p>
      <w:pPr>
        <w:spacing w:line="360" w:lineRule="auto"/>
        <w:jc w:val="center"/>
        <w:outlineLvl w:val="0"/>
        <w:rPr>
          <w:rFonts w:ascii="仿宋" w:hAnsi="仿宋" w:eastAsia="仿宋" w:cs="仿宋"/>
          <w:b/>
          <w:sz w:val="36"/>
          <w:szCs w:val="36"/>
        </w:rPr>
      </w:pPr>
      <w:bookmarkStart w:id="31" w:name="第四部分"/>
      <w:r>
        <w:rPr>
          <w:rFonts w:hint="eastAsia" w:ascii="仿宋" w:hAnsi="仿宋" w:eastAsia="仿宋" w:cs="仿宋"/>
          <w:b/>
          <w:sz w:val="36"/>
          <w:szCs w:val="36"/>
        </w:rPr>
        <w:t>第三部分   采购需求</w:t>
      </w:r>
    </w:p>
    <w:p>
      <w:pPr>
        <w:pStyle w:val="3"/>
        <w:adjustRightInd/>
        <w:spacing w:before="0" w:after="0" w:line="360" w:lineRule="auto"/>
        <w:rPr>
          <w:rFonts w:ascii="仿宋" w:hAnsi="仿宋" w:eastAsia="仿宋" w:cs="仿宋"/>
          <w:sz w:val="24"/>
          <w:szCs w:val="24"/>
        </w:rPr>
      </w:pPr>
      <w:r>
        <w:rPr>
          <w:rFonts w:hint="eastAsia" w:ascii="仿宋" w:hAnsi="仿宋" w:eastAsia="仿宋" w:cs="仿宋"/>
          <w:sz w:val="24"/>
          <w:szCs w:val="24"/>
        </w:rPr>
        <w:t>一、采购内容</w:t>
      </w:r>
    </w:p>
    <w:tbl>
      <w:tblPr>
        <w:tblStyle w:val="63"/>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5883"/>
        <w:gridCol w:w="942"/>
        <w:gridCol w:w="111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序号</w:t>
            </w:r>
          </w:p>
        </w:tc>
        <w:tc>
          <w:tcPr>
            <w:tcW w:w="5883"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名称</w:t>
            </w:r>
          </w:p>
        </w:tc>
        <w:tc>
          <w:tcPr>
            <w:tcW w:w="942"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数量</w:t>
            </w:r>
          </w:p>
        </w:tc>
        <w:tc>
          <w:tcPr>
            <w:tcW w:w="1119"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单位</w:t>
            </w:r>
          </w:p>
        </w:tc>
        <w:tc>
          <w:tcPr>
            <w:tcW w:w="1119" w:type="dxa"/>
            <w:vAlign w:val="center"/>
          </w:tcPr>
          <w:p>
            <w:pPr>
              <w:pStyle w:val="25"/>
              <w:spacing w:line="320" w:lineRule="exact"/>
              <w:ind w:firstLine="241"/>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1</w:t>
            </w:r>
          </w:p>
        </w:tc>
        <w:tc>
          <w:tcPr>
            <w:tcW w:w="5883" w:type="dxa"/>
            <w:vAlign w:val="center"/>
          </w:tcPr>
          <w:p>
            <w:pPr>
              <w:widowControl/>
              <w:spacing w:line="320" w:lineRule="exact"/>
              <w:jc w:val="center"/>
              <w:rPr>
                <w:rFonts w:ascii="仿宋" w:hAnsi="仿宋" w:eastAsia="仿宋" w:cs="仿宋"/>
                <w:b/>
                <w:sz w:val="24"/>
              </w:rPr>
            </w:pPr>
            <w:r>
              <w:rPr>
                <w:rFonts w:hint="eastAsia" w:ascii="仿宋" w:hAnsi="仿宋" w:eastAsia="仿宋" w:cs="仿宋"/>
                <w:kern w:val="0"/>
                <w:sz w:val="24"/>
              </w:rPr>
              <w:t>智能借阅柜（3台120门，7台240门）</w:t>
            </w:r>
          </w:p>
        </w:tc>
        <w:tc>
          <w:tcPr>
            <w:tcW w:w="942" w:type="dxa"/>
            <w:vAlign w:val="center"/>
          </w:tcPr>
          <w:p>
            <w:pPr>
              <w:widowControl/>
              <w:spacing w:line="320" w:lineRule="exact"/>
              <w:jc w:val="center"/>
              <w:rPr>
                <w:rFonts w:ascii="仿宋" w:hAnsi="仿宋" w:eastAsia="仿宋" w:cs="仿宋"/>
                <w:b/>
                <w:sz w:val="24"/>
              </w:rPr>
            </w:pPr>
            <w:r>
              <w:rPr>
                <w:rFonts w:hint="eastAsia" w:ascii="仿宋" w:hAnsi="仿宋" w:eastAsia="仿宋" w:cs="仿宋"/>
                <w:kern w:val="0"/>
                <w:sz w:val="24"/>
              </w:rPr>
              <w:t>10</w:t>
            </w:r>
          </w:p>
        </w:tc>
        <w:tc>
          <w:tcPr>
            <w:tcW w:w="1119"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台</w:t>
            </w:r>
          </w:p>
        </w:tc>
        <w:tc>
          <w:tcPr>
            <w:tcW w:w="1119" w:type="dxa"/>
            <w:vAlign w:val="center"/>
          </w:tcPr>
          <w:p>
            <w:pPr>
              <w:pStyle w:val="25"/>
              <w:spacing w:line="320" w:lineRule="exact"/>
              <w:ind w:firstLine="24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2</w:t>
            </w:r>
          </w:p>
        </w:tc>
        <w:tc>
          <w:tcPr>
            <w:tcW w:w="5883" w:type="dxa"/>
            <w:vAlign w:val="center"/>
          </w:tcPr>
          <w:p>
            <w:pPr>
              <w:widowControl/>
              <w:spacing w:line="320" w:lineRule="exact"/>
              <w:jc w:val="center"/>
              <w:rPr>
                <w:rFonts w:ascii="仿宋" w:hAnsi="仿宋" w:eastAsia="仿宋" w:cs="仿宋"/>
                <w:b/>
                <w:sz w:val="24"/>
              </w:rPr>
            </w:pPr>
            <w:r>
              <w:rPr>
                <w:rFonts w:hint="eastAsia" w:ascii="仿宋" w:hAnsi="仿宋" w:eastAsia="仿宋" w:cs="仿宋"/>
                <w:kern w:val="0"/>
                <w:sz w:val="24"/>
              </w:rPr>
              <w:t>阳光房/柜体特色装饰</w:t>
            </w:r>
          </w:p>
        </w:tc>
        <w:tc>
          <w:tcPr>
            <w:tcW w:w="942"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10</w:t>
            </w:r>
          </w:p>
        </w:tc>
        <w:tc>
          <w:tcPr>
            <w:tcW w:w="1119"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套</w:t>
            </w:r>
          </w:p>
        </w:tc>
        <w:tc>
          <w:tcPr>
            <w:tcW w:w="1119" w:type="dxa"/>
            <w:vAlign w:val="center"/>
          </w:tcPr>
          <w:p>
            <w:pPr>
              <w:pStyle w:val="25"/>
              <w:spacing w:line="320" w:lineRule="exact"/>
              <w:ind w:firstLine="24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3</w:t>
            </w:r>
          </w:p>
        </w:tc>
        <w:tc>
          <w:tcPr>
            <w:tcW w:w="5883" w:type="dxa"/>
            <w:vAlign w:val="center"/>
          </w:tcPr>
          <w:p>
            <w:pPr>
              <w:widowControl/>
              <w:spacing w:line="320" w:lineRule="exact"/>
              <w:jc w:val="center"/>
              <w:rPr>
                <w:rFonts w:ascii="仿宋" w:hAnsi="仿宋" w:eastAsia="仿宋" w:cs="仿宋"/>
                <w:kern w:val="0"/>
                <w:sz w:val="24"/>
              </w:rPr>
            </w:pPr>
            <w:r>
              <w:rPr>
                <w:rFonts w:hint="eastAsia" w:ascii="仿宋" w:hAnsi="仿宋" w:eastAsia="仿宋" w:cs="仿宋"/>
                <w:kern w:val="0"/>
                <w:sz w:val="24"/>
              </w:rPr>
              <w:t>智能借阅柜文献配送服务</w:t>
            </w:r>
          </w:p>
          <w:p>
            <w:pPr>
              <w:widowControl/>
              <w:spacing w:line="320" w:lineRule="exact"/>
              <w:jc w:val="center"/>
              <w:rPr>
                <w:rFonts w:ascii="仿宋" w:hAnsi="仿宋" w:eastAsia="仿宋" w:cs="仿宋"/>
                <w:b/>
                <w:sz w:val="24"/>
              </w:rPr>
            </w:pPr>
            <w:r>
              <w:rPr>
                <w:rFonts w:hint="eastAsia" w:ascii="仿宋" w:hAnsi="仿宋" w:eastAsia="仿宋" w:cs="仿宋"/>
                <w:kern w:val="0"/>
                <w:sz w:val="24"/>
              </w:rPr>
              <w:t>（柜子正式运行后一年）</w:t>
            </w:r>
          </w:p>
        </w:tc>
        <w:tc>
          <w:tcPr>
            <w:tcW w:w="942"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1</w:t>
            </w:r>
          </w:p>
        </w:tc>
        <w:tc>
          <w:tcPr>
            <w:tcW w:w="1119"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项</w:t>
            </w:r>
          </w:p>
        </w:tc>
        <w:tc>
          <w:tcPr>
            <w:tcW w:w="1119" w:type="dxa"/>
            <w:vAlign w:val="center"/>
          </w:tcPr>
          <w:p>
            <w:pPr>
              <w:pStyle w:val="25"/>
              <w:spacing w:line="320" w:lineRule="exact"/>
              <w:ind w:firstLine="24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4</w:t>
            </w:r>
          </w:p>
        </w:tc>
        <w:tc>
          <w:tcPr>
            <w:tcW w:w="5883"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RFID自助借还机</w:t>
            </w:r>
          </w:p>
        </w:tc>
        <w:tc>
          <w:tcPr>
            <w:tcW w:w="942"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2</w:t>
            </w:r>
          </w:p>
        </w:tc>
        <w:tc>
          <w:tcPr>
            <w:tcW w:w="1119"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台</w:t>
            </w:r>
          </w:p>
        </w:tc>
        <w:tc>
          <w:tcPr>
            <w:tcW w:w="1119" w:type="dxa"/>
            <w:vAlign w:val="center"/>
          </w:tcPr>
          <w:p>
            <w:pPr>
              <w:pStyle w:val="25"/>
              <w:spacing w:line="320" w:lineRule="exact"/>
              <w:ind w:firstLine="24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5</w:t>
            </w:r>
          </w:p>
        </w:tc>
        <w:tc>
          <w:tcPr>
            <w:tcW w:w="5883"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RFID安全门</w:t>
            </w:r>
          </w:p>
        </w:tc>
        <w:tc>
          <w:tcPr>
            <w:tcW w:w="942"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4</w:t>
            </w:r>
          </w:p>
        </w:tc>
        <w:tc>
          <w:tcPr>
            <w:tcW w:w="1119"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片</w:t>
            </w:r>
          </w:p>
        </w:tc>
        <w:tc>
          <w:tcPr>
            <w:tcW w:w="1119" w:type="dxa"/>
            <w:vAlign w:val="center"/>
          </w:tcPr>
          <w:p>
            <w:pPr>
              <w:pStyle w:val="25"/>
              <w:spacing w:line="320" w:lineRule="exact"/>
              <w:ind w:firstLine="24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6</w:t>
            </w:r>
          </w:p>
        </w:tc>
        <w:tc>
          <w:tcPr>
            <w:tcW w:w="5883"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数字阅读设备</w:t>
            </w:r>
          </w:p>
        </w:tc>
        <w:tc>
          <w:tcPr>
            <w:tcW w:w="942"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2</w:t>
            </w:r>
          </w:p>
        </w:tc>
        <w:tc>
          <w:tcPr>
            <w:tcW w:w="1119"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台</w:t>
            </w:r>
          </w:p>
        </w:tc>
        <w:tc>
          <w:tcPr>
            <w:tcW w:w="1119" w:type="dxa"/>
            <w:vAlign w:val="center"/>
          </w:tcPr>
          <w:p>
            <w:pPr>
              <w:pStyle w:val="25"/>
              <w:spacing w:line="320" w:lineRule="exact"/>
              <w:ind w:firstLine="24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7</w:t>
            </w:r>
          </w:p>
        </w:tc>
        <w:tc>
          <w:tcPr>
            <w:tcW w:w="5883" w:type="dxa"/>
            <w:vAlign w:val="center"/>
          </w:tcPr>
          <w:p>
            <w:pPr>
              <w:widowControl/>
              <w:spacing w:line="320" w:lineRule="exact"/>
              <w:jc w:val="center"/>
              <w:rPr>
                <w:rStyle w:val="121"/>
                <w:rFonts w:ascii="仿宋" w:hAnsi="仿宋" w:eastAsia="仿宋" w:cs="仿宋"/>
                <w:color w:val="auto"/>
                <w:lang w:bidi="ar"/>
              </w:rPr>
            </w:pPr>
            <w:r>
              <w:rPr>
                <w:rFonts w:hint="eastAsia" w:ascii="仿宋" w:hAnsi="仿宋" w:eastAsia="仿宋" w:cs="仿宋"/>
                <w:kern w:val="0"/>
                <w:sz w:val="24"/>
              </w:rPr>
              <w:t>客流监测系统+摄像头</w:t>
            </w:r>
          </w:p>
        </w:tc>
        <w:tc>
          <w:tcPr>
            <w:tcW w:w="942"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22</w:t>
            </w:r>
          </w:p>
        </w:tc>
        <w:tc>
          <w:tcPr>
            <w:tcW w:w="1119"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套</w:t>
            </w:r>
          </w:p>
        </w:tc>
        <w:tc>
          <w:tcPr>
            <w:tcW w:w="1119" w:type="dxa"/>
            <w:vAlign w:val="center"/>
          </w:tcPr>
          <w:p>
            <w:pPr>
              <w:pStyle w:val="25"/>
              <w:spacing w:line="320" w:lineRule="exact"/>
              <w:ind w:firstLine="24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8</w:t>
            </w:r>
          </w:p>
        </w:tc>
        <w:tc>
          <w:tcPr>
            <w:tcW w:w="5883"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城市书房智慧运营管理平台建设（含城市书房手机借书系统、图书馆微服务大厅系统改造）</w:t>
            </w:r>
          </w:p>
        </w:tc>
        <w:tc>
          <w:tcPr>
            <w:tcW w:w="942"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1</w:t>
            </w:r>
          </w:p>
        </w:tc>
        <w:tc>
          <w:tcPr>
            <w:tcW w:w="1119"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项</w:t>
            </w:r>
          </w:p>
        </w:tc>
        <w:tc>
          <w:tcPr>
            <w:tcW w:w="1119" w:type="dxa"/>
            <w:vAlign w:val="center"/>
          </w:tcPr>
          <w:p>
            <w:pPr>
              <w:pStyle w:val="25"/>
              <w:spacing w:line="320" w:lineRule="exact"/>
              <w:ind w:firstLine="24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pPr>
              <w:pStyle w:val="25"/>
              <w:spacing w:line="320" w:lineRule="exact"/>
              <w:ind w:firstLine="0"/>
              <w:jc w:val="center"/>
              <w:rPr>
                <w:rFonts w:ascii="仿宋" w:hAnsi="仿宋" w:eastAsia="仿宋" w:cs="仿宋"/>
              </w:rPr>
            </w:pPr>
            <w:r>
              <w:rPr>
                <w:rFonts w:hint="eastAsia" w:ascii="仿宋" w:hAnsi="仿宋" w:eastAsia="仿宋" w:cs="仿宋"/>
              </w:rPr>
              <w:t>9</w:t>
            </w:r>
          </w:p>
        </w:tc>
        <w:tc>
          <w:tcPr>
            <w:tcW w:w="5883"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城市书房特色专题数据库</w:t>
            </w:r>
          </w:p>
        </w:tc>
        <w:tc>
          <w:tcPr>
            <w:tcW w:w="942"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1</w:t>
            </w:r>
          </w:p>
        </w:tc>
        <w:tc>
          <w:tcPr>
            <w:tcW w:w="1119" w:type="dxa"/>
            <w:vAlign w:val="center"/>
          </w:tcPr>
          <w:p>
            <w:pPr>
              <w:widowControl/>
              <w:spacing w:line="320" w:lineRule="exact"/>
              <w:jc w:val="center"/>
              <w:rPr>
                <w:rFonts w:ascii="仿宋" w:hAnsi="仿宋" w:eastAsia="仿宋" w:cs="仿宋"/>
                <w:sz w:val="24"/>
              </w:rPr>
            </w:pPr>
            <w:r>
              <w:rPr>
                <w:rFonts w:hint="eastAsia" w:ascii="仿宋" w:hAnsi="仿宋" w:eastAsia="仿宋" w:cs="仿宋"/>
                <w:kern w:val="0"/>
                <w:sz w:val="24"/>
              </w:rPr>
              <w:t>个</w:t>
            </w:r>
          </w:p>
        </w:tc>
        <w:tc>
          <w:tcPr>
            <w:tcW w:w="1119" w:type="dxa"/>
            <w:vAlign w:val="center"/>
          </w:tcPr>
          <w:p>
            <w:pPr>
              <w:pStyle w:val="25"/>
              <w:spacing w:line="320" w:lineRule="exact"/>
              <w:ind w:firstLine="240"/>
              <w:jc w:val="center"/>
              <w:rPr>
                <w:rFonts w:ascii="仿宋" w:hAnsi="仿宋" w:eastAsia="仿宋" w:cs="仿宋"/>
              </w:rPr>
            </w:pPr>
          </w:p>
        </w:tc>
      </w:tr>
    </w:tbl>
    <w:p>
      <w:pPr>
        <w:pStyle w:val="3"/>
        <w:keepNext w:val="0"/>
        <w:keepLines w:val="0"/>
        <w:wordWrap w:val="0"/>
        <w:topLinePunct/>
        <w:adjustRightInd/>
        <w:spacing w:before="0" w:after="0" w:line="360" w:lineRule="auto"/>
        <w:rPr>
          <w:rFonts w:ascii="仿宋" w:hAnsi="仿宋" w:eastAsia="仿宋" w:cs="仿宋"/>
          <w:sz w:val="24"/>
          <w:szCs w:val="24"/>
        </w:rPr>
      </w:pPr>
      <w:r>
        <w:rPr>
          <w:rFonts w:hint="eastAsia" w:ascii="仿宋" w:hAnsi="仿宋" w:eastAsia="仿宋" w:cs="仿宋"/>
          <w:sz w:val="24"/>
          <w:szCs w:val="24"/>
        </w:rPr>
        <w:t>二、设备参数及功能要求</w:t>
      </w:r>
    </w:p>
    <w:p>
      <w:pPr>
        <w:pStyle w:val="4"/>
        <w:keepNext w:val="0"/>
        <w:keepLines w:val="0"/>
        <w:wordWrap w:val="0"/>
        <w:topLinePunct/>
        <w:ind w:left="0" w:firstLine="482" w:firstLineChars="200"/>
        <w:rPr>
          <w:rFonts w:ascii="仿宋" w:eastAsia="仿宋" w:cs="仿宋"/>
          <w:sz w:val="24"/>
          <w:szCs w:val="24"/>
        </w:rPr>
      </w:pPr>
      <w:r>
        <w:rPr>
          <w:rFonts w:hint="eastAsia" w:ascii="仿宋" w:eastAsia="仿宋" w:cs="仿宋"/>
          <w:sz w:val="24"/>
          <w:szCs w:val="24"/>
        </w:rPr>
        <w:t>2.1智能借阅柜功能和参数要求</w:t>
      </w:r>
    </w:p>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2.1.1 技术要求</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1、对接芝麻信用系统：供应商需提供与芝麻信用对接证明文件。</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2、支持对接滨江区图书馆“约书到柜”系统，并提供对接方案及原型图。</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3、后期可根据采购方需求，支持对接杭州市“一键借阅”系统。</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4、可支持信创改造。</w:t>
      </w:r>
    </w:p>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2.1.2 功能要求</w:t>
      </w:r>
    </w:p>
    <w:p>
      <w:pPr>
        <w:wordWrap w:val="0"/>
        <w:topLinePunct/>
        <w:adjustRightInd/>
        <w:spacing w:line="360" w:lineRule="auto"/>
        <w:ind w:firstLine="482" w:firstLineChars="200"/>
        <w:rPr>
          <w:rFonts w:ascii="仿宋" w:hAnsi="仿宋" w:eastAsia="仿宋" w:cs="仿宋"/>
          <w:b/>
          <w:sz w:val="24"/>
        </w:rPr>
      </w:pPr>
      <w:r>
        <w:rPr>
          <w:rFonts w:hint="eastAsia" w:ascii="仿宋" w:hAnsi="仿宋" w:eastAsia="仿宋" w:cs="仿宋"/>
          <w:b/>
          <w:sz w:val="24"/>
        </w:rPr>
        <w:t>1、读者前端功能要求：</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（1）★</w:t>
      </w:r>
      <w:r>
        <w:rPr>
          <w:rFonts w:hint="eastAsia" w:ascii="仿宋" w:hAnsi="仿宋" w:eastAsia="仿宋" w:cs="仿宋"/>
          <w:sz w:val="24"/>
        </w:rPr>
        <w:t>供应商提供的设备必须对接芝麻信用系统，能够实现读者的芝麻信用分符合要求馆方设定的要求，即可免押金免办卡成为图书馆读者；</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（2）供应商</w:t>
      </w:r>
      <w:r>
        <w:rPr>
          <w:rFonts w:hint="eastAsia" w:ascii="仿宋" w:hAnsi="仿宋" w:eastAsia="仿宋" w:cs="仿宋"/>
          <w:kern w:val="0"/>
          <w:sz w:val="24"/>
        </w:rPr>
        <w:t>提供的设备可以支持读者使用支付宝扫一扫，验证通过后，对应的柜门自动弹开，实现现场借、还图书的功能；</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供应商</w:t>
      </w:r>
      <w:r>
        <w:rPr>
          <w:rFonts w:hint="eastAsia" w:ascii="仿宋" w:hAnsi="仿宋" w:eastAsia="仿宋" w:cs="仿宋"/>
          <w:kern w:val="0"/>
          <w:sz w:val="24"/>
        </w:rPr>
        <w:t>提供的设备必须支持以下读者身份验证方式：1.支付宝扫码；2.读者证。后续将根据图书馆要求，免费升级增加支持社保卡登陆的方式。</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（4）供应商</w:t>
      </w:r>
      <w:r>
        <w:rPr>
          <w:rFonts w:hint="eastAsia" w:ascii="仿宋" w:hAnsi="仿宋" w:eastAsia="仿宋" w:cs="仿宋"/>
          <w:kern w:val="0"/>
          <w:sz w:val="24"/>
        </w:rPr>
        <w:t>提供的设备支持屏幕信息展示、触屏操作；</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（5）供应商</w:t>
      </w:r>
      <w:r>
        <w:rPr>
          <w:rFonts w:hint="eastAsia" w:ascii="仿宋" w:hAnsi="仿宋" w:eastAsia="仿宋" w:cs="仿宋"/>
          <w:kern w:val="0"/>
          <w:sz w:val="24"/>
        </w:rPr>
        <w:t>提供的设备支持图书RFID标签信息的读取；</w:t>
      </w:r>
    </w:p>
    <w:p>
      <w:pPr>
        <w:wordWrap w:val="0"/>
        <w:topLinePunct/>
        <w:adjustRightInd/>
        <w:spacing w:line="360" w:lineRule="auto"/>
        <w:ind w:firstLine="482" w:firstLineChars="200"/>
        <w:rPr>
          <w:rFonts w:ascii="仿宋" w:hAnsi="仿宋" w:eastAsia="仿宋" w:cs="仿宋"/>
          <w:b/>
          <w:sz w:val="24"/>
        </w:rPr>
      </w:pPr>
      <w:r>
        <w:rPr>
          <w:rFonts w:hint="eastAsia" w:ascii="仿宋" w:hAnsi="仿宋" w:eastAsia="仿宋" w:cs="仿宋"/>
          <w:b/>
          <w:sz w:val="24"/>
        </w:rPr>
        <w:t>2、后台管理功能要求</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对接图书馆现有图书管理系统，设备内所有借还数据，同步到图书馆现有图书管理系统；</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供应商</w:t>
      </w:r>
      <w:r>
        <w:rPr>
          <w:rFonts w:hint="eastAsia" w:ascii="仿宋" w:hAnsi="仿宋" w:eastAsia="仿宋" w:cs="仿宋"/>
          <w:kern w:val="0"/>
          <w:sz w:val="24"/>
        </w:rPr>
        <w:t>提供的设备后台支持图书的投递、存放、预约、上架、下架功能；</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供应商</w:t>
      </w:r>
      <w:r>
        <w:rPr>
          <w:rFonts w:hint="eastAsia" w:ascii="仿宋" w:hAnsi="仿宋" w:eastAsia="仿宋" w:cs="仿宋"/>
          <w:kern w:val="0"/>
          <w:sz w:val="24"/>
        </w:rPr>
        <w:t>提供的设备后台管理系统需具备实时监控、管理设备运行情况、如设备不在线，可立即通过短信或其他方式通知管理人员的功能；</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（4）供应商</w:t>
      </w:r>
      <w:r>
        <w:rPr>
          <w:rFonts w:hint="eastAsia" w:ascii="仿宋" w:hAnsi="仿宋" w:eastAsia="仿宋" w:cs="仿宋"/>
          <w:kern w:val="0"/>
          <w:sz w:val="24"/>
        </w:rPr>
        <w:t>提供的设备后台管理系统需具备：查询统计柜子流通记录，统计图书流通信息的功能；</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（5）供应商</w:t>
      </w:r>
      <w:r>
        <w:rPr>
          <w:rFonts w:hint="eastAsia" w:ascii="仿宋" w:hAnsi="仿宋" w:eastAsia="仿宋" w:cs="仿宋"/>
          <w:kern w:val="0"/>
          <w:sz w:val="24"/>
        </w:rPr>
        <w:t>提供的设备后台管理系统需具备：对设备进行设置，实现远程开箱，故障柜停用的功能；</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（6）供应商</w:t>
      </w:r>
      <w:r>
        <w:rPr>
          <w:rFonts w:hint="eastAsia" w:ascii="仿宋" w:hAnsi="仿宋" w:eastAsia="仿宋" w:cs="仿宋"/>
          <w:kern w:val="0"/>
          <w:sz w:val="24"/>
        </w:rPr>
        <w:t>提供的设备后台管理系统需具备：统一管理设备显示屏显示的视频、图文等内容的功能；</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（7）供应商</w:t>
      </w:r>
      <w:r>
        <w:rPr>
          <w:rFonts w:hint="eastAsia" w:ascii="仿宋" w:hAnsi="仿宋" w:eastAsia="仿宋" w:cs="仿宋"/>
          <w:kern w:val="0"/>
          <w:sz w:val="24"/>
        </w:rPr>
        <w:t>提供的设备后台管理系统需具备：保留读者还书时监控视频，实现读者还书视频查看的功能；</w:t>
      </w:r>
    </w:p>
    <w:p>
      <w:pPr>
        <w:wordWrap w:val="0"/>
        <w:topLinePunct/>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w:t>
      </w:r>
      <w:r>
        <w:rPr>
          <w:rFonts w:hint="eastAsia" w:ascii="仿宋" w:hAnsi="仿宋" w:eastAsia="仿宋" w:cs="仿宋"/>
          <w:spacing w:val="-6"/>
          <w:kern w:val="0"/>
          <w:sz w:val="24"/>
        </w:rPr>
        <w:t>★</w:t>
      </w:r>
      <w:r>
        <w:rPr>
          <w:rFonts w:hint="eastAsia" w:ascii="仿宋" w:hAnsi="仿宋" w:eastAsia="仿宋" w:cs="仿宋"/>
          <w:spacing w:val="-6"/>
          <w:sz w:val="24"/>
        </w:rPr>
        <w:t>供应商</w:t>
      </w:r>
      <w:r>
        <w:rPr>
          <w:rFonts w:hint="eastAsia" w:ascii="仿宋" w:hAnsi="仿宋" w:eastAsia="仿宋" w:cs="仿宋"/>
          <w:spacing w:val="-6"/>
          <w:kern w:val="0"/>
          <w:sz w:val="24"/>
        </w:rPr>
        <w:t>须提供智能借阅设备厂商出具的针对本项目的售后服务承诺书（加盖厂家公章）；</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（9）★支持</w:t>
      </w:r>
      <w:r>
        <w:rPr>
          <w:rFonts w:hint="eastAsia" w:ascii="仿宋" w:hAnsi="仿宋" w:eastAsia="仿宋" w:cs="仿宋"/>
          <w:sz w:val="24"/>
        </w:rPr>
        <w:t>与滨江区图书馆“约书到柜”平台、杭州市“一键借阅”平台数据同步（需提供对接承诺）；对接物流系统，实时投递、回收数据后台要求可以统计；</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（10）★</w:t>
      </w:r>
      <w:r>
        <w:rPr>
          <w:rFonts w:hint="eastAsia" w:ascii="仿宋" w:hAnsi="仿宋" w:eastAsia="仿宋" w:cs="仿宋"/>
          <w:sz w:val="24"/>
        </w:rPr>
        <w:t>供应商</w:t>
      </w:r>
      <w:r>
        <w:rPr>
          <w:rFonts w:hint="eastAsia" w:ascii="仿宋" w:hAnsi="仿宋" w:eastAsia="仿宋" w:cs="仿宋"/>
          <w:kern w:val="0"/>
          <w:sz w:val="24"/>
        </w:rPr>
        <w:t>提供的设备后台管理系统需具备：支持通过图书馆现有</w:t>
      </w:r>
      <w:r>
        <w:rPr>
          <w:rFonts w:hint="eastAsia" w:ascii="仿宋" w:hAnsi="仿宋" w:eastAsia="仿宋" w:cs="仿宋"/>
          <w:sz w:val="24"/>
        </w:rPr>
        <w:t>“约书到柜”平台</w:t>
      </w:r>
      <w:r>
        <w:rPr>
          <w:rFonts w:hint="eastAsia" w:ascii="仿宋" w:hAnsi="仿宋" w:eastAsia="仿宋" w:cs="仿宋"/>
          <w:kern w:val="0"/>
          <w:sz w:val="24"/>
        </w:rPr>
        <w:t>设置在不同场景下的运行状态，满足特定场所隐藏取书点设置功能；</w:t>
      </w:r>
    </w:p>
    <w:p>
      <w:pPr>
        <w:wordWrap w:val="0"/>
        <w:topLinePunct/>
        <w:adjustRightInd/>
        <w:spacing w:line="360" w:lineRule="auto"/>
        <w:ind w:firstLine="482" w:firstLineChars="200"/>
        <w:rPr>
          <w:rFonts w:ascii="仿宋" w:hAnsi="仿宋" w:eastAsia="仿宋" w:cs="仿宋"/>
          <w:b/>
          <w:sz w:val="24"/>
        </w:rPr>
      </w:pPr>
      <w:r>
        <w:rPr>
          <w:rFonts w:hint="eastAsia" w:ascii="仿宋" w:hAnsi="仿宋" w:eastAsia="仿宋" w:cs="仿宋"/>
          <w:b/>
          <w:sz w:val="24"/>
        </w:rPr>
        <w:t>2.1.3智能借阅柜120门参数</w:t>
      </w:r>
    </w:p>
    <w:tbl>
      <w:tblPr>
        <w:tblStyle w:val="62"/>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96"/>
        <w:gridCol w:w="7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信用借阅柜规格</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根据场地要求提供120门智能借阅柜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highlight w:val="none"/>
              </w:rPr>
            </w:pPr>
            <w:r>
              <w:rPr>
                <w:rFonts w:hint="eastAsia" w:ascii="仿宋" w:hAnsi="仿宋" w:eastAsia="仿宋" w:cs="仿宋"/>
                <w:sz w:val="24"/>
                <w:highlight w:val="none"/>
              </w:rPr>
              <w:t>仓储单元尺寸</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highlight w:val="none"/>
              </w:rPr>
            </w:pPr>
            <w:r>
              <w:rPr>
                <w:rFonts w:hint="eastAsia" w:ascii="仿宋" w:hAnsi="仿宋" w:eastAsia="仿宋" w:cs="仿宋"/>
                <w:sz w:val="24"/>
                <w:highlight w:val="none"/>
              </w:rPr>
              <w:t>大书格尺寸误差不超过</w:t>
            </w:r>
            <w:r>
              <w:rPr>
                <w:rFonts w:hint="default" w:ascii="仿宋" w:hAnsi="仿宋" w:eastAsia="仿宋" w:cs="仿宋"/>
                <w:sz w:val="24"/>
                <w:highlight w:val="none"/>
              </w:rPr>
              <w:t>10</w:t>
            </w:r>
            <w:r>
              <w:rPr>
                <w:rFonts w:hint="eastAsia" w:ascii="仿宋" w:hAnsi="仿宋" w:eastAsia="仿宋" w:cs="仿宋"/>
                <w:sz w:val="24"/>
                <w:highlight w:val="none"/>
              </w:rPr>
              <w:t>%：300mm高x60mm宽x280mm深</w:t>
            </w:r>
          </w:p>
          <w:p>
            <w:pPr>
              <w:wordWrap w:val="0"/>
              <w:topLinePunct/>
              <w:adjustRightInd/>
              <w:rPr>
                <w:rFonts w:ascii="仿宋" w:hAnsi="仿宋" w:eastAsia="仿宋" w:cs="仿宋"/>
                <w:sz w:val="24"/>
                <w:highlight w:val="none"/>
              </w:rPr>
            </w:pPr>
            <w:r>
              <w:rPr>
                <w:rFonts w:hint="eastAsia" w:ascii="仿宋" w:hAnsi="仿宋" w:eastAsia="仿宋" w:cs="仿宋"/>
                <w:sz w:val="24"/>
                <w:highlight w:val="none"/>
              </w:rPr>
              <w:t>小书格尺寸误差不超过</w:t>
            </w:r>
            <w:r>
              <w:rPr>
                <w:rFonts w:hint="default" w:ascii="仿宋" w:hAnsi="仿宋" w:eastAsia="仿宋" w:cs="仿宋"/>
                <w:sz w:val="24"/>
                <w:highlight w:val="none"/>
              </w:rPr>
              <w:t>10</w:t>
            </w:r>
            <w:r>
              <w:rPr>
                <w:rFonts w:hint="eastAsia" w:ascii="仿宋" w:hAnsi="仿宋" w:eastAsia="仿宋" w:cs="仿宋"/>
                <w:sz w:val="24"/>
                <w:highlight w:val="none"/>
              </w:rPr>
              <w:t>%：250mm高x60mm宽x280mm深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highlight w:val="none"/>
              </w:rPr>
            </w:pPr>
            <w:r>
              <w:rPr>
                <w:rFonts w:hint="eastAsia" w:ascii="仿宋" w:hAnsi="仿宋" w:eastAsia="仿宋" w:cs="仿宋"/>
                <w:sz w:val="24"/>
                <w:highlight w:val="none"/>
              </w:rPr>
              <w:t>预约柜单元尺寸及数量</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highlight w:val="none"/>
              </w:rPr>
            </w:pPr>
            <w:r>
              <w:rPr>
                <w:rFonts w:hint="eastAsia" w:ascii="仿宋" w:hAnsi="仿宋" w:eastAsia="仿宋" w:cs="仿宋"/>
                <w:sz w:val="24"/>
                <w:highlight w:val="none"/>
              </w:rPr>
              <w:t>300mm高度二层4格，误差不超过</w:t>
            </w:r>
            <w:r>
              <w:rPr>
                <w:rFonts w:hint="default" w:ascii="仿宋" w:hAnsi="仿宋" w:eastAsia="仿宋" w:cs="仿宋"/>
                <w:sz w:val="24"/>
                <w:highlight w:val="none"/>
              </w:rPr>
              <w:t>10</w:t>
            </w:r>
            <w:r>
              <w:rPr>
                <w:rFonts w:hint="eastAsia" w:ascii="仿宋" w:hAnsi="仿宋" w:eastAsia="仿宋" w:cs="仿宋"/>
                <w:sz w:val="24"/>
                <w:highlight w:val="none"/>
              </w:rPr>
              <w:t>%，200mm高度三层6格，误差不超过</w:t>
            </w:r>
            <w:r>
              <w:rPr>
                <w:rFonts w:hint="default" w:ascii="仿宋" w:hAnsi="仿宋" w:eastAsia="仿宋" w:cs="仿宋"/>
                <w:sz w:val="24"/>
                <w:highlight w:val="none"/>
              </w:rPr>
              <w:t>10</w:t>
            </w:r>
            <w:r>
              <w:rPr>
                <w:rFonts w:hint="eastAsia" w:ascii="仿宋" w:hAnsi="仿宋" w:eastAsia="仿宋" w:cs="仿宋"/>
                <w:sz w:val="24"/>
                <w:highlight w:val="none"/>
              </w:rPr>
              <w:t>%，150mm高度四层8格，误差不超过</w:t>
            </w:r>
            <w:r>
              <w:rPr>
                <w:rFonts w:hint="default" w:ascii="仿宋" w:hAnsi="仿宋" w:eastAsia="仿宋" w:cs="仿宋"/>
                <w:sz w:val="24"/>
                <w:highlight w:val="none"/>
              </w:rPr>
              <w:t>10</w:t>
            </w:r>
            <w:r>
              <w:rPr>
                <w:rFonts w:hint="eastAsia" w:ascii="仿宋" w:hAnsi="仿宋" w:eastAsia="仿宋" w:cs="仿宋"/>
                <w:sz w:val="24"/>
                <w:highlight w:val="none"/>
              </w:rPr>
              <w:t>%，并支持扩展；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智能借阅柜容量</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单个借阅柜应不少于120个仓储单元，存放不少于120本图书（常规尺寸），并支持扩展；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还书箱容量</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 50本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读者认证系统</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支持支付宝扫码、人脸识别认证、身份证、市民卡、读者卡借阅；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可实现功能</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现场借书、现场还书，内置RFID感应系统，可实时识别读者借阅或归还的图书，实现完全自助的借书和还书。支持支付宝扫码、人脸识别认证、身份证、市民卡、读者卡借阅；预约取书；电子书阅读；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highlight w:val="none"/>
              </w:rPr>
            </w:pPr>
            <w:r>
              <w:rPr>
                <w:rFonts w:hint="eastAsia" w:ascii="仿宋" w:hAnsi="仿宋" w:eastAsia="仿宋" w:cs="仿宋"/>
                <w:sz w:val="24"/>
                <w:highlight w:val="none"/>
              </w:rPr>
              <w:t>触控屏</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highlight w:val="none"/>
              </w:rPr>
            </w:pPr>
            <w:r>
              <w:rPr>
                <w:rFonts w:hint="default" w:ascii="仿宋" w:hAnsi="仿宋" w:eastAsia="仿宋" w:cs="仿宋"/>
                <w:sz w:val="24"/>
                <w:highlight w:val="none"/>
              </w:rPr>
              <w:t>不小于</w:t>
            </w:r>
            <w:r>
              <w:rPr>
                <w:rFonts w:hint="eastAsia" w:ascii="仿宋" w:hAnsi="仿宋" w:eastAsia="仿宋" w:cs="仿宋"/>
                <w:sz w:val="24"/>
                <w:highlight w:val="none"/>
              </w:rPr>
              <w:t>2</w:t>
            </w:r>
            <w:r>
              <w:rPr>
                <w:rFonts w:hint="default" w:ascii="仿宋" w:hAnsi="仿宋" w:eastAsia="仿宋" w:cs="仿宋"/>
                <w:sz w:val="24"/>
                <w:highlight w:val="none"/>
              </w:rPr>
              <w:t>5</w:t>
            </w:r>
            <w:r>
              <w:rPr>
                <w:rFonts w:hint="eastAsia" w:ascii="仿宋" w:hAnsi="仿宋" w:eastAsia="仿宋" w:cs="仿宋"/>
                <w:sz w:val="24"/>
                <w:highlight w:val="none"/>
              </w:rPr>
              <w:t>寸高清触控屏（可定制）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开门方式</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电磁锁开门，带语音提示；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适用商品</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书籍、杂志（需带有RFID标签）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电源</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220V±10%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39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工作模式</w:t>
            </w:r>
          </w:p>
        </w:tc>
        <w:tc>
          <w:tcPr>
            <w:tcW w:w="762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单机、联网、24小时自助</w:t>
            </w:r>
          </w:p>
        </w:tc>
      </w:tr>
    </w:tbl>
    <w:p>
      <w:pPr>
        <w:wordWrap w:val="0"/>
        <w:topLinePunct/>
        <w:adjustRightInd/>
        <w:spacing w:line="360" w:lineRule="auto"/>
        <w:rPr>
          <w:rFonts w:ascii="仿宋" w:hAnsi="仿宋" w:eastAsia="仿宋" w:cs="仿宋"/>
          <w:b/>
          <w:sz w:val="24"/>
        </w:rPr>
      </w:pPr>
      <w:r>
        <w:rPr>
          <w:rFonts w:hint="eastAsia" w:ascii="仿宋" w:hAnsi="仿宋" w:eastAsia="仿宋" w:cs="仿宋"/>
          <w:b/>
          <w:sz w:val="24"/>
        </w:rPr>
        <w:t>2.1.4智能借阅柜240门参数</w:t>
      </w:r>
    </w:p>
    <w:tbl>
      <w:tblPr>
        <w:tblStyle w:val="62"/>
        <w:tblW w:w="10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66"/>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信用借阅柜规格</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根据场地要求提供240门智能借阅柜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highlight w:val="none"/>
              </w:rPr>
            </w:pPr>
            <w:r>
              <w:rPr>
                <w:rFonts w:hint="eastAsia" w:ascii="仿宋" w:hAnsi="仿宋" w:eastAsia="仿宋" w:cs="仿宋"/>
                <w:sz w:val="24"/>
                <w:highlight w:val="none"/>
              </w:rPr>
              <w:t>仓储单元尺寸</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highlight w:val="none"/>
              </w:rPr>
            </w:pPr>
            <w:r>
              <w:rPr>
                <w:rFonts w:hint="eastAsia" w:ascii="仿宋" w:hAnsi="仿宋" w:eastAsia="仿宋" w:cs="仿宋"/>
                <w:sz w:val="24"/>
                <w:highlight w:val="none"/>
              </w:rPr>
              <w:t>大书格尺寸误差不超过</w:t>
            </w:r>
            <w:r>
              <w:rPr>
                <w:rFonts w:hint="default" w:ascii="仿宋" w:hAnsi="仿宋" w:eastAsia="仿宋" w:cs="仿宋"/>
                <w:sz w:val="24"/>
                <w:highlight w:val="none"/>
              </w:rPr>
              <w:t>10</w:t>
            </w:r>
            <w:r>
              <w:rPr>
                <w:rFonts w:hint="eastAsia" w:ascii="仿宋" w:hAnsi="仿宋" w:eastAsia="仿宋" w:cs="仿宋"/>
                <w:sz w:val="24"/>
                <w:highlight w:val="none"/>
              </w:rPr>
              <w:t>%：300mm高x60mm宽x280mm深</w:t>
            </w:r>
          </w:p>
          <w:p>
            <w:pPr>
              <w:wordWrap w:val="0"/>
              <w:topLinePunct/>
              <w:adjustRightInd/>
              <w:rPr>
                <w:rFonts w:ascii="仿宋" w:hAnsi="仿宋" w:eastAsia="仿宋" w:cs="仿宋"/>
                <w:sz w:val="24"/>
                <w:highlight w:val="none"/>
              </w:rPr>
            </w:pPr>
            <w:r>
              <w:rPr>
                <w:rFonts w:hint="eastAsia" w:ascii="仿宋" w:hAnsi="仿宋" w:eastAsia="仿宋" w:cs="仿宋"/>
                <w:sz w:val="24"/>
                <w:highlight w:val="none"/>
              </w:rPr>
              <w:t>小书格尺寸误差不超过</w:t>
            </w:r>
            <w:r>
              <w:rPr>
                <w:rFonts w:hint="default" w:ascii="仿宋" w:hAnsi="仿宋" w:eastAsia="仿宋" w:cs="仿宋"/>
                <w:sz w:val="24"/>
                <w:highlight w:val="none"/>
              </w:rPr>
              <w:t>10</w:t>
            </w:r>
            <w:r>
              <w:rPr>
                <w:rFonts w:hint="eastAsia" w:ascii="仿宋" w:hAnsi="仿宋" w:eastAsia="仿宋" w:cs="仿宋"/>
                <w:sz w:val="24"/>
                <w:highlight w:val="none"/>
              </w:rPr>
              <w:t>%：250mm高x60mm宽x280mm深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智能借阅柜容量</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单个借阅柜应不少于240个仓储单元，存放不少于240本图书（常规尺寸），并支持扩展；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还书箱容量</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 50本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读者认证系统</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支持支付宝扫码、人脸识别认证、身份证、市民卡、读者卡借阅；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可实现功能</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现场借书、现场还书，内置RFID感应系统，可实时识别读者借阅或归还的图书，实现完全自助的借书和还书。支持支付宝扫码、人脸识别认证、身份证、市民卡、读者卡借阅；预约取书；电子书阅读；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highlight w:val="none"/>
              </w:rPr>
            </w:pPr>
            <w:r>
              <w:rPr>
                <w:rFonts w:hint="eastAsia" w:ascii="仿宋" w:hAnsi="仿宋" w:eastAsia="仿宋" w:cs="仿宋"/>
                <w:sz w:val="24"/>
                <w:highlight w:val="none"/>
              </w:rPr>
              <w:t>触控屏</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highlight w:val="none"/>
              </w:rPr>
            </w:pPr>
            <w:r>
              <w:rPr>
                <w:rFonts w:hint="default" w:ascii="仿宋" w:hAnsi="仿宋" w:eastAsia="仿宋" w:cs="仿宋"/>
                <w:sz w:val="24"/>
                <w:highlight w:val="none"/>
              </w:rPr>
              <w:t>不小于</w:t>
            </w:r>
            <w:r>
              <w:rPr>
                <w:rFonts w:hint="eastAsia" w:ascii="仿宋" w:hAnsi="仿宋" w:eastAsia="仿宋" w:cs="仿宋"/>
                <w:sz w:val="24"/>
                <w:highlight w:val="none"/>
              </w:rPr>
              <w:t>2</w:t>
            </w:r>
            <w:r>
              <w:rPr>
                <w:rFonts w:hint="default" w:ascii="仿宋" w:hAnsi="仿宋" w:eastAsia="仿宋" w:cs="仿宋"/>
                <w:sz w:val="24"/>
                <w:highlight w:val="none"/>
              </w:rPr>
              <w:t>5</w:t>
            </w:r>
            <w:r>
              <w:rPr>
                <w:rFonts w:hint="eastAsia" w:ascii="仿宋" w:hAnsi="仿宋" w:eastAsia="仿宋" w:cs="仿宋"/>
                <w:sz w:val="24"/>
                <w:highlight w:val="none"/>
              </w:rPr>
              <w:t>寸高清触控屏（可定制）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开门方式</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电磁锁开门，带语音提示；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适用商品</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书籍、杂志（需带有RFID标签）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电源</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220V±10%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366" w:type="dxa"/>
            <w:shd w:val="clear" w:color="auto" w:fill="auto"/>
            <w:tcMar>
              <w:top w:w="72" w:type="dxa"/>
              <w:left w:w="144" w:type="dxa"/>
              <w:bottom w:w="72" w:type="dxa"/>
              <w:right w:w="144" w:type="dxa"/>
            </w:tcMar>
            <w:vAlign w:val="center"/>
          </w:tcPr>
          <w:p>
            <w:pPr>
              <w:wordWrap w:val="0"/>
              <w:topLinePunct/>
              <w:adjustRightInd/>
              <w:jc w:val="center"/>
              <w:rPr>
                <w:rFonts w:ascii="仿宋" w:hAnsi="仿宋" w:eastAsia="仿宋" w:cs="仿宋"/>
                <w:sz w:val="24"/>
              </w:rPr>
            </w:pPr>
            <w:r>
              <w:rPr>
                <w:rFonts w:hint="eastAsia" w:ascii="仿宋" w:hAnsi="仿宋" w:eastAsia="仿宋" w:cs="仿宋"/>
                <w:sz w:val="24"/>
              </w:rPr>
              <w:t>工作模式</w:t>
            </w:r>
          </w:p>
        </w:tc>
        <w:tc>
          <w:tcPr>
            <w:tcW w:w="7659" w:type="dxa"/>
            <w:shd w:val="clear" w:color="auto" w:fill="auto"/>
            <w:tcMar>
              <w:top w:w="72" w:type="dxa"/>
              <w:left w:w="144" w:type="dxa"/>
              <w:bottom w:w="72" w:type="dxa"/>
              <w:right w:w="144" w:type="dxa"/>
            </w:tcMar>
            <w:vAlign w:val="center"/>
          </w:tcPr>
          <w:p>
            <w:pPr>
              <w:wordWrap w:val="0"/>
              <w:topLinePunct/>
              <w:adjustRightInd/>
              <w:rPr>
                <w:rFonts w:ascii="仿宋" w:hAnsi="仿宋" w:eastAsia="仿宋" w:cs="仿宋"/>
                <w:sz w:val="24"/>
              </w:rPr>
            </w:pPr>
            <w:r>
              <w:rPr>
                <w:rFonts w:hint="eastAsia" w:ascii="仿宋" w:hAnsi="仿宋" w:eastAsia="仿宋" w:cs="仿宋"/>
                <w:sz w:val="24"/>
              </w:rPr>
              <w:t>单机、联网、24小时自助</w:t>
            </w:r>
          </w:p>
        </w:tc>
      </w:tr>
    </w:tbl>
    <w:p>
      <w:pPr>
        <w:pStyle w:val="4"/>
        <w:keepNext w:val="0"/>
        <w:keepLines w:val="0"/>
        <w:wordWrap w:val="0"/>
        <w:topLinePunct/>
        <w:ind w:left="0" w:firstLine="482" w:firstLineChars="200"/>
        <w:rPr>
          <w:rStyle w:val="121"/>
          <w:rFonts w:ascii="仿宋" w:hAnsi="仿宋" w:eastAsia="仿宋" w:cs="仿宋"/>
          <w:color w:val="auto"/>
          <w:lang w:bidi="ar"/>
        </w:rPr>
      </w:pPr>
      <w:r>
        <w:rPr>
          <w:rFonts w:hint="eastAsia" w:ascii="仿宋" w:eastAsia="仿宋" w:cs="仿宋"/>
          <w:sz w:val="24"/>
          <w:szCs w:val="24"/>
        </w:rPr>
        <w:t>2.2阳光房/柜体特色装饰</w:t>
      </w:r>
    </w:p>
    <w:p>
      <w:pPr>
        <w:wordWrap w:val="0"/>
        <w:topLinePunct/>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装饰需求</w:t>
      </w:r>
    </w:p>
    <w:p>
      <w:pPr>
        <w:wordWrap w:val="0"/>
        <w:topLinePunct/>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本次招标项目需将智能借阅柜通过装饰方式整合为一体。主要材料限定如下：</w:t>
      </w:r>
    </w:p>
    <w:p>
      <w:pPr>
        <w:wordWrap w:val="0"/>
        <w:topLinePunct/>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主体结构材料：钢结构；</w:t>
      </w:r>
    </w:p>
    <w:p>
      <w:pPr>
        <w:wordWrap w:val="0"/>
        <w:topLinePunct/>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表面面板覆盖：顶不低于5*5mm钢化夹胶玻璃，边不低于6*6mm钢化夹胶玻璃。</w:t>
      </w:r>
    </w:p>
    <w:p>
      <w:pPr>
        <w:pStyle w:val="4"/>
        <w:keepNext w:val="0"/>
        <w:keepLines w:val="0"/>
        <w:wordWrap w:val="0"/>
        <w:topLinePunct/>
        <w:ind w:left="0" w:firstLine="482" w:firstLineChars="200"/>
        <w:rPr>
          <w:rFonts w:ascii="仿宋" w:eastAsia="仿宋" w:cs="仿宋"/>
          <w:sz w:val="24"/>
          <w:szCs w:val="24"/>
        </w:rPr>
      </w:pPr>
      <w:r>
        <w:rPr>
          <w:rFonts w:hint="eastAsia" w:ascii="仿宋" w:eastAsia="仿宋" w:cs="仿宋"/>
          <w:sz w:val="24"/>
          <w:szCs w:val="24"/>
        </w:rPr>
        <w:t>2.3智能借阅柜文献配送服务要求</w:t>
      </w:r>
    </w:p>
    <w:p>
      <w:pPr>
        <w:wordWrap w:val="0"/>
        <w:topLinePunct/>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2.3.1配送时间</w:t>
      </w:r>
    </w:p>
    <w:p>
      <w:pPr>
        <w:wordWrap w:val="0"/>
        <w:topLinePunct/>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按照滨江区图书馆“约书到柜”系统预约图书订单，配送至读者指定预约的图书柜中，配送时间不能超过3天；后期如对接杭州市</w:t>
      </w:r>
      <w:r>
        <w:rPr>
          <w:rFonts w:hint="eastAsia" w:ascii="仿宋" w:hAnsi="仿宋" w:eastAsia="仿宋" w:cs="仿宋"/>
          <w:sz w:val="24"/>
        </w:rPr>
        <w:t>“一键借阅”平台，需根据实际情况，调整配送时间。</w:t>
      </w:r>
    </w:p>
    <w:p>
      <w:pPr>
        <w:wordWrap w:val="0"/>
        <w:topLinePunct/>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2.3.2图书更换频率</w:t>
      </w:r>
    </w:p>
    <w:p>
      <w:pPr>
        <w:wordWrap w:val="0"/>
        <w:topLinePunct/>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根据智能借阅柜管理后台的读者借阅数据，对每个智能借阅柜图书借阅情况进行读者阅读喜好分析，根据读者喜好进行图书更换依据，并以每15天一次的频率进行更换；每次更换比例不低于50%；</w:t>
      </w:r>
    </w:p>
    <w:p>
      <w:pPr>
        <w:wordWrap w:val="0"/>
        <w:topLinePunct/>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2.3.3还书取回频率</w:t>
      </w:r>
    </w:p>
    <w:p>
      <w:pPr>
        <w:wordWrap w:val="0"/>
        <w:topLinePunct/>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读者在智能借阅柜归还的图书，定期取回图书馆，频次不低于15天一次，企业、大型社区等还书业务量较大的“智慧借阅点”，频次根据实际运行情况进行增加。</w:t>
      </w:r>
    </w:p>
    <w:p>
      <w:pPr>
        <w:pStyle w:val="4"/>
        <w:keepNext w:val="0"/>
        <w:keepLines w:val="0"/>
        <w:wordWrap w:val="0"/>
        <w:topLinePunct/>
        <w:ind w:left="0" w:firstLine="482" w:firstLineChars="200"/>
        <w:rPr>
          <w:rFonts w:ascii="仿宋" w:eastAsia="仿宋" w:cs="仿宋"/>
          <w:sz w:val="24"/>
          <w:szCs w:val="24"/>
        </w:rPr>
      </w:pPr>
      <w:r>
        <w:rPr>
          <w:rFonts w:hint="eastAsia" w:ascii="仿宋" w:eastAsia="仿宋" w:cs="仿宋"/>
          <w:sz w:val="24"/>
          <w:szCs w:val="24"/>
        </w:rPr>
        <w:t>2.4 RFID自助借还机</w:t>
      </w:r>
    </w:p>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2.4.1功能要求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1、系统支持办证、借书、还书、续借、查询等功能;</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2、系统具备安全设计和借书自动退出机制，读者借书完成后，可根据后台设置的规定时间内退出，避免借还过程中出现漏读、误读现象，以防交叉错借书籍;</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3、支持设备开机硬件状态自检，具备故障智能报警功能，在设备故障或系统出错时可根据需求选择接入图书馆总馆，通过图书馆提供的邮箱通知相关的技术人员;</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4、★设备支持与滨江区图书馆对接，无缝识别滨江区图书馆注册读者和杭州图书馆总分馆体系内所有图书馆的注册读者进行借、还书；</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5、支持多种登录：支持刷身份证、RFID读者证、输入帐号密码登录，微信扫码登录等；</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6、微信登录，图书借完之后，通过图书馆微信号实时推送借阅清单，不需要打印纸条；</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7、当打印机收据纸不足或者缺纸时，无需工作人员人工检测，系统自动报警提示，界面上显示缺纸信息。</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8、支持支付宝芝麻信用分注册、绑定读者证借还书、缴纳滞纳金等功能，手机打开支付宝注册、绑定读者证，需要经过芝麻信用判断是否通过验证授权，绑定读者证成功后可通过支付宝“扫一扫”功能，扫描自助机二维码开启借书授权，将图书放在自助机感应板进行借书操作，取走图书即判断借书完。</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9、系统支持首页播放宣传馆内宣传视频或者公告活动功能，通过设定好图片或视频，充当宣传展示设备，当读者需要借还，能自动感应到读者，并自动跳转到主界面；</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10、可支持信创改造。</w:t>
      </w:r>
    </w:p>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2.4.2技术要求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1、工作频率：13.56MHz。</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2、外观材质：铝合金、冷轧钢材料，金属烤漆工艺。</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3、屏幕尺寸：≥21.5寸、触控操作、分辨率：不低于1920*1080 。</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4、设备尺寸约为：L522mm *W600mm *H1577mm（±20mm）。</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5、处理器：双核四线程；内存：≥4G ；磁盘存储：≥128G。</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6、操作系统：windows。</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7、扫码器：支持一维码、二维码。</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8、通信方式 ：WiFi模块、RJ45接口、USB。</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9、摄像头：500 万像素摄像头。</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10、感应器:人体感应定位器。</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11、设备要求具备多模块提示灯功能。</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12、扩展功能：支持内嵌安装市民卡、接触式卡接口。</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13、读卡器：集成式读卡器，可支持兼容身份证和RFID读者卡等。</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 xml:space="preserve">14、设备要求支持自检功能：设备通电开机后，会自动检测办证机关联的硬件模块状态、网络状态，若关联的配件、网络模块发生关闭或者短暂故障，则自动关闭终端设备功能，待故障恢复后，自动恢复自主服务，无需人工干涉或重启服务。 </w:t>
      </w:r>
    </w:p>
    <w:p>
      <w:pPr>
        <w:pStyle w:val="4"/>
        <w:keepNext w:val="0"/>
        <w:keepLines w:val="0"/>
        <w:wordWrap w:val="0"/>
        <w:topLinePunct/>
        <w:ind w:left="0" w:firstLine="482" w:firstLineChars="200"/>
        <w:rPr>
          <w:rFonts w:ascii="仿宋" w:eastAsia="仿宋" w:cs="仿宋"/>
          <w:sz w:val="24"/>
          <w:szCs w:val="24"/>
        </w:rPr>
      </w:pPr>
      <w:r>
        <w:rPr>
          <w:rFonts w:hint="eastAsia" w:ascii="仿宋" w:eastAsia="仿宋" w:cs="仿宋"/>
          <w:sz w:val="24"/>
          <w:szCs w:val="24"/>
        </w:rPr>
        <w:t>2.5 RFID安全门</w:t>
      </w:r>
    </w:p>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2.5.1 功能要求</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1、非接触式的快速识别粘贴在流通资料上的RFID标签，不损坏粘贴在流通资料中的磁性介质的资料；</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2、设备系统需具有高侦测性能，能够进行三维监测，要求无误报，无漏报；</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3、具有音频和视觉报警信号，且信号源可设置，报警音量可调控；</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4、多通道安全检测门具备单通道独立报警和提示功能；</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5、设备本身具备人员流量计数功能，数据可重置；</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6、具备防盗模式，可无缝对接业务系统的借还数据，实时检测图书是否非法通过，若检测该图书无办理借书操作通过安全门即进行声音报警提示；</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7、支持单通道独立工作和多通道并列工作；</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8、可支持信创改造。</w:t>
      </w:r>
    </w:p>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2.5.2技术要求</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1、工作频率为13.56Mhz；</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2、通道宽度约为90CM-120CM；</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3、支持多种防盗模式：AFI、EAS和EAS+AFI；</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4、支持噪声检测，可检测周围环境是否有干扰信号；</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5、通信接口：支持(USB、串口、以太网、WIFI)，支持多方式接入；</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6、中心阅读范围半径：≦450 mm；</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7、响应速度：≥20个标签/秒；</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8、要求内嵌不低于3.5英寸显示屏显示人流量信息；</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9、灯光故障：支持故障提示灯设置（断网故障提示灯和门失联故障提示灯）；</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10、外壳材质：亚克力和钣金；</w:t>
      </w:r>
    </w:p>
    <w:p>
      <w:pPr>
        <w:pStyle w:val="25"/>
        <w:wordWrap w:val="0"/>
        <w:topLinePunct/>
        <w:autoSpaceDE/>
        <w:autoSpaceDN/>
        <w:adjustRightInd/>
        <w:ind w:firstLine="480" w:firstLineChars="200"/>
        <w:rPr>
          <w:rFonts w:ascii="仿宋" w:hAnsi="仿宋" w:eastAsia="仿宋" w:cs="仿宋"/>
        </w:rPr>
      </w:pPr>
      <w:r>
        <w:rPr>
          <w:rFonts w:hint="eastAsia" w:ascii="仿宋" w:hAnsi="仿宋" w:eastAsia="仿宋" w:cs="仿宋"/>
        </w:rPr>
        <w:t>11、工作温度：-10度~45度；</w:t>
      </w:r>
    </w:p>
    <w:p>
      <w:pPr>
        <w:pStyle w:val="4"/>
        <w:keepNext w:val="0"/>
        <w:keepLines w:val="0"/>
        <w:wordWrap w:val="0"/>
        <w:topLinePunct/>
        <w:ind w:left="0" w:firstLine="482" w:firstLineChars="200"/>
        <w:rPr>
          <w:rFonts w:ascii="仿宋" w:eastAsia="仿宋" w:cs="仿宋"/>
          <w:sz w:val="24"/>
          <w:szCs w:val="24"/>
        </w:rPr>
      </w:pPr>
      <w:r>
        <w:rPr>
          <w:rFonts w:hint="eastAsia" w:ascii="仿宋" w:eastAsia="仿宋" w:cs="仿宋"/>
          <w:sz w:val="24"/>
          <w:szCs w:val="24"/>
        </w:rPr>
        <w:t>2.6数字阅读设备</w:t>
      </w:r>
    </w:p>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2.6.1软件参数</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 xml:space="preserve">1、系统 </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（1）基于1080*1920分辨率大屏安卓触摸一体机研发，软件运行环境为Android7.1及以上系统。实现终端平台展示、图书资源管理、借阅等功能模块。</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（2）通过配套的手机客户端可以直接扫描电子书借阅机上的图书二维码下载图书到手机等移动终端中阅读。手机客户端需同时支持ios、android系统。</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（3）支持远程定时更新，支持一键更新，减少管理成本。</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2、借阅机资源</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电子书借阅机内置3000册正版授权的epub格式电子图书且与原版图书保持原貌一致，如相关图片、目录等，每月定时更新不少于150册热门电子图书。支持新书、热门图书标记功能，供读者参考。（每周新书推送，结合实事、节假日等针对不同主题，精选图书。）</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（2）内置期刊资源，期刊种类不少于200种，每月定期更新。</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期刊支持扫描下载至手机客户端中离线阅读。</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3、个性化</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借阅机终端系统支持定制显示单位名称、logo、待机画面、二维码，可将购买单位的名称和logo配置到程序中。可任意修改待机画面，通过后台可进行相关待机画面修改，随时满足采购单位的通知要求。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4、后台管理</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提供用户管理后台。采购单位可以自行配置借阅机的显示效果，挑选展示风格。</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5、可支持信创改造。</w:t>
      </w:r>
    </w:p>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2.6.2设备参数</w:t>
      </w:r>
    </w:p>
    <w:tbl>
      <w:tblPr>
        <w:tblStyle w:val="6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513"/>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功能描述</w:t>
            </w:r>
          </w:p>
        </w:tc>
        <w:tc>
          <w:tcPr>
            <w:tcW w:w="8363" w:type="dxa"/>
            <w:gridSpan w:val="2"/>
            <w:shd w:val="clear" w:color="auto" w:fill="auto"/>
          </w:tcPr>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szCs w:val="21"/>
              </w:rPr>
              <w:t>触摸嵌入方式：内置电容触摸屏</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szCs w:val="21"/>
              </w:rPr>
              <w:t>触摸屏感应方式嵌入式：</w:t>
            </w:r>
            <w:r>
              <w:rPr>
                <w:rFonts w:hint="eastAsia" w:ascii="仿宋" w:hAnsi="仿宋" w:eastAsia="仿宋" w:cs="仿宋"/>
                <w:kern w:val="0"/>
                <w:szCs w:val="21"/>
              </w:rPr>
              <w:t>投射式电容技术（电容触摸屏）</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kern w:val="0"/>
                <w:szCs w:val="21"/>
              </w:rPr>
              <w:t>触摸有效识别：&gt; 1.5mm</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kern w:val="0"/>
                <w:szCs w:val="21"/>
              </w:rPr>
              <w:t>扫描频率：200Hz</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szCs w:val="21"/>
              </w:rPr>
              <w:t>扫描精度：</w:t>
            </w:r>
            <w:r>
              <w:rPr>
                <w:rFonts w:hint="eastAsia" w:ascii="仿宋" w:hAnsi="仿宋" w:eastAsia="仿宋" w:cs="仿宋"/>
                <w:kern w:val="0"/>
                <w:szCs w:val="21"/>
              </w:rPr>
              <w:t>4096×4096</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szCs w:val="21"/>
              </w:rPr>
              <w:t>校准符合HID设备要求，无需校准</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szCs w:val="21"/>
              </w:rPr>
              <w:t>多点触摸：支持多点触摸和两人同时书写</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szCs w:val="21"/>
              </w:rPr>
              <w:t>触摸次数：无限制</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szCs w:val="21"/>
              </w:rPr>
              <w:t>触摸压力：无压力要求</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kern w:val="0"/>
                <w:szCs w:val="21"/>
              </w:rPr>
              <w:t>表面硬度：物理钢化,莫氏7级防爆玻璃</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szCs w:val="21"/>
              </w:rPr>
              <w:t>计算机响应系统：自动识别，无需安装驱动</w:t>
            </w:r>
          </w:p>
          <w:p>
            <w:pPr>
              <w:numPr>
                <w:ilvl w:val="0"/>
                <w:numId w:val="1"/>
              </w:numPr>
              <w:wordWrap w:val="0"/>
              <w:topLinePunct/>
              <w:adjustRightInd/>
              <w:spacing w:line="360" w:lineRule="exact"/>
              <w:ind w:left="0" w:firstLine="420" w:firstLineChars="200"/>
              <w:jc w:val="left"/>
              <w:rPr>
                <w:rFonts w:ascii="仿宋" w:hAnsi="仿宋" w:eastAsia="仿宋" w:cs="仿宋"/>
                <w:szCs w:val="21"/>
              </w:rPr>
            </w:pPr>
            <w:r>
              <w:rPr>
                <w:rFonts w:hint="eastAsia" w:ascii="仿宋" w:hAnsi="仿宋" w:eastAsia="仿宋" w:cs="仿宋"/>
                <w:szCs w:val="21"/>
              </w:rPr>
              <w:t>触摸系统供电方式：可用USB直接供电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液晶屏</w:t>
            </w:r>
          </w:p>
        </w:tc>
        <w:tc>
          <w:tcPr>
            <w:tcW w:w="8363" w:type="dxa"/>
            <w:gridSpan w:val="2"/>
            <w:shd w:val="clear" w:color="auto" w:fill="auto"/>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43 inch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屏幕分辨率</w:t>
            </w:r>
          </w:p>
        </w:tc>
        <w:tc>
          <w:tcPr>
            <w:tcW w:w="8363" w:type="dxa"/>
            <w:gridSpan w:val="2"/>
            <w:shd w:val="clear" w:color="auto" w:fill="auto"/>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可视角度</w:t>
            </w:r>
          </w:p>
        </w:tc>
        <w:tc>
          <w:tcPr>
            <w:tcW w:w="8363" w:type="dxa"/>
            <w:gridSpan w:val="2"/>
            <w:shd w:val="clear" w:color="auto" w:fill="auto"/>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89°/89°/89°/89°(L/R/U/D)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亮度</w:t>
            </w:r>
          </w:p>
        </w:tc>
        <w:tc>
          <w:tcPr>
            <w:tcW w:w="8363" w:type="dxa"/>
            <w:gridSpan w:val="2"/>
            <w:shd w:val="clear" w:color="auto" w:fill="auto"/>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400cd/m</w:t>
            </w:r>
            <w:r>
              <w:rPr>
                <w:rFonts w:hint="eastAsia" w:ascii="仿宋" w:hAnsi="仿宋" w:eastAsia="仿宋" w:cs="仿宋"/>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对比度</w:t>
            </w:r>
          </w:p>
        </w:tc>
        <w:tc>
          <w:tcPr>
            <w:tcW w:w="8363" w:type="dxa"/>
            <w:gridSpan w:val="2"/>
            <w:shd w:val="clear" w:color="auto" w:fill="auto"/>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显示屏颜色</w:t>
            </w:r>
          </w:p>
        </w:tc>
        <w:tc>
          <w:tcPr>
            <w:tcW w:w="8363" w:type="dxa"/>
            <w:gridSpan w:val="2"/>
            <w:shd w:val="clear" w:color="auto" w:fill="auto"/>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10.7m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反应时间</w:t>
            </w:r>
          </w:p>
        </w:tc>
        <w:tc>
          <w:tcPr>
            <w:tcW w:w="8363" w:type="dxa"/>
            <w:gridSpan w:val="2"/>
            <w:shd w:val="clear" w:color="auto" w:fill="auto"/>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音频</w:t>
            </w:r>
          </w:p>
        </w:tc>
        <w:tc>
          <w:tcPr>
            <w:tcW w:w="8363" w:type="dxa"/>
            <w:gridSpan w:val="2"/>
            <w:shd w:val="clear" w:color="auto" w:fill="auto"/>
          </w:tcPr>
          <w:p>
            <w:pPr>
              <w:wordWrap w:val="0"/>
              <w:topLinePunct/>
              <w:adjustRightInd/>
              <w:spacing w:line="360" w:lineRule="exact"/>
              <w:jc w:val="center"/>
              <w:rPr>
                <w:rFonts w:ascii="仿宋" w:hAnsi="仿宋" w:eastAsia="仿宋" w:cs="仿宋"/>
                <w:bCs/>
                <w:szCs w:val="21"/>
              </w:rPr>
            </w:pPr>
            <w:r>
              <w:rPr>
                <w:rFonts w:hint="eastAsia" w:ascii="仿宋" w:hAnsi="仿宋" w:eastAsia="仿宋" w:cs="仿宋"/>
                <w:szCs w:val="21"/>
              </w:rPr>
              <w:t>5W*2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显示尺寸（mm）</w:t>
            </w:r>
          </w:p>
        </w:tc>
        <w:tc>
          <w:tcPr>
            <w:tcW w:w="8363" w:type="dxa"/>
            <w:gridSpan w:val="2"/>
            <w:shd w:val="clear" w:color="auto" w:fill="auto"/>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kern w:val="0"/>
                <w:szCs w:val="21"/>
              </w:rPr>
              <w:t>941mm(H) ×529mm(V)</w:t>
            </w:r>
            <w:r>
              <w:rPr>
                <w:rFonts w:hint="eastAsia" w:ascii="仿宋" w:hAnsi="仿宋" w:eastAsia="仿宋" w:cs="仿宋"/>
                <w:szCs w:val="21"/>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机身尺寸(L*W*H)（mm）</w:t>
            </w:r>
          </w:p>
        </w:tc>
        <w:tc>
          <w:tcPr>
            <w:tcW w:w="8363" w:type="dxa"/>
            <w:gridSpan w:val="2"/>
            <w:shd w:val="clear" w:color="auto" w:fill="auto"/>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1871.1mm*659.5mm*50mm（含底座400mm），±50mm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包装尺寸&amp;毛重</w:t>
            </w:r>
          </w:p>
        </w:tc>
        <w:tc>
          <w:tcPr>
            <w:tcW w:w="8363" w:type="dxa"/>
            <w:gridSpan w:val="2"/>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不高于61kg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电源与功耗</w:t>
            </w:r>
          </w:p>
        </w:tc>
        <w:tc>
          <w:tcPr>
            <w:tcW w:w="8363" w:type="dxa"/>
            <w:gridSpan w:val="2"/>
            <w:shd w:val="clear" w:color="auto" w:fill="auto"/>
          </w:tcPr>
          <w:p>
            <w:pPr>
              <w:wordWrap w:val="0"/>
              <w:topLinePunct/>
              <w:adjustRightInd/>
              <w:spacing w:line="360" w:lineRule="exact"/>
              <w:jc w:val="center"/>
              <w:rPr>
                <w:rFonts w:ascii="仿宋" w:hAnsi="仿宋" w:eastAsia="仿宋" w:cs="仿宋"/>
                <w:b/>
                <w:szCs w:val="21"/>
              </w:rPr>
            </w:pPr>
            <w:r>
              <w:rPr>
                <w:rFonts w:hint="eastAsia" w:ascii="仿宋" w:hAnsi="仿宋" w:eastAsia="仿宋" w:cs="仿宋"/>
                <w:szCs w:val="21"/>
              </w:rPr>
              <w:t>110-240VAC, 50/60Hz ,55W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配件</w:t>
            </w:r>
          </w:p>
        </w:tc>
        <w:tc>
          <w:tcPr>
            <w:tcW w:w="8363" w:type="dxa"/>
            <w:gridSpan w:val="2"/>
            <w:shd w:val="clear" w:color="auto" w:fill="auto"/>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遥控器/电源线/钥匙/说明书/合格证/保修卡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vMerge w:val="restart"/>
            <w:shd w:val="clear" w:color="auto" w:fill="auto"/>
            <w:vAlign w:val="center"/>
          </w:tcPr>
          <w:p>
            <w:pPr>
              <w:wordWrap w:val="0"/>
              <w:topLinePunct/>
              <w:adjustRightInd/>
              <w:spacing w:line="360" w:lineRule="exact"/>
              <w:jc w:val="center"/>
              <w:rPr>
                <w:rFonts w:ascii="仿宋" w:hAnsi="仿宋" w:eastAsia="仿宋" w:cs="仿宋"/>
                <w:b/>
                <w:bCs/>
                <w:szCs w:val="21"/>
              </w:rPr>
            </w:pPr>
            <w:r>
              <w:rPr>
                <w:rFonts w:hint="eastAsia" w:ascii="仿宋" w:hAnsi="仿宋" w:eastAsia="仿宋" w:cs="仿宋"/>
                <w:b/>
                <w:bCs/>
                <w:szCs w:val="21"/>
              </w:rPr>
              <w:t>内置电脑系统(安卓版本)</w:t>
            </w:r>
          </w:p>
          <w:p>
            <w:pPr>
              <w:wordWrap w:val="0"/>
              <w:topLinePunct/>
              <w:adjustRightInd/>
              <w:spacing w:line="360" w:lineRule="exact"/>
              <w:ind w:firstLine="422" w:firstLineChars="200"/>
              <w:jc w:val="center"/>
              <w:rPr>
                <w:rFonts w:ascii="仿宋" w:hAnsi="仿宋" w:eastAsia="仿宋" w:cs="仿宋"/>
                <w:b/>
                <w:bCs/>
                <w:szCs w:val="21"/>
              </w:rPr>
            </w:pPr>
          </w:p>
        </w:tc>
        <w:tc>
          <w:tcPr>
            <w:tcW w:w="3513"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操作系统</w:t>
            </w:r>
          </w:p>
        </w:tc>
        <w:tc>
          <w:tcPr>
            <w:tcW w:w="4850"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不低于Android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vMerge w:val="continue"/>
            <w:shd w:val="clear" w:color="auto" w:fill="auto"/>
          </w:tcPr>
          <w:p>
            <w:pPr>
              <w:wordWrap w:val="0"/>
              <w:topLinePunct/>
              <w:adjustRightInd/>
              <w:spacing w:line="360" w:lineRule="exact"/>
              <w:ind w:firstLine="422" w:firstLineChars="200"/>
              <w:jc w:val="center"/>
              <w:rPr>
                <w:rFonts w:ascii="仿宋" w:hAnsi="仿宋" w:eastAsia="仿宋" w:cs="仿宋"/>
                <w:b/>
                <w:bCs/>
                <w:szCs w:val="21"/>
              </w:rPr>
            </w:pPr>
          </w:p>
        </w:tc>
        <w:tc>
          <w:tcPr>
            <w:tcW w:w="3513"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处理器</w:t>
            </w:r>
          </w:p>
        </w:tc>
        <w:tc>
          <w:tcPr>
            <w:tcW w:w="4850"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不低于RK 3399 六核  主频1.8GHZ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vMerge w:val="continue"/>
            <w:shd w:val="clear" w:color="auto" w:fill="auto"/>
          </w:tcPr>
          <w:p>
            <w:pPr>
              <w:wordWrap w:val="0"/>
              <w:topLinePunct/>
              <w:adjustRightInd/>
              <w:spacing w:line="360" w:lineRule="exact"/>
              <w:ind w:firstLine="422" w:firstLineChars="200"/>
              <w:jc w:val="center"/>
              <w:rPr>
                <w:rFonts w:ascii="仿宋" w:hAnsi="仿宋" w:eastAsia="仿宋" w:cs="仿宋"/>
                <w:b/>
                <w:bCs/>
                <w:szCs w:val="21"/>
              </w:rPr>
            </w:pPr>
          </w:p>
        </w:tc>
        <w:tc>
          <w:tcPr>
            <w:tcW w:w="3513"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内存</w:t>
            </w:r>
          </w:p>
        </w:tc>
        <w:tc>
          <w:tcPr>
            <w:tcW w:w="4850"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vMerge w:val="continue"/>
            <w:shd w:val="clear" w:color="auto" w:fill="auto"/>
          </w:tcPr>
          <w:p>
            <w:pPr>
              <w:wordWrap w:val="0"/>
              <w:topLinePunct/>
              <w:adjustRightInd/>
              <w:spacing w:line="360" w:lineRule="exact"/>
              <w:ind w:firstLine="422" w:firstLineChars="200"/>
              <w:jc w:val="center"/>
              <w:rPr>
                <w:rFonts w:ascii="仿宋" w:hAnsi="仿宋" w:eastAsia="仿宋" w:cs="仿宋"/>
                <w:b/>
                <w:bCs/>
                <w:szCs w:val="21"/>
              </w:rPr>
            </w:pPr>
          </w:p>
        </w:tc>
        <w:tc>
          <w:tcPr>
            <w:tcW w:w="3513"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存储</w:t>
            </w:r>
          </w:p>
        </w:tc>
        <w:tc>
          <w:tcPr>
            <w:tcW w:w="4850"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vMerge w:val="continue"/>
            <w:shd w:val="clear" w:color="auto" w:fill="auto"/>
          </w:tcPr>
          <w:p>
            <w:pPr>
              <w:wordWrap w:val="0"/>
              <w:topLinePunct/>
              <w:adjustRightInd/>
              <w:spacing w:line="360" w:lineRule="exact"/>
              <w:ind w:firstLine="422" w:firstLineChars="200"/>
              <w:jc w:val="center"/>
              <w:rPr>
                <w:rFonts w:ascii="仿宋" w:hAnsi="仿宋" w:eastAsia="仿宋" w:cs="仿宋"/>
                <w:b/>
                <w:bCs/>
                <w:szCs w:val="21"/>
              </w:rPr>
            </w:pPr>
          </w:p>
        </w:tc>
        <w:tc>
          <w:tcPr>
            <w:tcW w:w="3513"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机器接口</w:t>
            </w:r>
          </w:p>
        </w:tc>
        <w:tc>
          <w:tcPr>
            <w:tcW w:w="4850"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不少于RJ45×1；USB×2；电源×1；遥控×1；耳机输出×1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vMerge w:val="continue"/>
            <w:shd w:val="clear" w:color="auto" w:fill="auto"/>
          </w:tcPr>
          <w:p>
            <w:pPr>
              <w:wordWrap w:val="0"/>
              <w:topLinePunct/>
              <w:adjustRightInd/>
              <w:spacing w:line="360" w:lineRule="exact"/>
              <w:ind w:firstLine="422" w:firstLineChars="200"/>
              <w:jc w:val="center"/>
              <w:rPr>
                <w:rFonts w:ascii="仿宋" w:hAnsi="仿宋" w:eastAsia="仿宋" w:cs="仿宋"/>
                <w:b/>
                <w:bCs/>
                <w:szCs w:val="21"/>
              </w:rPr>
            </w:pPr>
          </w:p>
        </w:tc>
        <w:tc>
          <w:tcPr>
            <w:tcW w:w="3513"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网卡</w:t>
            </w:r>
          </w:p>
        </w:tc>
        <w:tc>
          <w:tcPr>
            <w:tcW w:w="4850"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IEEE802.3 以太网1000M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vMerge w:val="continue"/>
            <w:shd w:val="clear" w:color="auto" w:fill="auto"/>
          </w:tcPr>
          <w:p>
            <w:pPr>
              <w:wordWrap w:val="0"/>
              <w:topLinePunct/>
              <w:adjustRightInd/>
              <w:spacing w:line="360" w:lineRule="exact"/>
              <w:ind w:firstLine="422" w:firstLineChars="200"/>
              <w:jc w:val="center"/>
              <w:rPr>
                <w:rFonts w:ascii="仿宋" w:hAnsi="仿宋" w:eastAsia="仿宋" w:cs="仿宋"/>
                <w:b/>
                <w:bCs/>
                <w:szCs w:val="21"/>
              </w:rPr>
            </w:pPr>
          </w:p>
        </w:tc>
        <w:tc>
          <w:tcPr>
            <w:tcW w:w="3513"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联网方式</w:t>
            </w:r>
          </w:p>
        </w:tc>
        <w:tc>
          <w:tcPr>
            <w:tcW w:w="4850" w:type="dxa"/>
            <w:shd w:val="clear" w:color="auto" w:fill="auto"/>
            <w:vAlign w:val="center"/>
          </w:tcPr>
          <w:p>
            <w:pPr>
              <w:wordWrap w:val="0"/>
              <w:topLinePunct/>
              <w:adjustRightInd/>
              <w:spacing w:line="360" w:lineRule="exact"/>
              <w:jc w:val="center"/>
              <w:rPr>
                <w:rFonts w:ascii="仿宋" w:hAnsi="仿宋" w:eastAsia="仿宋" w:cs="仿宋"/>
                <w:szCs w:val="21"/>
              </w:rPr>
            </w:pPr>
            <w:r>
              <w:rPr>
                <w:rFonts w:hint="eastAsia" w:ascii="仿宋" w:hAnsi="仿宋" w:eastAsia="仿宋" w:cs="仿宋"/>
                <w:szCs w:val="21"/>
              </w:rPr>
              <w:t>有线、wifi</w:t>
            </w:r>
          </w:p>
        </w:tc>
      </w:tr>
    </w:tbl>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2.7客流监测系统</w:t>
      </w:r>
    </w:p>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2.7.1功能要求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1、要求提供的客流摄像头具备前端计算分析功能，无需服务器进行运算，具备人员进出人数统计及区域设置，支持大并发数量数据上传。</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2、可支持信创改造。</w:t>
      </w:r>
    </w:p>
    <w:p>
      <w:pPr>
        <w:pStyle w:val="5"/>
        <w:keepNext w:val="0"/>
        <w:keepLines w:val="0"/>
        <w:wordWrap w:val="0"/>
        <w:topLinePunct/>
        <w:adjustRightInd/>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2.7.2 技术要求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1、传感器类型：1/2.7" Progressive Scan CMOS；</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2、最低照度：彩色:0.005 Lux @ (F1.2, AGC ON)，0.0176 Lux @ (F2.25, AGC ON)</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黑白:0.001 Lux @ (F1.2, AGC ON)，0.0035Lux @ (F2.25, AGC ON)，0 Lux with IR；</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3、快门：1/25秒至1/1000000秒；</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4、镜头：2.0mm@F2.25,水平视场角：104.5°，垂直视场角：70.5°；</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5、镜头接口尺寸：M12；</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6、数字降噪：支持；</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7、视频压缩标准：H.265/H.264 / MJPEG；</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8、视频压缩码率：32 Kbps~16Mbps；</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9、音频压缩标准：G.711/G.722.1/G.726/MP2L2/PCM；</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10、音频压缩码率：64Kbps(G.711) / 16Kbps(G.722.1) / 16Kbps(G.726) / 32-192Kbps(MP2L2)；</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11、最大图像尺寸：2560×1440；</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12、主码流分辨率与帧率：50Hz: 20fps (2560 x 1440,1920 x 1080,1280 x 720)</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60Hz: 20fps (2560 x 1440,1920 x 1080,1280 x720)；</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13、图像增强：背光补偿，强光抑制，透雾，3D降噪；</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14、支持协议：TCP/IP,ICMP,HTTP,HTTPS,FTP,DHCP,DNS,DDNS,RTP,RTSP,RTCP, PPPoE,NTP,UPnP,SMTP,SNMP,IGMP,802.1X,QoS,IPv6，UDP，Bonjour，SSL/TLS；</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15、通讯接口：1个RJ45 10M / 100M /1000M自适应以太网口；</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16、音频接口：支持一路 line in/out（2芯terminal block）；</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17、工作温度和湿度：-30℃~45℃；</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18、电源供应：DC12±20%；</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19、要求客流数据无缝对接到滨江区图书馆现有客流系统中。</w:t>
      </w:r>
    </w:p>
    <w:p>
      <w:pPr>
        <w:pStyle w:val="4"/>
        <w:keepNext w:val="0"/>
        <w:keepLines w:val="0"/>
        <w:wordWrap w:val="0"/>
        <w:topLinePunct/>
        <w:ind w:left="0" w:firstLine="482" w:firstLineChars="200"/>
        <w:rPr>
          <w:rFonts w:ascii="仿宋" w:eastAsia="仿宋" w:cs="仿宋"/>
          <w:sz w:val="24"/>
          <w:szCs w:val="24"/>
        </w:rPr>
      </w:pPr>
      <w:r>
        <w:rPr>
          <w:rFonts w:hint="eastAsia" w:ascii="仿宋" w:eastAsia="仿宋" w:cs="仿宋"/>
          <w:sz w:val="24"/>
          <w:szCs w:val="24"/>
        </w:rPr>
        <w:t>2.8 城市书房智慧运营管理平台功能和技术要求（含城市书房手机借书系统、图书馆微服务大厅系统改造）</w:t>
      </w:r>
    </w:p>
    <w:p>
      <w:pPr>
        <w:wordWrap w:val="0"/>
        <w:topLinePunct/>
        <w:adjustRightInd/>
        <w:spacing w:line="360" w:lineRule="auto"/>
        <w:ind w:firstLine="482" w:firstLineChars="200"/>
        <w:rPr>
          <w:rFonts w:ascii="仿宋" w:hAnsi="仿宋" w:eastAsia="仿宋" w:cs="仿宋"/>
          <w:b/>
          <w:sz w:val="24"/>
        </w:rPr>
      </w:pPr>
      <w:r>
        <w:rPr>
          <w:rFonts w:hint="eastAsia" w:ascii="仿宋" w:hAnsi="仿宋" w:eastAsia="仿宋" w:cs="仿宋"/>
          <w:b/>
          <w:sz w:val="24"/>
        </w:rPr>
        <w:t>2.8.1城市书房智慧运营管理平台</w:t>
      </w:r>
    </w:p>
    <w:p>
      <w:pPr>
        <w:pStyle w:val="955"/>
        <w:widowControl w:val="0"/>
        <w:wordWrap w:val="0"/>
        <w:topLinePunct/>
        <w:spacing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将书房的日常管理，如书架整理情况、日常巡检、到馆量、借阅量等以数字化方式呈现，书房工作人员根据平台要求完成所有检查内容，即可生成电子巡检日报等，便于采购单位围绕巡检全流程开展审核及后续指导工作。</w:t>
      </w:r>
    </w:p>
    <w:p>
      <w:pPr>
        <w:pStyle w:val="955"/>
        <w:widowControl w:val="0"/>
        <w:wordWrap w:val="0"/>
        <w:topLinePunct/>
        <w:spacing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1、自定义业务数字化流程步骤</w:t>
      </w:r>
    </w:p>
    <w:p>
      <w:pPr>
        <w:pStyle w:val="955"/>
        <w:widowControl w:val="0"/>
        <w:wordWrap w:val="0"/>
        <w:topLinePunct/>
        <w:spacing w:line="360" w:lineRule="auto"/>
        <w:ind w:firstLine="480" w:firstLineChars="200"/>
        <w:jc w:val="both"/>
        <w:rPr>
          <w:rFonts w:ascii="仿宋" w:hAnsi="仿宋" w:eastAsia="仿宋" w:cs="仿宋"/>
          <w:color w:val="auto"/>
          <w:kern w:val="2"/>
          <w:sz w:val="24"/>
          <w:szCs w:val="24"/>
        </w:rPr>
      </w:pPr>
      <w:r>
        <w:rPr>
          <w:rFonts w:hint="eastAsia" w:ascii="仿宋" w:hAnsi="仿宋" w:eastAsia="仿宋" w:cs="仿宋"/>
          <w:color w:val="auto"/>
          <w:kern w:val="2"/>
          <w:sz w:val="24"/>
          <w:szCs w:val="24"/>
        </w:rPr>
        <w:t>智慧运营管理平台中数字化工作流程模块是完全组件化的服务模块,图书馆管理员在平台部署对接完毕后可根据自身业务流程体系，按拆分的业务逻辑步骤通过组件模块，实现各种业务管理流程的快速编辑和发布，具备快速发布、快速修改、可持续优化的业务流数字化优势。</w:t>
      </w:r>
    </w:p>
    <w:p>
      <w:pPr>
        <w:pStyle w:val="955"/>
        <w:widowControl w:val="0"/>
        <w:wordWrap w:val="0"/>
        <w:topLinePunct/>
        <w:spacing w:line="360" w:lineRule="auto"/>
        <w:ind w:firstLine="480" w:firstLineChars="200"/>
        <w:jc w:val="both"/>
        <w:rPr>
          <w:rFonts w:ascii="仿宋" w:hAnsi="仿宋" w:eastAsia="仿宋" w:cs="仿宋"/>
          <w:color w:val="auto"/>
          <w:kern w:val="2"/>
          <w:sz w:val="24"/>
          <w:szCs w:val="24"/>
        </w:rPr>
      </w:pPr>
      <w:r>
        <w:rPr>
          <w:rFonts w:hint="eastAsia" w:ascii="仿宋" w:hAnsi="仿宋" w:eastAsia="仿宋" w:cs="仿宋"/>
          <w:color w:val="auto"/>
          <w:kern w:val="2"/>
          <w:sz w:val="24"/>
          <w:szCs w:val="24"/>
        </w:rPr>
        <w:t>2、班组管理</w:t>
      </w:r>
    </w:p>
    <w:p>
      <w:pPr>
        <w:pStyle w:val="955"/>
        <w:widowControl w:val="0"/>
        <w:wordWrap w:val="0"/>
        <w:topLinePunct/>
        <w:spacing w:line="360" w:lineRule="auto"/>
        <w:ind w:firstLine="480" w:firstLineChars="200"/>
        <w:jc w:val="both"/>
        <w:rPr>
          <w:rFonts w:ascii="仿宋" w:hAnsi="仿宋" w:eastAsia="仿宋" w:cs="仿宋"/>
          <w:color w:val="auto"/>
          <w:kern w:val="2"/>
          <w:sz w:val="24"/>
          <w:szCs w:val="24"/>
        </w:rPr>
      </w:pPr>
      <w:r>
        <w:rPr>
          <w:rFonts w:hint="eastAsia" w:ascii="仿宋" w:hAnsi="仿宋" w:eastAsia="仿宋" w:cs="仿宋"/>
          <w:color w:val="auto"/>
          <w:kern w:val="2"/>
          <w:sz w:val="24"/>
          <w:szCs w:val="24"/>
        </w:rPr>
        <w:t>图书馆应根据工作人员的职责和所需知识进行明确的权限划分。例如，图书馆管理员应有权限管理更大地平台操作权限，而普通馆员则应有权采集权限。所有员工应明确了解自己的职责和权限，避免越权操作。</w:t>
      </w:r>
    </w:p>
    <w:p>
      <w:pPr>
        <w:pStyle w:val="955"/>
        <w:widowControl w:val="0"/>
        <w:wordWrap w:val="0"/>
        <w:topLinePunct/>
        <w:spacing w:line="360" w:lineRule="auto"/>
        <w:ind w:firstLine="480" w:firstLineChars="200"/>
        <w:jc w:val="both"/>
        <w:rPr>
          <w:rFonts w:ascii="仿宋" w:hAnsi="仿宋" w:eastAsia="仿宋" w:cs="仿宋"/>
          <w:color w:val="auto"/>
          <w:kern w:val="2"/>
          <w:sz w:val="24"/>
          <w:szCs w:val="24"/>
        </w:rPr>
      </w:pPr>
      <w:r>
        <w:rPr>
          <w:rFonts w:hint="eastAsia" w:ascii="仿宋" w:hAnsi="仿宋" w:eastAsia="仿宋" w:cs="仿宋"/>
          <w:color w:val="auto"/>
          <w:kern w:val="2"/>
          <w:sz w:val="24"/>
          <w:szCs w:val="24"/>
        </w:rPr>
        <w:t>3、任务计划及执行</w:t>
      </w:r>
    </w:p>
    <w:p>
      <w:pPr>
        <w:pStyle w:val="955"/>
        <w:widowControl w:val="0"/>
        <w:wordWrap w:val="0"/>
        <w:topLinePunct/>
        <w:spacing w:line="360" w:lineRule="auto"/>
        <w:ind w:firstLine="480" w:firstLineChars="200"/>
        <w:jc w:val="both"/>
        <w:rPr>
          <w:rFonts w:ascii="仿宋" w:hAnsi="仿宋" w:eastAsia="仿宋" w:cs="仿宋"/>
          <w:color w:val="auto"/>
          <w:kern w:val="2"/>
          <w:sz w:val="24"/>
          <w:szCs w:val="24"/>
        </w:rPr>
      </w:pPr>
      <w:r>
        <w:rPr>
          <w:rFonts w:hint="eastAsia" w:ascii="仿宋" w:hAnsi="仿宋" w:eastAsia="仿宋" w:cs="仿宋"/>
          <w:color w:val="auto"/>
          <w:kern w:val="2"/>
          <w:sz w:val="24"/>
          <w:szCs w:val="24"/>
        </w:rPr>
        <w:t>通过相关账号，登录数字化工作流编辑后台，根据实际工作需要自定义工作流。编辑完成后可在线分发到组或者单个工作人员。馆员终端接收工作流后，馆员即可通过微信小程序按照工作流相关内容要求完成工作，并将数据即时上传。</w:t>
      </w:r>
    </w:p>
    <w:p>
      <w:pPr>
        <w:pStyle w:val="955"/>
        <w:widowControl w:val="0"/>
        <w:wordWrap w:val="0"/>
        <w:topLinePunct/>
        <w:spacing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4、工单执行</w:t>
      </w:r>
    </w:p>
    <w:p>
      <w:pPr>
        <w:pStyle w:val="955"/>
        <w:widowControl w:val="0"/>
        <w:wordWrap w:val="0"/>
        <w:topLinePunct/>
        <w:spacing w:line="360" w:lineRule="auto"/>
        <w:ind w:firstLine="480" w:firstLineChars="200"/>
        <w:jc w:val="both"/>
        <w:rPr>
          <w:rFonts w:ascii="仿宋" w:hAnsi="仿宋" w:eastAsia="仿宋" w:cs="仿宋"/>
          <w:color w:val="auto"/>
          <w:kern w:val="2"/>
          <w:sz w:val="24"/>
          <w:szCs w:val="24"/>
        </w:rPr>
      </w:pPr>
      <w:r>
        <w:rPr>
          <w:rFonts w:hint="eastAsia" w:ascii="仿宋" w:hAnsi="仿宋" w:eastAsia="仿宋" w:cs="仿宋"/>
          <w:color w:val="auto"/>
          <w:kern w:val="2"/>
          <w:sz w:val="24"/>
          <w:szCs w:val="24"/>
        </w:rPr>
        <w:t>通过数字化平台配置的各种点位巡检、作业指导、设备维修、仓储拣选等图书馆工作流程可快速发布至一线图书馆员设备终端软件（微信小程序），图书馆工作人员可根据设备终端软件（微信小程序）提示性的流程步骤完成相关作业任务，可实现对现场员工的快速赋能，且在执行任务工作过程中设备终端可执行照片、音视频、数字填入等采集，保障业务过程准确并可以追溯。</w:t>
      </w:r>
    </w:p>
    <w:p>
      <w:pPr>
        <w:pStyle w:val="955"/>
        <w:widowControl w:val="0"/>
        <w:wordWrap w:val="0"/>
        <w:topLinePunct/>
        <w:spacing w:line="360" w:lineRule="auto"/>
        <w:ind w:firstLine="480" w:firstLineChars="200"/>
        <w:jc w:val="both"/>
        <w:rPr>
          <w:rFonts w:ascii="仿宋" w:hAnsi="仿宋" w:eastAsia="仿宋" w:cs="仿宋"/>
          <w:color w:val="auto"/>
          <w:kern w:val="2"/>
          <w:sz w:val="24"/>
          <w:szCs w:val="24"/>
        </w:rPr>
      </w:pPr>
      <w:r>
        <w:rPr>
          <w:rFonts w:hint="eastAsia" w:ascii="仿宋" w:hAnsi="仿宋" w:eastAsia="仿宋" w:cs="仿宋"/>
          <w:color w:val="auto"/>
          <w:kern w:val="2"/>
          <w:sz w:val="24"/>
          <w:szCs w:val="24"/>
        </w:rPr>
        <w:t>5、可视化管控</w:t>
      </w:r>
    </w:p>
    <w:p>
      <w:pPr>
        <w:pStyle w:val="459"/>
        <w:wordWrap w:val="0"/>
        <w:topLinePunct/>
        <w:autoSpaceDE/>
        <w:autoSpaceDN/>
        <w:adjustRightInd/>
        <w:snapToGrid/>
        <w:ind w:firstLine="482" w:firstLineChars="200"/>
        <w:jc w:val="left"/>
        <w:rPr>
          <w:rFonts w:ascii="仿宋" w:eastAsia="仿宋" w:cs="仿宋"/>
          <w:sz w:val="24"/>
          <w:szCs w:val="24"/>
        </w:rPr>
      </w:pPr>
      <w:r>
        <w:rPr>
          <w:rFonts w:hint="eastAsia" w:ascii="仿宋" w:eastAsia="仿宋" w:cs="仿宋"/>
          <w:sz w:val="24"/>
          <w:szCs w:val="24"/>
        </w:rPr>
        <w:t>作为一个独立的入口提供给图书馆管理员使用，这个管理员具有对所有图书馆数字化工作流和任务具有监督和管理的权利。图书馆运营日常巡检报告，图书馆巡检报告统计查询，日常巡检信息筛选查询.并可以保存报告、导出报告以备追溯。</w:t>
      </w:r>
    </w:p>
    <w:p>
      <w:pPr>
        <w:pStyle w:val="459"/>
        <w:wordWrap w:val="0"/>
        <w:topLinePunct/>
        <w:autoSpaceDE/>
        <w:autoSpaceDN/>
        <w:adjustRightInd/>
        <w:snapToGrid/>
        <w:ind w:firstLine="482" w:firstLineChars="200"/>
        <w:jc w:val="both"/>
        <w:rPr>
          <w:rFonts w:ascii="仿宋" w:eastAsia="仿宋" w:cs="仿宋"/>
          <w:sz w:val="24"/>
          <w:szCs w:val="24"/>
        </w:rPr>
      </w:pPr>
      <w:r>
        <w:rPr>
          <w:rFonts w:hint="eastAsia" w:ascii="仿宋" w:eastAsia="仿宋" w:cs="仿宋"/>
          <w:sz w:val="24"/>
          <w:szCs w:val="24"/>
        </w:rPr>
        <w:t>6、可支持信创改造。</w:t>
      </w:r>
    </w:p>
    <w:p>
      <w:pPr>
        <w:wordWrap w:val="0"/>
        <w:topLinePunct/>
        <w:adjustRightInd/>
        <w:spacing w:line="360" w:lineRule="auto"/>
        <w:ind w:firstLine="482" w:firstLineChars="200"/>
        <w:rPr>
          <w:rFonts w:ascii="仿宋" w:hAnsi="仿宋" w:eastAsia="仿宋" w:cs="仿宋"/>
          <w:b/>
          <w:bCs/>
          <w:sz w:val="24"/>
        </w:rPr>
      </w:pPr>
      <w:r>
        <w:rPr>
          <w:rFonts w:hint="eastAsia" w:ascii="仿宋" w:hAnsi="仿宋" w:eastAsia="仿宋" w:cs="仿宋"/>
          <w:b/>
          <w:bCs/>
          <w:sz w:val="24"/>
        </w:rPr>
        <w:t>2.8.2城市书房手机借书系统</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pacing w:val="-6"/>
          <w:sz w:val="24"/>
        </w:rPr>
        <w:t>能结合GPS定位，定位到读者所在图书馆附近，可限制是否在馆内才允许操作手机借书；</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6"/>
          <w:sz w:val="24"/>
        </w:rPr>
        <w:t>支持系统对接微信公众号上，通过微信扫码功能或者手动输入图书条码的方式，核对图书信息，确认无误后在系统上确认借书，实现借书操作，并可在系统查看借阅清单、图书详情；</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3、后台可自定义设置借书成功语；</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4、系统支持扫描图书条码借书或者手动输入图书条码的方式，进行借书；</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5、支持加入借书车，支持删除、增加、一键借书功能；</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6、读者可查看已借阅列表，查看已借图书清单的图书题名、条码号、借还时间和应还时间，显示借阅数量，可借数；并允许对推荐的有馆藏的图书加入借书车；</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7、系统可根据当前读者喜好进行大数据分析，进行相关图书的推荐；可查看推荐图书的题名、著者、出版社、ISBN和相关的馆藏位置信息，可筛选馆藏状态；</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8、读者使用手机扫码借书成功后展示借书列表，提示当前图书借阅状态（成功/失败），并提示成功/失败提示；</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9、通过后台程序，配置图书馆的信息，如GPS位置、指定馆藏地、借书提示语等；</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10、提供可供还书的还书二维码内容；</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11、通过后台程序，配置图书馆的信息；</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12、工作人员能通过后台程序查看和统计出借书情况；</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13、图书馆读者登录微信后，可以扫描图书馆的二维码，出现还书菜单，可以勾选自己已借的图书进行图书归还，归还图书完成后，能够显示刚才归还的图书；</w:t>
      </w:r>
    </w:p>
    <w:p>
      <w:pPr>
        <w:pStyle w:val="459"/>
        <w:wordWrap w:val="0"/>
        <w:topLinePunct/>
        <w:autoSpaceDE/>
        <w:autoSpaceDN/>
        <w:adjustRightInd/>
        <w:snapToGrid/>
        <w:ind w:firstLine="482" w:firstLineChars="200"/>
        <w:jc w:val="both"/>
        <w:rPr>
          <w:rFonts w:ascii="仿宋" w:eastAsia="仿宋" w:cs="仿宋"/>
          <w:sz w:val="24"/>
          <w:szCs w:val="24"/>
        </w:rPr>
      </w:pPr>
      <w:r>
        <w:rPr>
          <w:rFonts w:hint="eastAsia" w:ascii="仿宋" w:eastAsia="仿宋" w:cs="仿宋"/>
          <w:sz w:val="24"/>
          <w:szCs w:val="24"/>
        </w:rPr>
        <w:t>14、可支持信创改造。</w:t>
      </w:r>
    </w:p>
    <w:p>
      <w:pPr>
        <w:wordWrap w:val="0"/>
        <w:topLinePunct/>
        <w:adjustRightInd/>
        <w:spacing w:line="360" w:lineRule="auto"/>
        <w:ind w:firstLine="482" w:firstLineChars="200"/>
        <w:rPr>
          <w:rFonts w:ascii="仿宋" w:hAnsi="仿宋" w:eastAsia="仿宋" w:cs="仿宋"/>
          <w:b/>
          <w:bCs/>
          <w:sz w:val="24"/>
        </w:rPr>
      </w:pPr>
      <w:r>
        <w:rPr>
          <w:rFonts w:hint="eastAsia" w:ascii="仿宋" w:hAnsi="仿宋" w:eastAsia="仿宋" w:cs="仿宋"/>
          <w:b/>
          <w:bCs/>
          <w:sz w:val="24"/>
        </w:rPr>
        <w:t>2.8.3图书馆微服务大厅系统改造</w:t>
      </w:r>
    </w:p>
    <w:p>
      <w:pPr>
        <w:wordWrap w:val="0"/>
        <w:topLinePunct/>
        <w:adjustRightInd/>
        <w:spacing w:line="360" w:lineRule="auto"/>
        <w:ind w:firstLine="480" w:firstLineChars="200"/>
        <w:rPr>
          <w:rFonts w:ascii="仿宋" w:hAnsi="仿宋" w:eastAsia="仿宋" w:cs="仿宋"/>
          <w:iCs/>
          <w:sz w:val="24"/>
        </w:rPr>
      </w:pPr>
      <w:bookmarkStart w:id="32" w:name="_Hlk528015508"/>
      <w:r>
        <w:rPr>
          <w:rFonts w:hint="eastAsia" w:ascii="仿宋" w:hAnsi="仿宋" w:eastAsia="仿宋" w:cs="仿宋"/>
          <w:sz w:val="24"/>
        </w:rPr>
        <w:t>定制滨江区图书馆微服务大厅，进行版面优化，功能升级，读者利用微信平台可获取图书检索、读者证绑定、图书续借等服务。</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1、要求可提供读者证绑定、解绑。</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2、要求提供可以同时添加保存多个读者证，进行切换绑定。</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3、要求绑定读者证后可进行借阅信息查询、图书续借、图书预约、预借，预约、预借取消等服务。（需要在图书馆业务系统设置预约、预借相关规则配置）</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4、借阅信息查询要求可查看全部、在借中、临过期、已过期的图书记录。</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5、要求提供个人中心：查看读者借阅记录、预约预借记录、续借次数等数据。</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7、要求读者证服务提供办证须知、读者证挂失等服务。</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8、支持读者证二维码：读者绑定读者证后将分配二维码，读者在图书馆进行借阅或其他行为时，读者只需要出示二维码，通过扫描枪扫码验证后即可在图书馆享受图书借阅等服务。</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9、要求提供个人资料、修改密码服务。</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10、要求提供图书借阅排行版，查看热门图书</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11、要求提供图书馆新书通报查阅服务</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12、要求具备微信支付能力：支持微信直接缴纳滞纳金。</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13、要求具备微信自助咨询：管理员可以在咨询平台录入faq/知识库，程序根据读者输入的关键词模糊匹配到相对应的faq/知识库。 </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14、要求具备数字资源搜索：可通过微信公众平台检索使用本馆资源门户的数字资源。</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15、要求支持图书馆粉丝通过朋友圈推广图书馆公众号二维码，其他人通过扫该二维码关注图书馆公众号即算入推广者的成绩。</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16、要求具备图书即将到期后自动提醒服务功能。（仅限服务号类型的公众号）</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17、要求具备读者证绑定查询功能。</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18、要求具备统计功能：微信管理后台提供微服务大厅里面功能模块的点击量统计，以及图文或文本的浏览量统计显示。</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19、要求具备掌上借书功能，手机输入或者扫描图书条形码即可进行图书借阅。</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20、要求支持标准的第三方应用接入到微信服务大厅中。</w:t>
      </w:r>
    </w:p>
    <w:p>
      <w:pPr>
        <w:wordWrap w:val="0"/>
        <w:topLinePunct/>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21、可支持信创改造。</w:t>
      </w:r>
      <w:bookmarkEnd w:id="32"/>
    </w:p>
    <w:p>
      <w:pPr>
        <w:pStyle w:val="4"/>
        <w:keepNext w:val="0"/>
        <w:keepLines w:val="0"/>
        <w:wordWrap w:val="0"/>
        <w:topLinePunct/>
        <w:ind w:left="0" w:firstLine="482" w:firstLineChars="200"/>
        <w:rPr>
          <w:rFonts w:ascii="仿宋" w:eastAsia="仿宋" w:cs="仿宋"/>
          <w:sz w:val="24"/>
          <w:szCs w:val="24"/>
        </w:rPr>
      </w:pPr>
      <w:r>
        <w:rPr>
          <w:rFonts w:hint="eastAsia" w:ascii="仿宋" w:eastAsia="仿宋" w:cs="仿宋"/>
          <w:sz w:val="24"/>
          <w:szCs w:val="24"/>
        </w:rPr>
        <w:t>2.9 城市书房特色专题数据库功能和技术要求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城市书房特色专题数据库知识服务平台建设基础，依托大数据、知识图谱、自然语言处理等技术，提供智能检索、精准推送、知识挖掘、统计分析、专题库构建等增值服务功能，旨在提高企业的创新和决策能力的一站式的大型知识仓库。</w:t>
      </w:r>
    </w:p>
    <w:p>
      <w:pPr>
        <w:wordWrap w:val="0"/>
        <w:topLinePunct/>
        <w:adjustRightInd/>
        <w:spacing w:line="360" w:lineRule="auto"/>
        <w:ind w:firstLine="482" w:firstLineChars="200"/>
        <w:rPr>
          <w:rFonts w:ascii="仿宋" w:hAnsi="仿宋" w:eastAsia="仿宋" w:cs="仿宋"/>
          <w:b/>
          <w:bCs/>
          <w:sz w:val="24"/>
        </w:rPr>
      </w:pPr>
      <w:r>
        <w:rPr>
          <w:rFonts w:hint="eastAsia" w:ascii="仿宋" w:hAnsi="仿宋" w:eastAsia="仿宋" w:cs="仿宋"/>
          <w:b/>
          <w:bCs/>
          <w:sz w:val="24"/>
        </w:rPr>
        <w:t>1、具备以下基本特征：</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（1）涵盖相关行业所需的主要学术资源、标准、专利、政策、专家、行业报告、企业信息、新闻咨询等。</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（2）支持行业知识分类与国民经济分类2种分类导航体系。</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（3）提供基本检索、高级检索、图谱检索等多种检索模式。</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（4）打通外部资源与学术资源知识关联。</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（5）结合图谱推荐技术实现内容智能化推送，满足内容主动找人需求。</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（6）提供科技情报查新与情报分析增值服务。</w:t>
      </w:r>
    </w:p>
    <w:p>
      <w:pPr>
        <w:pStyle w:val="25"/>
        <w:wordWrap w:val="0"/>
        <w:topLinePunct/>
        <w:autoSpaceDE/>
        <w:autoSpaceDN/>
        <w:adjustRightInd/>
        <w:spacing w:line="348" w:lineRule="auto"/>
        <w:ind w:firstLine="480" w:firstLineChars="200"/>
        <w:rPr>
          <w:rFonts w:ascii="仿宋" w:hAnsi="仿宋" w:eastAsia="仿宋" w:cs="仿宋"/>
          <w:bCs/>
        </w:rPr>
      </w:pPr>
      <w:r>
        <w:rPr>
          <w:rFonts w:hint="eastAsia" w:ascii="仿宋" w:hAnsi="仿宋" w:eastAsia="仿宋" w:cs="仿宋"/>
          <w:bCs/>
        </w:rPr>
        <w:t>2、资源内容：</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（1）学术期刊要求：</w:t>
      </w:r>
    </w:p>
    <w:p>
      <w:pPr>
        <w:wordWrap w:val="0"/>
        <w:topLinePunct/>
        <w:adjustRightInd/>
        <w:spacing w:line="348" w:lineRule="auto"/>
        <w:ind w:firstLine="456" w:firstLineChars="200"/>
        <w:rPr>
          <w:rFonts w:ascii="仿宋" w:hAnsi="仿宋" w:eastAsia="仿宋" w:cs="仿宋"/>
          <w:sz w:val="24"/>
        </w:rPr>
      </w:pPr>
      <w:r>
        <w:rPr>
          <w:rFonts w:hint="eastAsia" w:ascii="仿宋" w:hAnsi="仿宋" w:eastAsia="仿宋" w:cs="仿宋"/>
          <w:spacing w:val="-6"/>
          <w:sz w:val="24"/>
        </w:rPr>
        <w:t>学术期刊要求有正式出版刊号，基本完整收录了我国的全部学术期刊，覆盖所有学科的内容。</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范围：我国公开出版发行的学术期刊（含英文版）全文文献，包括基础与应用基础研究、技术研究、工程研究、工程与项目管理、技术开发、实用工程技术、行业技术发展与评论、高级科普、学科教育教学类期刊。</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文献总量：截至2023年12月底，累计收录8400余种期刊，中文全文文献总量达6088万余篇。其中，收录核心期刊1970余种。2024年计划出版期刊约6884种，预计出版的总文献量约达177万余篇。</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收录年限：1915年至今（4739种期刊收录回溯至创刊）</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期刊文献收录完整率 核心期刊、重要评价性数据库来源期刊完整率高于98%；</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文献期数收录完整率 文献收录期数完整率高于99％。</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文献篇数收录完整率 文献篇数收录完整率高于99％。</w:t>
      </w:r>
    </w:p>
    <w:p>
      <w:pPr>
        <w:wordWrap w:val="0"/>
        <w:topLinePunct/>
        <w:adjustRightInd/>
        <w:spacing w:line="348" w:lineRule="auto"/>
        <w:ind w:firstLine="480" w:firstLineChars="200"/>
        <w:rPr>
          <w:rFonts w:ascii="仿宋" w:hAnsi="仿宋" w:eastAsia="仿宋" w:cs="仿宋"/>
          <w:bCs/>
          <w:sz w:val="24"/>
        </w:rPr>
      </w:pPr>
      <w:r>
        <w:rPr>
          <w:rFonts w:hint="eastAsia" w:ascii="仿宋" w:hAnsi="仿宋" w:eastAsia="仿宋" w:cs="仿宋"/>
          <w:bCs/>
          <w:sz w:val="24"/>
        </w:rPr>
        <w:t>（2）博士学位论文要求：</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博士论文要求有正式出版刊号，覆盖基础科学、工程技术、农业、医学、哲学、人文、社会科学等各个领域。</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收录范围：具有博士学位授予权的研究生培养单位的博士学位论文（涉及国家保密的论文除外）。</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文献总量：截止到2023年，收录博士学位论文53.4余万篇。2024年计划出版3.7万篇</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收录年限：从1984年至今的博士学位论文。</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文献来源完整率：收录来自520余家博士培养单位（涉及国家保密的单位除外）的博士学位论文。“双一流”建设高校覆盖率达到100%。国家重点学科覆盖率达98%，收全率达90%。特色学科覆盖率达100%，收全率90%。</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文献收录完整率：2016年、2017年、2018年、2019年、2020年、2021年、2022年、2023年博士学位论文出版数量占全国当年可公开出版的博士学位论文总量的85％以上。</w:t>
      </w:r>
    </w:p>
    <w:p>
      <w:pPr>
        <w:pStyle w:val="25"/>
        <w:wordWrap w:val="0"/>
        <w:topLinePunct/>
        <w:autoSpaceDE/>
        <w:autoSpaceDN/>
        <w:adjustRightInd/>
        <w:spacing w:line="348" w:lineRule="auto"/>
        <w:ind w:firstLine="480" w:firstLineChars="200"/>
        <w:rPr>
          <w:rFonts w:ascii="仿宋" w:hAnsi="仿宋" w:eastAsia="仿宋" w:cs="仿宋"/>
          <w:bCs/>
        </w:rPr>
      </w:pPr>
      <w:r>
        <w:rPr>
          <w:rFonts w:hint="eastAsia" w:ascii="仿宋" w:hAnsi="仿宋" w:eastAsia="仿宋" w:cs="仿宋"/>
          <w:bCs/>
        </w:rPr>
        <w:t>（3）硕士论文要求：</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硕士论文要求有正式出版刊号，覆盖基础科学、工程技术、农业、医学、哲学、人文、社会科学等各个领域。</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收录范围：具有硕士学位授予权的研究生培养单位的硕士学位论文。以优先保证文献质量为基本原则。</w:t>
      </w:r>
    </w:p>
    <w:p>
      <w:pPr>
        <w:wordWrap w:val="0"/>
        <w:topLinePunct/>
        <w:adjustRightInd/>
        <w:spacing w:line="348" w:lineRule="auto"/>
        <w:ind w:firstLine="456" w:firstLineChars="200"/>
        <w:rPr>
          <w:rFonts w:ascii="仿宋" w:hAnsi="仿宋" w:eastAsia="仿宋" w:cs="仿宋"/>
          <w:sz w:val="24"/>
        </w:rPr>
      </w:pPr>
      <w:r>
        <w:rPr>
          <w:rFonts w:hint="eastAsia" w:ascii="仿宋" w:hAnsi="仿宋" w:eastAsia="仿宋" w:cs="仿宋"/>
          <w:spacing w:val="-6"/>
          <w:sz w:val="24"/>
        </w:rPr>
        <w:t>文献总量：截止到2023年，收录硕士学位论文543.8余万篇。2024年计划出版41.5万篇。</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文献来源完整率：收录来自790余家硕士培养单位（涉及国家保密的单位除外）的硕士学位论文。“双一流”建设高校覆盖率达到100%。国家重点学科覆盖率达98%，收全率达90%。特色学科覆盖率达100%，收全率90%。</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文献收录完整率：2016年、2017年、2018年、2019年、2020年、2021年、2022年、2023年硕士学位论文出版数量占全国当年可公开出版的硕士学位论文总量的85％以上。</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收录年限：从1984年至今的硕士学位论文。</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出版时效：论文按篇出版，平均不晚于授予学位之后2个月。</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（4）会议论文数据库要求：</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文献来源： 国际组织在中国境内外主办的学术性会议。</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高校重点实验室、研究中心及院系主办的国际会议。</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全国学会及其分会、专业委员会主办的国际会议。</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出版特点：定位高端：国际会议之所以受认可，因为其在短时间内汇集了世界各地知名学者对某一热点问题的观点和最新成果。尤其将特邀报告、大会报告、专题报告等高端文献集中展示，可以使读者了解国际最新成果，拓展视野。</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知识关联：通过跨库检索与其他文献结合，实现与不同类型文献重新整合。</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出版授权：签定会议论文出版授权协议书，取得会议主办方或汇编方及论文作者出版授权。</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收录范围：收录了由国内外3500余家授权单位推荐的9500余次国际学术会议的论文。</w:t>
      </w:r>
    </w:p>
    <w:p>
      <w:pPr>
        <w:wordWrap w:val="0"/>
        <w:topLinePunct/>
        <w:adjustRightInd/>
        <w:spacing w:line="348" w:lineRule="auto"/>
        <w:ind w:firstLine="456" w:firstLineChars="200"/>
        <w:rPr>
          <w:rFonts w:ascii="仿宋" w:hAnsi="仿宋" w:eastAsia="仿宋" w:cs="仿宋"/>
          <w:spacing w:val="-6"/>
          <w:sz w:val="24"/>
        </w:rPr>
      </w:pPr>
      <w:r>
        <w:rPr>
          <w:rFonts w:hint="eastAsia" w:ascii="仿宋" w:hAnsi="仿宋" w:eastAsia="仿宋" w:cs="仿宋"/>
          <w:spacing w:val="-6"/>
          <w:sz w:val="24"/>
        </w:rPr>
        <w:t>文献总量：截至2024年1月收录国际会议论文95万余篇。2024年计划出版：文献21000篇。</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收录年限：1981年至今。</w:t>
      </w:r>
    </w:p>
    <w:p>
      <w:pPr>
        <w:wordWrap w:val="0"/>
        <w:topLinePunct/>
        <w:adjustRightInd/>
        <w:spacing w:line="348" w:lineRule="auto"/>
        <w:ind w:firstLine="480" w:firstLineChars="200"/>
        <w:rPr>
          <w:rFonts w:ascii="仿宋" w:hAnsi="仿宋" w:eastAsia="仿宋" w:cs="仿宋"/>
          <w:bCs/>
          <w:sz w:val="24"/>
        </w:rPr>
      </w:pPr>
      <w:r>
        <w:rPr>
          <w:rFonts w:hint="eastAsia" w:ascii="仿宋" w:hAnsi="仿宋" w:eastAsia="仿宋" w:cs="仿宋"/>
          <w:bCs/>
          <w:sz w:val="24"/>
        </w:rPr>
        <w:t>（5）报纸全文数据库要求：</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收录范围：中央级各类报纸，各省、自治区、直辖市及其他地市级城市党报，以及面向全国公开发行的具有一定影响力的特色重要行业性报纸。</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文献总量：截至2023年12月末，共收录各级党报及特色行业报等重要报纸约500种，出版文献总量达1607万余篇。2024年计划出版：102.5万篇。</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收录内容：重要新闻和学术文献资料。</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收录方式：摘录全文。</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收录年限：2000年以来。</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出版时效：报纸网络出版平均滞后报纸印刷出版3天，其中当天更新当日出版报纸种类约300种。</w:t>
      </w:r>
    </w:p>
    <w:p>
      <w:pPr>
        <w:wordWrap w:val="0"/>
        <w:topLinePunct/>
        <w:adjustRightInd/>
        <w:spacing w:line="348" w:lineRule="auto"/>
        <w:jc w:val="left"/>
        <w:rPr>
          <w:rFonts w:ascii="仿宋" w:hAnsi="仿宋" w:eastAsia="仿宋" w:cs="仿宋"/>
          <w:sz w:val="24"/>
        </w:rPr>
      </w:pPr>
      <w:r>
        <w:rPr>
          <w:rFonts w:hint="eastAsia" w:ascii="仿宋" w:hAnsi="仿宋" w:eastAsia="仿宋" w:cs="仿宋"/>
          <w:b/>
          <w:bCs/>
          <w:sz w:val="24"/>
        </w:rPr>
        <w:t>三、商务需求</w:t>
      </w:r>
    </w:p>
    <w:p>
      <w:pPr>
        <w:wordWrap w:val="0"/>
        <w:topLinePunct/>
        <w:adjustRightInd/>
        <w:spacing w:line="348" w:lineRule="auto"/>
        <w:rPr>
          <w:rFonts w:ascii="仿宋" w:hAnsi="仿宋" w:eastAsia="仿宋" w:cs="仿宋"/>
          <w:sz w:val="24"/>
        </w:rPr>
      </w:pPr>
      <w:r>
        <w:rPr>
          <w:rFonts w:hint="eastAsia" w:ascii="仿宋" w:hAnsi="仿宋" w:eastAsia="仿宋" w:cs="仿宋"/>
          <w:b/>
          <w:bCs/>
          <w:sz w:val="24"/>
        </w:rPr>
        <w:t>▲3.1、交付期限：</w:t>
      </w:r>
      <w:r>
        <w:rPr>
          <w:rFonts w:hint="eastAsia" w:ascii="仿宋" w:hAnsi="仿宋" w:eastAsia="仿宋" w:cs="仿宋"/>
          <w:sz w:val="24"/>
        </w:rPr>
        <w:t>本项目自合同签订之日起7个工作日内完成所有点位勘查工作，并提供所有点位的勘查报告，15个工作日完成设备安装调试（包含阳光房/柜体特色装饰）。整体项目完工截止时间为2024年9月30日。（物流配送服务为柜子正式运行后一年）</w:t>
      </w:r>
    </w:p>
    <w:p>
      <w:pPr>
        <w:wordWrap w:val="0"/>
        <w:topLinePunct/>
        <w:adjustRightInd/>
        <w:spacing w:line="348" w:lineRule="auto"/>
        <w:rPr>
          <w:rFonts w:ascii="仿宋" w:hAnsi="仿宋" w:eastAsia="仿宋" w:cs="仿宋"/>
          <w:sz w:val="24"/>
        </w:rPr>
      </w:pPr>
      <w:r>
        <w:rPr>
          <w:rFonts w:hint="eastAsia" w:ascii="仿宋" w:hAnsi="仿宋" w:eastAsia="仿宋" w:cs="仿宋"/>
          <w:b/>
          <w:bCs/>
          <w:sz w:val="24"/>
        </w:rPr>
        <w:t>▲3.2、质保（服务）期：</w:t>
      </w:r>
      <w:r>
        <w:rPr>
          <w:rFonts w:hint="eastAsia" w:ascii="仿宋" w:hAnsi="仿宋" w:eastAsia="仿宋" w:cs="仿宋"/>
          <w:sz w:val="24"/>
        </w:rPr>
        <w:t>三年原厂保修（从供货验收合格交付使用之日起）。</w:t>
      </w:r>
    </w:p>
    <w:p>
      <w:pPr>
        <w:wordWrap w:val="0"/>
        <w:topLinePunct/>
        <w:adjustRightInd/>
        <w:spacing w:line="348" w:lineRule="auto"/>
        <w:rPr>
          <w:rFonts w:ascii="仿宋" w:hAnsi="仿宋" w:eastAsia="仿宋" w:cs="仿宋"/>
          <w:b/>
          <w:bCs/>
          <w:sz w:val="24"/>
        </w:rPr>
      </w:pPr>
      <w:r>
        <w:rPr>
          <w:rFonts w:hint="eastAsia" w:ascii="仿宋" w:hAnsi="仿宋" w:eastAsia="仿宋" w:cs="仿宋"/>
          <w:b/>
          <w:bCs/>
          <w:sz w:val="24"/>
        </w:rPr>
        <w:t>3.3、付款办法：</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3.3.1合同生效以及具备实施条件后7个工作日内支付60%预付款。</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3.3.2本项目验收合格并经采购单位确认后于7个工作日内按实结算剩余合同款项。</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3.3.3当采购数量与实际使用数量不一致时，乙方应根据实际使用量供货，合同的最终结算金额按实际使用量乘以成交单价进行计算。</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3.3.4乙方必须提供给甲方的合法、有效的正规增值税发票，否则甲方有权延期付款，直至收到乙方相应正规增值税发票为止。</w:t>
      </w:r>
    </w:p>
    <w:p>
      <w:pPr>
        <w:wordWrap w:val="0"/>
        <w:topLinePunct/>
        <w:adjustRightInd/>
        <w:spacing w:line="348" w:lineRule="auto"/>
        <w:rPr>
          <w:rFonts w:ascii="仿宋" w:hAnsi="仿宋" w:eastAsia="仿宋" w:cs="仿宋"/>
          <w:b/>
          <w:bCs/>
          <w:sz w:val="24"/>
        </w:rPr>
      </w:pPr>
      <w:r>
        <w:rPr>
          <w:rFonts w:hint="eastAsia" w:ascii="仿宋" w:hAnsi="仿宋" w:eastAsia="仿宋" w:cs="仿宋"/>
          <w:b/>
          <w:bCs/>
          <w:sz w:val="24"/>
        </w:rPr>
        <w:t>3.4.售后服务：</w:t>
      </w:r>
    </w:p>
    <w:p>
      <w:pPr>
        <w:wordWrap w:val="0"/>
        <w:topLinePunct/>
        <w:adjustRightInd/>
        <w:spacing w:line="348" w:lineRule="auto"/>
        <w:ind w:firstLine="480" w:firstLineChars="200"/>
        <w:rPr>
          <w:rFonts w:ascii="仿宋" w:hAnsi="仿宋" w:eastAsia="仿宋" w:cs="仿宋"/>
          <w:sz w:val="24"/>
        </w:rPr>
      </w:pPr>
      <w:r>
        <w:rPr>
          <w:rFonts w:hint="eastAsia" w:ascii="仿宋" w:hAnsi="仿宋" w:eastAsia="仿宋" w:cs="仿宋"/>
          <w:sz w:val="24"/>
        </w:rPr>
        <w:t>要求有专门的应急维修小组，每天24小时开通专门应急电话，提供不低于7*24小时的现场质保和技术支持服务，做到2小时应急响应，4小时到达现场处理，8小时以内解决问题；若短期无法修复的，应及时提供备用方案。如果逾期未作出响应，投标人应承担由于故障所造成的全部损失。</w:t>
      </w:r>
    </w:p>
    <w:p>
      <w:pPr>
        <w:wordWrap w:val="0"/>
        <w:topLinePunct/>
        <w:adjustRightInd/>
        <w:spacing w:line="348" w:lineRule="auto"/>
        <w:rPr>
          <w:rFonts w:ascii="仿宋" w:hAnsi="仿宋" w:eastAsia="仿宋" w:cs="仿宋"/>
          <w:sz w:val="24"/>
        </w:rPr>
      </w:pPr>
      <w:r>
        <w:rPr>
          <w:rFonts w:hint="eastAsia" w:ascii="仿宋" w:hAnsi="仿宋" w:eastAsia="仿宋" w:cs="仿宋"/>
          <w:sz w:val="24"/>
        </w:rPr>
        <w:t>售后巡查：要求每月一巡查，巡检情况归档备查。</w:t>
      </w:r>
    </w:p>
    <w:p>
      <w:pPr>
        <w:wordWrap w:val="0"/>
        <w:topLinePunct/>
        <w:adjustRightInd/>
        <w:spacing w:line="348" w:lineRule="auto"/>
        <w:rPr>
          <w:rFonts w:ascii="仿宋" w:hAnsi="仿宋" w:eastAsia="仿宋" w:cs="仿宋"/>
          <w:sz w:val="24"/>
        </w:rPr>
      </w:pPr>
      <w:r>
        <w:rPr>
          <w:rFonts w:hint="eastAsia" w:ascii="仿宋" w:hAnsi="仿宋" w:eastAsia="仿宋" w:cs="仿宋"/>
          <w:sz w:val="24"/>
        </w:rPr>
        <w:t>售后人员：落实专门的对接技术人员。</w:t>
      </w:r>
    </w:p>
    <w:p>
      <w:pPr>
        <w:wordWrap w:val="0"/>
        <w:topLinePunct/>
        <w:adjustRightInd/>
        <w:spacing w:line="348" w:lineRule="auto"/>
        <w:rPr>
          <w:rFonts w:ascii="仿宋" w:hAnsi="仿宋" w:eastAsia="仿宋" w:cs="仿宋"/>
          <w:sz w:val="24"/>
        </w:rPr>
      </w:pPr>
      <w:r>
        <w:rPr>
          <w:rFonts w:hint="eastAsia" w:ascii="仿宋" w:hAnsi="仿宋" w:eastAsia="仿宋" w:cs="仿宋"/>
          <w:sz w:val="24"/>
        </w:rPr>
        <w:t>投标人对售后服务承诺内容须有具体的落实保障措施以及突发事件的应急措施。</w:t>
      </w:r>
    </w:p>
    <w:p>
      <w:pPr>
        <w:wordWrap w:val="0"/>
        <w:topLinePunct/>
        <w:adjustRightInd/>
        <w:spacing w:line="348" w:lineRule="auto"/>
        <w:rPr>
          <w:rFonts w:ascii="仿宋" w:hAnsi="仿宋" w:eastAsia="仿宋" w:cs="仿宋"/>
          <w:b/>
          <w:bCs/>
          <w:sz w:val="24"/>
        </w:rPr>
      </w:pPr>
      <w:r>
        <w:rPr>
          <w:rFonts w:hint="eastAsia" w:ascii="仿宋" w:hAnsi="仿宋" w:eastAsia="仿宋" w:cs="仿宋"/>
          <w:b/>
          <w:bCs/>
          <w:sz w:val="24"/>
        </w:rPr>
        <w:t>四、其他要求</w:t>
      </w:r>
    </w:p>
    <w:p>
      <w:pPr>
        <w:wordWrap w:val="0"/>
        <w:topLinePunct/>
        <w:adjustRightInd/>
        <w:spacing w:line="360" w:lineRule="auto"/>
        <w:rPr>
          <w:rFonts w:ascii="仿宋" w:hAnsi="仿宋" w:eastAsia="仿宋" w:cs="仿宋"/>
          <w:b/>
          <w:bCs/>
          <w:sz w:val="24"/>
        </w:rPr>
      </w:pPr>
      <w:r>
        <w:rPr>
          <w:rFonts w:hint="eastAsia" w:ascii="仿宋" w:hAnsi="仿宋" w:eastAsia="仿宋" w:cs="仿宋"/>
          <w:b/>
          <w:bCs/>
          <w:sz w:val="24"/>
        </w:rPr>
        <w:t>4.1、备品备件要求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投标人须提供保证货物正常运转所必需的附件、备件和专用工具等，在投标文件中列出清单，其价格含在总价中。</w:t>
      </w:r>
    </w:p>
    <w:p>
      <w:pPr>
        <w:wordWrap w:val="0"/>
        <w:topLinePunct/>
        <w:adjustRightInd/>
        <w:spacing w:line="360" w:lineRule="auto"/>
        <w:rPr>
          <w:rFonts w:ascii="仿宋" w:hAnsi="仿宋" w:eastAsia="仿宋" w:cs="仿宋"/>
          <w:b/>
          <w:bCs/>
          <w:sz w:val="24"/>
        </w:rPr>
      </w:pPr>
      <w:r>
        <w:rPr>
          <w:rFonts w:hint="eastAsia" w:ascii="仿宋" w:hAnsi="仿宋" w:eastAsia="仿宋" w:cs="仿宋"/>
          <w:b/>
          <w:bCs/>
          <w:sz w:val="24"/>
        </w:rPr>
        <w:t>4.2、项目管理要求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4.2.1投标人有责任检查安装现场是否符合产品安装条件，事先提出对安装的环境的要求，包括接电、安装等。</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4.2.2本项目涉及的材料、设备由投标人负责测试、安装、调试和有关配置工作，投标人应按上述方案完成测试、安装、调试和有关配置工作。</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4.2.3投标人需保证材料、设备均为原装产品，保证所提供材料货物是全新的、未使用过的，并完全符合合同规定的质量、规格和性能的要求。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4.2.4投标人保证其提供的材料货物在正确安装、正常使用和保养条件下，在使用期内具有满意的性能，投标人对由于产品设计、工艺或材料的缺陷而产生的故障负责并解决。</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4.2.5投标人承诺本次提供的所有材料、设备满足标书要求，对标书中的变更修改内容以本合同的设备配置附件为准。投标人承诺所有的设备满足技术完整性要求。如有线缆、附件等遗漏，影响设备安装和运行，由投标人承担并负责解决。</w:t>
      </w:r>
    </w:p>
    <w:p>
      <w:pPr>
        <w:wordWrap w:val="0"/>
        <w:topLinePunct/>
        <w:adjustRightInd/>
        <w:spacing w:line="348" w:lineRule="auto"/>
        <w:rPr>
          <w:rFonts w:ascii="仿宋" w:hAnsi="仿宋" w:eastAsia="仿宋" w:cs="仿宋"/>
          <w:b/>
          <w:bCs/>
          <w:sz w:val="24"/>
        </w:rPr>
      </w:pPr>
      <w:r>
        <w:rPr>
          <w:rFonts w:hint="eastAsia" w:ascii="仿宋" w:hAnsi="仿宋" w:eastAsia="仿宋" w:cs="仿宋"/>
          <w:b/>
          <w:bCs/>
          <w:sz w:val="24"/>
        </w:rPr>
        <w:t>4.3项目实施团队要求</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在标书中明确项目经理和主要技术人员。</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投标文件中明确的人员在项目开展过程中不得擅自更换，如需更换应提前10个工作日以书面形式通知招标人，经招标人同意后方可更换。更换后的人员资质及经验不得低于更换前。</w:t>
      </w:r>
    </w:p>
    <w:p>
      <w:pPr>
        <w:wordWrap w:val="0"/>
        <w:topLinePunct/>
        <w:adjustRightInd/>
        <w:spacing w:line="348" w:lineRule="auto"/>
        <w:rPr>
          <w:rFonts w:ascii="仿宋" w:hAnsi="仿宋" w:eastAsia="仿宋" w:cs="仿宋"/>
          <w:b/>
          <w:bCs/>
          <w:sz w:val="24"/>
        </w:rPr>
      </w:pPr>
      <w:r>
        <w:rPr>
          <w:rFonts w:hint="eastAsia" w:ascii="仿宋" w:hAnsi="仿宋" w:eastAsia="仿宋" w:cs="仿宋"/>
          <w:b/>
          <w:bCs/>
          <w:sz w:val="24"/>
        </w:rPr>
        <w:t>4.4培训方案</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4.4.1中标人应编制相关设备使用指导手册或使用说明，提供使用操作培训，直至使用教师能熟练、安全地操作（如需）。</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4.4.2中标人应提供相应的培训计划。</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4.4.3中标人应对上述内容的实现方式、人数、时间在投标文件中详细说明。</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4.4.4培训相关费用含在报价中。</w:t>
      </w:r>
    </w:p>
    <w:p>
      <w:pPr>
        <w:wordWrap w:val="0"/>
        <w:topLinePunct/>
        <w:adjustRightInd/>
        <w:spacing w:line="360" w:lineRule="auto"/>
        <w:ind w:firstLine="480" w:firstLineChars="200"/>
        <w:rPr>
          <w:rFonts w:ascii="仿宋" w:hAnsi="仿宋" w:eastAsia="仿宋" w:cs="Courier New"/>
          <w:color w:val="000000"/>
          <w:sz w:val="24"/>
        </w:rPr>
      </w:pPr>
      <w:r>
        <w:rPr>
          <w:rFonts w:hint="eastAsia" w:ascii="仿宋" w:hAnsi="仿宋" w:eastAsia="仿宋" w:cs="仿宋"/>
          <w:sz w:val="24"/>
        </w:rPr>
        <w:t>4.4.5为保障培训质量，投标人所落实的相关措施、保障方案。</w:t>
      </w:r>
    </w:p>
    <w:p>
      <w:pPr>
        <w:pStyle w:val="2"/>
      </w:pPr>
    </w:p>
    <w:p>
      <w:pPr>
        <w:jc w:val="left"/>
        <w:rPr>
          <w:rFonts w:ascii="仿宋" w:hAnsi="仿宋" w:eastAsia="仿宋" w:cs="仿宋"/>
          <w:b/>
          <w:sz w:val="36"/>
          <w:szCs w:val="36"/>
        </w:rPr>
      </w:pPr>
      <w:r>
        <w:rPr>
          <w:rFonts w:hint="eastAsia" w:ascii="仿宋" w:hAnsi="仿宋" w:eastAsia="仿宋" w:cs="仿宋"/>
          <w:b/>
          <w:sz w:val="36"/>
          <w:szCs w:val="36"/>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33" w:name="_Toc184313241"/>
      <w:bookmarkEnd w:id="33"/>
      <w:bookmarkStart w:id="34" w:name="_Toc184313298"/>
      <w:bookmarkEnd w:id="34"/>
      <w:bookmarkStart w:id="35" w:name="_Toc184314421"/>
      <w:bookmarkEnd w:id="35"/>
      <w:bookmarkStart w:id="36" w:name="_Toc184313304"/>
      <w:bookmarkEnd w:id="36"/>
      <w:bookmarkStart w:id="37" w:name="_Toc184312113"/>
      <w:bookmarkEnd w:id="37"/>
      <w:bookmarkStart w:id="38" w:name="_Toc184310277"/>
      <w:bookmarkEnd w:id="38"/>
      <w:bookmarkStart w:id="39" w:name="_Toc184308103"/>
      <w:bookmarkEnd w:id="39"/>
      <w:bookmarkStart w:id="40" w:name="_Toc184308080"/>
      <w:bookmarkEnd w:id="40"/>
      <w:bookmarkStart w:id="41" w:name="_Toc184310287"/>
      <w:bookmarkEnd w:id="41"/>
      <w:bookmarkStart w:id="42" w:name="_Toc184308100"/>
      <w:bookmarkEnd w:id="42"/>
      <w:bookmarkStart w:id="43" w:name="_Toc184314429"/>
      <w:bookmarkEnd w:id="43"/>
      <w:bookmarkStart w:id="44" w:name="_Toc184314460"/>
      <w:bookmarkEnd w:id="44"/>
      <w:bookmarkStart w:id="45" w:name="_Toc184310278"/>
      <w:bookmarkEnd w:id="45"/>
      <w:bookmarkStart w:id="46" w:name="_Toc184312125"/>
      <w:bookmarkEnd w:id="46"/>
      <w:bookmarkStart w:id="47" w:name="_Toc184308065"/>
      <w:bookmarkEnd w:id="47"/>
      <w:bookmarkStart w:id="48" w:name="_Toc184308060"/>
      <w:bookmarkEnd w:id="48"/>
      <w:bookmarkStart w:id="49" w:name="_Toc184312116"/>
      <w:bookmarkEnd w:id="49"/>
      <w:bookmarkStart w:id="50" w:name="_Toc184308046"/>
      <w:bookmarkEnd w:id="50"/>
      <w:bookmarkStart w:id="51" w:name="_Toc184313267"/>
      <w:bookmarkEnd w:id="51"/>
      <w:bookmarkStart w:id="52" w:name="_Toc184312100"/>
      <w:bookmarkEnd w:id="52"/>
      <w:bookmarkStart w:id="53" w:name="_Toc184313292"/>
      <w:bookmarkEnd w:id="53"/>
      <w:bookmarkStart w:id="54" w:name="_Toc184314430"/>
      <w:bookmarkEnd w:id="54"/>
      <w:bookmarkStart w:id="55" w:name="_Toc184308072"/>
      <w:bookmarkEnd w:id="55"/>
      <w:bookmarkStart w:id="56" w:name="_Toc184314424"/>
      <w:bookmarkEnd w:id="56"/>
      <w:bookmarkStart w:id="57" w:name="_Toc184312085"/>
      <w:bookmarkEnd w:id="57"/>
      <w:bookmarkStart w:id="58" w:name="_Toc184312078"/>
      <w:bookmarkEnd w:id="58"/>
      <w:bookmarkStart w:id="59" w:name="_Toc184313260"/>
      <w:bookmarkEnd w:id="59"/>
      <w:bookmarkStart w:id="60" w:name="_Toc184310336"/>
      <w:bookmarkEnd w:id="60"/>
      <w:bookmarkStart w:id="61" w:name="_Toc184312136"/>
      <w:bookmarkEnd w:id="61"/>
      <w:bookmarkStart w:id="62" w:name="_Toc184313307"/>
      <w:bookmarkEnd w:id="62"/>
      <w:bookmarkStart w:id="63" w:name="_Toc184312138"/>
      <w:bookmarkEnd w:id="63"/>
      <w:bookmarkStart w:id="64" w:name="_Toc184313281"/>
      <w:bookmarkEnd w:id="64"/>
      <w:bookmarkStart w:id="65" w:name="_Toc184310292"/>
      <w:bookmarkEnd w:id="65"/>
      <w:bookmarkStart w:id="66" w:name="_Toc184313270"/>
      <w:bookmarkEnd w:id="66"/>
      <w:bookmarkStart w:id="67" w:name="_Toc184313300"/>
      <w:bookmarkEnd w:id="67"/>
      <w:bookmarkStart w:id="68" w:name="_Toc184312083"/>
      <w:bookmarkEnd w:id="68"/>
      <w:bookmarkStart w:id="69" w:name="_Toc184313263"/>
      <w:bookmarkEnd w:id="69"/>
      <w:bookmarkStart w:id="70" w:name="_Toc184314458"/>
      <w:bookmarkEnd w:id="70"/>
      <w:bookmarkStart w:id="71" w:name="_Toc184310338"/>
      <w:bookmarkEnd w:id="71"/>
      <w:bookmarkStart w:id="72" w:name="_Toc184308051"/>
      <w:bookmarkEnd w:id="72"/>
      <w:bookmarkStart w:id="73" w:name="_Toc184312108"/>
      <w:bookmarkEnd w:id="73"/>
      <w:bookmarkStart w:id="74" w:name="_Toc184313239"/>
      <w:bookmarkEnd w:id="74"/>
      <w:bookmarkStart w:id="75" w:name="_Toc184312094"/>
      <w:bookmarkEnd w:id="75"/>
      <w:bookmarkStart w:id="76" w:name="_Toc184314482"/>
      <w:bookmarkEnd w:id="76"/>
      <w:bookmarkStart w:id="77" w:name="_Toc184314432"/>
      <w:bookmarkEnd w:id="77"/>
      <w:bookmarkStart w:id="78" w:name="_Toc184310326"/>
      <w:bookmarkEnd w:id="78"/>
      <w:bookmarkStart w:id="79" w:name="_Toc184310322"/>
      <w:bookmarkEnd w:id="79"/>
      <w:bookmarkStart w:id="80" w:name="_Toc184314438"/>
      <w:bookmarkEnd w:id="80"/>
      <w:bookmarkStart w:id="81" w:name="_Toc184308069"/>
      <w:bookmarkEnd w:id="81"/>
      <w:bookmarkStart w:id="82" w:name="_Toc184310316"/>
      <w:bookmarkEnd w:id="82"/>
      <w:bookmarkStart w:id="83" w:name="_Toc184314419"/>
      <w:bookmarkEnd w:id="83"/>
      <w:bookmarkStart w:id="84" w:name="_Toc184312086"/>
      <w:bookmarkEnd w:id="84"/>
      <w:bookmarkStart w:id="85" w:name="_Toc184308040"/>
      <w:bookmarkEnd w:id="85"/>
      <w:bookmarkStart w:id="86" w:name="_Toc184310342"/>
      <w:bookmarkEnd w:id="86"/>
      <w:bookmarkStart w:id="87" w:name="_Toc184314480"/>
      <w:bookmarkEnd w:id="87"/>
      <w:bookmarkStart w:id="88" w:name="_Toc184312126"/>
      <w:bookmarkEnd w:id="88"/>
      <w:bookmarkStart w:id="89" w:name="_Toc184310309"/>
      <w:bookmarkEnd w:id="89"/>
      <w:bookmarkStart w:id="90" w:name="_Toc184310337"/>
      <w:bookmarkEnd w:id="90"/>
      <w:bookmarkStart w:id="91" w:name="_Toc184310330"/>
      <w:bookmarkEnd w:id="91"/>
      <w:bookmarkStart w:id="92" w:name="_Toc184313280"/>
      <w:bookmarkEnd w:id="92"/>
      <w:bookmarkStart w:id="93" w:name="_Toc184313294"/>
      <w:bookmarkEnd w:id="93"/>
      <w:bookmarkStart w:id="94" w:name="_Toc184313277"/>
      <w:bookmarkEnd w:id="94"/>
      <w:bookmarkStart w:id="95" w:name="_Toc184314417"/>
      <w:bookmarkEnd w:id="95"/>
      <w:bookmarkStart w:id="96" w:name="_Toc184312110"/>
      <w:bookmarkEnd w:id="96"/>
      <w:bookmarkStart w:id="97" w:name="_Toc184314444"/>
      <w:bookmarkEnd w:id="97"/>
      <w:bookmarkStart w:id="98" w:name="_Toc184310280"/>
      <w:bookmarkEnd w:id="98"/>
      <w:bookmarkStart w:id="99" w:name="_Toc184312076"/>
      <w:bookmarkEnd w:id="99"/>
      <w:bookmarkStart w:id="100" w:name="_Toc184308074"/>
      <w:bookmarkEnd w:id="100"/>
      <w:bookmarkStart w:id="101" w:name="_Toc184314461"/>
      <w:bookmarkEnd w:id="101"/>
      <w:bookmarkStart w:id="102" w:name="_Toc184308084"/>
      <w:bookmarkEnd w:id="102"/>
      <w:bookmarkStart w:id="103" w:name="_Toc184314468"/>
      <w:bookmarkEnd w:id="103"/>
      <w:bookmarkStart w:id="104" w:name="_Toc184313296"/>
      <w:bookmarkEnd w:id="104"/>
      <w:bookmarkStart w:id="105" w:name="_Toc184314454"/>
      <w:bookmarkEnd w:id="105"/>
      <w:bookmarkStart w:id="106" w:name="_Toc184314469"/>
      <w:bookmarkEnd w:id="106"/>
      <w:bookmarkStart w:id="107" w:name="_Toc184314443"/>
      <w:bookmarkEnd w:id="107"/>
      <w:bookmarkStart w:id="108" w:name="_Toc184314435"/>
      <w:bookmarkEnd w:id="108"/>
      <w:bookmarkStart w:id="109" w:name="_Toc184310320"/>
      <w:bookmarkEnd w:id="109"/>
      <w:bookmarkStart w:id="110" w:name="_Toc184312121"/>
      <w:bookmarkEnd w:id="110"/>
      <w:bookmarkStart w:id="111" w:name="_Toc184314453"/>
      <w:bookmarkEnd w:id="111"/>
      <w:bookmarkStart w:id="112" w:name="_Toc184314436"/>
      <w:bookmarkEnd w:id="112"/>
      <w:bookmarkStart w:id="113" w:name="_Toc184308061"/>
      <w:bookmarkEnd w:id="113"/>
      <w:bookmarkStart w:id="114" w:name="_Toc184308093"/>
      <w:bookmarkEnd w:id="114"/>
      <w:bookmarkStart w:id="115" w:name="_Toc184310323"/>
      <w:bookmarkEnd w:id="115"/>
      <w:bookmarkStart w:id="116" w:name="_Toc184314471"/>
      <w:bookmarkEnd w:id="116"/>
      <w:bookmarkStart w:id="117" w:name="_Toc184312093"/>
      <w:bookmarkEnd w:id="117"/>
      <w:bookmarkStart w:id="118" w:name="_Toc184308092"/>
      <w:bookmarkEnd w:id="118"/>
      <w:bookmarkStart w:id="119" w:name="_Toc184308048"/>
      <w:bookmarkEnd w:id="119"/>
      <w:bookmarkStart w:id="120" w:name="_Toc184313238"/>
      <w:bookmarkEnd w:id="120"/>
      <w:bookmarkStart w:id="121" w:name="_Toc184313286"/>
      <w:bookmarkEnd w:id="121"/>
      <w:bookmarkStart w:id="122" w:name="_Toc184314477"/>
      <w:bookmarkEnd w:id="122"/>
      <w:bookmarkStart w:id="123" w:name="_Toc184308054"/>
      <w:bookmarkEnd w:id="123"/>
      <w:bookmarkStart w:id="124" w:name="_Toc184312077"/>
      <w:bookmarkEnd w:id="124"/>
      <w:bookmarkStart w:id="125" w:name="_Toc184313284"/>
      <w:bookmarkEnd w:id="125"/>
      <w:bookmarkStart w:id="126" w:name="_Toc184308070"/>
      <w:bookmarkEnd w:id="126"/>
      <w:bookmarkStart w:id="127" w:name="_Toc184308081"/>
      <w:bookmarkEnd w:id="127"/>
      <w:bookmarkStart w:id="128" w:name="_Toc184314463"/>
      <w:bookmarkEnd w:id="128"/>
      <w:bookmarkStart w:id="129" w:name="_Toc184314459"/>
      <w:bookmarkEnd w:id="129"/>
      <w:bookmarkStart w:id="130" w:name="_Toc184310331"/>
      <w:bookmarkEnd w:id="130"/>
      <w:bookmarkStart w:id="131" w:name="_Toc184308038"/>
      <w:bookmarkEnd w:id="131"/>
      <w:bookmarkStart w:id="132" w:name="_Toc184312124"/>
      <w:bookmarkEnd w:id="132"/>
      <w:bookmarkStart w:id="133" w:name="_Toc184314422"/>
      <w:bookmarkEnd w:id="133"/>
      <w:bookmarkStart w:id="134" w:name="_Toc184310301"/>
      <w:bookmarkEnd w:id="134"/>
      <w:bookmarkStart w:id="135" w:name="_Toc184313297"/>
      <w:bookmarkEnd w:id="135"/>
      <w:bookmarkStart w:id="136" w:name="_Toc184314476"/>
      <w:bookmarkEnd w:id="136"/>
      <w:bookmarkStart w:id="137" w:name="_Toc184310305"/>
      <w:bookmarkEnd w:id="137"/>
      <w:bookmarkStart w:id="138" w:name="_Toc184308043"/>
      <w:bookmarkEnd w:id="138"/>
      <w:bookmarkStart w:id="139" w:name="_Toc184312104"/>
      <w:bookmarkEnd w:id="139"/>
      <w:bookmarkStart w:id="140" w:name="_Toc184310335"/>
      <w:bookmarkEnd w:id="140"/>
      <w:bookmarkStart w:id="141" w:name="_Toc184313245"/>
      <w:bookmarkEnd w:id="141"/>
      <w:bookmarkStart w:id="142" w:name="_Toc184308055"/>
      <w:bookmarkEnd w:id="142"/>
      <w:bookmarkStart w:id="143" w:name="_Toc184314413"/>
      <w:bookmarkEnd w:id="143"/>
      <w:bookmarkStart w:id="144" w:name="_Toc184313289"/>
      <w:bookmarkEnd w:id="144"/>
      <w:bookmarkStart w:id="145" w:name="_Toc184310319"/>
      <w:bookmarkEnd w:id="145"/>
      <w:bookmarkStart w:id="146" w:name="_Toc184314427"/>
      <w:bookmarkEnd w:id="146"/>
      <w:bookmarkStart w:id="147" w:name="_Toc184313278"/>
      <w:bookmarkEnd w:id="147"/>
      <w:bookmarkStart w:id="148" w:name="_Toc184310325"/>
      <w:bookmarkEnd w:id="148"/>
      <w:bookmarkStart w:id="149" w:name="_Toc184312074"/>
      <w:bookmarkEnd w:id="149"/>
      <w:bookmarkStart w:id="150" w:name="_Toc184308067"/>
      <w:bookmarkEnd w:id="150"/>
      <w:bookmarkStart w:id="151" w:name="_Toc184314414"/>
      <w:bookmarkEnd w:id="151"/>
      <w:bookmarkStart w:id="152" w:name="_Toc184308101"/>
      <w:bookmarkEnd w:id="152"/>
      <w:bookmarkStart w:id="153" w:name="_Toc184313250"/>
      <w:bookmarkEnd w:id="153"/>
      <w:bookmarkStart w:id="154" w:name="_Toc184312072"/>
      <w:bookmarkEnd w:id="154"/>
      <w:bookmarkStart w:id="155" w:name="_Toc184312107"/>
      <w:bookmarkEnd w:id="155"/>
      <w:bookmarkStart w:id="156" w:name="_Toc184314472"/>
      <w:bookmarkEnd w:id="156"/>
      <w:bookmarkStart w:id="157" w:name="_Toc184308108"/>
      <w:bookmarkEnd w:id="157"/>
      <w:bookmarkStart w:id="158" w:name="_Toc184310298"/>
      <w:bookmarkEnd w:id="158"/>
      <w:bookmarkStart w:id="159" w:name="_Toc184314446"/>
      <w:bookmarkEnd w:id="159"/>
      <w:bookmarkStart w:id="160" w:name="_Toc184312135"/>
      <w:bookmarkEnd w:id="160"/>
      <w:bookmarkStart w:id="161" w:name="_Toc184314437"/>
      <w:bookmarkEnd w:id="161"/>
      <w:bookmarkStart w:id="162" w:name="_Toc184310279"/>
      <w:bookmarkEnd w:id="162"/>
      <w:bookmarkStart w:id="163" w:name="_Toc184312089"/>
      <w:bookmarkEnd w:id="163"/>
      <w:bookmarkStart w:id="164" w:name="_Toc184312129"/>
      <w:bookmarkEnd w:id="164"/>
      <w:bookmarkStart w:id="165" w:name="_Toc184310332"/>
      <w:bookmarkEnd w:id="165"/>
      <w:bookmarkStart w:id="166" w:name="_Toc184310276"/>
      <w:bookmarkEnd w:id="166"/>
      <w:bookmarkStart w:id="167" w:name="_Toc184313261"/>
      <w:bookmarkEnd w:id="167"/>
      <w:bookmarkStart w:id="168" w:name="_Toc184308037"/>
      <w:bookmarkEnd w:id="168"/>
      <w:bookmarkStart w:id="169" w:name="_Toc184313244"/>
      <w:bookmarkEnd w:id="169"/>
      <w:bookmarkStart w:id="170" w:name="_Toc184314428"/>
      <w:bookmarkEnd w:id="170"/>
      <w:bookmarkStart w:id="171" w:name="_Toc184313287"/>
      <w:bookmarkEnd w:id="171"/>
      <w:bookmarkStart w:id="172" w:name="_Toc184314475"/>
      <w:bookmarkEnd w:id="172"/>
      <w:bookmarkStart w:id="173" w:name="_Toc184314447"/>
      <w:bookmarkEnd w:id="173"/>
      <w:bookmarkStart w:id="174" w:name="_Toc184310340"/>
      <w:bookmarkEnd w:id="174"/>
      <w:bookmarkStart w:id="175" w:name="_Toc184312103"/>
      <w:bookmarkEnd w:id="175"/>
      <w:bookmarkStart w:id="176" w:name="_Toc184312115"/>
      <w:bookmarkEnd w:id="176"/>
      <w:bookmarkStart w:id="177" w:name="_Toc184310291"/>
      <w:bookmarkEnd w:id="177"/>
      <w:bookmarkStart w:id="178" w:name="_Toc184312099"/>
      <w:bookmarkEnd w:id="178"/>
      <w:bookmarkStart w:id="179" w:name="_Toc184308089"/>
      <w:bookmarkEnd w:id="179"/>
      <w:bookmarkStart w:id="180" w:name="_Toc184312084"/>
      <w:bookmarkEnd w:id="180"/>
      <w:bookmarkStart w:id="181" w:name="_Toc184310304"/>
      <w:bookmarkEnd w:id="181"/>
      <w:bookmarkStart w:id="182" w:name="_Toc184312102"/>
      <w:bookmarkEnd w:id="182"/>
      <w:bookmarkStart w:id="183" w:name="_Toc184310272"/>
      <w:bookmarkEnd w:id="183"/>
      <w:bookmarkStart w:id="184" w:name="_Toc184313301"/>
      <w:bookmarkEnd w:id="184"/>
      <w:bookmarkStart w:id="185" w:name="_Toc184310314"/>
      <w:bookmarkEnd w:id="185"/>
      <w:bookmarkStart w:id="186" w:name="_Toc184312082"/>
      <w:bookmarkEnd w:id="186"/>
      <w:bookmarkStart w:id="187" w:name="_Toc184310302"/>
      <w:bookmarkEnd w:id="187"/>
      <w:bookmarkStart w:id="188" w:name="_Toc184312070"/>
      <w:bookmarkEnd w:id="188"/>
      <w:bookmarkStart w:id="189" w:name="_Toc184314481"/>
      <w:bookmarkEnd w:id="189"/>
      <w:bookmarkStart w:id="190" w:name="_Toc184310328"/>
      <w:bookmarkEnd w:id="190"/>
      <w:bookmarkStart w:id="191" w:name="_Toc184312105"/>
      <w:bookmarkEnd w:id="191"/>
      <w:bookmarkStart w:id="192" w:name="_Toc184312075"/>
      <w:bookmarkEnd w:id="192"/>
      <w:bookmarkStart w:id="193" w:name="_Toc184313265"/>
      <w:bookmarkEnd w:id="193"/>
      <w:bookmarkStart w:id="194" w:name="_Toc184313272"/>
      <w:bookmarkEnd w:id="194"/>
      <w:bookmarkStart w:id="195" w:name="_Toc184313295"/>
      <w:bookmarkEnd w:id="195"/>
      <w:bookmarkStart w:id="196" w:name="_Toc184308058"/>
      <w:bookmarkEnd w:id="196"/>
      <w:bookmarkStart w:id="197" w:name="_Toc184312079"/>
      <w:bookmarkEnd w:id="197"/>
      <w:bookmarkStart w:id="198" w:name="_Toc184308095"/>
      <w:bookmarkEnd w:id="198"/>
      <w:bookmarkStart w:id="199" w:name="_Toc184310313"/>
      <w:bookmarkEnd w:id="199"/>
      <w:bookmarkStart w:id="200" w:name="_Toc184308096"/>
      <w:bookmarkEnd w:id="200"/>
      <w:bookmarkStart w:id="201" w:name="_Toc184313291"/>
      <w:bookmarkEnd w:id="201"/>
      <w:bookmarkStart w:id="202" w:name="_Toc184313242"/>
      <w:bookmarkEnd w:id="202"/>
      <w:bookmarkStart w:id="203" w:name="_Toc184310303"/>
      <w:bookmarkEnd w:id="203"/>
      <w:bookmarkStart w:id="204" w:name="_Toc184310283"/>
      <w:bookmarkEnd w:id="204"/>
      <w:bookmarkStart w:id="205" w:name="_Toc184313253"/>
      <w:bookmarkEnd w:id="205"/>
      <w:bookmarkStart w:id="206" w:name="_Toc184313251"/>
      <w:bookmarkEnd w:id="206"/>
      <w:bookmarkStart w:id="207" w:name="_Toc184312091"/>
      <w:bookmarkEnd w:id="207"/>
      <w:bookmarkStart w:id="208" w:name="_Toc184313240"/>
      <w:bookmarkEnd w:id="208"/>
      <w:bookmarkStart w:id="209" w:name="_Toc184310318"/>
      <w:bookmarkEnd w:id="209"/>
      <w:bookmarkStart w:id="210" w:name="_Toc184308075"/>
      <w:bookmarkEnd w:id="210"/>
      <w:bookmarkStart w:id="211" w:name="_Toc184313285"/>
      <w:bookmarkEnd w:id="211"/>
      <w:bookmarkStart w:id="212" w:name="_Toc184312071"/>
      <w:bookmarkEnd w:id="212"/>
      <w:bookmarkStart w:id="213" w:name="_Toc184308094"/>
      <w:bookmarkEnd w:id="213"/>
      <w:bookmarkStart w:id="214" w:name="_Toc184312081"/>
      <w:bookmarkEnd w:id="214"/>
      <w:bookmarkStart w:id="215" w:name="_Toc184314425"/>
      <w:bookmarkEnd w:id="215"/>
      <w:bookmarkStart w:id="216" w:name="_Toc184310290"/>
      <w:bookmarkEnd w:id="216"/>
      <w:bookmarkStart w:id="217" w:name="_Toc184310295"/>
      <w:bookmarkEnd w:id="217"/>
      <w:bookmarkStart w:id="218" w:name="_Toc184313252"/>
      <w:bookmarkEnd w:id="218"/>
      <w:bookmarkStart w:id="219" w:name="_Toc184308082"/>
      <w:bookmarkEnd w:id="219"/>
      <w:bookmarkStart w:id="220" w:name="_Toc184313246"/>
      <w:bookmarkEnd w:id="220"/>
      <w:bookmarkStart w:id="221" w:name="_Toc184308087"/>
      <w:bookmarkEnd w:id="221"/>
      <w:bookmarkStart w:id="222" w:name="_Toc184308056"/>
      <w:bookmarkEnd w:id="222"/>
      <w:bookmarkStart w:id="223" w:name="_Toc184312134"/>
      <w:bookmarkEnd w:id="223"/>
      <w:bookmarkStart w:id="224" w:name="_Toc184310308"/>
      <w:bookmarkEnd w:id="224"/>
      <w:bookmarkStart w:id="225" w:name="_Toc184314473"/>
      <w:bookmarkEnd w:id="225"/>
      <w:bookmarkStart w:id="226" w:name="_Toc184310307"/>
      <w:bookmarkEnd w:id="226"/>
      <w:bookmarkStart w:id="227" w:name="_Toc184313249"/>
      <w:bookmarkEnd w:id="227"/>
      <w:bookmarkStart w:id="228" w:name="_Toc184308045"/>
      <w:bookmarkEnd w:id="228"/>
      <w:bookmarkStart w:id="229" w:name="_Toc184308091"/>
      <w:bookmarkEnd w:id="229"/>
      <w:bookmarkStart w:id="230" w:name="_Toc184310343"/>
      <w:bookmarkEnd w:id="230"/>
      <w:bookmarkStart w:id="231" w:name="_Toc184312123"/>
      <w:bookmarkEnd w:id="231"/>
      <w:bookmarkStart w:id="232" w:name="_Toc184313268"/>
      <w:bookmarkEnd w:id="232"/>
      <w:bookmarkStart w:id="233" w:name="_Toc184314470"/>
      <w:bookmarkEnd w:id="233"/>
      <w:bookmarkStart w:id="234" w:name="_Toc184308062"/>
      <w:bookmarkEnd w:id="234"/>
      <w:bookmarkStart w:id="235" w:name="_Toc184308077"/>
      <w:bookmarkEnd w:id="235"/>
      <w:bookmarkStart w:id="236" w:name="_Toc184312109"/>
      <w:bookmarkEnd w:id="236"/>
      <w:bookmarkStart w:id="237" w:name="_Toc184310327"/>
      <w:bookmarkEnd w:id="237"/>
      <w:bookmarkStart w:id="238" w:name="_Toc184308106"/>
      <w:bookmarkEnd w:id="238"/>
      <w:bookmarkStart w:id="239" w:name="_Toc184308064"/>
      <w:bookmarkEnd w:id="239"/>
      <w:bookmarkStart w:id="240" w:name="_Toc184314474"/>
      <w:bookmarkEnd w:id="240"/>
      <w:bookmarkStart w:id="241" w:name="_Toc184314456"/>
      <w:bookmarkEnd w:id="241"/>
      <w:bookmarkStart w:id="242" w:name="_Toc184310315"/>
      <w:bookmarkEnd w:id="242"/>
      <w:bookmarkStart w:id="243" w:name="_Toc184312087"/>
      <w:bookmarkEnd w:id="243"/>
      <w:bookmarkStart w:id="244" w:name="_Toc184310317"/>
      <w:bookmarkEnd w:id="244"/>
      <w:bookmarkStart w:id="245" w:name="_Toc184310341"/>
      <w:bookmarkEnd w:id="245"/>
      <w:bookmarkStart w:id="246" w:name="_Toc184312117"/>
      <w:bookmarkEnd w:id="246"/>
      <w:bookmarkStart w:id="247" w:name="_Toc184313264"/>
      <w:bookmarkEnd w:id="247"/>
      <w:bookmarkStart w:id="248" w:name="_Toc184314411"/>
      <w:bookmarkEnd w:id="248"/>
      <w:bookmarkStart w:id="249" w:name="_Toc184312112"/>
      <w:bookmarkEnd w:id="249"/>
      <w:bookmarkStart w:id="250" w:name="_Toc184308098"/>
      <w:bookmarkEnd w:id="250"/>
      <w:bookmarkStart w:id="251" w:name="_Toc184308039"/>
      <w:bookmarkEnd w:id="251"/>
      <w:bookmarkStart w:id="252" w:name="_Toc184313309"/>
      <w:bookmarkEnd w:id="252"/>
      <w:bookmarkStart w:id="253" w:name="_Toc184310296"/>
      <w:bookmarkEnd w:id="253"/>
      <w:bookmarkStart w:id="254" w:name="_Toc184308104"/>
      <w:bookmarkEnd w:id="254"/>
      <w:bookmarkStart w:id="255" w:name="_Toc184313279"/>
      <w:bookmarkEnd w:id="255"/>
      <w:bookmarkStart w:id="256" w:name="_Toc184310339"/>
      <w:bookmarkEnd w:id="256"/>
      <w:bookmarkStart w:id="257" w:name="_Toc184312119"/>
      <w:bookmarkEnd w:id="257"/>
      <w:bookmarkStart w:id="258" w:name="_Toc184312131"/>
      <w:bookmarkEnd w:id="258"/>
      <w:bookmarkStart w:id="259" w:name="_Toc184312067"/>
      <w:bookmarkEnd w:id="259"/>
      <w:bookmarkStart w:id="260" w:name="_Toc184314445"/>
      <w:bookmarkEnd w:id="260"/>
      <w:bookmarkStart w:id="261" w:name="_Toc184308102"/>
      <w:bookmarkEnd w:id="261"/>
      <w:bookmarkStart w:id="262" w:name="_Toc184314462"/>
      <w:bookmarkEnd w:id="262"/>
      <w:bookmarkStart w:id="263" w:name="_Toc184314426"/>
      <w:bookmarkEnd w:id="263"/>
      <w:bookmarkStart w:id="264" w:name="_Toc184313248"/>
      <w:bookmarkEnd w:id="264"/>
      <w:bookmarkStart w:id="265" w:name="_Toc184312088"/>
      <w:bookmarkEnd w:id="265"/>
      <w:bookmarkStart w:id="266" w:name="_Toc184312122"/>
      <w:bookmarkEnd w:id="266"/>
      <w:bookmarkStart w:id="267" w:name="_Toc184308079"/>
      <w:bookmarkEnd w:id="267"/>
      <w:bookmarkStart w:id="268" w:name="_Toc184308059"/>
      <w:bookmarkEnd w:id="268"/>
      <w:bookmarkStart w:id="269" w:name="_Toc184310273"/>
      <w:bookmarkEnd w:id="269"/>
      <w:bookmarkStart w:id="270" w:name="_Toc184308071"/>
      <w:bookmarkEnd w:id="270"/>
      <w:bookmarkStart w:id="271" w:name="_Toc184308063"/>
      <w:bookmarkEnd w:id="271"/>
      <w:bookmarkStart w:id="272" w:name="_Toc184312098"/>
      <w:bookmarkEnd w:id="272"/>
      <w:bookmarkStart w:id="273" w:name="_Toc184313308"/>
      <w:bookmarkEnd w:id="273"/>
      <w:bookmarkStart w:id="274" w:name="_Toc184313288"/>
      <w:bookmarkEnd w:id="274"/>
      <w:bookmarkStart w:id="275" w:name="_Toc184308041"/>
      <w:bookmarkEnd w:id="275"/>
      <w:bookmarkStart w:id="276" w:name="_Toc184308053"/>
      <w:bookmarkEnd w:id="276"/>
      <w:bookmarkStart w:id="277" w:name="_Toc184308050"/>
      <w:bookmarkEnd w:id="277"/>
      <w:bookmarkStart w:id="278" w:name="_Toc184314433"/>
      <w:bookmarkEnd w:id="278"/>
      <w:bookmarkStart w:id="279" w:name="_Toc184310289"/>
      <w:bookmarkEnd w:id="279"/>
      <w:bookmarkStart w:id="280" w:name="_Toc184310312"/>
      <w:bookmarkEnd w:id="280"/>
      <w:bookmarkStart w:id="281" w:name="_Toc184314478"/>
      <w:bookmarkEnd w:id="281"/>
      <w:bookmarkStart w:id="282" w:name="_Toc184310275"/>
      <w:bookmarkEnd w:id="282"/>
      <w:bookmarkStart w:id="283" w:name="_Toc184310274"/>
      <w:bookmarkEnd w:id="283"/>
      <w:bookmarkStart w:id="284" w:name="_Toc184312092"/>
      <w:bookmarkEnd w:id="284"/>
      <w:bookmarkStart w:id="285" w:name="_Toc184312073"/>
      <w:bookmarkEnd w:id="285"/>
      <w:bookmarkStart w:id="286" w:name="_Toc184312069"/>
      <w:bookmarkEnd w:id="286"/>
      <w:bookmarkStart w:id="287" w:name="_Toc184310321"/>
      <w:bookmarkEnd w:id="287"/>
      <w:bookmarkStart w:id="288" w:name="_Toc184314415"/>
      <w:bookmarkEnd w:id="288"/>
      <w:bookmarkStart w:id="289" w:name="_Toc184308073"/>
      <w:bookmarkEnd w:id="289"/>
      <w:bookmarkStart w:id="290" w:name="_Toc184312118"/>
      <w:bookmarkEnd w:id="290"/>
      <w:bookmarkStart w:id="291" w:name="_Toc184312095"/>
      <w:bookmarkEnd w:id="291"/>
      <w:bookmarkStart w:id="292" w:name="_Toc184314450"/>
      <w:bookmarkEnd w:id="292"/>
      <w:bookmarkStart w:id="293" w:name="_Toc184310310"/>
      <w:bookmarkEnd w:id="293"/>
      <w:bookmarkStart w:id="294" w:name="_Toc184314423"/>
      <w:bookmarkEnd w:id="294"/>
      <w:bookmarkStart w:id="295" w:name="_Toc184313259"/>
      <w:bookmarkEnd w:id="295"/>
      <w:bookmarkStart w:id="296" w:name="_Toc184314440"/>
      <w:bookmarkEnd w:id="296"/>
      <w:bookmarkStart w:id="297" w:name="_Toc184314441"/>
      <w:bookmarkEnd w:id="297"/>
      <w:bookmarkStart w:id="298" w:name="_Toc184308090"/>
      <w:bookmarkEnd w:id="298"/>
      <w:bookmarkStart w:id="299" w:name="_Toc184313273"/>
      <w:bookmarkEnd w:id="299"/>
      <w:bookmarkStart w:id="300" w:name="_Toc184310344"/>
      <w:bookmarkEnd w:id="300"/>
      <w:bookmarkStart w:id="301" w:name="_Toc184308066"/>
      <w:bookmarkEnd w:id="301"/>
      <w:bookmarkStart w:id="302" w:name="_Toc184313271"/>
      <w:bookmarkEnd w:id="302"/>
      <w:bookmarkStart w:id="303" w:name="_Toc184314457"/>
      <w:bookmarkEnd w:id="303"/>
      <w:bookmarkStart w:id="304" w:name="_Toc184313274"/>
      <w:bookmarkEnd w:id="304"/>
      <w:bookmarkStart w:id="305" w:name="_Toc184308085"/>
      <w:bookmarkEnd w:id="305"/>
      <w:bookmarkStart w:id="306" w:name="_Toc184312137"/>
      <w:bookmarkEnd w:id="306"/>
      <w:bookmarkStart w:id="307" w:name="_Toc184313266"/>
      <w:bookmarkEnd w:id="307"/>
      <w:bookmarkStart w:id="308" w:name="_Toc184313258"/>
      <w:bookmarkEnd w:id="308"/>
      <w:bookmarkStart w:id="309" w:name="_Toc184314420"/>
      <w:bookmarkEnd w:id="309"/>
      <w:bookmarkStart w:id="310" w:name="_Toc184308042"/>
      <w:bookmarkEnd w:id="310"/>
      <w:bookmarkStart w:id="311" w:name="_Toc184312128"/>
      <w:bookmarkEnd w:id="311"/>
      <w:bookmarkStart w:id="312" w:name="_Toc184313303"/>
      <w:bookmarkEnd w:id="312"/>
      <w:bookmarkStart w:id="313" w:name="_Toc184314439"/>
      <w:bookmarkEnd w:id="313"/>
      <w:bookmarkStart w:id="314" w:name="_Toc184314455"/>
      <w:bookmarkEnd w:id="314"/>
      <w:bookmarkStart w:id="315" w:name="_Toc184310293"/>
      <w:bookmarkEnd w:id="315"/>
      <w:bookmarkStart w:id="316" w:name="_Toc184314418"/>
      <w:bookmarkEnd w:id="316"/>
      <w:bookmarkStart w:id="317" w:name="_Toc184312114"/>
      <w:bookmarkEnd w:id="317"/>
      <w:bookmarkStart w:id="318" w:name="_Toc184313276"/>
      <w:bookmarkEnd w:id="318"/>
      <w:bookmarkStart w:id="319" w:name="_Toc184314410"/>
      <w:bookmarkEnd w:id="319"/>
      <w:bookmarkStart w:id="320" w:name="_Toc184310333"/>
      <w:bookmarkEnd w:id="320"/>
      <w:bookmarkStart w:id="321" w:name="_Toc184308044"/>
      <w:bookmarkEnd w:id="321"/>
      <w:bookmarkStart w:id="322" w:name="_Toc184308036"/>
      <w:bookmarkEnd w:id="322"/>
      <w:bookmarkStart w:id="323" w:name="_Toc184313255"/>
      <w:bookmarkEnd w:id="323"/>
      <w:bookmarkStart w:id="324" w:name="_Toc184313302"/>
      <w:bookmarkEnd w:id="324"/>
      <w:bookmarkStart w:id="325" w:name="_Toc184308052"/>
      <w:bookmarkEnd w:id="325"/>
      <w:bookmarkStart w:id="326" w:name="_Toc184313243"/>
      <w:bookmarkEnd w:id="326"/>
      <w:bookmarkStart w:id="327" w:name="_Toc184310300"/>
      <w:bookmarkEnd w:id="327"/>
      <w:bookmarkStart w:id="328" w:name="_Toc184314442"/>
      <w:bookmarkEnd w:id="328"/>
      <w:bookmarkStart w:id="329" w:name="_Toc184313306"/>
      <w:bookmarkEnd w:id="329"/>
      <w:bookmarkStart w:id="330" w:name="_Toc184308097"/>
      <w:bookmarkEnd w:id="330"/>
      <w:bookmarkStart w:id="331" w:name="_Toc184312130"/>
      <w:bookmarkEnd w:id="331"/>
      <w:bookmarkStart w:id="332" w:name="_Toc184310324"/>
      <w:bookmarkEnd w:id="332"/>
      <w:bookmarkStart w:id="333" w:name="_Toc184314449"/>
      <w:bookmarkEnd w:id="333"/>
      <w:bookmarkStart w:id="334" w:name="_Toc184313290"/>
      <w:bookmarkEnd w:id="334"/>
      <w:bookmarkStart w:id="335" w:name="_Toc184314465"/>
      <w:bookmarkEnd w:id="335"/>
      <w:bookmarkStart w:id="336" w:name="_Toc184312097"/>
      <w:bookmarkEnd w:id="336"/>
      <w:bookmarkStart w:id="337" w:name="_Toc184308107"/>
      <w:bookmarkEnd w:id="337"/>
      <w:bookmarkStart w:id="338" w:name="_Toc184312096"/>
      <w:bookmarkEnd w:id="338"/>
      <w:bookmarkStart w:id="339" w:name="_Toc184308099"/>
      <w:bookmarkEnd w:id="339"/>
      <w:bookmarkStart w:id="340" w:name="_Toc184308049"/>
      <w:bookmarkEnd w:id="340"/>
      <w:bookmarkStart w:id="341" w:name="_Toc184314467"/>
      <w:bookmarkEnd w:id="341"/>
      <w:bookmarkStart w:id="342" w:name="_Toc184310311"/>
      <w:bookmarkEnd w:id="342"/>
      <w:bookmarkStart w:id="343" w:name="_Toc184313293"/>
      <w:bookmarkEnd w:id="343"/>
      <w:bookmarkStart w:id="344" w:name="_Toc184312101"/>
      <w:bookmarkEnd w:id="344"/>
      <w:bookmarkStart w:id="345" w:name="_Toc184314416"/>
      <w:bookmarkEnd w:id="345"/>
      <w:bookmarkStart w:id="346" w:name="_Toc184310285"/>
      <w:bookmarkEnd w:id="346"/>
      <w:bookmarkStart w:id="347" w:name="_Toc184312139"/>
      <w:bookmarkEnd w:id="347"/>
      <w:bookmarkStart w:id="348" w:name="_Toc184313305"/>
      <w:bookmarkEnd w:id="348"/>
      <w:bookmarkStart w:id="349" w:name="_Toc184310329"/>
      <w:bookmarkEnd w:id="349"/>
      <w:bookmarkStart w:id="350" w:name="_Toc184313283"/>
      <w:bookmarkEnd w:id="350"/>
      <w:bookmarkStart w:id="351" w:name="_Toc184313299"/>
      <w:bookmarkEnd w:id="351"/>
      <w:bookmarkStart w:id="352" w:name="_Toc184314412"/>
      <w:bookmarkEnd w:id="352"/>
      <w:bookmarkStart w:id="353" w:name="_Toc184308076"/>
      <w:bookmarkEnd w:id="353"/>
      <w:bookmarkStart w:id="354" w:name="_Toc184308088"/>
      <w:bookmarkEnd w:id="354"/>
      <w:bookmarkStart w:id="355" w:name="_Toc184310286"/>
      <w:bookmarkEnd w:id="355"/>
      <w:bookmarkStart w:id="356" w:name="_Toc184313275"/>
      <w:bookmarkEnd w:id="356"/>
      <w:bookmarkStart w:id="357" w:name="_Toc184314452"/>
      <w:bookmarkEnd w:id="357"/>
      <w:bookmarkStart w:id="358" w:name="_Toc184308083"/>
      <w:bookmarkEnd w:id="358"/>
      <w:bookmarkStart w:id="359" w:name="_Toc184308047"/>
      <w:bookmarkEnd w:id="359"/>
      <w:bookmarkStart w:id="360" w:name="_Toc184313310"/>
      <w:bookmarkEnd w:id="360"/>
      <w:bookmarkStart w:id="361" w:name="_Toc184314451"/>
      <w:bookmarkEnd w:id="361"/>
      <w:bookmarkStart w:id="362" w:name="_Toc184314479"/>
      <w:bookmarkEnd w:id="362"/>
      <w:bookmarkStart w:id="363" w:name="_Toc184312080"/>
      <w:bookmarkEnd w:id="363"/>
      <w:bookmarkStart w:id="364" w:name="_Toc184308086"/>
      <w:bookmarkEnd w:id="364"/>
      <w:bookmarkStart w:id="365" w:name="_Toc184314448"/>
      <w:bookmarkEnd w:id="365"/>
      <w:bookmarkStart w:id="366" w:name="_Toc184310299"/>
      <w:bookmarkEnd w:id="366"/>
      <w:bookmarkStart w:id="367" w:name="_Toc184308078"/>
      <w:bookmarkEnd w:id="367"/>
      <w:bookmarkStart w:id="368" w:name="_Toc184308068"/>
      <w:bookmarkEnd w:id="368"/>
      <w:bookmarkStart w:id="369" w:name="_Toc184313256"/>
      <w:bookmarkEnd w:id="369"/>
      <w:bookmarkStart w:id="370" w:name="_Toc184310281"/>
      <w:bookmarkEnd w:id="370"/>
      <w:bookmarkStart w:id="371" w:name="_Toc184312068"/>
      <w:bookmarkEnd w:id="371"/>
      <w:bookmarkStart w:id="372" w:name="_Toc184312106"/>
      <w:bookmarkEnd w:id="372"/>
      <w:bookmarkStart w:id="373" w:name="_Toc184314431"/>
      <w:bookmarkEnd w:id="373"/>
      <w:bookmarkStart w:id="374" w:name="_Toc184312090"/>
      <w:bookmarkEnd w:id="374"/>
      <w:bookmarkStart w:id="375" w:name="_Toc184314466"/>
      <w:bookmarkEnd w:id="375"/>
      <w:bookmarkStart w:id="376" w:name="_Toc184310284"/>
      <w:bookmarkEnd w:id="376"/>
      <w:bookmarkStart w:id="377" w:name="_Toc184308105"/>
      <w:bookmarkEnd w:id="377"/>
      <w:bookmarkStart w:id="378" w:name="_Toc184312127"/>
      <w:bookmarkEnd w:id="378"/>
      <w:bookmarkStart w:id="379" w:name="_Toc184310306"/>
      <w:bookmarkEnd w:id="379"/>
      <w:bookmarkStart w:id="380" w:name="_Toc184313269"/>
      <w:bookmarkEnd w:id="380"/>
      <w:bookmarkStart w:id="381" w:name="_Toc184312132"/>
      <w:bookmarkEnd w:id="381"/>
      <w:bookmarkStart w:id="382" w:name="_Toc184313262"/>
      <w:bookmarkEnd w:id="382"/>
      <w:bookmarkStart w:id="383" w:name="_Toc184308057"/>
      <w:bookmarkEnd w:id="383"/>
      <w:bookmarkStart w:id="384" w:name="_Toc184310282"/>
      <w:bookmarkEnd w:id="384"/>
      <w:bookmarkStart w:id="385" w:name="_Toc184312111"/>
      <w:bookmarkEnd w:id="385"/>
      <w:bookmarkStart w:id="386" w:name="_Toc184312120"/>
      <w:bookmarkEnd w:id="386"/>
      <w:bookmarkStart w:id="387" w:name="_Toc184314464"/>
      <w:bookmarkEnd w:id="387"/>
      <w:bookmarkStart w:id="388" w:name="_Toc184313257"/>
      <w:bookmarkEnd w:id="388"/>
      <w:bookmarkStart w:id="389" w:name="_Toc184313282"/>
      <w:bookmarkEnd w:id="389"/>
      <w:bookmarkStart w:id="390" w:name="_Toc184310288"/>
      <w:bookmarkEnd w:id="390"/>
      <w:bookmarkStart w:id="391" w:name="_Toc184312133"/>
      <w:bookmarkEnd w:id="391"/>
      <w:bookmarkStart w:id="392" w:name="_Toc184310294"/>
      <w:bookmarkEnd w:id="392"/>
      <w:bookmarkStart w:id="393" w:name="_Toc184313254"/>
      <w:bookmarkEnd w:id="393"/>
      <w:bookmarkStart w:id="394" w:name="_Toc184310334"/>
      <w:bookmarkEnd w:id="394"/>
      <w:bookmarkStart w:id="395" w:name="_Toc184313247"/>
      <w:bookmarkEnd w:id="395"/>
      <w:bookmarkStart w:id="396" w:name="_Toc184310297"/>
      <w:bookmarkEnd w:id="396"/>
      <w:bookmarkStart w:id="397" w:name="_Toc184314434"/>
      <w:bookmarkEnd w:id="397"/>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5819"/>
        <w:gridCol w:w="1022"/>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b/>
                <w:bCs/>
                <w:sz w:val="24"/>
              </w:rPr>
            </w:pPr>
            <w:r>
              <w:rPr>
                <w:rFonts w:hint="eastAsia" w:ascii="仿宋" w:hAnsi="仿宋" w:eastAsia="仿宋" w:cs="仿宋"/>
                <w:b/>
                <w:bCs/>
                <w:sz w:val="24"/>
              </w:rPr>
              <w:t>序号</w:t>
            </w:r>
          </w:p>
        </w:tc>
        <w:tc>
          <w:tcPr>
            <w:tcW w:w="5819" w:type="dxa"/>
            <w:vAlign w:val="center"/>
          </w:tcPr>
          <w:p>
            <w:pPr>
              <w:wordWrap w:val="0"/>
              <w:topLinePunct/>
              <w:adjustRightInd/>
              <w:spacing w:line="360" w:lineRule="exact"/>
              <w:jc w:val="center"/>
              <w:rPr>
                <w:rFonts w:ascii="仿宋" w:hAnsi="仿宋" w:eastAsia="仿宋" w:cs="仿宋"/>
                <w:b/>
                <w:bCs/>
                <w:sz w:val="24"/>
              </w:rPr>
            </w:pPr>
            <w:r>
              <w:rPr>
                <w:rFonts w:hint="eastAsia" w:ascii="仿宋" w:hAnsi="仿宋" w:eastAsia="仿宋" w:cs="仿宋"/>
                <w:b/>
                <w:bCs/>
                <w:sz w:val="24"/>
              </w:rPr>
              <w:t>评标标准</w:t>
            </w:r>
          </w:p>
        </w:tc>
        <w:tc>
          <w:tcPr>
            <w:tcW w:w="1022" w:type="dxa"/>
            <w:vAlign w:val="center"/>
          </w:tcPr>
          <w:p>
            <w:pPr>
              <w:wordWrap w:val="0"/>
              <w:topLinePunct/>
              <w:adjustRightInd/>
              <w:spacing w:line="360" w:lineRule="exact"/>
              <w:jc w:val="center"/>
              <w:rPr>
                <w:rFonts w:ascii="仿宋" w:hAnsi="仿宋" w:eastAsia="仿宋" w:cs="仿宋"/>
                <w:b/>
                <w:bCs/>
                <w:sz w:val="24"/>
              </w:rPr>
            </w:pPr>
            <w:r>
              <w:rPr>
                <w:rFonts w:hint="eastAsia" w:ascii="仿宋" w:hAnsi="仿宋" w:eastAsia="仿宋" w:cs="仿宋"/>
                <w:b/>
                <w:bCs/>
                <w:sz w:val="24"/>
              </w:rPr>
              <w:t>权重</w:t>
            </w:r>
          </w:p>
        </w:tc>
        <w:tc>
          <w:tcPr>
            <w:tcW w:w="2365" w:type="dxa"/>
          </w:tcPr>
          <w:p>
            <w:pPr>
              <w:wordWrap w:val="0"/>
              <w:topLinePunct/>
              <w:adjustRightInd/>
              <w:spacing w:line="360" w:lineRule="exact"/>
              <w:jc w:val="center"/>
              <w:rPr>
                <w:rFonts w:ascii="仿宋" w:hAnsi="仿宋" w:eastAsia="仿宋" w:cs="仿宋"/>
                <w:b/>
                <w:bCs/>
                <w:sz w:val="24"/>
              </w:rPr>
            </w:pPr>
            <w:r>
              <w:rPr>
                <w:rFonts w:hint="eastAsia" w:ascii="仿宋" w:hAnsi="仿宋" w:eastAsia="仿宋" w:cs="仿宋"/>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1</w:t>
            </w:r>
          </w:p>
        </w:tc>
        <w:tc>
          <w:tcPr>
            <w:tcW w:w="5819" w:type="dxa"/>
            <w:shd w:val="clear" w:color="auto" w:fill="auto"/>
          </w:tcPr>
          <w:p>
            <w:pPr>
              <w:wordWrap w:val="0"/>
              <w:topLinePunct/>
              <w:adjustRightInd/>
              <w:spacing w:line="360" w:lineRule="exact"/>
              <w:jc w:val="left"/>
              <w:rPr>
                <w:rFonts w:ascii="仿宋" w:hAnsi="仿宋" w:eastAsia="仿宋" w:cs="仿宋"/>
                <w:sz w:val="24"/>
              </w:rPr>
            </w:pPr>
            <w:r>
              <w:rPr>
                <w:rFonts w:hint="eastAsia" w:ascii="仿宋" w:hAnsi="仿宋" w:eastAsia="仿宋" w:cs="仿宋"/>
                <w:sz w:val="24"/>
              </w:rPr>
              <w:t>《信息系统安全等级保护备案证明》；</w:t>
            </w:r>
          </w:p>
          <w:p>
            <w:pPr>
              <w:wordWrap w:val="0"/>
              <w:topLinePunct/>
              <w:adjustRightInd/>
              <w:spacing w:line="360" w:lineRule="exact"/>
              <w:jc w:val="left"/>
              <w:rPr>
                <w:rFonts w:ascii="仿宋" w:hAnsi="仿宋" w:eastAsia="仿宋" w:cs="仿宋"/>
                <w:sz w:val="24"/>
              </w:rPr>
            </w:pPr>
            <w:r>
              <w:rPr>
                <w:rFonts w:hint="eastAsia" w:ascii="仿宋" w:hAnsi="仿宋" w:eastAsia="仿宋" w:cs="仿宋"/>
                <w:sz w:val="24"/>
              </w:rPr>
              <w:t>《中华人民共和国网络出版服务许可证》；</w:t>
            </w:r>
          </w:p>
          <w:p>
            <w:pPr>
              <w:wordWrap w:val="0"/>
              <w:topLinePunct/>
              <w:adjustRightInd/>
              <w:spacing w:line="360" w:lineRule="exact"/>
              <w:jc w:val="left"/>
              <w:rPr>
                <w:rFonts w:ascii="仿宋" w:hAnsi="仿宋" w:eastAsia="仿宋" w:cs="仿宋"/>
                <w:sz w:val="24"/>
              </w:rPr>
            </w:pPr>
            <w:r>
              <w:rPr>
                <w:rFonts w:hint="eastAsia" w:ascii="仿宋" w:hAnsi="仿宋" w:eastAsia="仿宋" w:cs="仿宋"/>
                <w:sz w:val="24"/>
              </w:rPr>
              <w:t>《质量管理体系认证》；</w:t>
            </w:r>
          </w:p>
          <w:p>
            <w:pPr>
              <w:wordWrap w:val="0"/>
              <w:topLinePunct/>
              <w:adjustRightInd/>
              <w:spacing w:line="360" w:lineRule="exact"/>
              <w:jc w:val="left"/>
              <w:rPr>
                <w:rFonts w:ascii="仿宋" w:hAnsi="仿宋" w:eastAsia="仿宋" w:cs="仿宋"/>
                <w:sz w:val="24"/>
              </w:rPr>
            </w:pPr>
            <w:r>
              <w:rPr>
                <w:rFonts w:hint="eastAsia" w:ascii="仿宋" w:hAnsi="仿宋" w:eastAsia="仿宋" w:cs="仿宋"/>
                <w:sz w:val="24"/>
              </w:rPr>
              <w:t>《环境管理体系认证》；</w:t>
            </w:r>
          </w:p>
          <w:p>
            <w:pPr>
              <w:wordWrap w:val="0"/>
              <w:topLinePunct/>
              <w:adjustRightInd/>
              <w:spacing w:line="360" w:lineRule="exact"/>
              <w:jc w:val="left"/>
              <w:rPr>
                <w:rFonts w:ascii="仿宋" w:hAnsi="仿宋" w:eastAsia="仿宋" w:cs="仿宋"/>
                <w:sz w:val="24"/>
              </w:rPr>
            </w:pPr>
            <w:r>
              <w:rPr>
                <w:rFonts w:hint="eastAsia" w:ascii="仿宋" w:hAnsi="仿宋" w:eastAsia="仿宋" w:cs="仿宋"/>
                <w:sz w:val="24"/>
              </w:rPr>
              <w:t>《职业健康安全管理体系认证》；</w:t>
            </w:r>
          </w:p>
          <w:p>
            <w:pPr>
              <w:wordWrap w:val="0"/>
              <w:topLinePunct/>
              <w:adjustRightInd/>
              <w:spacing w:line="360" w:lineRule="exact"/>
              <w:jc w:val="left"/>
              <w:rPr>
                <w:rFonts w:ascii="仿宋" w:hAnsi="仿宋" w:eastAsia="仿宋" w:cs="仿宋"/>
                <w:sz w:val="24"/>
              </w:rPr>
            </w:pPr>
            <w:r>
              <w:rPr>
                <w:rFonts w:hint="eastAsia" w:ascii="仿宋" w:hAnsi="仿宋" w:eastAsia="仿宋" w:cs="仿宋"/>
                <w:sz w:val="24"/>
              </w:rPr>
              <w:t>投标人或所投产品制造商具有以上能全部证书得10分，每少一项减2分，扣完为止。</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10</w:t>
            </w:r>
          </w:p>
        </w:tc>
        <w:tc>
          <w:tcPr>
            <w:tcW w:w="236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bCs/>
                <w:sz w:val="24"/>
              </w:rPr>
              <w:t>企业实力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2</w:t>
            </w:r>
          </w:p>
        </w:tc>
        <w:tc>
          <w:tcPr>
            <w:tcW w:w="5819" w:type="dxa"/>
            <w:shd w:val="clear" w:color="auto" w:fill="auto"/>
          </w:tcPr>
          <w:p>
            <w:pPr>
              <w:wordWrap w:val="0"/>
              <w:topLinePunct/>
              <w:adjustRightInd/>
              <w:spacing w:line="360" w:lineRule="exact"/>
              <w:jc w:val="left"/>
              <w:rPr>
                <w:rFonts w:ascii="仿宋" w:hAnsi="仿宋" w:eastAsia="仿宋" w:cs="仿宋"/>
                <w:sz w:val="24"/>
              </w:rPr>
            </w:pPr>
            <w:r>
              <w:rPr>
                <w:rFonts w:hint="eastAsia" w:ascii="仿宋" w:hAnsi="仿宋" w:eastAsia="仿宋" w:cs="仿宋"/>
                <w:bCs/>
                <w:sz w:val="24"/>
              </w:rPr>
              <w:t>投标人在2021年1月1日以来签订的类似项目业绩以及相关案例的，提交相应的资料证明（需同时提供合同复印件、中标通知书（或公告）、验收报告，否则不予认可。以合同签订时间为准）每提供一个得1分，满分3分。</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3</w:t>
            </w:r>
          </w:p>
        </w:tc>
        <w:tc>
          <w:tcPr>
            <w:tcW w:w="236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bCs/>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3</w:t>
            </w:r>
          </w:p>
        </w:tc>
        <w:tc>
          <w:tcPr>
            <w:tcW w:w="5819" w:type="dxa"/>
            <w:shd w:val="clear" w:color="auto" w:fill="auto"/>
          </w:tcPr>
          <w:p>
            <w:pPr>
              <w:wordWrap w:val="0"/>
              <w:topLinePunct/>
              <w:adjustRightInd/>
              <w:spacing w:line="360" w:lineRule="exact"/>
              <w:jc w:val="left"/>
              <w:rPr>
                <w:rFonts w:ascii="仿宋" w:hAnsi="仿宋" w:eastAsia="仿宋" w:cs="仿宋"/>
                <w:sz w:val="24"/>
              </w:rPr>
            </w:pPr>
            <w:r>
              <w:rPr>
                <w:rFonts w:hint="eastAsia" w:ascii="仿宋" w:hAnsi="仿宋" w:eastAsia="仿宋" w:cs="仿宋"/>
                <w:bCs/>
                <w:sz w:val="24"/>
              </w:rPr>
              <w:t>设备功能要求全部满足招标文件要求的得满分20分；加“★”项为重要条款，需供应商提供相应截图、第三方检测报告、视频演示、案例材料其中一项进行证明，若有一项负偏离扣3分；其他条款若有一项负偏离扣1分，扣完为止。</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20</w:t>
            </w:r>
          </w:p>
        </w:tc>
        <w:tc>
          <w:tcPr>
            <w:tcW w:w="236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bCs/>
                <w:sz w:val="24"/>
              </w:rPr>
              <w:t>硬件设备功能要求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4</w:t>
            </w:r>
          </w:p>
        </w:tc>
        <w:tc>
          <w:tcPr>
            <w:tcW w:w="5819" w:type="dxa"/>
            <w:shd w:val="clear" w:color="auto" w:fill="auto"/>
          </w:tcPr>
          <w:p>
            <w:pPr>
              <w:adjustRightInd/>
              <w:spacing w:line="360" w:lineRule="exact"/>
              <w:jc w:val="left"/>
              <w:rPr>
                <w:rFonts w:ascii="仿宋" w:hAnsi="仿宋" w:eastAsia="仿宋" w:cs="仿宋"/>
                <w:bCs/>
                <w:sz w:val="24"/>
              </w:rPr>
            </w:pPr>
            <w:r>
              <w:rPr>
                <w:rFonts w:hint="eastAsia" w:ascii="仿宋" w:hAnsi="仿宋" w:eastAsia="仿宋" w:cs="仿宋"/>
                <w:bCs/>
                <w:sz w:val="24"/>
              </w:rPr>
              <w:t>结合滨江区图书馆城市书房智慧运营管理平台的建设内容与特点，编制完整的平台建设方案，主要内容包括智慧运营管理后台和用户前端系统、城市书房手机借书系统、微服务大厅升级改造，专家对方案的可行性、科学性、合理性等进行分析与论证，提供详细设计方案。</w:t>
            </w:r>
          </w:p>
          <w:p>
            <w:pPr>
              <w:adjustRightInd/>
              <w:spacing w:line="320" w:lineRule="exact"/>
              <w:jc w:val="left"/>
              <w:rPr>
                <w:rFonts w:ascii="仿宋" w:hAnsi="仿宋" w:eastAsia="仿宋" w:cs="仿宋"/>
                <w:sz w:val="24"/>
              </w:rPr>
            </w:pPr>
            <w:r>
              <w:rPr>
                <w:rFonts w:hint="eastAsia" w:ascii="仿宋" w:hAnsi="仿宋" w:eastAsia="仿宋" w:cs="仿宋"/>
                <w:sz w:val="24"/>
              </w:rPr>
              <w:t>方案阐述详细全面，符合项目需求的得5分；</w:t>
            </w:r>
          </w:p>
          <w:p>
            <w:pPr>
              <w:adjustRightInd/>
              <w:spacing w:line="320" w:lineRule="exact"/>
              <w:jc w:val="left"/>
              <w:rPr>
                <w:rFonts w:ascii="仿宋" w:hAnsi="仿宋" w:eastAsia="仿宋" w:cs="仿宋"/>
                <w:sz w:val="24"/>
              </w:rPr>
            </w:pPr>
            <w:r>
              <w:rPr>
                <w:rFonts w:hint="eastAsia" w:ascii="仿宋" w:hAnsi="仿宋" w:eastAsia="仿宋" w:cs="仿宋"/>
                <w:sz w:val="24"/>
              </w:rPr>
              <w:t>方案合理，但内容有缺项的得3分；</w:t>
            </w:r>
          </w:p>
          <w:p>
            <w:pPr>
              <w:adjustRightInd/>
              <w:spacing w:line="360" w:lineRule="exact"/>
              <w:jc w:val="left"/>
              <w:rPr>
                <w:rFonts w:ascii="仿宋" w:hAnsi="仿宋" w:eastAsia="仿宋" w:cs="仿宋"/>
                <w:sz w:val="24"/>
              </w:rPr>
            </w:pPr>
            <w:r>
              <w:rPr>
                <w:rFonts w:hint="eastAsia" w:ascii="仿宋" w:hAnsi="仿宋" w:eastAsia="仿宋" w:cs="仿宋"/>
                <w:sz w:val="24"/>
              </w:rPr>
              <w:t>方案一般，但内容有欠缺，无法保障项目完成质量的得1分；未提及此项不得分。</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5</w:t>
            </w:r>
          </w:p>
        </w:tc>
        <w:tc>
          <w:tcPr>
            <w:tcW w:w="2365" w:type="dxa"/>
            <w:vMerge w:val="restart"/>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bCs/>
                <w:sz w:val="24"/>
              </w:rPr>
              <w:t>城市书房智慧运营管理平台建设系统方案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5</w:t>
            </w:r>
          </w:p>
        </w:tc>
        <w:tc>
          <w:tcPr>
            <w:tcW w:w="5819" w:type="dxa"/>
            <w:shd w:val="clear" w:color="auto" w:fill="auto"/>
          </w:tcPr>
          <w:p>
            <w:pPr>
              <w:wordWrap w:val="0"/>
              <w:topLinePunct/>
              <w:adjustRightInd/>
              <w:spacing w:line="360" w:lineRule="exact"/>
              <w:jc w:val="left"/>
              <w:rPr>
                <w:rFonts w:ascii="仿宋" w:hAnsi="仿宋" w:eastAsia="仿宋" w:cs="仿宋"/>
                <w:bCs/>
                <w:sz w:val="24"/>
              </w:rPr>
            </w:pPr>
            <w:r>
              <w:rPr>
                <w:rFonts w:hint="eastAsia" w:ascii="仿宋" w:hAnsi="仿宋" w:eastAsia="仿宋" w:cs="仿宋"/>
                <w:bCs/>
                <w:sz w:val="24"/>
              </w:rPr>
              <w:t>智慧运营管理平台=视频演示：</w:t>
            </w:r>
          </w:p>
          <w:p>
            <w:pPr>
              <w:numPr>
                <w:ilvl w:val="255"/>
                <w:numId w:val="0"/>
              </w:numPr>
              <w:wordWrap w:val="0"/>
              <w:topLinePunct/>
              <w:adjustRightInd/>
              <w:spacing w:line="360" w:lineRule="exact"/>
              <w:jc w:val="left"/>
              <w:rPr>
                <w:rFonts w:ascii="仿宋" w:hAnsi="仿宋" w:eastAsia="仿宋" w:cs="仿宋"/>
                <w:bCs/>
                <w:sz w:val="24"/>
              </w:rPr>
            </w:pPr>
            <w:r>
              <w:rPr>
                <w:rFonts w:hint="eastAsia" w:ascii="仿宋" w:hAnsi="仿宋" w:eastAsia="仿宋" w:cs="仿宋"/>
                <w:bCs/>
                <w:sz w:val="24"/>
              </w:rPr>
              <w:t>①通过智慧运营管理平台对城市书房实际工作内容分类，并且可区分工作项状态。</w:t>
            </w:r>
          </w:p>
          <w:p>
            <w:pPr>
              <w:numPr>
                <w:ilvl w:val="255"/>
                <w:numId w:val="0"/>
              </w:numPr>
              <w:wordWrap w:val="0"/>
              <w:topLinePunct/>
              <w:adjustRightInd/>
              <w:spacing w:line="360" w:lineRule="exact"/>
              <w:jc w:val="left"/>
              <w:rPr>
                <w:rFonts w:ascii="仿宋" w:hAnsi="仿宋" w:eastAsia="仿宋" w:cs="仿宋"/>
                <w:bCs/>
                <w:sz w:val="24"/>
              </w:rPr>
            </w:pPr>
            <w:r>
              <w:rPr>
                <w:rFonts w:hint="eastAsia" w:ascii="仿宋" w:hAnsi="仿宋" w:eastAsia="仿宋" w:cs="仿宋"/>
                <w:bCs/>
                <w:sz w:val="24"/>
              </w:rPr>
              <w:t>②智慧运营管理平台可以对运营人员工作内容实时上传，支持拍照、录像、录音、附件上传。员工工作状态，管理员可实时进行监控查看。</w:t>
            </w:r>
          </w:p>
          <w:p>
            <w:pPr>
              <w:numPr>
                <w:ilvl w:val="255"/>
                <w:numId w:val="0"/>
              </w:numPr>
              <w:wordWrap w:val="0"/>
              <w:topLinePunct/>
              <w:adjustRightInd/>
              <w:spacing w:line="360" w:lineRule="exact"/>
              <w:jc w:val="left"/>
              <w:rPr>
                <w:rFonts w:ascii="仿宋" w:hAnsi="仿宋" w:eastAsia="仿宋" w:cs="仿宋"/>
                <w:bCs/>
                <w:sz w:val="24"/>
              </w:rPr>
            </w:pPr>
            <w:r>
              <w:rPr>
                <w:rFonts w:hint="eastAsia" w:ascii="仿宋" w:hAnsi="仿宋" w:eastAsia="仿宋" w:cs="仿宋"/>
                <w:bCs/>
                <w:sz w:val="24"/>
              </w:rPr>
              <w:t>③手机借书系统演示。</w:t>
            </w:r>
          </w:p>
          <w:p>
            <w:pPr>
              <w:wordWrap w:val="0"/>
              <w:topLinePunct/>
              <w:adjustRightInd/>
              <w:spacing w:line="360" w:lineRule="exact"/>
              <w:jc w:val="left"/>
              <w:rPr>
                <w:rFonts w:ascii="仿宋" w:hAnsi="仿宋" w:eastAsia="仿宋" w:cs="仿宋"/>
                <w:bCs/>
                <w:sz w:val="24"/>
              </w:rPr>
            </w:pPr>
            <w:r>
              <w:rPr>
                <w:rFonts w:hint="eastAsia" w:ascii="仿宋" w:hAnsi="仿宋" w:eastAsia="仿宋" w:cs="仿宋"/>
                <w:bCs/>
                <w:sz w:val="24"/>
              </w:rPr>
              <w:t>每符合一项得2分，最多得5分，不符合或未提供不得分。</w:t>
            </w:r>
          </w:p>
          <w:p>
            <w:pPr>
              <w:wordWrap w:val="0"/>
              <w:topLinePunct/>
              <w:spacing w:line="360" w:lineRule="exact"/>
            </w:pPr>
            <w:r>
              <w:rPr>
                <w:rFonts w:hint="eastAsia" w:ascii="仿宋" w:hAnsi="仿宋" w:eastAsia="仿宋" w:cs="仿宋"/>
                <w:bCs/>
                <w:sz w:val="24"/>
              </w:rPr>
              <w:t>注：功能演示部分须投标人提供系统演示；以视频播放方式或者mp4格式视频文件进行演示配音讲解（投标人无需现场演示），演示时间不超过10分钟，以U盘形式提供，投标人未提供演示的，视为放弃演示；演示文档无法打开的，演示不得分；仅进行PPT等固定图片演示的不得分。根据显示效果、与招标文件要求的吻合程度、操作的流畅性等要求，相应内容不演示不得分。</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5</w:t>
            </w:r>
          </w:p>
        </w:tc>
        <w:tc>
          <w:tcPr>
            <w:tcW w:w="2365" w:type="dxa"/>
            <w:vMerge w:val="continue"/>
            <w:vAlign w:val="center"/>
          </w:tcPr>
          <w:p>
            <w:pPr>
              <w:wordWrap w:val="0"/>
              <w:topLinePunct/>
              <w:adjustRightInd/>
              <w:spacing w:line="36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6</w:t>
            </w:r>
          </w:p>
        </w:tc>
        <w:tc>
          <w:tcPr>
            <w:tcW w:w="5819" w:type="dxa"/>
            <w:shd w:val="clear" w:color="auto" w:fill="auto"/>
          </w:tcPr>
          <w:p>
            <w:pPr>
              <w:wordWrap w:val="0"/>
              <w:topLinePunct/>
              <w:adjustRightInd/>
              <w:spacing w:line="360" w:lineRule="exact"/>
              <w:jc w:val="left"/>
              <w:rPr>
                <w:rFonts w:ascii="仿宋" w:hAnsi="仿宋" w:eastAsia="仿宋" w:cs="仿宋"/>
                <w:sz w:val="24"/>
              </w:rPr>
            </w:pPr>
            <w:r>
              <w:rPr>
                <w:rFonts w:hint="eastAsia" w:ascii="仿宋" w:hAnsi="仿宋" w:eastAsia="仿宋" w:cs="仿宋"/>
                <w:bCs/>
                <w:sz w:val="24"/>
              </w:rPr>
              <w:t>对接芝麻信用系统：投标人或所投产品制造商具备与支付宝对接案例并提供证明文件，提供证明材料得2分，不提供不得分。</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2</w:t>
            </w:r>
          </w:p>
        </w:tc>
        <w:tc>
          <w:tcPr>
            <w:tcW w:w="236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bCs/>
                <w:sz w:val="24"/>
              </w:rPr>
              <w:t>对接芝麻信用系统证明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7</w:t>
            </w:r>
          </w:p>
        </w:tc>
        <w:tc>
          <w:tcPr>
            <w:tcW w:w="5819" w:type="dxa"/>
            <w:shd w:val="clear" w:color="auto" w:fill="auto"/>
          </w:tcPr>
          <w:p>
            <w:pPr>
              <w:wordWrap w:val="0"/>
              <w:topLinePunct/>
              <w:adjustRightInd/>
              <w:spacing w:line="360" w:lineRule="exact"/>
              <w:jc w:val="left"/>
              <w:rPr>
                <w:rFonts w:ascii="仿宋" w:hAnsi="仿宋" w:eastAsia="仿宋" w:cs="仿宋"/>
                <w:sz w:val="24"/>
              </w:rPr>
            </w:pPr>
            <w:r>
              <w:rPr>
                <w:rFonts w:hint="eastAsia" w:ascii="仿宋" w:hAnsi="仿宋" w:eastAsia="仿宋" w:cs="仿宋"/>
                <w:bCs/>
                <w:sz w:val="24"/>
              </w:rPr>
              <w:t>对接滨江区图书馆“约书到柜”系统：投标人需提供对接滨江区图书馆“约书到柜”系统方案及原型图，提供材料得5分，不提供不得分。</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5</w:t>
            </w:r>
          </w:p>
        </w:tc>
        <w:tc>
          <w:tcPr>
            <w:tcW w:w="236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bCs/>
                <w:sz w:val="24"/>
              </w:rPr>
              <w:t>对接滨江区图书馆“约书到柜”系统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8</w:t>
            </w:r>
          </w:p>
        </w:tc>
        <w:tc>
          <w:tcPr>
            <w:tcW w:w="5819" w:type="dxa"/>
            <w:shd w:val="clear" w:color="auto" w:fill="auto"/>
          </w:tcPr>
          <w:p>
            <w:pPr>
              <w:adjustRightInd/>
              <w:spacing w:line="320" w:lineRule="exact"/>
              <w:jc w:val="left"/>
              <w:rPr>
                <w:rFonts w:ascii="仿宋" w:hAnsi="仿宋" w:eastAsia="仿宋" w:cs="仿宋"/>
                <w:bCs/>
                <w:sz w:val="24"/>
              </w:rPr>
            </w:pPr>
            <w:r>
              <w:rPr>
                <w:rFonts w:hint="eastAsia" w:ascii="仿宋" w:hAnsi="仿宋" w:eastAsia="仿宋" w:cs="仿宋"/>
                <w:bCs/>
                <w:sz w:val="24"/>
              </w:rPr>
              <w:t>根据投标人实施方案的详细进度计划完整性与合理性，进度安排是否合理。</w:t>
            </w:r>
          </w:p>
          <w:p>
            <w:pPr>
              <w:adjustRightInd/>
              <w:spacing w:line="320" w:lineRule="exact"/>
              <w:jc w:val="left"/>
              <w:rPr>
                <w:rFonts w:ascii="仿宋" w:hAnsi="仿宋" w:eastAsia="仿宋" w:cs="仿宋"/>
                <w:bCs/>
                <w:sz w:val="24"/>
              </w:rPr>
            </w:pPr>
            <w:r>
              <w:rPr>
                <w:rFonts w:hint="eastAsia" w:ascii="仿宋" w:hAnsi="仿宋" w:eastAsia="仿宋" w:cs="仿宋"/>
                <w:bCs/>
                <w:sz w:val="24"/>
              </w:rPr>
              <w:t>注：所有工作要求在不闭馆的条件下进行</w:t>
            </w:r>
          </w:p>
          <w:p>
            <w:pPr>
              <w:adjustRightInd/>
              <w:spacing w:line="320" w:lineRule="exact"/>
              <w:jc w:val="left"/>
              <w:rPr>
                <w:rFonts w:ascii="仿宋" w:hAnsi="仿宋" w:eastAsia="仿宋" w:cs="仿宋"/>
                <w:sz w:val="24"/>
              </w:rPr>
            </w:pPr>
            <w:r>
              <w:rPr>
                <w:rFonts w:hint="eastAsia" w:ascii="仿宋" w:hAnsi="仿宋" w:eastAsia="仿宋" w:cs="仿宋"/>
                <w:sz w:val="24"/>
              </w:rPr>
              <w:t>方案阐述详细全面，符合项目需求的得5分；</w:t>
            </w:r>
          </w:p>
          <w:p>
            <w:pPr>
              <w:adjustRightInd/>
              <w:spacing w:line="320" w:lineRule="exact"/>
              <w:jc w:val="left"/>
              <w:rPr>
                <w:rFonts w:ascii="仿宋" w:hAnsi="仿宋" w:eastAsia="仿宋" w:cs="仿宋"/>
                <w:sz w:val="24"/>
              </w:rPr>
            </w:pPr>
            <w:r>
              <w:rPr>
                <w:rFonts w:hint="eastAsia" w:ascii="仿宋" w:hAnsi="仿宋" w:eastAsia="仿宋" w:cs="仿宋"/>
                <w:sz w:val="24"/>
              </w:rPr>
              <w:t>方案合理，但内容有缺项的得3分；</w:t>
            </w:r>
          </w:p>
          <w:p>
            <w:pPr>
              <w:wordWrap w:val="0"/>
              <w:topLinePunct/>
              <w:adjustRightInd/>
              <w:spacing w:line="360" w:lineRule="exact"/>
              <w:jc w:val="left"/>
              <w:rPr>
                <w:rFonts w:ascii="仿宋" w:hAnsi="仿宋" w:eastAsia="仿宋" w:cs="仿宋"/>
                <w:bCs/>
                <w:sz w:val="24"/>
              </w:rPr>
            </w:pPr>
            <w:r>
              <w:rPr>
                <w:rFonts w:hint="eastAsia" w:ascii="仿宋" w:hAnsi="仿宋" w:eastAsia="仿宋" w:cs="仿宋"/>
                <w:sz w:val="24"/>
              </w:rPr>
              <w:t>方案一般，但内容有欠缺，无法保障项目完成质量的得1分；未提及此项不得分。</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5</w:t>
            </w:r>
          </w:p>
        </w:tc>
        <w:tc>
          <w:tcPr>
            <w:tcW w:w="2365" w:type="dxa"/>
            <w:vMerge w:val="restart"/>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bCs/>
                <w:sz w:val="24"/>
              </w:rPr>
              <w:t>硬件设备项目实施方案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9</w:t>
            </w:r>
          </w:p>
        </w:tc>
        <w:tc>
          <w:tcPr>
            <w:tcW w:w="5819" w:type="dxa"/>
            <w:shd w:val="clear" w:color="auto" w:fill="auto"/>
          </w:tcPr>
          <w:p>
            <w:pPr>
              <w:adjustRightInd/>
              <w:spacing w:line="360" w:lineRule="exact"/>
              <w:jc w:val="left"/>
              <w:rPr>
                <w:rFonts w:ascii="仿宋" w:hAnsi="仿宋" w:eastAsia="仿宋" w:cs="仿宋"/>
                <w:bCs/>
                <w:sz w:val="24"/>
              </w:rPr>
            </w:pPr>
            <w:r>
              <w:rPr>
                <w:rFonts w:hint="eastAsia" w:ascii="仿宋" w:hAnsi="仿宋" w:eastAsia="仿宋" w:cs="仿宋"/>
                <w:bCs/>
                <w:sz w:val="24"/>
              </w:rPr>
              <w:t>根据投标人实施方案现场项目管理措施的完整性与合理性，现场项目管理措施是否得当进行综合打分。</w:t>
            </w:r>
          </w:p>
          <w:p>
            <w:pPr>
              <w:wordWrap w:val="0"/>
              <w:topLinePunct/>
              <w:adjustRightInd/>
              <w:spacing w:line="360" w:lineRule="exact"/>
              <w:jc w:val="left"/>
              <w:rPr>
                <w:rFonts w:ascii="仿宋" w:hAnsi="仿宋" w:eastAsia="仿宋" w:cs="仿宋"/>
                <w:bCs/>
                <w:sz w:val="24"/>
              </w:rPr>
            </w:pPr>
            <w:r>
              <w:rPr>
                <w:rFonts w:hint="eastAsia" w:ascii="仿宋" w:hAnsi="仿宋" w:eastAsia="仿宋" w:cs="仿宋"/>
                <w:bCs/>
                <w:sz w:val="24"/>
              </w:rPr>
              <w:t>注：所有工作要求在不闭馆的条件下进行。</w:t>
            </w:r>
          </w:p>
          <w:p>
            <w:pPr>
              <w:adjustRightInd/>
              <w:spacing w:line="320" w:lineRule="exact"/>
              <w:jc w:val="left"/>
              <w:rPr>
                <w:rFonts w:ascii="仿宋" w:hAnsi="仿宋" w:eastAsia="仿宋" w:cs="仿宋"/>
                <w:sz w:val="24"/>
              </w:rPr>
            </w:pPr>
            <w:r>
              <w:rPr>
                <w:rFonts w:hint="eastAsia" w:ascii="仿宋" w:hAnsi="仿宋" w:eastAsia="仿宋" w:cs="仿宋"/>
                <w:sz w:val="24"/>
              </w:rPr>
              <w:t>方案阐述详细全面，符合项目需求的得5分；</w:t>
            </w:r>
          </w:p>
          <w:p>
            <w:pPr>
              <w:adjustRightInd/>
              <w:spacing w:line="320" w:lineRule="exact"/>
              <w:jc w:val="left"/>
              <w:rPr>
                <w:rFonts w:ascii="仿宋" w:hAnsi="仿宋" w:eastAsia="仿宋" w:cs="仿宋"/>
                <w:sz w:val="24"/>
              </w:rPr>
            </w:pPr>
            <w:r>
              <w:rPr>
                <w:rFonts w:hint="eastAsia" w:ascii="仿宋" w:hAnsi="仿宋" w:eastAsia="仿宋" w:cs="仿宋"/>
                <w:sz w:val="24"/>
              </w:rPr>
              <w:t>方案合理，但内容有缺项的得3分；</w:t>
            </w:r>
          </w:p>
          <w:p>
            <w:pPr>
              <w:spacing w:line="320" w:lineRule="exact"/>
            </w:pPr>
            <w:r>
              <w:rPr>
                <w:rFonts w:hint="eastAsia" w:ascii="仿宋" w:hAnsi="仿宋" w:eastAsia="仿宋" w:cs="仿宋"/>
                <w:sz w:val="24"/>
              </w:rPr>
              <w:t>方案一般，但内容有欠缺，无法保障项目完成质量的得1分；未提及此项不得分。</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5</w:t>
            </w:r>
          </w:p>
        </w:tc>
        <w:tc>
          <w:tcPr>
            <w:tcW w:w="2365" w:type="dxa"/>
            <w:vMerge w:val="continue"/>
            <w:vAlign w:val="center"/>
          </w:tcPr>
          <w:p>
            <w:pPr>
              <w:wordWrap w:val="0"/>
              <w:topLinePunct/>
              <w:adjustRightInd/>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10</w:t>
            </w:r>
          </w:p>
        </w:tc>
        <w:tc>
          <w:tcPr>
            <w:tcW w:w="5819" w:type="dxa"/>
            <w:shd w:val="clear" w:color="auto" w:fill="auto"/>
          </w:tcPr>
          <w:p>
            <w:pPr>
              <w:wordWrap w:val="0"/>
              <w:topLinePunct/>
              <w:adjustRightInd/>
              <w:spacing w:line="360" w:lineRule="exact"/>
              <w:jc w:val="left"/>
              <w:rPr>
                <w:rFonts w:ascii="仿宋" w:hAnsi="仿宋" w:eastAsia="仿宋" w:cs="仿宋"/>
                <w:bCs/>
                <w:sz w:val="24"/>
              </w:rPr>
            </w:pPr>
            <w:r>
              <w:rPr>
                <w:rFonts w:hint="eastAsia" w:ascii="仿宋" w:hAnsi="仿宋" w:eastAsia="仿宋" w:cs="仿宋"/>
                <w:bCs/>
                <w:sz w:val="24"/>
              </w:rPr>
              <w:t>根据本项目制定的智能借阅柜运营管理方案的科学性、合理性、前瞻性、规范性和可操作性进行比较评分。</w:t>
            </w:r>
          </w:p>
          <w:p>
            <w:pPr>
              <w:adjustRightInd/>
              <w:spacing w:line="320" w:lineRule="exact"/>
              <w:jc w:val="left"/>
              <w:rPr>
                <w:rFonts w:ascii="仿宋" w:hAnsi="仿宋" w:eastAsia="仿宋" w:cs="仿宋"/>
                <w:sz w:val="24"/>
              </w:rPr>
            </w:pPr>
            <w:r>
              <w:rPr>
                <w:rFonts w:hint="eastAsia" w:ascii="仿宋" w:hAnsi="仿宋" w:eastAsia="仿宋" w:cs="仿宋"/>
                <w:sz w:val="24"/>
              </w:rPr>
              <w:t>方案阐述详细全面，符合项目需求的得5分；</w:t>
            </w:r>
          </w:p>
          <w:p>
            <w:pPr>
              <w:adjustRightInd/>
              <w:spacing w:line="320" w:lineRule="exact"/>
              <w:jc w:val="left"/>
              <w:rPr>
                <w:rFonts w:ascii="仿宋" w:hAnsi="仿宋" w:eastAsia="仿宋" w:cs="仿宋"/>
                <w:sz w:val="24"/>
              </w:rPr>
            </w:pPr>
            <w:r>
              <w:rPr>
                <w:rFonts w:hint="eastAsia" w:ascii="仿宋" w:hAnsi="仿宋" w:eastAsia="仿宋" w:cs="仿宋"/>
                <w:sz w:val="24"/>
              </w:rPr>
              <w:t>方案合理，但内容有缺项的得3分；</w:t>
            </w:r>
          </w:p>
          <w:p>
            <w:pPr>
              <w:spacing w:line="320" w:lineRule="exact"/>
            </w:pPr>
            <w:r>
              <w:rPr>
                <w:rFonts w:hint="eastAsia" w:ascii="仿宋" w:hAnsi="仿宋" w:eastAsia="仿宋" w:cs="仿宋"/>
                <w:sz w:val="24"/>
              </w:rPr>
              <w:t>方案一般，但内容有欠缺，无法保障项目完成质量的得1分；未提及此项不得分。</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5</w:t>
            </w:r>
          </w:p>
        </w:tc>
        <w:tc>
          <w:tcPr>
            <w:tcW w:w="2365" w:type="dxa"/>
            <w:vMerge w:val="restart"/>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bCs/>
                <w:sz w:val="24"/>
              </w:rPr>
              <w:t>智能借阅柜物流配送方案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11</w:t>
            </w:r>
          </w:p>
        </w:tc>
        <w:tc>
          <w:tcPr>
            <w:tcW w:w="5819" w:type="dxa"/>
            <w:shd w:val="clear" w:color="auto" w:fill="auto"/>
          </w:tcPr>
          <w:p>
            <w:pPr>
              <w:wordWrap w:val="0"/>
              <w:topLinePunct/>
              <w:adjustRightInd/>
              <w:spacing w:line="360" w:lineRule="exact"/>
              <w:jc w:val="left"/>
              <w:rPr>
                <w:rFonts w:ascii="仿宋" w:hAnsi="仿宋" w:eastAsia="仿宋" w:cs="仿宋"/>
                <w:bCs/>
                <w:sz w:val="24"/>
              </w:rPr>
            </w:pPr>
            <w:r>
              <w:rPr>
                <w:rFonts w:hint="eastAsia" w:ascii="仿宋" w:hAnsi="仿宋" w:eastAsia="仿宋" w:cs="仿宋"/>
                <w:bCs/>
                <w:sz w:val="24"/>
              </w:rPr>
              <w:t>根据本项目制定的物流配送服务方案的科学性、合理性、前瞻性、规范性和可操作性进行比较评分。</w:t>
            </w:r>
          </w:p>
          <w:p>
            <w:pPr>
              <w:adjustRightInd/>
              <w:spacing w:line="320" w:lineRule="exact"/>
              <w:jc w:val="left"/>
              <w:rPr>
                <w:rFonts w:ascii="仿宋" w:hAnsi="仿宋" w:eastAsia="仿宋" w:cs="仿宋"/>
                <w:sz w:val="24"/>
              </w:rPr>
            </w:pPr>
            <w:r>
              <w:rPr>
                <w:rFonts w:hint="eastAsia" w:ascii="仿宋" w:hAnsi="仿宋" w:eastAsia="仿宋" w:cs="仿宋"/>
                <w:sz w:val="24"/>
              </w:rPr>
              <w:t>方案阐述详细全面，符合项目需求的得5分；</w:t>
            </w:r>
          </w:p>
          <w:p>
            <w:pPr>
              <w:adjustRightInd/>
              <w:spacing w:line="320" w:lineRule="exact"/>
              <w:jc w:val="left"/>
              <w:rPr>
                <w:rFonts w:ascii="仿宋" w:hAnsi="仿宋" w:eastAsia="仿宋" w:cs="仿宋"/>
                <w:sz w:val="24"/>
              </w:rPr>
            </w:pPr>
            <w:r>
              <w:rPr>
                <w:rFonts w:hint="eastAsia" w:ascii="仿宋" w:hAnsi="仿宋" w:eastAsia="仿宋" w:cs="仿宋"/>
                <w:sz w:val="24"/>
              </w:rPr>
              <w:t>方案合理，但内容有缺项的得3分；</w:t>
            </w:r>
          </w:p>
          <w:p>
            <w:pPr>
              <w:spacing w:line="320" w:lineRule="exact"/>
            </w:pPr>
            <w:r>
              <w:rPr>
                <w:rFonts w:hint="eastAsia" w:ascii="仿宋" w:hAnsi="仿宋" w:eastAsia="仿宋" w:cs="仿宋"/>
                <w:sz w:val="24"/>
              </w:rPr>
              <w:t>方案一般，但内容有欠缺，无法保障项目完成质量的得1分；未提及此项不得分。</w:t>
            </w:r>
          </w:p>
        </w:tc>
        <w:tc>
          <w:tcPr>
            <w:tcW w:w="1022"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5</w:t>
            </w:r>
          </w:p>
        </w:tc>
        <w:tc>
          <w:tcPr>
            <w:tcW w:w="2365" w:type="dxa"/>
            <w:vMerge w:val="continue"/>
            <w:vAlign w:val="center"/>
          </w:tcPr>
          <w:p>
            <w:pPr>
              <w:wordWrap w:val="0"/>
              <w:topLinePunct/>
              <w:adjustRightInd/>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ordWrap w:val="0"/>
              <w:topLinePunct/>
              <w:adjustRightInd/>
              <w:spacing w:line="360" w:lineRule="exact"/>
              <w:jc w:val="center"/>
              <w:rPr>
                <w:rFonts w:ascii="仿宋" w:hAnsi="仿宋" w:eastAsia="仿宋" w:cs="仿宋"/>
                <w:sz w:val="24"/>
              </w:rPr>
            </w:pPr>
            <w:r>
              <w:rPr>
                <w:rFonts w:hint="eastAsia" w:ascii="仿宋" w:hAnsi="仿宋" w:eastAsia="仿宋" w:cs="仿宋"/>
                <w:sz w:val="24"/>
              </w:rPr>
              <w:t>12</w:t>
            </w:r>
          </w:p>
        </w:tc>
        <w:tc>
          <w:tcPr>
            <w:tcW w:w="5819" w:type="dxa"/>
            <w:shd w:val="clear" w:color="auto" w:fill="auto"/>
          </w:tcPr>
          <w:p>
            <w:pPr>
              <w:wordWrap w:val="0"/>
              <w:topLinePunct/>
              <w:adjustRightInd/>
              <w:spacing w:line="360" w:lineRule="exact"/>
              <w:jc w:val="left"/>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有效投标报价的最低价作为评标基准价，其最低报价为满分；按［投标报价得分=（评标基准价/投标报价）*30］的计算公式计算。</w:t>
            </w:r>
          </w:p>
          <w:p>
            <w:pPr>
              <w:wordWrap w:val="0"/>
              <w:topLinePunct/>
              <w:adjustRightInd/>
              <w:spacing w:line="360" w:lineRule="exact"/>
              <w:jc w:val="left"/>
              <w:rPr>
                <w:rFonts w:ascii="仿宋" w:hAnsi="仿宋" w:eastAsia="仿宋" w:cs="仿宋"/>
                <w:sz w:val="24"/>
              </w:rPr>
            </w:pPr>
            <w:r>
              <w:rPr>
                <w:rFonts w:hint="eastAsia" w:ascii="仿宋" w:hAnsi="仿宋" w:eastAsia="仿宋" w:cs="仿宋"/>
                <w:sz w:val="24"/>
              </w:rPr>
              <w:t>评标过程中，不得去掉报价中的最高报价和最低报价。</w:t>
            </w:r>
          </w:p>
          <w:p>
            <w:pPr>
              <w:wordWrap w:val="0"/>
              <w:topLinePunct/>
              <w:adjustRightInd/>
              <w:spacing w:line="360" w:lineRule="exact"/>
              <w:ind w:firstLine="420"/>
              <w:jc w:val="left"/>
              <w:rPr>
                <w:rFonts w:ascii="仿宋" w:hAnsi="仿宋" w:eastAsia="仿宋" w:cs="仿宋"/>
                <w:sz w:val="24"/>
              </w:rPr>
            </w:pPr>
            <w:r>
              <w:rPr>
                <w:rFonts w:hint="eastAsia" w:ascii="仿宋" w:hAnsi="仿宋" w:eastAsia="仿宋" w:cs="仿宋"/>
                <w:sz w:val="24"/>
              </w:rPr>
              <w:t>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w:t>
            </w:r>
            <w:r>
              <w:rPr>
                <w:rFonts w:hint="eastAsia" w:ascii="仿宋" w:hAnsi="仿宋" w:eastAsia="仿宋" w:cs="仿宋"/>
                <w:b/>
                <w:bCs/>
                <w:sz w:val="24"/>
              </w:rPr>
              <w:t>（本项目不适用）</w:t>
            </w:r>
          </w:p>
        </w:tc>
        <w:tc>
          <w:tcPr>
            <w:tcW w:w="1022" w:type="dxa"/>
            <w:vAlign w:val="center"/>
          </w:tcPr>
          <w:p>
            <w:pPr>
              <w:wordWrap w:val="0"/>
              <w:topLinePunct/>
              <w:adjustRightInd/>
              <w:spacing w:line="360" w:lineRule="exact"/>
              <w:jc w:val="center"/>
              <w:outlineLvl w:val="0"/>
              <w:rPr>
                <w:rFonts w:ascii="仿宋" w:hAnsi="仿宋" w:eastAsia="仿宋" w:cs="仿宋"/>
                <w:sz w:val="24"/>
              </w:rPr>
            </w:pPr>
            <w:r>
              <w:rPr>
                <w:rFonts w:hint="eastAsia" w:ascii="仿宋" w:hAnsi="仿宋" w:eastAsia="仿宋" w:cs="仿宋"/>
                <w:sz w:val="24"/>
              </w:rPr>
              <w:t>30分</w:t>
            </w:r>
          </w:p>
        </w:tc>
        <w:tc>
          <w:tcPr>
            <w:tcW w:w="2365" w:type="dxa"/>
            <w:vAlign w:val="center"/>
          </w:tcPr>
          <w:p>
            <w:pPr>
              <w:wordWrap w:val="0"/>
              <w:topLinePunct/>
              <w:adjustRightInd/>
              <w:spacing w:line="360" w:lineRule="exact"/>
              <w:jc w:val="center"/>
              <w:outlineLvl w:val="0"/>
              <w:rPr>
                <w:rFonts w:ascii="仿宋" w:hAnsi="仿宋" w:eastAsia="仿宋" w:cs="仿宋"/>
                <w:sz w:val="24"/>
              </w:rPr>
            </w:pPr>
            <w:r>
              <w:rPr>
                <w:rFonts w:hint="eastAsia" w:ascii="仿宋" w:hAnsi="仿宋" w:eastAsia="仿宋" w:cs="仿宋"/>
                <w:sz w:val="24"/>
              </w:rPr>
              <w:t>/</w:t>
            </w:r>
          </w:p>
        </w:tc>
      </w:tr>
    </w:tbl>
    <w:p>
      <w:pPr>
        <w:rPr>
          <w:rFonts w:ascii="仿宋" w:hAnsi="仿宋" w:eastAsia="仿宋" w:cs="仿宋"/>
        </w:rPr>
      </w:pPr>
    </w:p>
    <w:p>
      <w:pPr>
        <w:snapToGrid w:val="0"/>
        <w:spacing w:line="360" w:lineRule="auto"/>
        <w:rPr>
          <w:rFonts w:ascii="仿宋" w:hAnsi="仿宋" w:eastAsia="仿宋" w:cs="仿宋"/>
          <w:b/>
          <w:sz w:val="24"/>
        </w:rPr>
      </w:pPr>
      <w:r>
        <w:rPr>
          <w:rFonts w:hint="eastAsia" w:ascii="仿宋" w:hAnsi="仿宋" w:eastAsia="仿宋" w:cs="仿宋"/>
          <w:sz w:val="24"/>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4"/>
        </w:rPr>
      </w:pPr>
      <w:r>
        <w:rPr>
          <w:rFonts w:hint="eastAsia" w:ascii="仿宋" w:hAnsi="仿宋" w:eastAsia="仿宋" w:cs="仿宋"/>
          <w:b/>
          <w:sz w:val="24"/>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24"/>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sz w:val="24"/>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24"/>
        </w:rPr>
      </w:pPr>
      <w:r>
        <w:rPr>
          <w:rFonts w:hint="eastAsia" w:ascii="仿宋" w:hAnsi="仿宋" w:eastAsia="仿宋" w:cs="仿宋"/>
          <w:b/>
          <w:sz w:val="24"/>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0"/>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jc w:val="left"/>
        <w:rPr>
          <w:rFonts w:ascii="仿宋" w:hAnsi="仿宋" w:eastAsia="仿宋" w:cs="仿宋"/>
          <w:b/>
          <w:sz w:val="24"/>
        </w:rPr>
      </w:pPr>
      <w:r>
        <w:rPr>
          <w:rFonts w:hint="eastAsia" w:ascii="仿宋" w:hAnsi="仿宋" w:eastAsia="仿宋" w:cs="仿宋"/>
          <w:b/>
          <w:sz w:val="24"/>
        </w:rPr>
        <w:t>四、评标中的其他事项</w:t>
      </w:r>
    </w:p>
    <w:p>
      <w:pPr>
        <w:pStyle w:val="130"/>
        <w:adjustRightInd/>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spacing w:line="360" w:lineRule="auto"/>
        <w:ind w:firstLine="480" w:firstLineChars="200"/>
        <w:rPr>
          <w:rFonts w:hint="eastAsia" w:ascii="仿宋" w:hAnsi="仿宋" w:eastAsia="仿宋" w:cs="仿宋"/>
          <w:kern w:val="0"/>
          <w:sz w:val="24"/>
          <w:lang w:val="en-US"/>
        </w:rPr>
      </w:pPr>
      <w:r>
        <w:rPr>
          <w:rFonts w:hint="eastAsia" w:ascii="仿宋" w:hAnsi="仿宋" w:eastAsia="仿宋" w:cs="仿宋"/>
          <w:kern w:val="0"/>
          <w:sz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6"/>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ascii="仿宋" w:hAnsi="仿宋" w:eastAsia="仿宋" w:cs="仿宋"/>
        </w:rPr>
      </w:pPr>
    </w:p>
    <w:bookmarkEnd w:id="31"/>
    <w:p>
      <w:pPr>
        <w:spacing w:line="360" w:lineRule="auto"/>
        <w:ind w:left="720" w:leftChars="343" w:firstLine="1084" w:firstLineChars="300"/>
        <w:outlineLvl w:val="0"/>
        <w:rPr>
          <w:rFonts w:ascii="仿宋" w:hAnsi="仿宋" w:eastAsia="仿宋" w:cs="仿宋"/>
          <w:b/>
          <w:sz w:val="36"/>
          <w:szCs w:val="36"/>
        </w:rPr>
      </w:pPr>
      <w:bookmarkStart w:id="398" w:name="第五部分"/>
      <w:bookmarkStart w:id="399" w:name="_Toc86217003"/>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 xml:space="preserve">    </w:t>
      </w: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pPr>
        <w:pStyle w:val="701"/>
        <w:rPr>
          <w:rFonts w:ascii="仿宋" w:hAnsi="仿宋" w:eastAsia="仿宋" w:cs="仿宋"/>
          <w:szCs w:val="24"/>
        </w:rPr>
      </w:pPr>
    </w:p>
    <w:p>
      <w:pPr>
        <w:pStyle w:val="701"/>
        <w:rPr>
          <w:rFonts w:ascii="仿宋" w:hAnsi="仿宋" w:eastAsia="仿宋" w:cs="仿宋"/>
          <w:szCs w:val="24"/>
        </w:rPr>
      </w:pPr>
    </w:p>
    <w:p>
      <w:pPr>
        <w:pStyle w:val="701"/>
        <w:jc w:val="center"/>
        <w:rPr>
          <w:rFonts w:ascii="仿宋" w:hAnsi="仿宋" w:eastAsia="仿宋" w:cs="仿宋"/>
          <w:szCs w:val="24"/>
        </w:rPr>
      </w:pPr>
    </w:p>
    <w:p>
      <w:pPr>
        <w:pStyle w:val="701"/>
        <w:ind w:left="0" w:leftChars="0" w:firstLine="0" w:firstLineChars="0"/>
        <w:jc w:val="center"/>
        <w:rPr>
          <w:rFonts w:ascii="仿宋" w:hAnsi="仿宋" w:eastAsia="仿宋" w:cs="仿宋"/>
          <w:b/>
          <w:szCs w:val="24"/>
        </w:rPr>
      </w:pPr>
      <w:r>
        <w:rPr>
          <w:rFonts w:hint="eastAsia" w:ascii="仿宋" w:hAnsi="仿宋" w:eastAsia="仿宋" w:cs="仿宋"/>
          <w:b/>
          <w:sz w:val="36"/>
          <w:szCs w:val="36"/>
        </w:rPr>
        <w:t>第一部分 合同书</w:t>
      </w:r>
    </w:p>
    <w:p>
      <w:pPr>
        <w:pStyle w:val="701"/>
        <w:ind w:left="0" w:leftChars="0" w:firstLine="0" w:firstLineChars="0"/>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firstLine="480" w:firstLineChars="2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8"/>
        <w:spacing w:before="120" w:line="22" w:lineRule="atLeast"/>
        <w:rPr>
          <w:rFonts w:ascii="仿宋" w:hAnsi="仿宋" w:eastAsia="仿宋" w:cs="仿宋"/>
          <w:szCs w:val="24"/>
        </w:rPr>
      </w:pPr>
    </w:p>
    <w:p>
      <w:pPr>
        <w:pStyle w:val="598"/>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firstLine="480" w:firstLineChars="20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firstLine="480" w:firstLineChars="20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1440" w:firstLineChars="6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1440" w:firstLineChars="6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5" w:h="16838"/>
          <w:pgMar w:top="1440" w:right="1083" w:bottom="1440" w:left="1083" w:header="851" w:footer="992" w:gutter="0"/>
          <w:cols w:space="0" w:num="1"/>
          <w:titlePg/>
        </w:sectPr>
      </w:pPr>
    </w:p>
    <w:p>
      <w:pPr>
        <w:wordWrap w:val="0"/>
        <w:topLinePunct/>
        <w:adjustRightInd/>
        <w:spacing w:before="240" w:beforeLines="100" w:line="360" w:lineRule="auto"/>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杭州高新技术产业开发区(滨江)文化和广电旅游体育局</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2024年城市书房和智慧借阅点建设项目</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杭州高新技术产业开发区(滨江)文化和广电旅游体育局</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wordWrap w:val="0"/>
        <w:topLinePunct/>
        <w:adjustRightInd/>
        <w:spacing w:line="360" w:lineRule="auto"/>
        <w:ind w:firstLine="482" w:firstLineChars="200"/>
        <w:outlineLvl w:val="0"/>
        <w:rPr>
          <w:rFonts w:ascii="仿宋" w:hAnsi="仿宋" w:eastAsia="仿宋" w:cs="仿宋"/>
          <w:b/>
          <w:sz w:val="24"/>
        </w:rPr>
      </w:pPr>
      <w:bookmarkStart w:id="400" w:name="_Toc24059"/>
      <w:bookmarkStart w:id="401" w:name="_Toc3029"/>
      <w:bookmarkStart w:id="402" w:name="_Toc2232"/>
      <w:r>
        <w:rPr>
          <w:rFonts w:hint="eastAsia" w:ascii="仿宋" w:hAnsi="仿宋" w:eastAsia="仿宋" w:cs="仿宋"/>
          <w:b/>
          <w:sz w:val="24"/>
        </w:rPr>
        <w:t>1.1 合同组成部分</w:t>
      </w:r>
      <w:bookmarkEnd w:id="400"/>
      <w:bookmarkEnd w:id="401"/>
      <w:bookmarkEnd w:id="402"/>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1.1.2 中标或者成交通知书；</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1.1.5 其他相关采购文件。</w:t>
      </w:r>
    </w:p>
    <w:p>
      <w:pPr>
        <w:wordWrap w:val="0"/>
        <w:topLinePunct/>
        <w:adjustRightInd/>
        <w:spacing w:line="360" w:lineRule="auto"/>
        <w:ind w:firstLine="482" w:firstLineChars="200"/>
        <w:outlineLvl w:val="0"/>
        <w:rPr>
          <w:rFonts w:ascii="仿宋" w:hAnsi="仿宋" w:eastAsia="仿宋" w:cs="仿宋"/>
          <w:b/>
          <w:sz w:val="24"/>
        </w:rPr>
      </w:pPr>
      <w:bookmarkStart w:id="403" w:name="_Toc27126"/>
      <w:bookmarkStart w:id="404" w:name="_Toc24300"/>
      <w:bookmarkStart w:id="405" w:name="_Toc21295"/>
      <w:r>
        <w:rPr>
          <w:rFonts w:hint="eastAsia" w:ascii="仿宋" w:hAnsi="仿宋" w:eastAsia="仿宋" w:cs="仿宋"/>
          <w:b/>
          <w:sz w:val="24"/>
        </w:rPr>
        <w:t>1.2 货物</w:t>
      </w:r>
      <w:bookmarkEnd w:id="403"/>
      <w:bookmarkEnd w:id="404"/>
      <w:bookmarkEnd w:id="405"/>
    </w:p>
    <w:p>
      <w:pPr>
        <w:wordWrap w:val="0"/>
        <w:topLinePunct/>
        <w:adjustRightInd/>
        <w:spacing w:line="360" w:lineRule="auto"/>
        <w:ind w:firstLine="480" w:firstLineChars="200"/>
        <w:rPr>
          <w:rFonts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pPr>
        <w:wordWrap w:val="0"/>
        <w:topLinePunct/>
        <w:adjustRightInd/>
        <w:spacing w:line="360" w:lineRule="auto"/>
        <w:ind w:firstLine="480" w:firstLineChars="200"/>
        <w:rPr>
          <w:rFonts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wordWrap w:val="0"/>
        <w:topLinePunct/>
        <w:adjustRightInd/>
        <w:spacing w:line="360" w:lineRule="auto"/>
        <w:ind w:firstLine="480" w:firstLineChars="200"/>
        <w:rPr>
          <w:rFonts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wordWrap w:val="0"/>
        <w:topLinePunct/>
        <w:adjustRightInd/>
        <w:spacing w:line="360" w:lineRule="auto"/>
        <w:ind w:firstLine="482" w:firstLineChars="200"/>
        <w:outlineLvl w:val="0"/>
        <w:rPr>
          <w:rFonts w:ascii="仿宋" w:hAnsi="仿宋" w:eastAsia="仿宋" w:cs="仿宋"/>
          <w:b/>
          <w:sz w:val="24"/>
        </w:rPr>
      </w:pPr>
      <w:bookmarkStart w:id="406" w:name="_Toc21551"/>
      <w:bookmarkStart w:id="407" w:name="_Toc21631"/>
      <w:bookmarkStart w:id="408" w:name="_Toc23292"/>
      <w:r>
        <w:rPr>
          <w:rFonts w:hint="eastAsia" w:ascii="仿宋" w:hAnsi="仿宋" w:eastAsia="仿宋" w:cs="仿宋"/>
          <w:b/>
          <w:sz w:val="24"/>
        </w:rPr>
        <w:t>1.3 价款</w:t>
      </w:r>
      <w:bookmarkEnd w:id="406"/>
      <w:bookmarkEnd w:id="407"/>
      <w:bookmarkEnd w:id="408"/>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wordWrap w:val="0"/>
        <w:topLinePunct/>
        <w:adjustRightInd/>
        <w:spacing w:line="360" w:lineRule="auto"/>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734"/>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4734"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354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c>
          <w:tcPr>
            <w:tcW w:w="4734"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c>
          <w:tcPr>
            <w:tcW w:w="354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c>
          <w:tcPr>
            <w:tcW w:w="4734"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c>
          <w:tcPr>
            <w:tcW w:w="354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c>
          <w:tcPr>
            <w:tcW w:w="4734"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c>
          <w:tcPr>
            <w:tcW w:w="354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c>
          <w:tcPr>
            <w:tcW w:w="4734"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c>
          <w:tcPr>
            <w:tcW w:w="354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2"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354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sz w:val="24"/>
                <w:szCs w:val="24"/>
              </w:rPr>
            </w:pPr>
          </w:p>
        </w:tc>
      </w:tr>
    </w:tbl>
    <w:p>
      <w:pPr>
        <w:pStyle w:val="959"/>
        <w:spacing w:before="0" w:beforeAutospacing="0" w:after="0" w:afterAutospacing="0" w:line="360" w:lineRule="auto"/>
        <w:ind w:firstLine="480"/>
        <w:rPr>
          <w:rFonts w:ascii="仿宋" w:hAnsi="仿宋" w:eastAsia="仿宋" w:cs="仿宋"/>
          <w:b/>
        </w:rPr>
      </w:pPr>
      <w:bookmarkStart w:id="409" w:name="_Toc10340"/>
      <w:bookmarkStart w:id="410" w:name="_Toc22618"/>
      <w:bookmarkStart w:id="411" w:name="_Toc1814"/>
      <w:r>
        <w:rPr>
          <w:rFonts w:hint="eastAsia" w:ascii="仿宋" w:hAnsi="仿宋" w:eastAsia="仿宋" w:cs="仿宋"/>
          <w:b/>
        </w:rPr>
        <w:t>1.4履约保证金</w:t>
      </w:r>
    </w:p>
    <w:p>
      <w:pPr>
        <w:pStyle w:val="959"/>
        <w:spacing w:before="0" w:beforeAutospacing="0" w:after="0" w:afterAutospacing="0" w:line="360" w:lineRule="auto"/>
        <w:ind w:firstLine="480"/>
        <w:rPr>
          <w:rFonts w:ascii="仿宋" w:hAnsi="仿宋" w:eastAsia="仿宋" w:cs="仿宋"/>
        </w:rPr>
      </w:pPr>
      <w:r>
        <w:rPr>
          <w:rFonts w:hint="eastAsia" w:ascii="仿宋" w:hAnsi="仿宋" w:eastAsia="仿宋" w:cs="仿宋"/>
        </w:rPr>
        <w:t>乙方需要支付履约保证金：</w:t>
      </w:r>
    </w:p>
    <w:p>
      <w:pPr>
        <w:adjustRightInd/>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  </w:t>
      </w:r>
      <w:r>
        <w:rPr>
          <w:rFonts w:hint="eastAsia" w:ascii="仿宋" w:hAnsi="仿宋" w:eastAsia="仿宋" w:cs="仿宋"/>
          <w:kern w:val="0"/>
          <w:sz w:val="24"/>
        </w:rPr>
        <w:t>%；</w:t>
      </w:r>
    </w:p>
    <w:p>
      <w:pPr>
        <w:adjustRightInd/>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4"/>
        <w:tabs>
          <w:tab w:val="left" w:pos="0"/>
          <w:tab w:val="clear" w:pos="432"/>
        </w:tabs>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adjustRightInd/>
        <w:spacing w:line="360" w:lineRule="auto"/>
        <w:ind w:firstLine="480" w:firstLineChars="200"/>
        <w:outlineLvl w:val="0"/>
        <w:rPr>
          <w:rFonts w:ascii="仿宋" w:hAnsi="仿宋" w:eastAsia="仿宋" w:cs="仿宋"/>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0.05</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20</w:t>
      </w:r>
      <w:r>
        <w:rPr>
          <w:rFonts w:hint="eastAsia" w:ascii="仿宋" w:hAnsi="仿宋" w:eastAsia="仿宋" w:cs="仿宋"/>
          <w:kern w:val="0"/>
          <w:sz w:val="24"/>
        </w:rPr>
        <w:t>%。</w:t>
      </w:r>
    </w:p>
    <w:p>
      <w:pPr>
        <w:adjustRightInd/>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1.5</w:t>
      </w:r>
      <w:bookmarkEnd w:id="409"/>
      <w:bookmarkEnd w:id="410"/>
      <w:bookmarkEnd w:id="411"/>
      <w:r>
        <w:rPr>
          <w:rFonts w:hint="eastAsia" w:ascii="仿宋" w:hAnsi="仿宋" w:eastAsia="仿宋" w:cs="仿宋"/>
          <w:b/>
          <w:sz w:val="24"/>
        </w:rPr>
        <w:t>预付款</w:t>
      </w:r>
    </w:p>
    <w:p>
      <w:pPr>
        <w:pStyle w:val="959"/>
        <w:spacing w:before="0" w:beforeAutospacing="0" w:after="0" w:afterAutospacing="0" w:line="360" w:lineRule="auto"/>
        <w:ind w:firstLine="480"/>
        <w:rPr>
          <w:rFonts w:ascii="仿宋" w:hAnsi="仿宋" w:eastAsia="仿宋" w:cs="仿宋"/>
        </w:rPr>
      </w:pPr>
      <w:r>
        <w:rPr>
          <w:rFonts w:hint="eastAsia" w:ascii="仿宋" w:hAnsi="仿宋" w:eastAsia="仿宋" w:cs="仿宋"/>
        </w:rPr>
        <w:t>甲方需要支付预付款：</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959"/>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59"/>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59"/>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pPr>
        <w:pStyle w:val="959"/>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adjustRightInd/>
        <w:spacing w:line="360" w:lineRule="auto"/>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adjustRightInd/>
        <w:spacing w:line="360" w:lineRule="auto"/>
        <w:ind w:firstLine="482" w:firstLineChars="200"/>
        <w:outlineLvl w:val="0"/>
        <w:rPr>
          <w:rFonts w:ascii="仿宋" w:hAnsi="仿宋" w:eastAsia="仿宋" w:cs="仿宋"/>
          <w:b/>
          <w:sz w:val="24"/>
        </w:rPr>
      </w:pPr>
      <w:bookmarkStart w:id="412" w:name="_Toc19304"/>
      <w:bookmarkStart w:id="413" w:name="_Toc2846"/>
      <w:bookmarkStart w:id="414" w:name="_Toc32071"/>
      <w:r>
        <w:rPr>
          <w:rFonts w:hint="eastAsia" w:ascii="仿宋" w:hAnsi="仿宋" w:eastAsia="仿宋" w:cs="仿宋"/>
          <w:b/>
          <w:sz w:val="24"/>
        </w:rPr>
        <w:t>1.7货物交付期限、地点和方式</w:t>
      </w:r>
      <w:bookmarkEnd w:id="412"/>
      <w:bookmarkEnd w:id="413"/>
      <w:bookmarkEnd w:id="414"/>
    </w:p>
    <w:p>
      <w:pPr>
        <w:adjustRightInd/>
        <w:spacing w:line="360" w:lineRule="auto"/>
        <w:ind w:firstLine="480" w:firstLineChars="200"/>
        <w:rPr>
          <w:rFonts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adjustRightInd/>
        <w:spacing w:line="360" w:lineRule="auto"/>
        <w:ind w:firstLine="482" w:firstLineChars="200"/>
        <w:outlineLvl w:val="0"/>
        <w:rPr>
          <w:rFonts w:ascii="仿宋" w:hAnsi="仿宋" w:eastAsia="仿宋" w:cs="仿宋"/>
          <w:b/>
          <w:sz w:val="24"/>
        </w:rPr>
      </w:pPr>
      <w:bookmarkStart w:id="415" w:name="_Toc21423"/>
      <w:bookmarkStart w:id="416" w:name="_Toc19554"/>
      <w:bookmarkStart w:id="417" w:name="_Toc27250"/>
      <w:r>
        <w:rPr>
          <w:rFonts w:hint="eastAsia" w:ascii="仿宋" w:hAnsi="仿宋" w:eastAsia="仿宋" w:cs="仿宋"/>
          <w:b/>
          <w:sz w:val="24"/>
        </w:rPr>
        <w:t>1.8违约责任</w:t>
      </w:r>
      <w:bookmarkEnd w:id="415"/>
      <w:bookmarkEnd w:id="416"/>
      <w:bookmarkEnd w:id="417"/>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adjustRightInd/>
        <w:spacing w:line="360" w:lineRule="auto"/>
        <w:ind w:firstLine="480" w:firstLineChars="200"/>
        <w:rPr>
          <w:rFonts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adjustRightInd/>
        <w:spacing w:line="360" w:lineRule="auto"/>
        <w:ind w:firstLine="482" w:firstLineChars="200"/>
        <w:outlineLvl w:val="0"/>
        <w:rPr>
          <w:rFonts w:ascii="仿宋" w:hAnsi="仿宋" w:eastAsia="仿宋" w:cs="仿宋"/>
          <w:b/>
          <w:sz w:val="24"/>
        </w:rPr>
      </w:pPr>
      <w:bookmarkStart w:id="418" w:name="_Toc28375"/>
      <w:bookmarkStart w:id="419" w:name="_Toc16021"/>
      <w:bookmarkStart w:id="420" w:name="_Toc15583"/>
      <w:r>
        <w:rPr>
          <w:rFonts w:hint="eastAsia" w:ascii="仿宋" w:hAnsi="仿宋" w:eastAsia="仿宋" w:cs="仿宋"/>
          <w:b/>
          <w:sz w:val="24"/>
        </w:rPr>
        <w:t>1.9合同争议的解决</w:t>
      </w:r>
      <w:bookmarkEnd w:id="418"/>
      <w:bookmarkEnd w:id="419"/>
      <w:bookmarkEnd w:id="420"/>
    </w:p>
    <w:p>
      <w:pPr>
        <w:adjustRightInd/>
        <w:spacing w:line="360" w:lineRule="auto"/>
        <w:ind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合同专用条款</w:t>
      </w:r>
      <w:r>
        <w:rPr>
          <w:rFonts w:hint="eastAsia" w:ascii="仿宋" w:hAnsi="仿宋" w:eastAsia="仿宋" w:cs="仿宋"/>
          <w:sz w:val="24"/>
        </w:rPr>
        <w:t>条款规定的方式解决：</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adjustRightInd/>
        <w:spacing w:line="360" w:lineRule="auto"/>
        <w:ind w:firstLine="482" w:firstLineChars="200"/>
        <w:outlineLvl w:val="0"/>
        <w:rPr>
          <w:rFonts w:ascii="仿宋" w:hAnsi="仿宋" w:eastAsia="仿宋" w:cs="仿宋"/>
          <w:b/>
          <w:sz w:val="24"/>
        </w:rPr>
      </w:pPr>
      <w:bookmarkStart w:id="421" w:name="_Toc11173"/>
      <w:bookmarkStart w:id="422" w:name="_Toc15322"/>
      <w:bookmarkStart w:id="423" w:name="_Toc7245"/>
      <w:r>
        <w:rPr>
          <w:rFonts w:hint="eastAsia" w:ascii="仿宋" w:hAnsi="仿宋" w:eastAsia="仿宋" w:cs="仿宋"/>
          <w:b/>
          <w:sz w:val="24"/>
        </w:rPr>
        <w:t>2.0 合同生效</w:t>
      </w:r>
      <w:bookmarkEnd w:id="421"/>
      <w:bookmarkEnd w:id="422"/>
      <w:bookmarkEnd w:id="423"/>
    </w:p>
    <w:p>
      <w:pPr>
        <w:adjustRightInd/>
        <w:spacing w:line="360" w:lineRule="auto"/>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adjustRightInd/>
        <w:spacing w:line="360" w:lineRule="auto"/>
        <w:rPr>
          <w:rFonts w:ascii="仿宋" w:hAnsi="仿宋" w:eastAsia="仿宋" w:cs="仿宋"/>
          <w:sz w:val="24"/>
          <w:lang w:val="zh-CN"/>
        </w:rPr>
      </w:pPr>
    </w:p>
    <w:p>
      <w:pPr>
        <w:autoSpaceDE w:val="0"/>
        <w:autoSpaceDN w:val="0"/>
        <w:spacing w:line="560" w:lineRule="exact"/>
        <w:rPr>
          <w:rFonts w:ascii="仿宋" w:hAnsi="仿宋" w:eastAsia="仿宋" w:cs="仿宋"/>
          <w:b/>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pStyle w:val="4"/>
        <w:rPr>
          <w:rFonts w:ascii="仿宋" w:eastAsia="仿宋" w:cs="仿宋"/>
          <w:sz w:val="24"/>
        </w:rPr>
      </w:pPr>
    </w:p>
    <w:p>
      <w:pPr>
        <w:rPr>
          <w:rFonts w:ascii="仿宋" w:hAnsi="仿宋" w:eastAsia="仿宋" w:cs="仿宋"/>
          <w:sz w:val="24"/>
        </w:rPr>
      </w:pPr>
    </w:p>
    <w:p>
      <w:pPr>
        <w:pStyle w:val="4"/>
        <w:rPr>
          <w:rFonts w:ascii="仿宋" w:eastAsia="仿宋" w:cs="仿宋"/>
          <w:sz w:val="24"/>
        </w:rPr>
      </w:pPr>
    </w:p>
    <w:p>
      <w:pPr>
        <w:rPr>
          <w:rFonts w:ascii="仿宋" w:hAnsi="仿宋" w:eastAsia="仿宋" w:cs="仿宋"/>
          <w:sz w:val="24"/>
        </w:rPr>
      </w:pPr>
    </w:p>
    <w:p>
      <w:pPr>
        <w:pStyle w:val="4"/>
        <w:rPr>
          <w:rFonts w:ascii="仿宋" w:eastAsia="仿宋" w:cs="仿宋"/>
          <w:sz w:val="24"/>
        </w:rPr>
      </w:pPr>
    </w:p>
    <w:p>
      <w:pPr>
        <w:rPr>
          <w:rFonts w:ascii="仿宋" w:hAnsi="仿宋" w:eastAsia="仿宋" w:cs="仿宋"/>
          <w:sz w:val="24"/>
        </w:rPr>
      </w:pPr>
    </w:p>
    <w:p>
      <w:pPr>
        <w:rPr>
          <w:rFonts w:ascii="仿宋" w:hAnsi="仿宋" w:eastAsia="仿宋" w:cs="仿宋"/>
          <w:b/>
        </w:rPr>
      </w:pPr>
      <w:r>
        <w:rPr>
          <w:rFonts w:hint="eastAsia" w:ascii="仿宋" w:hAnsi="仿宋" w:eastAsia="仿宋" w:cs="仿宋"/>
          <w:b/>
        </w:rPr>
        <w:br w:type="page"/>
      </w:r>
    </w:p>
    <w:p>
      <w:pPr>
        <w:pStyle w:val="701"/>
        <w:spacing w:line="560" w:lineRule="exact"/>
        <w:ind w:left="0" w:leftChars="0" w:firstLine="0" w:firstLineChars="0"/>
        <w:jc w:val="center"/>
        <w:rPr>
          <w:rFonts w:ascii="仿宋" w:hAnsi="仿宋" w:eastAsia="仿宋" w:cs="仿宋"/>
          <w:b/>
          <w:szCs w:val="24"/>
        </w:rPr>
      </w:pPr>
      <w:r>
        <w:rPr>
          <w:rFonts w:hint="eastAsia" w:ascii="仿宋" w:hAnsi="仿宋" w:eastAsia="仿宋" w:cs="仿宋"/>
          <w:b/>
          <w:szCs w:val="24"/>
        </w:rPr>
        <w:t>第二部分 合同一般条款</w:t>
      </w:r>
    </w:p>
    <w:p>
      <w:pPr>
        <w:wordWrap w:val="0"/>
        <w:topLinePunct/>
        <w:adjustRightInd/>
        <w:spacing w:line="360" w:lineRule="auto"/>
        <w:ind w:firstLine="482" w:firstLineChars="200"/>
        <w:outlineLvl w:val="0"/>
        <w:rPr>
          <w:rFonts w:ascii="仿宋" w:hAnsi="仿宋" w:eastAsia="仿宋" w:cs="仿宋"/>
          <w:b/>
          <w:sz w:val="24"/>
        </w:rPr>
      </w:pPr>
      <w:bookmarkStart w:id="424" w:name="_Toc259093669"/>
      <w:bookmarkStart w:id="425" w:name="_Ref467379094"/>
      <w:bookmarkStart w:id="426" w:name="_Ref467379101"/>
      <w:bookmarkStart w:id="427" w:name="_Ref467378463"/>
      <w:bookmarkStart w:id="428" w:name="_Ref467379109"/>
      <w:bookmarkStart w:id="429" w:name="_Toc19614"/>
      <w:bookmarkStart w:id="430" w:name="_Toc279701240"/>
      <w:bookmarkStart w:id="431" w:name="_Toc16917"/>
      <w:bookmarkStart w:id="432" w:name="_Ref467378404"/>
      <w:bookmarkStart w:id="433" w:name="_Toc28763"/>
      <w:bookmarkStart w:id="434" w:name="_Ref467379225"/>
      <w:bookmarkStart w:id="435" w:name="_Ref467379205"/>
      <w:bookmarkStart w:id="436" w:name="_Ref467379214"/>
      <w:bookmarkStart w:id="437" w:name="_Toc487900349"/>
      <w:bookmarkStart w:id="438" w:name="_Ref467378499"/>
      <w:bookmarkStart w:id="439" w:name="_Ref467379195"/>
      <w:r>
        <w:rPr>
          <w:rFonts w:hint="eastAsia" w:ascii="仿宋" w:hAnsi="仿宋" w:eastAsia="仿宋" w:cs="仿宋"/>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pPr>
        <w:wordWrap w:val="0"/>
        <w:topLinePunct/>
        <w:adjustRightInd/>
        <w:spacing w:line="360" w:lineRule="auto"/>
        <w:ind w:firstLine="480" w:firstLineChars="200"/>
        <w:rPr>
          <w:rFonts w:ascii="仿宋" w:hAnsi="仿宋" w:eastAsia="仿宋" w:cs="仿宋"/>
          <w:sz w:val="24"/>
        </w:rPr>
      </w:pPr>
      <w:bookmarkStart w:id="440" w:name="_Ref467378840"/>
      <w:r>
        <w:rPr>
          <w:rFonts w:hint="eastAsia" w:ascii="仿宋" w:hAnsi="仿宋" w:eastAsia="仿宋" w:cs="仿宋"/>
          <w:sz w:val="24"/>
        </w:rPr>
        <w:t>2.1.4 “甲方”系指与中标或成交供应商签署合同的采购人</w:t>
      </w:r>
      <w:bookmarkEnd w:id="440"/>
      <w:r>
        <w:rPr>
          <w:rFonts w:hint="eastAsia" w:ascii="仿宋" w:hAnsi="仿宋" w:eastAsia="仿宋" w:cs="仿宋"/>
          <w:sz w:val="24"/>
        </w:rPr>
        <w:t>；采购人委托采购代理机构代表其与乙方签订合同的，采购人的授权委托书作为合同附件。</w:t>
      </w:r>
    </w:p>
    <w:p>
      <w:pPr>
        <w:wordWrap w:val="0"/>
        <w:topLinePunct/>
        <w:adjustRightInd/>
        <w:spacing w:line="360" w:lineRule="auto"/>
        <w:ind w:firstLine="480" w:firstLineChars="200"/>
        <w:rPr>
          <w:rFonts w:ascii="仿宋" w:hAnsi="仿宋" w:eastAsia="仿宋" w:cs="仿宋"/>
          <w:sz w:val="24"/>
        </w:rPr>
      </w:pPr>
      <w:bookmarkStart w:id="441" w:name="_Ref467379400"/>
      <w:r>
        <w:rPr>
          <w:rFonts w:hint="eastAsia" w:ascii="仿宋" w:hAnsi="仿宋" w:eastAsia="仿宋" w:cs="仿宋"/>
          <w:sz w:val="24"/>
        </w:rPr>
        <w:t>2.1.5 “乙方”系指根据合同约定交付货物的中标或成交供应商</w:t>
      </w:r>
      <w:bookmarkEnd w:id="441"/>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val="0"/>
        <w:topLinePunct/>
        <w:adjustRightInd/>
        <w:spacing w:line="360" w:lineRule="auto"/>
        <w:ind w:firstLine="480" w:firstLineChars="200"/>
        <w:rPr>
          <w:rFonts w:ascii="仿宋" w:hAnsi="仿宋" w:eastAsia="仿宋" w:cs="仿宋"/>
          <w:sz w:val="24"/>
        </w:rPr>
      </w:pPr>
      <w:bookmarkStart w:id="442" w:name="_Ref467379436"/>
      <w:r>
        <w:rPr>
          <w:rFonts w:hint="eastAsia" w:ascii="仿宋" w:hAnsi="仿宋" w:eastAsia="仿宋" w:cs="仿宋"/>
          <w:sz w:val="24"/>
        </w:rPr>
        <w:t>2.1.6 “现场”系指合同约定货物将要运至或者安装的地点。</w:t>
      </w:r>
      <w:bookmarkEnd w:id="442"/>
    </w:p>
    <w:p>
      <w:pPr>
        <w:wordWrap w:val="0"/>
        <w:topLinePunct/>
        <w:adjustRightInd/>
        <w:spacing w:line="360" w:lineRule="auto"/>
        <w:ind w:firstLine="482" w:firstLineChars="200"/>
        <w:outlineLvl w:val="0"/>
        <w:rPr>
          <w:rFonts w:ascii="仿宋" w:hAnsi="仿宋" w:eastAsia="仿宋" w:cs="仿宋"/>
          <w:b/>
          <w:sz w:val="24"/>
        </w:rPr>
      </w:pPr>
      <w:bookmarkStart w:id="443" w:name="_Toc279701241"/>
      <w:bookmarkStart w:id="444" w:name="_Toc27635"/>
      <w:bookmarkStart w:id="445" w:name="_Toc487900350"/>
      <w:bookmarkStart w:id="446" w:name="_Toc32504"/>
      <w:bookmarkStart w:id="447" w:name="_Toc259093670"/>
      <w:bookmarkStart w:id="448" w:name="_Toc13336"/>
      <w:r>
        <w:rPr>
          <w:rFonts w:hint="eastAsia" w:ascii="仿宋" w:hAnsi="仿宋" w:eastAsia="仿宋" w:cs="仿宋"/>
          <w:b/>
          <w:sz w:val="24"/>
        </w:rPr>
        <w:t>2.2 技术规范</w:t>
      </w:r>
      <w:bookmarkEnd w:id="443"/>
      <w:bookmarkEnd w:id="444"/>
      <w:bookmarkEnd w:id="445"/>
      <w:bookmarkEnd w:id="446"/>
      <w:bookmarkEnd w:id="447"/>
      <w:bookmarkEnd w:id="448"/>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wordWrap w:val="0"/>
        <w:topLinePunct/>
        <w:adjustRightInd/>
        <w:spacing w:line="360" w:lineRule="auto"/>
        <w:ind w:firstLine="482" w:firstLineChars="200"/>
        <w:outlineLvl w:val="0"/>
        <w:rPr>
          <w:rFonts w:ascii="仿宋" w:hAnsi="仿宋" w:eastAsia="仿宋" w:cs="仿宋"/>
          <w:b/>
          <w:sz w:val="24"/>
        </w:rPr>
      </w:pPr>
      <w:bookmarkStart w:id="449" w:name="_Toc9829"/>
      <w:bookmarkStart w:id="450" w:name="_Toc31634"/>
      <w:bookmarkStart w:id="451" w:name="_Toc279701242"/>
      <w:bookmarkStart w:id="452" w:name="_Toc487900351"/>
      <w:bookmarkStart w:id="453" w:name="_Toc27853"/>
      <w:bookmarkStart w:id="454" w:name="_Toc259093671"/>
      <w:r>
        <w:rPr>
          <w:rFonts w:hint="eastAsia" w:ascii="仿宋" w:hAnsi="仿宋" w:eastAsia="仿宋" w:cs="仿宋"/>
          <w:b/>
          <w:sz w:val="24"/>
        </w:rPr>
        <w:t>2.3 知识产权</w:t>
      </w:r>
      <w:bookmarkEnd w:id="449"/>
      <w:bookmarkEnd w:id="450"/>
      <w:bookmarkEnd w:id="451"/>
      <w:bookmarkEnd w:id="452"/>
      <w:bookmarkEnd w:id="453"/>
      <w:bookmarkEnd w:id="454"/>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wordWrap w:val="0"/>
        <w:topLinePunct/>
        <w:adjustRightInd/>
        <w:spacing w:line="360" w:lineRule="auto"/>
        <w:ind w:firstLine="482" w:firstLineChars="200"/>
        <w:outlineLvl w:val="0"/>
        <w:rPr>
          <w:rFonts w:ascii="仿宋" w:hAnsi="仿宋" w:eastAsia="仿宋" w:cs="仿宋"/>
          <w:b/>
          <w:sz w:val="24"/>
        </w:rPr>
      </w:pPr>
      <w:bookmarkStart w:id="455" w:name="_Toc29149"/>
      <w:bookmarkStart w:id="456" w:name="_Toc11932"/>
      <w:bookmarkStart w:id="457" w:name="_Toc4194"/>
      <w:r>
        <w:rPr>
          <w:rFonts w:hint="eastAsia" w:ascii="仿宋" w:hAnsi="仿宋" w:eastAsia="仿宋" w:cs="仿宋"/>
          <w:b/>
          <w:sz w:val="24"/>
        </w:rPr>
        <w:t>2.4 包装和装运</w:t>
      </w:r>
      <w:bookmarkEnd w:id="455"/>
      <w:bookmarkEnd w:id="456"/>
      <w:bookmarkEnd w:id="457"/>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wordWrap w:val="0"/>
        <w:topLinePunct/>
        <w:adjustRightInd/>
        <w:spacing w:line="360" w:lineRule="auto"/>
        <w:ind w:firstLine="482" w:firstLineChars="200"/>
        <w:outlineLvl w:val="0"/>
        <w:rPr>
          <w:rFonts w:ascii="仿宋" w:hAnsi="仿宋" w:eastAsia="仿宋" w:cs="仿宋"/>
          <w:b/>
          <w:sz w:val="24"/>
        </w:rPr>
      </w:pPr>
      <w:bookmarkStart w:id="458" w:name="_Ref467379527"/>
      <w:bookmarkStart w:id="459" w:name="_Toc259093674"/>
      <w:bookmarkStart w:id="460" w:name="_Ref467378591"/>
      <w:bookmarkStart w:id="461" w:name="_Ref467379536"/>
      <w:bookmarkStart w:id="462" w:name="_Ref467379542"/>
      <w:bookmarkStart w:id="463" w:name="_Toc279701245"/>
      <w:bookmarkStart w:id="464" w:name="_Toc487900354"/>
      <w:bookmarkStart w:id="465" w:name="_Ref467378541"/>
      <w:bookmarkStart w:id="466" w:name="_Toc26182"/>
      <w:bookmarkStart w:id="467" w:name="_Toc19074"/>
      <w:bookmarkStart w:id="468" w:name="_Toc30272"/>
      <w:r>
        <w:rPr>
          <w:rFonts w:hint="eastAsia" w:ascii="仿宋" w:hAnsi="仿宋" w:eastAsia="仿宋" w:cs="仿宋"/>
          <w:b/>
          <w:sz w:val="24"/>
        </w:rPr>
        <w:t>2.</w:t>
      </w:r>
      <w:bookmarkEnd w:id="458"/>
      <w:bookmarkEnd w:id="459"/>
      <w:bookmarkEnd w:id="460"/>
      <w:bookmarkEnd w:id="461"/>
      <w:bookmarkEnd w:id="462"/>
      <w:bookmarkEnd w:id="463"/>
      <w:bookmarkEnd w:id="464"/>
      <w:bookmarkEnd w:id="465"/>
      <w:r>
        <w:rPr>
          <w:rFonts w:hint="eastAsia" w:ascii="仿宋" w:hAnsi="仿宋" w:eastAsia="仿宋" w:cs="仿宋"/>
          <w:b/>
          <w:sz w:val="24"/>
        </w:rPr>
        <w:t>5 履约检查和问题反馈</w:t>
      </w:r>
      <w:bookmarkEnd w:id="466"/>
      <w:bookmarkEnd w:id="467"/>
      <w:bookmarkEnd w:id="468"/>
    </w:p>
    <w:p>
      <w:pPr>
        <w:wordWrap w:val="0"/>
        <w:topLinePunct/>
        <w:adjustRightInd/>
        <w:spacing w:line="360" w:lineRule="auto"/>
        <w:ind w:firstLine="480" w:firstLineChars="200"/>
        <w:rPr>
          <w:rFonts w:ascii="仿宋" w:hAnsi="仿宋" w:eastAsia="仿宋" w:cs="仿宋"/>
          <w:sz w:val="24"/>
        </w:rPr>
      </w:pPr>
      <w:bookmarkStart w:id="469" w:name="_Ref467379657"/>
      <w:r>
        <w:rPr>
          <w:rFonts w:hint="eastAsia" w:ascii="仿宋" w:hAnsi="仿宋" w:eastAsia="仿宋" w:cs="仿宋"/>
          <w:sz w:val="24"/>
        </w:rPr>
        <w:t>2.5.1</w:t>
      </w:r>
      <w:bookmarkEnd w:id="469"/>
      <w:bookmarkStart w:id="470" w:name="_Toc186431854"/>
      <w:bookmarkStart w:id="471" w:name="_Ref467379807"/>
      <w:bookmarkStart w:id="472" w:name="_Toc259093676"/>
      <w:bookmarkStart w:id="473" w:name="_Toc487900357"/>
      <w:bookmarkStart w:id="474" w:name="_Ref467379793"/>
      <w:bookmarkStart w:id="475" w:name="_Toc27970124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0"/>
      <w:bookmarkStart w:id="476" w:name="_Toc186431855"/>
      <w:r>
        <w:rPr>
          <w:rFonts w:hint="eastAsia" w:ascii="仿宋" w:hAnsi="仿宋" w:eastAsia="仿宋" w:cs="仿宋"/>
          <w:sz w:val="24"/>
        </w:rPr>
        <w:t>。</w:t>
      </w:r>
    </w:p>
    <w:bookmarkEnd w:id="471"/>
    <w:bookmarkEnd w:id="472"/>
    <w:bookmarkEnd w:id="473"/>
    <w:bookmarkEnd w:id="474"/>
    <w:bookmarkEnd w:id="475"/>
    <w:bookmarkEnd w:id="476"/>
    <w:p>
      <w:pPr>
        <w:wordWrap w:val="0"/>
        <w:topLinePunct/>
        <w:adjustRightInd/>
        <w:spacing w:line="360" w:lineRule="auto"/>
        <w:ind w:firstLine="482" w:firstLineChars="200"/>
        <w:outlineLvl w:val="0"/>
        <w:rPr>
          <w:rFonts w:ascii="仿宋" w:hAnsi="仿宋" w:eastAsia="仿宋" w:cs="仿宋"/>
          <w:b/>
          <w:sz w:val="24"/>
        </w:rPr>
      </w:pPr>
      <w:bookmarkStart w:id="477" w:name="_Ref467379923"/>
      <w:bookmarkStart w:id="478" w:name="_Toc279701248"/>
      <w:bookmarkStart w:id="479" w:name="_Toc487900358"/>
      <w:bookmarkStart w:id="480" w:name="_Ref467379852"/>
      <w:bookmarkStart w:id="481" w:name="_Toc259093677"/>
      <w:bookmarkStart w:id="482" w:name="_Ref467379863"/>
      <w:bookmarkStart w:id="483" w:name="_Toc774"/>
      <w:bookmarkStart w:id="484" w:name="_Toc16110"/>
      <w:bookmarkStart w:id="485" w:name="_Toc3225"/>
      <w:r>
        <w:rPr>
          <w:rFonts w:hint="eastAsia" w:ascii="仿宋" w:hAnsi="仿宋" w:eastAsia="仿宋" w:cs="仿宋"/>
          <w:b/>
          <w:sz w:val="24"/>
        </w:rPr>
        <w:t>2.6 技术资料</w:t>
      </w:r>
      <w:bookmarkEnd w:id="477"/>
      <w:bookmarkEnd w:id="478"/>
      <w:bookmarkEnd w:id="479"/>
      <w:bookmarkEnd w:id="480"/>
      <w:bookmarkEnd w:id="481"/>
      <w:bookmarkEnd w:id="482"/>
      <w:r>
        <w:rPr>
          <w:rFonts w:hint="eastAsia" w:ascii="仿宋" w:hAnsi="仿宋" w:eastAsia="仿宋" w:cs="仿宋"/>
          <w:b/>
          <w:sz w:val="24"/>
        </w:rPr>
        <w:t>和保密义务</w:t>
      </w:r>
      <w:bookmarkEnd w:id="483"/>
      <w:bookmarkEnd w:id="484"/>
      <w:bookmarkEnd w:id="485"/>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wordWrap w:val="0"/>
        <w:topLinePunct/>
        <w:adjustRightInd/>
        <w:spacing w:line="360" w:lineRule="auto"/>
        <w:ind w:firstLine="482" w:firstLineChars="200"/>
        <w:outlineLvl w:val="0"/>
        <w:rPr>
          <w:rFonts w:ascii="仿宋" w:hAnsi="仿宋" w:eastAsia="仿宋" w:cs="仿宋"/>
          <w:b/>
          <w:sz w:val="24"/>
        </w:rPr>
      </w:pPr>
      <w:bookmarkStart w:id="486" w:name="_Toc7860"/>
      <w:r>
        <w:rPr>
          <w:rFonts w:hint="eastAsia" w:ascii="仿宋" w:hAnsi="仿宋" w:eastAsia="仿宋" w:cs="仿宋"/>
          <w:b/>
          <w:sz w:val="24"/>
        </w:rPr>
        <w:t>2.7 质量保证</w:t>
      </w:r>
      <w:bookmarkEnd w:id="486"/>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wordWrap w:val="0"/>
        <w:topLinePunct/>
        <w:adjustRightInd/>
        <w:spacing w:line="360" w:lineRule="auto"/>
        <w:ind w:firstLine="482" w:firstLineChars="200"/>
        <w:outlineLvl w:val="0"/>
        <w:rPr>
          <w:rFonts w:ascii="仿宋" w:hAnsi="仿宋" w:eastAsia="仿宋" w:cs="仿宋"/>
          <w:b/>
          <w:sz w:val="24"/>
        </w:rPr>
      </w:pPr>
      <w:bookmarkStart w:id="487" w:name="_Toc17244"/>
      <w:bookmarkStart w:id="488" w:name="_Toc487900362"/>
      <w:bookmarkStart w:id="489" w:name="_Toc259093681"/>
      <w:bookmarkStart w:id="490" w:name="_Toc279701252"/>
      <w:r>
        <w:rPr>
          <w:rFonts w:hint="eastAsia" w:ascii="仿宋" w:hAnsi="仿宋" w:eastAsia="仿宋" w:cs="仿宋"/>
          <w:b/>
          <w:sz w:val="24"/>
        </w:rPr>
        <w:t>2.8 货物的风险负担</w:t>
      </w:r>
      <w:bookmarkEnd w:id="487"/>
    </w:p>
    <w:p>
      <w:pPr>
        <w:wordWrap w:val="0"/>
        <w:topLinePunct/>
        <w:adjustRightInd/>
        <w:spacing w:line="360" w:lineRule="auto"/>
        <w:ind w:firstLine="456" w:firstLineChars="200"/>
        <w:rPr>
          <w:rFonts w:ascii="仿宋" w:hAnsi="仿宋" w:eastAsia="仿宋" w:cs="仿宋"/>
          <w:b/>
          <w:sz w:val="24"/>
        </w:rPr>
      </w:pPr>
      <w:r>
        <w:rPr>
          <w:rFonts w:hint="eastAsia" w:ascii="仿宋" w:hAnsi="仿宋" w:eastAsia="仿宋" w:cs="仿宋"/>
          <w:spacing w:val="-6"/>
          <w:sz w:val="24"/>
        </w:rPr>
        <w:t>货物或者在途货物或者交付给第一承运人后的货物毁损、灭失的风险负担详见</w:t>
      </w:r>
      <w:r>
        <w:rPr>
          <w:rFonts w:hint="eastAsia" w:ascii="仿宋" w:hAnsi="仿宋" w:eastAsia="仿宋" w:cs="仿宋"/>
          <w:b/>
          <w:i/>
          <w:spacing w:val="-6"/>
          <w:sz w:val="24"/>
          <w:u w:val="single"/>
        </w:rPr>
        <w:t>合同专用条款</w:t>
      </w:r>
      <w:r>
        <w:rPr>
          <w:rFonts w:hint="eastAsia" w:ascii="仿宋" w:hAnsi="仿宋" w:eastAsia="仿宋" w:cs="仿宋"/>
          <w:spacing w:val="-6"/>
          <w:sz w:val="24"/>
        </w:rPr>
        <w:t>。</w:t>
      </w:r>
    </w:p>
    <w:p>
      <w:pPr>
        <w:wordWrap w:val="0"/>
        <w:topLinePunct/>
        <w:adjustRightInd/>
        <w:spacing w:line="360" w:lineRule="auto"/>
        <w:ind w:firstLine="482" w:firstLineChars="200"/>
        <w:outlineLvl w:val="0"/>
        <w:rPr>
          <w:rFonts w:ascii="仿宋" w:hAnsi="仿宋" w:eastAsia="仿宋" w:cs="仿宋"/>
          <w:b/>
          <w:sz w:val="24"/>
        </w:rPr>
      </w:pPr>
      <w:bookmarkStart w:id="491" w:name="_Toc14055"/>
      <w:r>
        <w:rPr>
          <w:rFonts w:hint="eastAsia" w:ascii="仿宋" w:hAnsi="仿宋" w:eastAsia="仿宋" w:cs="仿宋"/>
          <w:b/>
          <w:sz w:val="24"/>
        </w:rPr>
        <w:t>2.9 延迟交货</w:t>
      </w:r>
      <w:bookmarkEnd w:id="488"/>
      <w:bookmarkEnd w:id="489"/>
      <w:bookmarkEnd w:id="490"/>
      <w:bookmarkEnd w:id="491"/>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wordWrap w:val="0"/>
        <w:topLinePunct/>
        <w:adjustRightInd/>
        <w:spacing w:line="360" w:lineRule="auto"/>
        <w:ind w:firstLine="482" w:firstLineChars="200"/>
        <w:outlineLvl w:val="0"/>
        <w:rPr>
          <w:rFonts w:ascii="仿宋" w:hAnsi="仿宋" w:eastAsia="仿宋" w:cs="仿宋"/>
          <w:b/>
          <w:sz w:val="24"/>
        </w:rPr>
      </w:pPr>
      <w:bookmarkStart w:id="492" w:name="_Toc7502"/>
      <w:bookmarkStart w:id="493" w:name="_Toc487900364"/>
      <w:bookmarkStart w:id="494" w:name="_Toc259093683"/>
      <w:bookmarkStart w:id="495" w:name="_Ref467378121"/>
      <w:bookmarkStart w:id="496" w:name="_Toc279701254"/>
      <w:r>
        <w:rPr>
          <w:rFonts w:hint="eastAsia" w:ascii="仿宋" w:hAnsi="仿宋" w:eastAsia="仿宋" w:cs="仿宋"/>
          <w:b/>
          <w:sz w:val="24"/>
        </w:rPr>
        <w:t>2.10 合同变更</w:t>
      </w:r>
      <w:bookmarkEnd w:id="492"/>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487900369"/>
      <w:bookmarkStart w:id="499" w:name="_Toc279701259"/>
    </w:p>
    <w:p>
      <w:pPr>
        <w:wordWrap w:val="0"/>
        <w:topLinePunct/>
        <w:adjustRightInd/>
        <w:spacing w:line="360" w:lineRule="auto"/>
        <w:ind w:firstLine="482" w:firstLineChars="200"/>
        <w:outlineLvl w:val="0"/>
        <w:rPr>
          <w:rFonts w:ascii="仿宋" w:hAnsi="仿宋" w:eastAsia="仿宋" w:cs="仿宋"/>
          <w:b/>
          <w:sz w:val="24"/>
        </w:rPr>
      </w:pPr>
      <w:bookmarkStart w:id="500" w:name="_Toc10366"/>
      <w:bookmarkStart w:id="501" w:name="_Toc22955"/>
      <w:bookmarkStart w:id="502" w:name="_Toc15237"/>
      <w:r>
        <w:rPr>
          <w:rFonts w:hint="eastAsia" w:ascii="仿宋" w:hAnsi="仿宋" w:eastAsia="仿宋" w:cs="仿宋"/>
          <w:b/>
          <w:sz w:val="24"/>
        </w:rPr>
        <w:t>2.11 合同转让</w:t>
      </w:r>
      <w:bookmarkEnd w:id="497"/>
      <w:bookmarkEnd w:id="498"/>
      <w:bookmarkEnd w:id="499"/>
      <w:r>
        <w:rPr>
          <w:rFonts w:hint="eastAsia" w:ascii="仿宋" w:hAnsi="仿宋" w:eastAsia="仿宋" w:cs="仿宋"/>
          <w:b/>
          <w:sz w:val="24"/>
        </w:rPr>
        <w:t>和分包</w:t>
      </w:r>
      <w:bookmarkEnd w:id="500"/>
      <w:bookmarkEnd w:id="501"/>
      <w:bookmarkEnd w:id="502"/>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wordWrap w:val="0"/>
        <w:topLinePunct/>
        <w:adjustRightInd/>
        <w:spacing w:line="360" w:lineRule="auto"/>
        <w:ind w:firstLine="482" w:firstLineChars="200"/>
        <w:outlineLvl w:val="0"/>
        <w:rPr>
          <w:rFonts w:ascii="仿宋" w:hAnsi="仿宋" w:eastAsia="仿宋" w:cs="仿宋"/>
          <w:b/>
          <w:sz w:val="24"/>
        </w:rPr>
      </w:pPr>
      <w:bookmarkStart w:id="503" w:name="_Toc13566"/>
      <w:bookmarkStart w:id="504" w:name="_Toc16508"/>
      <w:bookmarkStart w:id="505" w:name="_Toc14066"/>
      <w:r>
        <w:rPr>
          <w:rFonts w:hint="eastAsia" w:ascii="仿宋" w:hAnsi="仿宋" w:eastAsia="仿宋" w:cs="仿宋"/>
          <w:b/>
          <w:sz w:val="24"/>
        </w:rPr>
        <w:t>2.12 不可抗力</w:t>
      </w:r>
      <w:bookmarkEnd w:id="503"/>
      <w:bookmarkEnd w:id="504"/>
      <w:bookmarkEnd w:id="505"/>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wordWrap w:val="0"/>
        <w:topLinePunct/>
        <w:adjustRightInd/>
        <w:spacing w:line="360" w:lineRule="auto"/>
        <w:ind w:firstLine="482" w:firstLineChars="200"/>
        <w:outlineLvl w:val="0"/>
        <w:rPr>
          <w:rFonts w:ascii="仿宋" w:hAnsi="仿宋" w:eastAsia="仿宋" w:cs="仿宋"/>
          <w:b/>
          <w:sz w:val="24"/>
        </w:rPr>
      </w:pPr>
      <w:bookmarkStart w:id="506" w:name="_Toc6969"/>
      <w:bookmarkStart w:id="507" w:name="_Toc487900365"/>
      <w:bookmarkStart w:id="508" w:name="_Toc689"/>
      <w:bookmarkStart w:id="509" w:name="_Toc279701255"/>
      <w:bookmarkStart w:id="510" w:name="_Toc259093684"/>
      <w:bookmarkStart w:id="511" w:name="_Toc30676"/>
      <w:r>
        <w:rPr>
          <w:rFonts w:hint="eastAsia" w:ascii="仿宋" w:hAnsi="仿宋" w:eastAsia="仿宋" w:cs="仿宋"/>
          <w:b/>
          <w:sz w:val="24"/>
        </w:rPr>
        <w:t>2.13 税费</w:t>
      </w:r>
      <w:bookmarkEnd w:id="506"/>
      <w:bookmarkEnd w:id="507"/>
      <w:bookmarkEnd w:id="508"/>
      <w:bookmarkEnd w:id="509"/>
      <w:bookmarkEnd w:id="510"/>
      <w:bookmarkEnd w:id="511"/>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wordWrap w:val="0"/>
        <w:topLinePunct/>
        <w:adjustRightInd/>
        <w:spacing w:line="360" w:lineRule="auto"/>
        <w:ind w:firstLine="482" w:firstLineChars="200"/>
        <w:outlineLvl w:val="0"/>
        <w:rPr>
          <w:rFonts w:ascii="仿宋" w:hAnsi="仿宋" w:eastAsia="仿宋" w:cs="仿宋"/>
          <w:b/>
          <w:sz w:val="24"/>
        </w:rPr>
      </w:pPr>
      <w:bookmarkStart w:id="512" w:name="_Toc487900368"/>
      <w:bookmarkStart w:id="513" w:name="_Toc279701258"/>
      <w:bookmarkStart w:id="514" w:name="_Toc16959"/>
      <w:bookmarkStart w:id="515" w:name="_Toc8298"/>
      <w:bookmarkStart w:id="516" w:name="_Toc7102"/>
      <w:bookmarkStart w:id="517" w:name="_Toc259093687"/>
      <w:r>
        <w:rPr>
          <w:rFonts w:hint="eastAsia" w:ascii="仿宋" w:hAnsi="仿宋" w:eastAsia="仿宋" w:cs="仿宋"/>
          <w:b/>
          <w:sz w:val="24"/>
        </w:rPr>
        <w:t>2.14乙方破产</w:t>
      </w:r>
      <w:bookmarkEnd w:id="512"/>
      <w:bookmarkEnd w:id="513"/>
      <w:bookmarkEnd w:id="514"/>
      <w:bookmarkEnd w:id="515"/>
      <w:bookmarkEnd w:id="516"/>
      <w:bookmarkEnd w:id="517"/>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val="0"/>
        <w:topLinePunct/>
        <w:adjustRightInd/>
        <w:spacing w:line="360" w:lineRule="auto"/>
        <w:ind w:firstLine="482" w:firstLineChars="200"/>
        <w:outlineLvl w:val="0"/>
        <w:rPr>
          <w:rFonts w:ascii="仿宋" w:hAnsi="仿宋" w:eastAsia="仿宋" w:cs="仿宋"/>
          <w:b/>
          <w:sz w:val="24"/>
        </w:rPr>
      </w:pPr>
      <w:bookmarkStart w:id="518" w:name="_Toc15387"/>
      <w:bookmarkStart w:id="519" w:name="_Toc6134"/>
      <w:bookmarkStart w:id="520" w:name="_Toc29333"/>
      <w:r>
        <w:rPr>
          <w:rFonts w:hint="eastAsia" w:ascii="仿宋" w:hAnsi="仿宋" w:eastAsia="仿宋" w:cs="仿宋"/>
          <w:b/>
          <w:sz w:val="24"/>
        </w:rPr>
        <w:t>2.15 合同中止、终止</w:t>
      </w:r>
      <w:bookmarkEnd w:id="518"/>
      <w:bookmarkEnd w:id="519"/>
      <w:bookmarkEnd w:id="520"/>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wordWrap w:val="0"/>
        <w:topLinePunct/>
        <w:adjustRightInd/>
        <w:spacing w:line="360" w:lineRule="auto"/>
        <w:ind w:firstLine="482" w:firstLineChars="200"/>
        <w:outlineLvl w:val="0"/>
        <w:rPr>
          <w:rFonts w:ascii="仿宋" w:hAnsi="仿宋" w:eastAsia="仿宋" w:cs="仿宋"/>
          <w:b/>
          <w:sz w:val="24"/>
        </w:rPr>
      </w:pPr>
      <w:bookmarkStart w:id="521" w:name="_Toc6596"/>
      <w:bookmarkStart w:id="522" w:name="_Toc14563"/>
      <w:bookmarkStart w:id="523" w:name="_Toc1125"/>
      <w:r>
        <w:rPr>
          <w:rFonts w:hint="eastAsia" w:ascii="仿宋" w:hAnsi="仿宋" w:eastAsia="仿宋" w:cs="仿宋"/>
          <w:b/>
          <w:sz w:val="24"/>
        </w:rPr>
        <w:t>2.16检验和验收</w:t>
      </w:r>
      <w:bookmarkEnd w:id="521"/>
      <w:bookmarkEnd w:id="522"/>
      <w:bookmarkEnd w:id="523"/>
    </w:p>
    <w:p>
      <w:pPr>
        <w:tabs>
          <w:tab w:val="left" w:pos="360"/>
          <w:tab w:val="left" w:pos="540"/>
          <w:tab w:val="left" w:pos="1080"/>
        </w:tabs>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3"/>
    <w:bookmarkEnd w:id="494"/>
    <w:bookmarkEnd w:id="495"/>
    <w:bookmarkEnd w:id="496"/>
    <w:p>
      <w:pPr>
        <w:wordWrap w:val="0"/>
        <w:topLinePunct/>
        <w:adjustRightInd/>
        <w:spacing w:line="360" w:lineRule="auto"/>
        <w:ind w:firstLine="482" w:firstLineChars="200"/>
        <w:outlineLvl w:val="0"/>
        <w:rPr>
          <w:rFonts w:ascii="仿宋" w:hAnsi="仿宋" w:eastAsia="仿宋" w:cs="仿宋"/>
          <w:b/>
          <w:sz w:val="24"/>
        </w:rPr>
      </w:pPr>
      <w:bookmarkStart w:id="524" w:name="_Toc279701261"/>
      <w:bookmarkStart w:id="525" w:name="_Toc259093690"/>
      <w:bookmarkStart w:id="526" w:name="_Toc487900371"/>
      <w:bookmarkStart w:id="527" w:name="_Toc11284"/>
      <w:bookmarkStart w:id="528" w:name="_Toc19604"/>
      <w:bookmarkStart w:id="529" w:name="_Toc25182"/>
      <w:r>
        <w:rPr>
          <w:rFonts w:hint="eastAsia" w:ascii="仿宋" w:hAnsi="仿宋" w:eastAsia="仿宋" w:cs="仿宋"/>
          <w:b/>
          <w:sz w:val="24"/>
        </w:rPr>
        <w:t>2.17 通知</w:t>
      </w:r>
      <w:bookmarkEnd w:id="524"/>
      <w:bookmarkEnd w:id="525"/>
      <w:bookmarkEnd w:id="526"/>
      <w:r>
        <w:rPr>
          <w:rFonts w:hint="eastAsia" w:ascii="仿宋" w:hAnsi="仿宋" w:eastAsia="仿宋" w:cs="仿宋"/>
          <w:b/>
          <w:sz w:val="24"/>
        </w:rPr>
        <w:t>和送达</w:t>
      </w:r>
      <w:bookmarkEnd w:id="527"/>
      <w:bookmarkEnd w:id="528"/>
      <w:bookmarkEnd w:id="529"/>
    </w:p>
    <w:p>
      <w:pPr>
        <w:wordWrap w:val="0"/>
        <w:topLinePunct/>
        <w:adjustRightInd/>
        <w:spacing w:line="360" w:lineRule="auto"/>
        <w:ind w:firstLine="480" w:firstLineChars="200"/>
        <w:rPr>
          <w:rFonts w:ascii="仿宋" w:hAnsi="仿宋" w:eastAsia="仿宋" w:cs="仿宋"/>
          <w:sz w:val="24"/>
        </w:rPr>
      </w:pPr>
      <w:bookmarkStart w:id="530" w:name="_Toc3135"/>
      <w:bookmarkStart w:id="531" w:name="_Toc6698"/>
      <w:bookmarkStart w:id="532" w:name="_Toc259093691"/>
      <w:bookmarkStart w:id="533" w:name="_Toc279701262"/>
      <w:bookmarkStart w:id="534" w:name="_Toc487900372"/>
      <w:r>
        <w:rPr>
          <w:rFonts w:hint="eastAsia" w:ascii="仿宋" w:hAnsi="仿宋" w:eastAsia="仿宋" w:cs="仿宋"/>
          <w:sz w:val="24"/>
        </w:rPr>
        <w:t>2.17.1任何一方因履行合同而以合同第一部分尾部所列明的传真或电子邮件</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0"/>
      <w:bookmarkEnd w:id="531"/>
    </w:p>
    <w:p>
      <w:pPr>
        <w:wordWrap w:val="0"/>
        <w:topLinePunct/>
        <w:adjustRightInd/>
        <w:spacing w:line="360" w:lineRule="auto"/>
        <w:ind w:firstLine="480" w:firstLineChars="200"/>
        <w:rPr>
          <w:rFonts w:ascii="仿宋" w:hAnsi="仿宋" w:eastAsia="仿宋" w:cs="仿宋"/>
          <w:sz w:val="24"/>
        </w:rPr>
      </w:pPr>
      <w:bookmarkStart w:id="535" w:name="_Toc23294"/>
      <w:bookmarkStart w:id="536"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wordWrap w:val="0"/>
        <w:topLinePunct/>
        <w:adjustRightInd/>
        <w:spacing w:line="360" w:lineRule="auto"/>
        <w:ind w:firstLine="482" w:firstLineChars="200"/>
        <w:outlineLvl w:val="0"/>
        <w:rPr>
          <w:rFonts w:ascii="仿宋" w:hAnsi="仿宋" w:eastAsia="仿宋" w:cs="仿宋"/>
          <w:b/>
          <w:sz w:val="24"/>
        </w:rPr>
      </w:pPr>
      <w:bookmarkStart w:id="537" w:name="_Toc4355"/>
      <w:bookmarkStart w:id="538" w:name="_Toc18540"/>
      <w:bookmarkStart w:id="539" w:name="_Toc30599"/>
      <w:r>
        <w:rPr>
          <w:rFonts w:hint="eastAsia" w:ascii="仿宋" w:hAnsi="仿宋" w:eastAsia="仿宋" w:cs="仿宋"/>
          <w:b/>
          <w:sz w:val="24"/>
        </w:rPr>
        <w:t>2.18 计量单位</w:t>
      </w:r>
      <w:bookmarkEnd w:id="532"/>
      <w:bookmarkEnd w:id="533"/>
      <w:bookmarkEnd w:id="534"/>
      <w:bookmarkEnd w:id="537"/>
      <w:bookmarkEnd w:id="538"/>
      <w:bookmarkEnd w:id="539"/>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wordWrap w:val="0"/>
        <w:topLinePunct/>
        <w:adjustRightInd/>
        <w:spacing w:line="360" w:lineRule="auto"/>
        <w:ind w:firstLine="482" w:firstLineChars="200"/>
        <w:outlineLvl w:val="0"/>
        <w:rPr>
          <w:rFonts w:ascii="仿宋" w:hAnsi="仿宋" w:eastAsia="仿宋" w:cs="仿宋"/>
          <w:b/>
          <w:sz w:val="24"/>
        </w:rPr>
      </w:pPr>
      <w:bookmarkStart w:id="540" w:name="_Toc259093692"/>
      <w:bookmarkStart w:id="541" w:name="_Toc10330"/>
      <w:bookmarkStart w:id="542" w:name="_Toc487900373"/>
      <w:bookmarkStart w:id="543" w:name="_Toc18567"/>
      <w:bookmarkStart w:id="544" w:name="_Toc279701263"/>
      <w:bookmarkStart w:id="545" w:name="_Toc12773"/>
      <w:r>
        <w:rPr>
          <w:rFonts w:hint="eastAsia" w:ascii="仿宋" w:hAnsi="仿宋" w:eastAsia="仿宋" w:cs="仿宋"/>
          <w:b/>
          <w:sz w:val="24"/>
        </w:rPr>
        <w:t>2.19 合同使用的文字和适用的法律</w:t>
      </w:r>
      <w:bookmarkEnd w:id="540"/>
      <w:bookmarkEnd w:id="541"/>
      <w:bookmarkEnd w:id="542"/>
      <w:bookmarkEnd w:id="543"/>
      <w:bookmarkEnd w:id="544"/>
      <w:bookmarkEnd w:id="545"/>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wordWrap w:val="0"/>
        <w:topLinePunct/>
        <w:adjustRightInd/>
        <w:spacing w:line="360" w:lineRule="auto"/>
        <w:ind w:firstLine="482" w:firstLineChars="200"/>
        <w:outlineLvl w:val="0"/>
        <w:rPr>
          <w:rFonts w:ascii="仿宋" w:hAnsi="仿宋" w:eastAsia="仿宋" w:cs="仿宋"/>
          <w:b/>
          <w:sz w:val="24"/>
        </w:rPr>
      </w:pPr>
      <w:bookmarkStart w:id="546" w:name="_Toc6885"/>
      <w:bookmarkStart w:id="547" w:name="_Toc19890"/>
      <w:bookmarkStart w:id="548" w:name="_Toc14001"/>
      <w:r>
        <w:rPr>
          <w:rFonts w:hint="eastAsia" w:ascii="仿宋" w:hAnsi="仿宋" w:eastAsia="仿宋" w:cs="仿宋"/>
          <w:b/>
          <w:sz w:val="24"/>
        </w:rPr>
        <w:t>2.20 合同份数</w:t>
      </w:r>
      <w:bookmarkEnd w:id="546"/>
      <w:bookmarkEnd w:id="547"/>
      <w:bookmarkEnd w:id="548"/>
    </w:p>
    <w:p>
      <w:pPr>
        <w:wordWrap w:val="0"/>
        <w:topLinePunct/>
        <w:adjustRightInd/>
        <w:spacing w:line="360" w:lineRule="auto"/>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adjustRightInd/>
        <w:spacing w:line="360" w:lineRule="auto"/>
        <w:ind w:firstLine="2513" w:firstLineChars="1197"/>
        <w:outlineLvl w:val="0"/>
        <w:rPr>
          <w:rFonts w:ascii="仿宋" w:hAnsi="仿宋" w:eastAsia="仿宋" w:cs="仿宋"/>
          <w:b/>
        </w:rPr>
      </w:pPr>
      <w:r>
        <w:rPr>
          <w:rFonts w:hint="eastAsia" w:ascii="仿宋" w:hAnsi="仿宋" w:eastAsia="仿宋" w:cs="仿宋"/>
          <w:kern w:val="0"/>
        </w:rPr>
        <w:br w:type="page"/>
      </w:r>
      <w:r>
        <w:rPr>
          <w:rFonts w:hint="eastAsia" w:ascii="仿宋" w:hAnsi="仿宋" w:eastAsia="仿宋" w:cs="仿宋"/>
          <w:b/>
          <w:sz w:val="32"/>
          <w:szCs w:val="20"/>
        </w:rPr>
        <w:t xml:space="preserve"> 第三部分  合同专用条款</w:t>
      </w:r>
    </w:p>
    <w:p>
      <w:pPr>
        <w:spacing w:line="560" w:lineRule="exact"/>
        <w:ind w:left="-420" w:leftChars="-200" w:right="-420" w:rightChars="-200" w:firstLine="456" w:firstLineChars="200"/>
        <w:rPr>
          <w:rFonts w:ascii="仿宋" w:hAnsi="仿宋" w:eastAsia="仿宋" w:cs="仿宋"/>
        </w:rPr>
      </w:pPr>
      <w:r>
        <w:rPr>
          <w:rFonts w:hint="eastAsia" w:ascii="仿宋" w:hAnsi="仿宋" w:eastAsia="仿宋" w:cs="仿宋"/>
          <w:spacing w:val="-6"/>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79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1"/>
        <w:gridCol w:w="88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b/>
                <w:sz w:val="24"/>
              </w:rPr>
            </w:pPr>
            <w:r>
              <w:rPr>
                <w:rFonts w:hint="eastAsia" w:ascii="仿宋" w:hAnsi="仿宋" w:eastAsia="仿宋" w:cs="仿宋"/>
                <w:b/>
                <w:sz w:val="24"/>
              </w:rPr>
              <w:t>条款号</w:t>
            </w:r>
          </w:p>
        </w:tc>
        <w:tc>
          <w:tcPr>
            <w:tcW w:w="8884" w:type="dxa"/>
            <w:vAlign w:val="center"/>
          </w:tcPr>
          <w:p>
            <w:pPr>
              <w:wordWrap w:val="0"/>
              <w:topLinePunct/>
              <w:adjustRightInd/>
              <w:spacing w:line="400" w:lineRule="exact"/>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shd w:val="clear" w:color="auto" w:fill="auto"/>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1.4.2</w:t>
            </w:r>
          </w:p>
        </w:tc>
        <w:tc>
          <w:tcPr>
            <w:tcW w:w="8884" w:type="dxa"/>
            <w:shd w:val="clear" w:color="auto" w:fill="auto"/>
            <w:vAlign w:val="center"/>
          </w:tcPr>
          <w:p>
            <w:pPr>
              <w:wordWrap w:val="0"/>
              <w:topLinePunct/>
              <w:adjustRightInd/>
              <w:spacing w:line="400" w:lineRule="exact"/>
              <w:jc w:val="left"/>
            </w:pPr>
            <w:r>
              <w:rPr>
                <w:rFonts w:hint="eastAsia" w:ascii="仿宋" w:hAnsi="仿宋" w:eastAsia="仿宋" w:cs="仿宋"/>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shd w:val="clear" w:color="auto" w:fill="auto"/>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1.5.1</w:t>
            </w:r>
          </w:p>
        </w:tc>
        <w:tc>
          <w:tcPr>
            <w:tcW w:w="8884" w:type="dxa"/>
            <w:shd w:val="clear" w:color="auto" w:fill="auto"/>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kern w:val="0"/>
                <w:sz w:val="24"/>
              </w:rPr>
              <w:t>预付款比例、支付方式、时间:合同生效以及具备实施条件后7个工作日内支付60%预付款。</w:t>
            </w:r>
            <w:r>
              <w:rPr>
                <w:rFonts w:hint="eastAsia" w:ascii="仿宋" w:hAnsi="仿宋" w:eastAsia="仿宋"/>
                <w:color w:val="000000"/>
                <w:sz w:val="24"/>
              </w:rPr>
              <w:t>乙方必须提供给甲方的合法、有效的正规增值税发票，否则甲方有权延期付款，直至收到乙方相应正规增值税发票为止。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shd w:val="clear" w:color="auto" w:fill="auto"/>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1.5.2</w:t>
            </w:r>
          </w:p>
        </w:tc>
        <w:tc>
          <w:tcPr>
            <w:tcW w:w="8884" w:type="dxa"/>
            <w:shd w:val="clear" w:color="auto" w:fill="auto"/>
            <w:vAlign w:val="center"/>
          </w:tcPr>
          <w:p>
            <w:pPr>
              <w:wordWrap w:val="0"/>
              <w:topLinePunct/>
              <w:adjustRightInd/>
              <w:spacing w:line="400" w:lineRule="exact"/>
              <w:jc w:val="left"/>
              <w:rPr>
                <w:rFonts w:ascii="仿宋" w:hAnsi="仿宋" w:eastAsia="仿宋" w:cs="仿宋"/>
                <w:kern w:val="0"/>
                <w:sz w:val="24"/>
              </w:rPr>
            </w:pPr>
            <w:r>
              <w:rPr>
                <w:rFonts w:hint="eastAsia" w:ascii="仿宋" w:hAnsi="仿宋" w:eastAsia="仿宋" w:cs="仿宋"/>
                <w:kern w:val="0"/>
                <w:sz w:val="24"/>
              </w:rPr>
              <w:t>预付款的扣回方式:不回扣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shd w:val="clear" w:color="auto" w:fill="auto"/>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1.5.3</w:t>
            </w:r>
          </w:p>
        </w:tc>
        <w:tc>
          <w:tcPr>
            <w:tcW w:w="8884" w:type="dxa"/>
            <w:shd w:val="clear" w:color="auto" w:fill="auto"/>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kern w:val="0"/>
                <w:sz w:val="24"/>
              </w:rPr>
              <w:t>预付款的担保措施:无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shd w:val="clear" w:color="auto" w:fill="auto"/>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1.6.2</w:t>
            </w:r>
          </w:p>
        </w:tc>
        <w:tc>
          <w:tcPr>
            <w:tcW w:w="8884" w:type="dxa"/>
            <w:shd w:val="clear" w:color="auto" w:fill="auto"/>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资金支付的方式、时间和条件：</w:t>
            </w:r>
          </w:p>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1)合同生效以及具备实施条件后7个工作日内支付60%预付款。</w:t>
            </w:r>
          </w:p>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2）本项目验收合格并经采购单位确认后于7个工作日内按实结算剩余合同款项。</w:t>
            </w:r>
          </w:p>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3）当采购数量与实际使用数量不一致时，乙方应根据实际使用量供货，合同的最终结算金额按实际使用量乘以成交单价进行计算。</w:t>
            </w:r>
          </w:p>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4）乙方必须提供给甲方的合法、有效的正规增值税发票，否则甲方有权延期付款，直至收到乙方相应正规增值税发票为止。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shd w:val="clear" w:color="auto" w:fill="auto"/>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1.7.1</w:t>
            </w:r>
          </w:p>
        </w:tc>
        <w:tc>
          <w:tcPr>
            <w:tcW w:w="8884" w:type="dxa"/>
            <w:shd w:val="clear" w:color="auto" w:fill="auto"/>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交付期限：本项目自合同签订之日起7个工作日内完成所有点位勘查工作，并提供所有点位的勘查报告，15个工作日完成设备安装调试（包含阳光房/柜体特色装饰）。整体项目完工截止时间为2024年9月30日。（物流配送服务为柜子正式运行后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1.7.2</w:t>
            </w:r>
          </w:p>
        </w:tc>
        <w:tc>
          <w:tcPr>
            <w:tcW w:w="8884" w:type="dxa"/>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交付地点：甲方指定地点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1.7.3</w:t>
            </w:r>
          </w:p>
        </w:tc>
        <w:tc>
          <w:tcPr>
            <w:tcW w:w="8884" w:type="dxa"/>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交付方式：现场交货、安装、调试及售后等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1.8.6</w:t>
            </w:r>
          </w:p>
        </w:tc>
        <w:tc>
          <w:tcPr>
            <w:tcW w:w="8884" w:type="dxa"/>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1.9</w:t>
            </w:r>
          </w:p>
        </w:tc>
        <w:tc>
          <w:tcPr>
            <w:tcW w:w="8884" w:type="dxa"/>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本合同履行过程中发生的任何争议，双方当事人均可通过和解或者调解解决；不愿和解、调解或者和解、调解不成的，可以选择以下第1.9.2 条款规定的方式解决：</w:t>
            </w:r>
          </w:p>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1.9.1将争议提交杭州市仲裁委员会依申请仲裁时其现行有效的仲裁规则裁决；</w:t>
            </w:r>
          </w:p>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1.9.2向</w:t>
            </w:r>
            <w:r>
              <w:rPr>
                <w:rFonts w:hint="eastAsia" w:ascii="仿宋" w:hAnsi="仿宋" w:eastAsia="仿宋" w:cs="仿宋"/>
                <w:sz w:val="24"/>
                <w:u w:val="single"/>
              </w:rPr>
              <w:t xml:space="preserve"> 甲方所在地 </w:t>
            </w:r>
            <w:r>
              <w:rPr>
                <w:rFonts w:hint="eastAsia" w:ascii="仿宋" w:hAnsi="仿宋" w:eastAsia="仿宋" w:cs="仿宋"/>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2.3.2</w:t>
            </w:r>
          </w:p>
        </w:tc>
        <w:tc>
          <w:tcPr>
            <w:tcW w:w="8884" w:type="dxa"/>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2.3.2双方确认对履行本合同所产生的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2.3.3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经济损失，以及甲方因此支出的诉讼费、仲裁费、律师费、差旅费、评估费、鉴定费等费用。</w:t>
            </w:r>
          </w:p>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2.3.4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2.3.5如乙方发现任何交付成果的知识产权可能有瑕疵，应立即书面通知甲方，并立即采取一切必要措施使交付成果合法化。</w:t>
            </w:r>
          </w:p>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2.3.6本条规定自本合同生效之日起即应履行，长期有效，并且不受本合同届满、提前终止或本合同中其他条款的无效或履行完毕等情形的影响。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2.4.1</w:t>
            </w:r>
          </w:p>
        </w:tc>
        <w:tc>
          <w:tcPr>
            <w:tcW w:w="8884" w:type="dxa"/>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bCs/>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2.4.3</w:t>
            </w:r>
          </w:p>
        </w:tc>
        <w:tc>
          <w:tcPr>
            <w:tcW w:w="8884" w:type="dxa"/>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装运货物的要求和通知：应满足项目交货及实施进度要求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2.8</w:t>
            </w:r>
          </w:p>
        </w:tc>
        <w:tc>
          <w:tcPr>
            <w:tcW w:w="8884" w:type="dxa"/>
            <w:vAlign w:val="center"/>
          </w:tcPr>
          <w:p>
            <w:pPr>
              <w:wordWrap w:val="0"/>
              <w:topLinePunct/>
              <w:adjustRightInd/>
              <w:spacing w:line="400" w:lineRule="exact"/>
              <w:rPr>
                <w:rFonts w:ascii="仿宋" w:hAnsi="仿宋" w:eastAsia="仿宋" w:cs="仿宋"/>
                <w:sz w:val="24"/>
              </w:rPr>
            </w:pPr>
            <w:r>
              <w:rPr>
                <w:rFonts w:hint="eastAsia" w:ascii="仿宋" w:hAnsi="仿宋" w:eastAsia="仿宋" w:cs="仿宋"/>
                <w:sz w:val="24"/>
              </w:rPr>
              <w:t>货物或者在途货物或者交付给第一承运人后的货物毁损、灭失的风险负担：风险由乙方承担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2.12.3</w:t>
            </w:r>
          </w:p>
        </w:tc>
        <w:tc>
          <w:tcPr>
            <w:tcW w:w="8884" w:type="dxa"/>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因不可抗力致使合同有变更必要的，双方当事人应在</w:t>
            </w:r>
            <w:r>
              <w:rPr>
                <w:rFonts w:hint="eastAsia" w:ascii="仿宋" w:hAnsi="仿宋" w:eastAsia="仿宋" w:cs="仿宋"/>
                <w:sz w:val="24"/>
                <w:u w:val="single"/>
              </w:rPr>
              <w:t>不可抗力时间发生后的7天内，进行协商约定，</w:t>
            </w:r>
            <w:r>
              <w:rPr>
                <w:rFonts w:hint="eastAsia" w:ascii="仿宋" w:hAnsi="仿宋" w:eastAsia="仿宋" w:cs="仿宋"/>
                <w:sz w:val="24"/>
              </w:rPr>
              <w:t>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2.12.4</w:t>
            </w:r>
          </w:p>
        </w:tc>
        <w:tc>
          <w:tcPr>
            <w:tcW w:w="8884" w:type="dxa"/>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受不可抗力影响的一方在不可抗力发生后，应在</w:t>
            </w:r>
            <w:r>
              <w:rPr>
                <w:rFonts w:hint="eastAsia" w:ascii="仿宋" w:hAnsi="仿宋" w:eastAsia="仿宋" w:cs="仿宋"/>
                <w:bCs/>
                <w:iCs/>
                <w:sz w:val="24"/>
                <w:u w:val="single"/>
              </w:rPr>
              <w:t>不可抗力时间发生后的7天内，</w:t>
            </w:r>
            <w:r>
              <w:rPr>
                <w:rFonts w:hint="eastAsia" w:ascii="仿宋" w:hAnsi="仿宋" w:eastAsia="仿宋" w:cs="仿宋"/>
                <w:sz w:val="24"/>
              </w:rPr>
              <w:t>进行协商约定，</w:t>
            </w:r>
            <w:r>
              <w:rPr>
                <w:rFonts w:hint="eastAsia" w:ascii="仿宋" w:hAnsi="仿宋" w:eastAsia="仿宋" w:cs="仿宋"/>
                <w:bCs/>
                <w:iCs/>
                <w:sz w:val="24"/>
              </w:rPr>
              <w:t>以书面形式通知对方当事人，并在</w:t>
            </w:r>
            <w:r>
              <w:rPr>
                <w:rFonts w:hint="eastAsia" w:ascii="仿宋" w:hAnsi="仿宋" w:eastAsia="仿宋" w:cs="仿宋"/>
                <w:bCs/>
                <w:iCs/>
                <w:sz w:val="24"/>
                <w:u w:val="single"/>
              </w:rPr>
              <w:t>不可抗力时间发生后的7天内</w:t>
            </w:r>
            <w:r>
              <w:rPr>
                <w:rFonts w:hint="eastAsia" w:ascii="仿宋" w:hAnsi="仿宋" w:eastAsia="仿宋" w:cs="仿宋"/>
                <w:sz w:val="24"/>
              </w:rPr>
              <w:t>，将有关部门出具的证明文件送达对方当事人。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2.16.1</w:t>
            </w:r>
          </w:p>
        </w:tc>
        <w:tc>
          <w:tcPr>
            <w:tcW w:w="8884" w:type="dxa"/>
            <w:vAlign w:val="center"/>
          </w:tcPr>
          <w:p>
            <w:pPr>
              <w:wordWrap w:val="0"/>
              <w:topLinePunct/>
              <w:adjustRightInd/>
              <w:spacing w:line="400" w:lineRule="exact"/>
              <w:jc w:val="left"/>
              <w:rPr>
                <w:rFonts w:ascii="仿宋" w:hAnsi="仿宋" w:eastAsia="仿宋" w:cs="仿宋"/>
                <w:sz w:val="24"/>
              </w:rPr>
            </w:pPr>
            <w:r>
              <w:rPr>
                <w:rFonts w:hint="eastAsia" w:ascii="仿宋" w:hAnsi="仿宋" w:eastAsia="仿宋" w:cs="仿宋"/>
                <w:sz w:val="24"/>
              </w:rPr>
              <w:t>货物交付前，乙方应对货物的质量、数量等方面进行详细、全面的检验，并向甲方出具证明货物符合合同约定的文件；货物交付时，甲方在</w:t>
            </w:r>
            <w:r>
              <w:rPr>
                <w:rFonts w:hint="eastAsia" w:asciiTheme="minorEastAsia" w:hAnsiTheme="minorEastAsia" w:eastAsiaTheme="minorEastAsia"/>
                <w:sz w:val="24"/>
              </w:rPr>
              <w:t>15天内</w:t>
            </w:r>
            <w:r>
              <w:rPr>
                <w:rFonts w:hint="eastAsia" w:ascii="仿宋" w:hAnsi="仿宋" w:eastAsia="仿宋" w:cs="仿宋"/>
                <w:sz w:val="24"/>
              </w:rPr>
              <w:t>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jc w:val="center"/>
              <w:rPr>
                <w:rFonts w:ascii="仿宋" w:hAnsi="仿宋" w:eastAsia="仿宋" w:cs="仿宋"/>
                <w:sz w:val="24"/>
              </w:rPr>
            </w:pPr>
            <w:r>
              <w:rPr>
                <w:rFonts w:hint="eastAsia" w:ascii="仿宋" w:hAnsi="仿宋" w:eastAsia="仿宋" w:cs="仿宋"/>
                <w:sz w:val="24"/>
              </w:rPr>
              <w:t>2.16.3</w:t>
            </w:r>
          </w:p>
        </w:tc>
        <w:tc>
          <w:tcPr>
            <w:tcW w:w="8884" w:type="dxa"/>
            <w:vAlign w:val="center"/>
          </w:tcPr>
          <w:p>
            <w:pPr>
              <w:wordWrap w:val="0"/>
              <w:topLinePunct/>
              <w:adjustRightInd/>
              <w:spacing w:line="400" w:lineRule="exact"/>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ind w:firstLine="240" w:firstLineChars="100"/>
              <w:outlineLvl w:val="0"/>
              <w:rPr>
                <w:rFonts w:ascii="仿宋" w:hAnsi="仿宋" w:eastAsia="仿宋" w:cs="仿宋"/>
                <w:sz w:val="24"/>
              </w:rPr>
            </w:pPr>
            <w:r>
              <w:rPr>
                <w:rFonts w:hint="eastAsia" w:ascii="仿宋" w:hAnsi="仿宋" w:eastAsia="仿宋" w:cs="仿宋"/>
                <w:sz w:val="24"/>
              </w:rPr>
              <w:t>2.20</w:t>
            </w:r>
          </w:p>
        </w:tc>
        <w:tc>
          <w:tcPr>
            <w:tcW w:w="8884" w:type="dxa"/>
            <w:vAlign w:val="center"/>
          </w:tcPr>
          <w:p>
            <w:pPr>
              <w:wordWrap w:val="0"/>
              <w:topLinePunct/>
              <w:adjustRightInd/>
              <w:spacing w:line="400" w:lineRule="exact"/>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Cs/>
                <w:iCs/>
                <w:sz w:val="24"/>
                <w:u w:val="single"/>
              </w:rPr>
              <w:t>一式六份</w:t>
            </w:r>
            <w:r>
              <w:rPr>
                <w:rFonts w:hint="eastAsia" w:ascii="仿宋" w:hAnsi="仿宋" w:eastAsia="仿宋" w:cs="仿宋"/>
                <w:sz w:val="24"/>
              </w:rPr>
              <w:t>规定，每份均具有同等法律效力。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911" w:type="dxa"/>
            <w:tcBorders>
              <w:left w:val="single" w:color="auto" w:sz="4" w:space="0"/>
            </w:tcBorders>
            <w:vAlign w:val="center"/>
          </w:tcPr>
          <w:p>
            <w:pPr>
              <w:wordWrap w:val="0"/>
              <w:topLinePunct/>
              <w:adjustRightInd/>
              <w:spacing w:line="400" w:lineRule="exact"/>
              <w:ind w:firstLine="240" w:firstLineChars="100"/>
              <w:outlineLvl w:val="0"/>
              <w:rPr>
                <w:rFonts w:ascii="仿宋" w:hAnsi="仿宋" w:eastAsia="仿宋" w:cs="仿宋"/>
                <w:sz w:val="24"/>
              </w:rPr>
            </w:pPr>
            <w:r>
              <w:rPr>
                <w:rFonts w:hint="eastAsia" w:ascii="仿宋" w:hAnsi="仿宋" w:eastAsia="仿宋" w:cs="仿宋"/>
                <w:sz w:val="24"/>
              </w:rPr>
              <w:t>2.21</w:t>
            </w:r>
          </w:p>
        </w:tc>
        <w:tc>
          <w:tcPr>
            <w:tcW w:w="8884" w:type="dxa"/>
            <w:vAlign w:val="center"/>
          </w:tcPr>
          <w:p>
            <w:pPr>
              <w:wordWrap w:val="0"/>
              <w:topLinePunct/>
              <w:adjustRightInd/>
              <w:spacing w:line="400" w:lineRule="exact"/>
              <w:rPr>
                <w:rFonts w:ascii="仿宋" w:hAnsi="仿宋" w:eastAsia="仿宋" w:cs="仿宋"/>
                <w:sz w:val="24"/>
              </w:rPr>
            </w:pPr>
            <w:r>
              <w:rPr>
                <w:rFonts w:hint="eastAsia" w:ascii="仿宋" w:hAnsi="仿宋" w:eastAsia="仿宋" w:cs="仿宋"/>
                <w:sz w:val="24"/>
              </w:rPr>
              <w:t>质保（服务）期：三年原厂保修（从供货验收合格交付使用之日起）。</w:t>
            </w:r>
          </w:p>
        </w:tc>
      </w:tr>
    </w:tbl>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pStyle w:val="4"/>
        <w:rPr>
          <w:rFonts w:ascii="仿宋" w:eastAsia="仿宋" w:cs="仿宋"/>
        </w:rPr>
      </w:pPr>
    </w:p>
    <w:p>
      <w:pPr>
        <w:rPr>
          <w:rFonts w:ascii="仿宋" w:hAnsi="仿宋" w:eastAsia="仿宋" w:cs="仿宋"/>
        </w:rPr>
      </w:pPr>
    </w:p>
    <w:p>
      <w:pPr>
        <w:rPr>
          <w:rFonts w:ascii="仿宋" w:hAnsi="仿宋" w:eastAsia="仿宋" w:cs="仿宋"/>
          <w:b/>
          <w:sz w:val="36"/>
          <w:szCs w:val="20"/>
        </w:rPr>
      </w:pPr>
      <w:r>
        <w:rPr>
          <w:rFonts w:hint="eastAsia" w:ascii="仿宋" w:hAnsi="仿宋" w:eastAsia="仿宋" w:cs="仿宋"/>
          <w:b/>
          <w:sz w:val="36"/>
          <w:szCs w:val="20"/>
        </w:rPr>
        <w:br w:type="page"/>
      </w:r>
    </w:p>
    <w:p>
      <w:pPr>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第六部分</w:t>
      </w:r>
      <w:bookmarkEnd w:id="398"/>
      <w:r>
        <w:rPr>
          <w:rFonts w:hint="eastAsia" w:ascii="仿宋" w:hAnsi="仿宋" w:eastAsia="仿宋" w:cs="仿宋"/>
          <w:b/>
          <w:sz w:val="36"/>
          <w:szCs w:val="20"/>
        </w:rPr>
        <w:t xml:space="preserve"> </w:t>
      </w:r>
      <w:bookmarkEnd w:id="399"/>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p>
    <w:p>
      <w:pPr>
        <w:widowControl/>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pStyle w:val="4"/>
        <w:rPr>
          <w:rFonts w:ascii="仿宋" w:eastAsia="仿宋" w:cs="仿宋"/>
          <w:lang w:val="en-US"/>
        </w:rPr>
      </w:pPr>
    </w:p>
    <w:p>
      <w:pPr>
        <w:rPr>
          <w:rFonts w:ascii="仿宋" w:hAnsi="仿宋" w:eastAsia="仿宋" w:cs="仿宋"/>
        </w:rPr>
      </w:pPr>
    </w:p>
    <w:p>
      <w:pPr>
        <w:snapToGrid w:val="0"/>
        <w:spacing w:line="360" w:lineRule="auto"/>
        <w:ind w:firstLine="3855" w:firstLineChars="1200"/>
        <w:outlineLvl w:val="0"/>
        <w:rPr>
          <w:rFonts w:ascii="仿宋" w:hAnsi="仿宋" w:eastAsia="仿宋" w:cs="仿宋"/>
          <w:b/>
          <w:kern w:val="0"/>
          <w:sz w:val="32"/>
          <w:szCs w:val="32"/>
        </w:rPr>
      </w:pPr>
    </w:p>
    <w:p>
      <w:pPr>
        <w:snapToGrid w:val="0"/>
        <w:spacing w:line="360" w:lineRule="auto"/>
        <w:ind w:firstLine="3855" w:firstLineChars="1200"/>
        <w:outlineLvl w:val="0"/>
        <w:rPr>
          <w:rFonts w:ascii="仿宋" w:hAnsi="仿宋" w:eastAsia="仿宋" w:cs="仿宋"/>
          <w:b/>
          <w:kern w:val="0"/>
          <w:sz w:val="32"/>
          <w:szCs w:val="32"/>
        </w:rPr>
      </w:pPr>
    </w:p>
    <w:p>
      <w:pPr>
        <w:snapToGrid w:val="0"/>
        <w:spacing w:line="360" w:lineRule="auto"/>
        <w:ind w:firstLine="3855" w:firstLineChars="1200"/>
        <w:outlineLvl w:val="0"/>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firstLine="3855" w:firstLineChars="1200"/>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杭州高新技术产业开发区(滨江)文化和广电旅游体育局、浙江省房地产管理咨询有限公司：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val="zh-CN"/>
        </w:rPr>
        <w:t>2024年城市书房和智慧借阅点建设项目</w:t>
      </w:r>
      <w:r>
        <w:rPr>
          <w:rFonts w:hint="eastAsia" w:ascii="仿宋" w:hAnsi="仿宋" w:eastAsia="仿宋" w:cs="仿宋"/>
          <w:sz w:val="24"/>
        </w:rPr>
        <w:t>【招标编号：</w:t>
      </w:r>
      <w:r>
        <w:rPr>
          <w:rFonts w:hint="eastAsia" w:ascii="仿宋" w:hAnsi="仿宋" w:eastAsia="仿宋" w:cs="仿宋"/>
          <w:kern w:val="0"/>
          <w:sz w:val="24"/>
          <w:lang w:val="zh-CN"/>
        </w:rPr>
        <w:t>浙房咨2024【CG-004】</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提供中小企业声明函</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napToGrid w:val="0"/>
          <w:kern w:val="28"/>
          <w:sz w:val="24"/>
          <w:szCs w:val="20"/>
        </w:rPr>
        <w:t>无</w:t>
      </w:r>
      <w:r>
        <w:rPr>
          <w:rFonts w:hint="eastAsia" w:ascii="仿宋" w:hAnsi="仿宋" w:eastAsia="仿宋" w:cs="仿宋"/>
          <w:sz w:val="24"/>
        </w:rPr>
        <w:t>。</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2.3.2 报价情况说明（如果有）；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2.3.3中小企业声明函。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杭州高新技术产业开发区(滨江)文化和广电旅游体育局、浙江省房地产管理咨询有限公司：</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w:t>
      </w:r>
      <w:r>
        <w:rPr>
          <w:rFonts w:hint="eastAsia" w:ascii="仿宋" w:hAnsi="仿宋" w:eastAsia="仿宋" w:cs="仿宋"/>
          <w:kern w:val="0"/>
          <w:sz w:val="24"/>
          <w:lang w:val="zh-CN"/>
        </w:rPr>
        <w:t>，以我方名义处理</w:t>
      </w:r>
      <w:r>
        <w:rPr>
          <w:rFonts w:hint="eastAsia" w:ascii="仿宋" w:hAnsi="仿宋" w:eastAsia="仿宋" w:cs="仿宋"/>
          <w:kern w:val="0"/>
          <w:sz w:val="24"/>
          <w:u w:val="single"/>
          <w:lang w:val="zh-CN"/>
        </w:rPr>
        <w:t xml:space="preserve"> 2024年城市书房和智慧借阅点建设项目</w:t>
      </w:r>
      <w:r>
        <w:rPr>
          <w:rFonts w:hint="eastAsia" w:ascii="仿宋" w:hAnsi="仿宋" w:eastAsia="仿宋" w:cs="仿宋"/>
          <w:sz w:val="24"/>
        </w:rPr>
        <w:t>【招标编号：</w:t>
      </w:r>
      <w:r>
        <w:rPr>
          <w:rFonts w:hint="eastAsia" w:ascii="仿宋" w:hAnsi="仿宋" w:eastAsia="仿宋" w:cs="仿宋"/>
          <w:kern w:val="0"/>
          <w:sz w:val="24"/>
          <w:lang w:val="zh-CN"/>
        </w:rPr>
        <w:t>浙房咨2024【CG-004】</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pStyle w:val="2"/>
      </w:pPr>
    </w:p>
    <w:p>
      <w:pPr>
        <w:snapToGrid w:val="0"/>
        <w:spacing w:line="360" w:lineRule="auto"/>
        <w:rPr>
          <w:rFonts w:ascii="仿宋" w:hAnsi="仿宋" w:eastAsia="仿宋" w:cs="仿宋"/>
          <w:kern w:val="0"/>
          <w:sz w:val="24"/>
        </w:rPr>
      </w:pPr>
      <w:r>
        <w:rPr>
          <w:rFonts w:hint="eastAsia" w:ascii="仿宋" w:hAnsi="仿宋" w:eastAsia="仿宋" w:cs="仿宋"/>
          <w:sz w:val="24"/>
        </w:rPr>
        <w:t>杭州高新技术产业开发区(滨江)文化和广电旅游体育局、浙江省房地产管理咨询有限公司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kern w:val="0"/>
          <w:sz w:val="24"/>
          <w:u w:val="single"/>
          <w:lang w:val="zh-CN"/>
        </w:rPr>
        <w:t>2024年城市书房和智慧借阅点建设项目</w:t>
      </w:r>
      <w:r>
        <w:rPr>
          <w:rFonts w:hint="eastAsia" w:ascii="仿宋" w:hAnsi="仿宋" w:eastAsia="仿宋" w:cs="仿宋"/>
          <w:sz w:val="24"/>
        </w:rPr>
        <w:t>【招标编号：</w:t>
      </w:r>
      <w:r>
        <w:rPr>
          <w:rFonts w:hint="eastAsia" w:ascii="仿宋" w:hAnsi="仿宋" w:eastAsia="仿宋" w:cs="仿宋"/>
          <w:kern w:val="0"/>
          <w:sz w:val="24"/>
          <w:lang w:val="zh-CN"/>
        </w:rPr>
        <w:t>浙房咨2024【CG-004】</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8"/>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5" w:h="16838"/>
          <w:pgMar w:top="1440" w:right="1083" w:bottom="1440" w:left="1083" w:header="851" w:footer="992" w:gutter="0"/>
          <w:cols w:space="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bookmarkStart w:id="549"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9"/>
    <w:p>
      <w:pPr>
        <w:snapToGrid w:val="0"/>
        <w:spacing w:line="360" w:lineRule="auto"/>
        <w:rPr>
          <w:rFonts w:ascii="仿宋" w:hAnsi="仿宋" w:eastAsia="仿宋" w:cs="仿宋"/>
          <w:kern w:val="0"/>
          <w:sz w:val="24"/>
        </w:rPr>
      </w:pPr>
    </w:p>
    <w:p>
      <w:pPr>
        <w:jc w:val="center"/>
        <w:rPr>
          <w:rFonts w:ascii="仿宋" w:hAnsi="仿宋" w:eastAsia="仿宋" w:cs="仿宋"/>
          <w:b/>
          <w:kern w:val="0"/>
          <w:sz w:val="32"/>
          <w:szCs w:val="32"/>
        </w:rPr>
      </w:pPr>
    </w:p>
    <w:p>
      <w:pPr>
        <w:pStyle w:val="4"/>
        <w:rPr>
          <w:rFonts w:ascii="仿宋" w:eastAsia="仿宋" w:cs="仿宋"/>
          <w:lang w:val="en-US"/>
        </w:rPr>
      </w:pPr>
    </w:p>
    <w:p>
      <w:pPr>
        <w:rPr>
          <w:rFonts w:ascii="仿宋" w:hAnsi="仿宋" w:eastAsia="仿宋" w:cs="仿宋"/>
        </w:rPr>
      </w:pPr>
    </w:p>
    <w:p>
      <w:pPr>
        <w:pStyle w:val="4"/>
        <w:rPr>
          <w:rFonts w:ascii="仿宋" w:eastAsia="仿宋" w:cs="仿宋"/>
          <w:lang w:val="en-US"/>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4991"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2</w:t>
            </w:r>
          </w:p>
        </w:tc>
        <w:tc>
          <w:tcPr>
            <w:tcW w:w="4991"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4991"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711"/>
        <w:gridCol w:w="1458"/>
        <w:gridCol w:w="1980"/>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9"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vAlign w:val="center"/>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jc w:val="center"/>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杭州高新技术产业开发区(滨江)文化和广电旅游体育局、浙江省房地产管理咨询有限公司：</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5" w:h="16838"/>
          <w:pgMar w:top="1440" w:right="1083" w:bottom="1440" w:left="1083" w:header="851" w:footer="992" w:gutter="0"/>
          <w:cols w:space="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rPr>
      </w:pPr>
      <w:r>
        <w:rPr>
          <w:rFonts w:hint="eastAsia" w:ascii="仿宋" w:hAnsi="仿宋" w:eastAsia="仿宋" w:cs="仿宋"/>
          <w:sz w:val="24"/>
        </w:rPr>
        <w:t>（2）</w:t>
      </w:r>
      <w:r>
        <w:rPr>
          <w:rFonts w:hint="eastAsia" w:ascii="仿宋" w:hAnsi="仿宋" w:eastAsia="仿宋" w:cs="仿宋"/>
          <w:bCs/>
          <w:snapToGrid w:val="0"/>
          <w:sz w:val="24"/>
        </w:rPr>
        <w:t>报价情况说明</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（3）中小企业声明函………………………………………………………………（页码）</w:t>
      </w:r>
    </w:p>
    <w:p>
      <w:pPr>
        <w:pStyle w:val="79"/>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5" w:h="16838"/>
          <w:pgMar w:top="1440" w:right="1083" w:bottom="1440" w:left="1083" w:header="851" w:footer="992" w:gutter="0"/>
          <w:cols w:space="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杭州高新技术产业开发区(滨江)文化和广电旅游体育局、浙江省房地产管理咨询有限公司</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0"/>
          <w:sz w:val="24"/>
          <w:u w:val="single"/>
          <w:lang w:val="zh-CN"/>
        </w:rPr>
        <w:t>2024年城市书房和智慧借阅点建设项目</w:t>
      </w:r>
      <w:r>
        <w:rPr>
          <w:rFonts w:hint="eastAsia" w:ascii="仿宋" w:hAnsi="仿宋" w:eastAsia="仿宋" w:cs="仿宋"/>
          <w:kern w:val="0"/>
          <w:sz w:val="24"/>
          <w:lang w:val="zh-CN"/>
        </w:rPr>
        <w:t>【招标编号：浙房咨2024【CG-004】</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合计</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jc w:val="center"/>
              <w:rPr>
                <w:rFonts w:ascii="仿宋" w:hAnsi="仿宋" w:eastAsia="仿宋" w:cs="仿宋"/>
                <w:color w:val="0000FF"/>
                <w:sz w:val="24"/>
              </w:rPr>
            </w:pPr>
            <w:r>
              <w:rPr>
                <w:rFonts w:hint="eastAsia" w:ascii="仿宋" w:hAnsi="仿宋" w:eastAsia="仿宋" w:cs="仿宋"/>
                <w:color w:val="0000FF"/>
                <w:sz w:val="24"/>
              </w:rPr>
              <w:t>1</w:t>
            </w:r>
          </w:p>
        </w:tc>
        <w:tc>
          <w:tcPr>
            <w:tcW w:w="1417" w:type="dxa"/>
            <w:vAlign w:val="center"/>
          </w:tcPr>
          <w:p>
            <w:pPr>
              <w:snapToGrid w:val="0"/>
              <w:jc w:val="center"/>
              <w:rPr>
                <w:rFonts w:ascii="仿宋" w:hAnsi="仿宋" w:eastAsia="仿宋" w:cs="仿宋"/>
                <w:color w:val="0000FF"/>
                <w:sz w:val="24"/>
              </w:rPr>
            </w:pPr>
            <w:r>
              <w:rPr>
                <w:rFonts w:hint="eastAsia" w:ascii="仿宋" w:hAnsi="仿宋" w:eastAsia="仿宋" w:cs="仿宋"/>
                <w:color w:val="0000FF"/>
                <w:sz w:val="24"/>
              </w:rPr>
              <w:t>XX</w:t>
            </w:r>
          </w:p>
        </w:tc>
        <w:tc>
          <w:tcPr>
            <w:tcW w:w="1843" w:type="dxa"/>
            <w:vAlign w:val="center"/>
          </w:tcPr>
          <w:p>
            <w:pPr>
              <w:snapToGrid w:val="0"/>
              <w:jc w:val="center"/>
              <w:rPr>
                <w:rFonts w:ascii="仿宋" w:hAnsi="仿宋" w:eastAsia="仿宋" w:cs="仿宋"/>
                <w:color w:val="0000FF"/>
                <w:sz w:val="24"/>
              </w:rPr>
            </w:pPr>
          </w:p>
        </w:tc>
        <w:tc>
          <w:tcPr>
            <w:tcW w:w="3118" w:type="dxa"/>
            <w:vAlign w:val="center"/>
          </w:tcPr>
          <w:p>
            <w:pPr>
              <w:snapToGrid w:val="0"/>
              <w:jc w:val="center"/>
              <w:rPr>
                <w:rFonts w:ascii="仿宋" w:hAnsi="仿宋" w:eastAsia="仿宋" w:cs="仿宋"/>
                <w:color w:val="0000FF"/>
                <w:sz w:val="24"/>
              </w:rPr>
            </w:pPr>
          </w:p>
        </w:tc>
        <w:tc>
          <w:tcPr>
            <w:tcW w:w="993" w:type="dxa"/>
            <w:vAlign w:val="center"/>
          </w:tcPr>
          <w:p>
            <w:pPr>
              <w:snapToGrid w:val="0"/>
              <w:jc w:val="center"/>
              <w:rPr>
                <w:rFonts w:ascii="仿宋" w:hAnsi="仿宋" w:eastAsia="仿宋" w:cs="仿宋"/>
                <w:color w:val="0000FF"/>
                <w:sz w:val="24"/>
              </w:rPr>
            </w:pPr>
          </w:p>
        </w:tc>
        <w:tc>
          <w:tcPr>
            <w:tcW w:w="1559" w:type="dxa"/>
            <w:vAlign w:val="center"/>
          </w:tcPr>
          <w:p>
            <w:pPr>
              <w:jc w:val="center"/>
              <w:rPr>
                <w:rFonts w:ascii="仿宋" w:hAnsi="仿宋" w:eastAsia="仿宋" w:cs="仿宋"/>
                <w:color w:val="0000FF"/>
                <w:sz w:val="24"/>
              </w:rPr>
            </w:pPr>
          </w:p>
        </w:tc>
        <w:tc>
          <w:tcPr>
            <w:tcW w:w="1984" w:type="dxa"/>
            <w:vAlign w:val="center"/>
          </w:tcPr>
          <w:p>
            <w:pPr>
              <w:jc w:val="center"/>
              <w:rPr>
                <w:rFonts w:ascii="仿宋" w:hAnsi="仿宋" w:eastAsia="仿宋" w:cs="仿宋"/>
                <w:color w:val="0000FF"/>
                <w:sz w:val="24"/>
              </w:rPr>
            </w:pPr>
          </w:p>
        </w:tc>
        <w:tc>
          <w:tcPr>
            <w:tcW w:w="3119" w:type="dxa"/>
            <w:vAlign w:val="center"/>
          </w:tcPr>
          <w:p>
            <w:pPr>
              <w:jc w:val="center"/>
              <w:rPr>
                <w:rFonts w:ascii="仿宋" w:hAnsi="仿宋" w:eastAsia="仿宋" w:cs="仿宋"/>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
                <w:color w:val="0000FF"/>
                <w:sz w:val="24"/>
              </w:rPr>
            </w:pPr>
            <w:r>
              <w:rPr>
                <w:rFonts w:hint="eastAsia" w:ascii="仿宋" w:hAnsi="仿宋" w:eastAsia="仿宋" w:cs="仿宋"/>
                <w:color w:val="0000FF"/>
                <w:sz w:val="24"/>
              </w:rPr>
              <w:t>2</w:t>
            </w:r>
          </w:p>
        </w:tc>
        <w:tc>
          <w:tcPr>
            <w:tcW w:w="1417" w:type="dxa"/>
            <w:vAlign w:val="center"/>
          </w:tcPr>
          <w:p>
            <w:pPr>
              <w:snapToGrid w:val="0"/>
              <w:jc w:val="center"/>
              <w:rPr>
                <w:rFonts w:ascii="仿宋" w:hAnsi="仿宋" w:eastAsia="仿宋" w:cs="仿宋"/>
                <w:color w:val="0000FF"/>
                <w:sz w:val="24"/>
              </w:rPr>
            </w:pPr>
            <w:r>
              <w:rPr>
                <w:rFonts w:hint="eastAsia" w:ascii="仿宋" w:hAnsi="仿宋" w:eastAsia="仿宋" w:cs="仿宋"/>
                <w:color w:val="0000FF"/>
                <w:sz w:val="24"/>
              </w:rPr>
              <w:t>XX</w:t>
            </w:r>
          </w:p>
        </w:tc>
        <w:tc>
          <w:tcPr>
            <w:tcW w:w="1843" w:type="dxa"/>
            <w:vAlign w:val="center"/>
          </w:tcPr>
          <w:p>
            <w:pPr>
              <w:snapToGrid w:val="0"/>
              <w:jc w:val="center"/>
              <w:rPr>
                <w:rFonts w:ascii="仿宋" w:hAnsi="仿宋" w:eastAsia="仿宋" w:cs="仿宋"/>
                <w:color w:val="0000FF"/>
                <w:sz w:val="24"/>
              </w:rPr>
            </w:pPr>
          </w:p>
        </w:tc>
        <w:tc>
          <w:tcPr>
            <w:tcW w:w="3118" w:type="dxa"/>
            <w:vAlign w:val="center"/>
          </w:tcPr>
          <w:p>
            <w:pPr>
              <w:snapToGrid w:val="0"/>
              <w:jc w:val="center"/>
              <w:rPr>
                <w:rFonts w:ascii="仿宋" w:hAnsi="仿宋" w:eastAsia="仿宋" w:cs="仿宋"/>
                <w:color w:val="0000FF"/>
                <w:sz w:val="24"/>
              </w:rPr>
            </w:pPr>
          </w:p>
        </w:tc>
        <w:tc>
          <w:tcPr>
            <w:tcW w:w="993" w:type="dxa"/>
            <w:vAlign w:val="center"/>
          </w:tcPr>
          <w:p>
            <w:pPr>
              <w:snapToGrid w:val="0"/>
              <w:jc w:val="center"/>
              <w:rPr>
                <w:rFonts w:ascii="仿宋" w:hAnsi="仿宋" w:eastAsia="仿宋" w:cs="仿宋"/>
                <w:color w:val="0000FF"/>
                <w:sz w:val="24"/>
              </w:rPr>
            </w:pPr>
          </w:p>
        </w:tc>
        <w:tc>
          <w:tcPr>
            <w:tcW w:w="1559" w:type="dxa"/>
            <w:vAlign w:val="center"/>
          </w:tcPr>
          <w:p>
            <w:pPr>
              <w:jc w:val="center"/>
              <w:rPr>
                <w:rFonts w:ascii="仿宋" w:hAnsi="仿宋" w:eastAsia="仿宋" w:cs="仿宋"/>
                <w:color w:val="0000FF"/>
                <w:sz w:val="24"/>
              </w:rPr>
            </w:pPr>
          </w:p>
        </w:tc>
        <w:tc>
          <w:tcPr>
            <w:tcW w:w="1984" w:type="dxa"/>
            <w:vAlign w:val="center"/>
          </w:tcPr>
          <w:p>
            <w:pPr>
              <w:jc w:val="center"/>
              <w:rPr>
                <w:rFonts w:ascii="仿宋" w:hAnsi="仿宋" w:eastAsia="仿宋" w:cs="仿宋"/>
                <w:color w:val="0000FF"/>
                <w:sz w:val="24"/>
              </w:rPr>
            </w:pPr>
          </w:p>
        </w:tc>
        <w:tc>
          <w:tcPr>
            <w:tcW w:w="3119" w:type="dxa"/>
            <w:vAlign w:val="center"/>
          </w:tcPr>
          <w:p>
            <w:pPr>
              <w:jc w:val="center"/>
              <w:rPr>
                <w:rFonts w:ascii="仿宋" w:hAnsi="仿宋" w:eastAsia="仿宋" w:cs="仿宋"/>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
                <w:color w:val="0000FF"/>
                <w:sz w:val="24"/>
              </w:rPr>
            </w:pPr>
            <w:r>
              <w:rPr>
                <w:rFonts w:hint="eastAsia" w:ascii="仿宋" w:hAnsi="仿宋" w:eastAsia="仿宋" w:cs="仿宋"/>
                <w:color w:val="0000FF"/>
                <w:sz w:val="24"/>
              </w:rPr>
              <w:t>…</w:t>
            </w:r>
          </w:p>
        </w:tc>
        <w:tc>
          <w:tcPr>
            <w:tcW w:w="1417" w:type="dxa"/>
            <w:vAlign w:val="center"/>
          </w:tcPr>
          <w:p>
            <w:pPr>
              <w:snapToGrid w:val="0"/>
              <w:jc w:val="center"/>
              <w:rPr>
                <w:rFonts w:ascii="仿宋" w:hAnsi="仿宋" w:eastAsia="仿宋" w:cs="仿宋"/>
                <w:color w:val="0000FF"/>
                <w:sz w:val="24"/>
              </w:rPr>
            </w:pPr>
          </w:p>
        </w:tc>
        <w:tc>
          <w:tcPr>
            <w:tcW w:w="1843" w:type="dxa"/>
            <w:vAlign w:val="center"/>
          </w:tcPr>
          <w:p>
            <w:pPr>
              <w:snapToGrid w:val="0"/>
              <w:jc w:val="center"/>
              <w:rPr>
                <w:rFonts w:ascii="仿宋" w:hAnsi="仿宋" w:eastAsia="仿宋" w:cs="仿宋"/>
                <w:color w:val="0000FF"/>
                <w:sz w:val="24"/>
              </w:rPr>
            </w:pPr>
          </w:p>
        </w:tc>
        <w:tc>
          <w:tcPr>
            <w:tcW w:w="3118" w:type="dxa"/>
            <w:vAlign w:val="center"/>
          </w:tcPr>
          <w:p>
            <w:pPr>
              <w:snapToGrid w:val="0"/>
              <w:jc w:val="center"/>
              <w:rPr>
                <w:rFonts w:ascii="仿宋" w:hAnsi="仿宋" w:eastAsia="仿宋" w:cs="仿宋"/>
                <w:color w:val="0000FF"/>
                <w:sz w:val="24"/>
              </w:rPr>
            </w:pPr>
          </w:p>
        </w:tc>
        <w:tc>
          <w:tcPr>
            <w:tcW w:w="993" w:type="dxa"/>
            <w:vAlign w:val="center"/>
          </w:tcPr>
          <w:p>
            <w:pPr>
              <w:snapToGrid w:val="0"/>
              <w:jc w:val="center"/>
              <w:rPr>
                <w:rFonts w:ascii="仿宋" w:hAnsi="仿宋" w:eastAsia="仿宋" w:cs="仿宋"/>
                <w:color w:val="0000FF"/>
                <w:sz w:val="24"/>
              </w:rPr>
            </w:pPr>
          </w:p>
        </w:tc>
        <w:tc>
          <w:tcPr>
            <w:tcW w:w="1559" w:type="dxa"/>
            <w:vAlign w:val="center"/>
          </w:tcPr>
          <w:p>
            <w:pPr>
              <w:jc w:val="center"/>
              <w:rPr>
                <w:rFonts w:ascii="仿宋" w:hAnsi="仿宋" w:eastAsia="仿宋" w:cs="仿宋"/>
                <w:color w:val="0000FF"/>
                <w:sz w:val="24"/>
              </w:rPr>
            </w:pPr>
          </w:p>
        </w:tc>
        <w:tc>
          <w:tcPr>
            <w:tcW w:w="1984" w:type="dxa"/>
            <w:vAlign w:val="center"/>
          </w:tcPr>
          <w:p>
            <w:pPr>
              <w:jc w:val="center"/>
              <w:rPr>
                <w:rFonts w:ascii="仿宋" w:hAnsi="仿宋" w:eastAsia="仿宋" w:cs="仿宋"/>
                <w:color w:val="0000FF"/>
                <w:sz w:val="24"/>
              </w:rPr>
            </w:pPr>
          </w:p>
        </w:tc>
        <w:tc>
          <w:tcPr>
            <w:tcW w:w="3119" w:type="dxa"/>
            <w:vAlign w:val="center"/>
          </w:tcPr>
          <w:p>
            <w:pPr>
              <w:jc w:val="center"/>
              <w:rPr>
                <w:rFonts w:ascii="仿宋" w:hAnsi="仿宋" w:eastAsia="仿宋" w:cs="仿宋"/>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
                <w:sz w:val="24"/>
              </w:rPr>
            </w:pPr>
          </w:p>
        </w:tc>
        <w:tc>
          <w:tcPr>
            <w:tcW w:w="1417" w:type="dxa"/>
            <w:vAlign w:val="center"/>
          </w:tcPr>
          <w:p>
            <w:pPr>
              <w:snapToGrid w:val="0"/>
              <w:jc w:val="center"/>
              <w:rPr>
                <w:rFonts w:ascii="仿宋" w:hAnsi="仿宋" w:eastAsia="仿宋" w:cs="仿宋"/>
                <w:sz w:val="24"/>
              </w:rPr>
            </w:pPr>
          </w:p>
        </w:tc>
        <w:tc>
          <w:tcPr>
            <w:tcW w:w="1843" w:type="dxa"/>
            <w:vAlign w:val="center"/>
          </w:tcPr>
          <w:p>
            <w:pPr>
              <w:snapToGrid w:val="0"/>
              <w:jc w:val="center"/>
              <w:rPr>
                <w:rFonts w:ascii="仿宋" w:hAnsi="仿宋" w:eastAsia="仿宋" w:cs="仿宋"/>
                <w:sz w:val="24"/>
              </w:rPr>
            </w:pPr>
          </w:p>
        </w:tc>
        <w:tc>
          <w:tcPr>
            <w:tcW w:w="3118" w:type="dxa"/>
            <w:vAlign w:val="center"/>
          </w:tcPr>
          <w:p>
            <w:pPr>
              <w:snapToGrid w:val="0"/>
              <w:jc w:val="center"/>
              <w:rPr>
                <w:rFonts w:ascii="仿宋" w:hAnsi="仿宋" w:eastAsia="仿宋" w:cs="仿宋"/>
                <w:sz w:val="24"/>
              </w:rPr>
            </w:pPr>
          </w:p>
        </w:tc>
        <w:tc>
          <w:tcPr>
            <w:tcW w:w="993" w:type="dxa"/>
            <w:vAlign w:val="center"/>
          </w:tcPr>
          <w:p>
            <w:pPr>
              <w:snapToGrid w:val="0"/>
              <w:jc w:val="center"/>
              <w:rPr>
                <w:rFonts w:ascii="仿宋" w:hAnsi="仿宋" w:eastAsia="仿宋" w:cs="仿宋"/>
                <w:sz w:val="24"/>
              </w:rPr>
            </w:pPr>
          </w:p>
        </w:tc>
        <w:tc>
          <w:tcPr>
            <w:tcW w:w="1559" w:type="dxa"/>
            <w:vAlign w:val="center"/>
          </w:tcPr>
          <w:p>
            <w:pPr>
              <w:jc w:val="center"/>
              <w:rPr>
                <w:rFonts w:ascii="仿宋" w:hAnsi="仿宋" w:eastAsia="仿宋" w:cs="仿宋"/>
                <w:sz w:val="24"/>
              </w:rPr>
            </w:pPr>
          </w:p>
        </w:tc>
        <w:tc>
          <w:tcPr>
            <w:tcW w:w="1984" w:type="dxa"/>
            <w:vAlign w:val="center"/>
          </w:tcPr>
          <w:p>
            <w:pPr>
              <w:jc w:val="center"/>
              <w:rPr>
                <w:rFonts w:ascii="仿宋" w:hAnsi="仿宋" w:eastAsia="仿宋" w:cs="仿宋"/>
                <w:sz w:val="24"/>
              </w:rPr>
            </w:pPr>
          </w:p>
        </w:tc>
        <w:tc>
          <w:tcPr>
            <w:tcW w:w="311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
                <w:sz w:val="24"/>
              </w:rPr>
            </w:pPr>
          </w:p>
        </w:tc>
        <w:tc>
          <w:tcPr>
            <w:tcW w:w="1417" w:type="dxa"/>
            <w:vAlign w:val="center"/>
          </w:tcPr>
          <w:p>
            <w:pPr>
              <w:snapToGrid w:val="0"/>
              <w:jc w:val="center"/>
              <w:rPr>
                <w:rFonts w:ascii="仿宋" w:hAnsi="仿宋" w:eastAsia="仿宋" w:cs="仿宋"/>
                <w:sz w:val="24"/>
              </w:rPr>
            </w:pPr>
          </w:p>
        </w:tc>
        <w:tc>
          <w:tcPr>
            <w:tcW w:w="1843" w:type="dxa"/>
            <w:vAlign w:val="center"/>
          </w:tcPr>
          <w:p>
            <w:pPr>
              <w:snapToGrid w:val="0"/>
              <w:jc w:val="center"/>
              <w:rPr>
                <w:rFonts w:ascii="仿宋" w:hAnsi="仿宋" w:eastAsia="仿宋" w:cs="仿宋"/>
                <w:sz w:val="24"/>
              </w:rPr>
            </w:pPr>
          </w:p>
        </w:tc>
        <w:tc>
          <w:tcPr>
            <w:tcW w:w="3118" w:type="dxa"/>
            <w:vAlign w:val="center"/>
          </w:tcPr>
          <w:p>
            <w:pPr>
              <w:snapToGrid w:val="0"/>
              <w:jc w:val="center"/>
              <w:rPr>
                <w:rFonts w:ascii="仿宋" w:hAnsi="仿宋" w:eastAsia="仿宋" w:cs="仿宋"/>
                <w:sz w:val="24"/>
              </w:rPr>
            </w:pPr>
          </w:p>
        </w:tc>
        <w:tc>
          <w:tcPr>
            <w:tcW w:w="993" w:type="dxa"/>
            <w:vAlign w:val="center"/>
          </w:tcPr>
          <w:p>
            <w:pPr>
              <w:snapToGrid w:val="0"/>
              <w:jc w:val="center"/>
              <w:rPr>
                <w:rFonts w:ascii="仿宋" w:hAnsi="仿宋" w:eastAsia="仿宋" w:cs="仿宋"/>
                <w:sz w:val="24"/>
              </w:rPr>
            </w:pPr>
          </w:p>
        </w:tc>
        <w:tc>
          <w:tcPr>
            <w:tcW w:w="1559" w:type="dxa"/>
            <w:vAlign w:val="center"/>
          </w:tcPr>
          <w:p>
            <w:pPr>
              <w:jc w:val="center"/>
              <w:rPr>
                <w:rFonts w:ascii="仿宋" w:hAnsi="仿宋" w:eastAsia="仿宋" w:cs="仿宋"/>
                <w:sz w:val="24"/>
              </w:rPr>
            </w:pPr>
          </w:p>
        </w:tc>
        <w:tc>
          <w:tcPr>
            <w:tcW w:w="1984" w:type="dxa"/>
            <w:vAlign w:val="center"/>
          </w:tcPr>
          <w:p>
            <w:pPr>
              <w:jc w:val="center"/>
              <w:rPr>
                <w:rFonts w:ascii="仿宋" w:hAnsi="仿宋" w:eastAsia="仿宋" w:cs="仿宋"/>
                <w:sz w:val="24"/>
              </w:rPr>
            </w:pPr>
          </w:p>
        </w:tc>
        <w:tc>
          <w:tcPr>
            <w:tcW w:w="311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5" w:orient="landscape"/>
          <w:pgMar w:top="1083" w:right="1440" w:bottom="1083" w:left="1440" w:header="851" w:footer="992" w:gutter="0"/>
          <w:cols w:space="0" w:num="1"/>
          <w:titlePg/>
          <w:docGrid w:linePitch="312" w:charSpace="0"/>
        </w:sectPr>
      </w:pPr>
    </w:p>
    <w:p>
      <w:pPr>
        <w:pStyle w:val="692"/>
        <w:keepNext w:val="0"/>
        <w:pageBreakBefore w:val="0"/>
        <w:tabs>
          <w:tab w:val="clear" w:pos="720"/>
        </w:tabs>
        <w:snapToGrid w:val="0"/>
        <w:spacing w:before="120" w:after="120"/>
        <w:outlineLvl w:val="9"/>
        <w:rPr>
          <w:rFonts w:ascii="仿宋" w:hAnsi="仿宋" w:eastAsia="仿宋" w:cs="仿宋"/>
          <w:kern w:val="2"/>
          <w:sz w:val="32"/>
          <w:szCs w:val="32"/>
        </w:rPr>
      </w:pPr>
      <w:r>
        <w:rPr>
          <w:rFonts w:hint="eastAsia" w:ascii="仿宋" w:hAnsi="仿宋" w:eastAsia="仿宋" w:cs="仿宋"/>
          <w:kern w:val="2"/>
          <w:sz w:val="32"/>
          <w:szCs w:val="32"/>
        </w:rPr>
        <w:t>二、报价情况说明（如果有）</w:t>
      </w:r>
    </w:p>
    <w:p>
      <w:pPr>
        <w:pStyle w:val="4"/>
        <w:keepNext w:val="0"/>
        <w:numPr>
          <w:ilvl w:val="255"/>
          <w:numId w:val="0"/>
        </w:numPr>
        <w:tabs>
          <w:tab w:val="clear" w:pos="432"/>
        </w:tabs>
        <w:snapToGrid w:val="0"/>
        <w:spacing w:before="120" w:after="120"/>
        <w:rPr>
          <w:rFonts w:ascii="仿宋" w:eastAsia="仿宋" w:cs="仿宋"/>
          <w:lang w:val="en-US"/>
        </w:rPr>
      </w:pPr>
      <w:r>
        <w:rPr>
          <w:rFonts w:hint="eastAsia" w:ascii="仿宋" w:eastAsia="仿宋" w:cs="仿宋"/>
          <w:b w:val="0"/>
          <w:bCs w:val="0"/>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2"/>
        <w:keepNext w:val="0"/>
        <w:pageBreakBefore w:val="0"/>
        <w:tabs>
          <w:tab w:val="clear" w:pos="720"/>
        </w:tabs>
        <w:snapToGrid w:val="0"/>
        <w:spacing w:before="120" w:after="120"/>
        <w:outlineLvl w:val="9"/>
        <w:rPr>
          <w:rFonts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3"/>
        <w:keepNext w:val="0"/>
        <w:keepLines w:val="0"/>
        <w:pageBreakBefore/>
        <w:widowControl/>
        <w:spacing w:before="0" w:after="100" w:afterAutospacing="1" w:line="360" w:lineRule="auto"/>
        <w:ind w:left="431" w:hanging="431"/>
        <w:jc w:val="center"/>
        <w:rPr>
          <w:rFonts w:ascii="仿宋" w:hAnsi="仿宋" w:eastAsia="仿宋" w:cs="仿宋"/>
        </w:rPr>
      </w:pPr>
      <w:bookmarkStart w:id="550" w:name="_Toc465665161"/>
      <w:r>
        <w:rPr>
          <w:rFonts w:hint="eastAsia" w:ascii="仿宋" w:hAnsi="仿宋" w:eastAsia="仿宋" w:cs="仿宋"/>
        </w:rPr>
        <w:t>附件</w:t>
      </w:r>
      <w:bookmarkEnd w:id="550"/>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51" w:name="OLE_LINK14"/>
      <w:bookmarkStart w:id="552" w:name="OLE_LINK13"/>
      <w:r>
        <w:rPr>
          <w:rFonts w:hint="eastAsia" w:ascii="仿宋" w:hAnsi="仿宋" w:eastAsia="仿宋" w:cs="仿宋"/>
          <w:b/>
          <w:spacing w:val="6"/>
          <w:sz w:val="32"/>
          <w:szCs w:val="32"/>
        </w:rPr>
        <w:t>残疾人福利性单位声明函</w:t>
      </w:r>
    </w:p>
    <w:bookmarkEnd w:id="551"/>
    <w:bookmarkEnd w:id="552"/>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杭州高新技术产业开发区(滨江)文化和广电旅游体育局</w:t>
      </w:r>
      <w:r>
        <w:rPr>
          <w:rFonts w:hint="eastAsia" w:ascii="仿宋" w:hAnsi="仿宋" w:eastAsia="仿宋" w:cs="仿宋"/>
          <w:sz w:val="24"/>
        </w:rPr>
        <w:t>单位的</w:t>
      </w:r>
      <w:r>
        <w:rPr>
          <w:rFonts w:hint="eastAsia" w:ascii="仿宋" w:hAnsi="仿宋" w:eastAsia="仿宋" w:cs="仿宋"/>
          <w:sz w:val="24"/>
          <w:u w:val="single"/>
        </w:rPr>
        <w:t>2024年城市书房和智慧借阅点建设项目</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color w:val="0000FF"/>
          <w:sz w:val="24"/>
          <w:u w:val="single"/>
        </w:rPr>
      </w:pPr>
    </w:p>
    <w:p>
      <w:pPr>
        <w:spacing w:line="360" w:lineRule="auto"/>
        <w:rPr>
          <w:rFonts w:ascii="仿宋" w:hAnsi="仿宋" w:eastAsia="仿宋" w:cs="仿宋"/>
          <w:sz w:val="24"/>
        </w:rPr>
      </w:pPr>
      <w:r>
        <w:rPr>
          <w:rFonts w:hint="eastAsia" w:ascii="仿宋" w:hAnsi="仿宋" w:eastAsia="仿宋" w:cs="仿宋"/>
          <w:sz w:val="24"/>
          <w:u w:val="single"/>
        </w:rPr>
        <w:t>杭州高新技术产业开发区(滨江)文化和广电旅游体育局、浙江省房地产管理咨询有限公司</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u w:val="single"/>
        </w:rPr>
        <w:t>2024年城市书房和智慧借阅点建设项目</w:t>
      </w:r>
      <w:r>
        <w:rPr>
          <w:rFonts w:hint="eastAsia" w:ascii="仿宋" w:hAnsi="仿宋" w:eastAsia="仿宋" w:cs="仿宋"/>
          <w:sz w:val="24"/>
        </w:rPr>
        <w:t>【招标编号：</w:t>
      </w:r>
      <w:r>
        <w:rPr>
          <w:rFonts w:hint="eastAsia" w:ascii="仿宋" w:hAnsi="仿宋" w:eastAsia="仿宋" w:cs="仿宋"/>
          <w:kern w:val="0"/>
          <w:sz w:val="24"/>
          <w:lang w:val="zh-CN"/>
        </w:rPr>
        <w:t>浙房咨2024【CG-004】</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u w:val="single"/>
        </w:rPr>
        <w:t>2024年城市书房和智慧借阅点建设项目</w:t>
      </w:r>
      <w:r>
        <w:rPr>
          <w:rFonts w:hint="eastAsia" w:ascii="仿宋" w:hAnsi="仿宋" w:eastAsia="仿宋" w:cs="仿宋"/>
          <w:sz w:val="24"/>
        </w:rPr>
        <w:t>【招标编号：</w:t>
      </w:r>
      <w:r>
        <w:rPr>
          <w:rFonts w:hint="eastAsia" w:ascii="仿宋" w:hAnsi="仿宋" w:eastAsia="仿宋" w:cs="仿宋"/>
          <w:kern w:val="0"/>
          <w:sz w:val="24"/>
          <w:lang w:val="zh-CN"/>
        </w:rPr>
        <w:t>浙房咨2024【CG-004】</w:t>
      </w:r>
      <w:r>
        <w:rPr>
          <w:rFonts w:hint="eastAsia" w:ascii="仿宋" w:hAnsi="仿宋" w:eastAsia="仿宋" w:cs="仿宋"/>
          <w:sz w:val="24"/>
        </w:rPr>
        <w:t>】</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553"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553"/>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附件6：分包意向协议</w:t>
      </w:r>
    </w:p>
    <w:p>
      <w:pPr>
        <w:widowControl/>
        <w:spacing w:line="336"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kern w:val="0"/>
          <w:sz w:val="24"/>
          <w:u w:val="single"/>
          <w:lang w:val="zh-CN"/>
        </w:rPr>
        <w:t>2024年城市书房和智慧借阅点建设项目</w:t>
      </w:r>
      <w:r>
        <w:rPr>
          <w:rFonts w:hint="eastAsia" w:ascii="仿宋" w:hAnsi="仿宋" w:eastAsia="仿宋" w:cs="仿宋"/>
          <w:sz w:val="24"/>
        </w:rPr>
        <w:t>【招标编号：</w:t>
      </w:r>
      <w:r>
        <w:rPr>
          <w:rFonts w:hint="eastAsia" w:ascii="仿宋" w:hAnsi="仿宋" w:eastAsia="仿宋" w:cs="仿宋"/>
          <w:kern w:val="0"/>
          <w:sz w:val="24"/>
          <w:u w:val="single"/>
          <w:lang w:val="zh-CN"/>
        </w:rPr>
        <w:t>浙房咨2024【CG-004】】</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spacing w:line="336" w:lineRule="auto"/>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5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4"/>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ascii="仿宋" w:hAnsi="仿宋" w:eastAsia="仿宋" w:cs="仿宋"/>
          <w:u w:val="single"/>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outlineLvl w:val="0"/>
        <w:rPr>
          <w:rFonts w:ascii="仿宋" w:hAnsi="仿宋" w:eastAsia="仿宋" w:cs="仿宋"/>
          <w:b/>
          <w:kern w:val="0"/>
          <w:sz w:val="44"/>
          <w:szCs w:val="44"/>
        </w:rPr>
      </w:pPr>
      <w:r>
        <w:rPr>
          <w:rFonts w:hint="eastAsia" w:ascii="仿宋" w:hAnsi="仿宋" w:eastAsia="仿宋" w:cs="仿宋"/>
          <w:b/>
          <w:kern w:val="0"/>
          <w:sz w:val="44"/>
          <w:szCs w:val="44"/>
        </w:rPr>
        <w:t>附件7：中小企业声明函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杭州高新技术产业开发区(滨江)文化和广电旅游体育局</w:t>
      </w:r>
      <w:r>
        <w:rPr>
          <w:rFonts w:hint="eastAsia" w:ascii="仿宋" w:hAnsi="仿宋" w:eastAsia="仿宋" w:cs="仿宋"/>
          <w:sz w:val="24"/>
        </w:rPr>
        <w:t>的</w:t>
      </w:r>
      <w:r>
        <w:rPr>
          <w:rFonts w:hint="eastAsia" w:ascii="仿宋" w:hAnsi="仿宋" w:eastAsia="仿宋" w:cs="仿宋"/>
          <w:sz w:val="24"/>
          <w:u w:val="single"/>
        </w:rPr>
        <w:t>2024年城市书房和智慧借阅点建设项目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5" w:h="16838"/>
      <w:pgMar w:top="1440" w:right="1083" w:bottom="1440" w:left="108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31845147"/>
    <w:bookmarkStart w:id="556" w:name="_Toc36110187"/>
    <w:bookmarkStart w:id="557" w:name="_Toc164085800"/>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wordWrap w:val="0"/>
      <w:topLinePunct/>
      <w:adjustRightInd/>
      <w:snapToGrid/>
      <w:jc w:val="right"/>
      <w:rPr>
        <w:rFonts w:ascii="仿宋_GB2312" w:eastAsia="仿宋_GB2312"/>
        <w:i/>
        <w:u w:val="single"/>
      </w:rPr>
    </w:pPr>
    <w:r>
      <w:rPr>
        <w:rFonts w:hint="eastAsia" w:ascii="宋体" w:hAnsi="宋体" w:cs="宋体"/>
        <w:lang w:val="zh-CN"/>
      </w:rPr>
      <w:t>2024年城市书房和智慧借阅点建设项目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rPr>
        <w:rFonts w:hint="eastAsia" w:ascii="宋体" w:hAnsi="宋体" w:cs="宋体"/>
        <w:lang w:val="zh-CN"/>
      </w:rPr>
      <w:t>2024年城市书房和智慧借阅点建设项目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lang w:val="zh-CN"/>
      </w:rPr>
    </w:pPr>
    <w:r>
      <w:rPr>
        <w:lang w:val="zh-CN"/>
      </w:rPr>
      <w:t></w:t>
    </w:r>
    <w:r>
      <w:tab/>
    </w:r>
    <w:r>
      <w:rPr>
        <w:lang w:val="zh-CN"/>
      </w:rPr>
      <w:t></w:t>
    </w:r>
    <w:r>
      <w:tab/>
    </w:r>
    <w:r>
      <w:rPr>
        <w:rFonts w:hint="eastAsia" w:ascii="宋体" w:hAnsi="宋体" w:cs="宋体"/>
        <w:lang w:val="zh-CN"/>
      </w:rPr>
      <w:t>2024年城市书房和智慧借阅点建设项目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rPr>
        <w:rFonts w:hint="eastAsia" w:ascii="宋体" w:hAnsi="宋体" w:cs="宋体"/>
        <w:lang w:val="zh-CN"/>
      </w:rPr>
      <w:t>2024年城市书房和智慧借阅点建设项目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t></w:t>
    </w:r>
    <w:r>
      <w:rPr>
        <w:rFonts w:hint="eastAsia"/>
      </w:rPr>
      <w:t xml:space="preserve">         </w:t>
    </w:r>
  </w:p>
  <w:p>
    <w:pPr>
      <w:pStyle w:val="41"/>
    </w:pPr>
    <w:r>
      <w:rPr>
        <w:rFonts w:hint="eastAsia"/>
      </w:rPr>
      <w:t xml:space="preserve">                                                                  </w:t>
    </w:r>
    <w:r>
      <w:rPr>
        <w:rFonts w:hint="eastAsia" w:ascii="宋体" w:hAnsi="宋体" w:cs="宋体"/>
        <w:lang w:val="zh-CN"/>
      </w:rPr>
      <w:t>2024年城市书房和智慧借阅点建设项目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ascii="宋体" w:hAnsi="宋体" w:cs="宋体"/>
        <w:lang w:val="zh-CN"/>
      </w:rPr>
      <w:t>2024年城市书房和智慧借阅点建设项目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ascii="宋体" w:hAnsi="宋体" w:cs="宋体"/>
        <w:lang w:val="zh-CN"/>
      </w:rPr>
      <w:t>2024年城市书房和智慧借阅点建设项目</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rPr>
        <w:rFonts w:hint="eastAsia" w:ascii="宋体" w:hAnsi="宋体" w:cs="宋体"/>
        <w:lang w:val="zh-CN"/>
      </w:rPr>
      <w:t>2024年城市书房和智慧借阅点建设项目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ascii="宋体" w:hAnsi="宋体" w:cs="宋体"/>
        <w:lang w:val="zh-CN"/>
      </w:rPr>
      <w:t>2024年城市书房和智慧借阅点建设项目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839D8"/>
    <w:multiLevelType w:val="multilevel"/>
    <w:tmpl w:val="5A9839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ZWZiNWU0NGUzZmM5ZDZkMmNjYjc3OWZmNDljM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8C5"/>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53E"/>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9C4"/>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B4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DC1"/>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E1A"/>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E1145"/>
    <w:rsid w:val="02DC4B10"/>
    <w:rsid w:val="02DD76CE"/>
    <w:rsid w:val="02F36323"/>
    <w:rsid w:val="02F5619C"/>
    <w:rsid w:val="0326446A"/>
    <w:rsid w:val="032D5555"/>
    <w:rsid w:val="036634D2"/>
    <w:rsid w:val="03837C32"/>
    <w:rsid w:val="03DD35E4"/>
    <w:rsid w:val="03E36198"/>
    <w:rsid w:val="04076900"/>
    <w:rsid w:val="041A5A3B"/>
    <w:rsid w:val="042311BA"/>
    <w:rsid w:val="042B157A"/>
    <w:rsid w:val="044C5A83"/>
    <w:rsid w:val="048F763B"/>
    <w:rsid w:val="049F330E"/>
    <w:rsid w:val="04AA775C"/>
    <w:rsid w:val="04AF1889"/>
    <w:rsid w:val="04F66F48"/>
    <w:rsid w:val="05251E14"/>
    <w:rsid w:val="056273E3"/>
    <w:rsid w:val="05810D93"/>
    <w:rsid w:val="059621EC"/>
    <w:rsid w:val="05A16594"/>
    <w:rsid w:val="05A7762D"/>
    <w:rsid w:val="06023C82"/>
    <w:rsid w:val="060E5941"/>
    <w:rsid w:val="06110FAF"/>
    <w:rsid w:val="06493CA7"/>
    <w:rsid w:val="065A6178"/>
    <w:rsid w:val="066F1CF3"/>
    <w:rsid w:val="06824DC3"/>
    <w:rsid w:val="06871610"/>
    <w:rsid w:val="06930BB8"/>
    <w:rsid w:val="06B56F46"/>
    <w:rsid w:val="06D92436"/>
    <w:rsid w:val="070B300A"/>
    <w:rsid w:val="07245D42"/>
    <w:rsid w:val="07264C62"/>
    <w:rsid w:val="076D5A73"/>
    <w:rsid w:val="0779354C"/>
    <w:rsid w:val="07D11788"/>
    <w:rsid w:val="07D972A0"/>
    <w:rsid w:val="08061376"/>
    <w:rsid w:val="08121A7C"/>
    <w:rsid w:val="08452D77"/>
    <w:rsid w:val="084D1D9D"/>
    <w:rsid w:val="086401F8"/>
    <w:rsid w:val="08751CAA"/>
    <w:rsid w:val="087E4C40"/>
    <w:rsid w:val="0882554E"/>
    <w:rsid w:val="08A871D0"/>
    <w:rsid w:val="08CB2A51"/>
    <w:rsid w:val="08D66AD6"/>
    <w:rsid w:val="08DA33A3"/>
    <w:rsid w:val="08E80F13"/>
    <w:rsid w:val="09335624"/>
    <w:rsid w:val="0944690F"/>
    <w:rsid w:val="09535675"/>
    <w:rsid w:val="0955056D"/>
    <w:rsid w:val="095F057D"/>
    <w:rsid w:val="09642282"/>
    <w:rsid w:val="09733572"/>
    <w:rsid w:val="09772C16"/>
    <w:rsid w:val="098353B5"/>
    <w:rsid w:val="09881A2A"/>
    <w:rsid w:val="09A92330"/>
    <w:rsid w:val="09B004CA"/>
    <w:rsid w:val="09B06B87"/>
    <w:rsid w:val="09C13146"/>
    <w:rsid w:val="09E04166"/>
    <w:rsid w:val="0A0744E4"/>
    <w:rsid w:val="0A1C0718"/>
    <w:rsid w:val="0A3E7710"/>
    <w:rsid w:val="0A5B7E63"/>
    <w:rsid w:val="0A7964DD"/>
    <w:rsid w:val="0AA374A5"/>
    <w:rsid w:val="0AAB7649"/>
    <w:rsid w:val="0ABC5606"/>
    <w:rsid w:val="0ACB46F2"/>
    <w:rsid w:val="0B30404E"/>
    <w:rsid w:val="0B3D750A"/>
    <w:rsid w:val="0B4C6C14"/>
    <w:rsid w:val="0B547599"/>
    <w:rsid w:val="0B5D7BAD"/>
    <w:rsid w:val="0B631A88"/>
    <w:rsid w:val="0B683D45"/>
    <w:rsid w:val="0B7F3F11"/>
    <w:rsid w:val="0B884417"/>
    <w:rsid w:val="0B8D6901"/>
    <w:rsid w:val="0BF6188C"/>
    <w:rsid w:val="0BF73C91"/>
    <w:rsid w:val="0C170175"/>
    <w:rsid w:val="0C571A41"/>
    <w:rsid w:val="0C5C1171"/>
    <w:rsid w:val="0C5E1CBC"/>
    <w:rsid w:val="0C615B50"/>
    <w:rsid w:val="0C6A2581"/>
    <w:rsid w:val="0C8445DA"/>
    <w:rsid w:val="0C87121B"/>
    <w:rsid w:val="0C92545D"/>
    <w:rsid w:val="0C9E222B"/>
    <w:rsid w:val="0CC007F7"/>
    <w:rsid w:val="0CC617AC"/>
    <w:rsid w:val="0CE618DF"/>
    <w:rsid w:val="0CFE707A"/>
    <w:rsid w:val="0D063BDA"/>
    <w:rsid w:val="0D08375F"/>
    <w:rsid w:val="0D1349C7"/>
    <w:rsid w:val="0D181E7C"/>
    <w:rsid w:val="0D184CFB"/>
    <w:rsid w:val="0D1A2A5B"/>
    <w:rsid w:val="0D4A7419"/>
    <w:rsid w:val="0D827401"/>
    <w:rsid w:val="0D84094E"/>
    <w:rsid w:val="0D854AD0"/>
    <w:rsid w:val="0D8A00E9"/>
    <w:rsid w:val="0D8D589E"/>
    <w:rsid w:val="0DA01C73"/>
    <w:rsid w:val="0DA67AEE"/>
    <w:rsid w:val="0DD63300"/>
    <w:rsid w:val="0DF50604"/>
    <w:rsid w:val="0DF702FE"/>
    <w:rsid w:val="0E060E51"/>
    <w:rsid w:val="0E417312"/>
    <w:rsid w:val="0E545297"/>
    <w:rsid w:val="0E5604B2"/>
    <w:rsid w:val="0E6D5D79"/>
    <w:rsid w:val="0E9D0089"/>
    <w:rsid w:val="0EB14497"/>
    <w:rsid w:val="0EB803EE"/>
    <w:rsid w:val="0EC71F0D"/>
    <w:rsid w:val="0EDF3EBF"/>
    <w:rsid w:val="0EF94D4B"/>
    <w:rsid w:val="0F4958DC"/>
    <w:rsid w:val="0F5117D6"/>
    <w:rsid w:val="0F515DF7"/>
    <w:rsid w:val="0F596BA8"/>
    <w:rsid w:val="0F6248D2"/>
    <w:rsid w:val="0F693536"/>
    <w:rsid w:val="0F7B0511"/>
    <w:rsid w:val="0F7B76D9"/>
    <w:rsid w:val="0F816ACD"/>
    <w:rsid w:val="0F9832DB"/>
    <w:rsid w:val="0FB31FBB"/>
    <w:rsid w:val="0FB7580F"/>
    <w:rsid w:val="0FBF3FD2"/>
    <w:rsid w:val="0FBF7FF3"/>
    <w:rsid w:val="10136342"/>
    <w:rsid w:val="104D01F0"/>
    <w:rsid w:val="10646583"/>
    <w:rsid w:val="107D4B15"/>
    <w:rsid w:val="108A3C80"/>
    <w:rsid w:val="10946899"/>
    <w:rsid w:val="10C26171"/>
    <w:rsid w:val="10F33360"/>
    <w:rsid w:val="10FC16EA"/>
    <w:rsid w:val="110344FD"/>
    <w:rsid w:val="110F1D40"/>
    <w:rsid w:val="11266F33"/>
    <w:rsid w:val="118963A1"/>
    <w:rsid w:val="11C6522A"/>
    <w:rsid w:val="11E104CC"/>
    <w:rsid w:val="11E20309"/>
    <w:rsid w:val="12255233"/>
    <w:rsid w:val="12530213"/>
    <w:rsid w:val="12541D09"/>
    <w:rsid w:val="127723A9"/>
    <w:rsid w:val="12862074"/>
    <w:rsid w:val="12883966"/>
    <w:rsid w:val="128D6FC9"/>
    <w:rsid w:val="129E45B4"/>
    <w:rsid w:val="12D81596"/>
    <w:rsid w:val="12FE1894"/>
    <w:rsid w:val="13072A44"/>
    <w:rsid w:val="13345697"/>
    <w:rsid w:val="13367661"/>
    <w:rsid w:val="135F4BE2"/>
    <w:rsid w:val="139B1A0A"/>
    <w:rsid w:val="139D25C7"/>
    <w:rsid w:val="13BF3CE4"/>
    <w:rsid w:val="141008D8"/>
    <w:rsid w:val="14125FE6"/>
    <w:rsid w:val="143C2A55"/>
    <w:rsid w:val="146D271E"/>
    <w:rsid w:val="14720225"/>
    <w:rsid w:val="14982588"/>
    <w:rsid w:val="149A5AD9"/>
    <w:rsid w:val="14A7619D"/>
    <w:rsid w:val="14F0383F"/>
    <w:rsid w:val="150536C3"/>
    <w:rsid w:val="150C1963"/>
    <w:rsid w:val="151447A0"/>
    <w:rsid w:val="15175270"/>
    <w:rsid w:val="15431BC1"/>
    <w:rsid w:val="154A6454"/>
    <w:rsid w:val="1561077E"/>
    <w:rsid w:val="15762120"/>
    <w:rsid w:val="163836F0"/>
    <w:rsid w:val="1683496B"/>
    <w:rsid w:val="16A8729C"/>
    <w:rsid w:val="16B33777"/>
    <w:rsid w:val="16BC70A7"/>
    <w:rsid w:val="16C6339E"/>
    <w:rsid w:val="16D056D6"/>
    <w:rsid w:val="172A3039"/>
    <w:rsid w:val="172F2D79"/>
    <w:rsid w:val="17557BEF"/>
    <w:rsid w:val="17D349C1"/>
    <w:rsid w:val="17E458DD"/>
    <w:rsid w:val="18244F26"/>
    <w:rsid w:val="1830729E"/>
    <w:rsid w:val="1852128A"/>
    <w:rsid w:val="1870062C"/>
    <w:rsid w:val="18817102"/>
    <w:rsid w:val="18830A15"/>
    <w:rsid w:val="18852B28"/>
    <w:rsid w:val="188B5321"/>
    <w:rsid w:val="18F25DD8"/>
    <w:rsid w:val="19870C5C"/>
    <w:rsid w:val="19932372"/>
    <w:rsid w:val="199926F8"/>
    <w:rsid w:val="19A20DD5"/>
    <w:rsid w:val="19AE03F1"/>
    <w:rsid w:val="1A071A03"/>
    <w:rsid w:val="1A1F16AE"/>
    <w:rsid w:val="1A2B77F4"/>
    <w:rsid w:val="1A3B5C77"/>
    <w:rsid w:val="1A4E703E"/>
    <w:rsid w:val="1A984BAD"/>
    <w:rsid w:val="1AB8220E"/>
    <w:rsid w:val="1AE4166C"/>
    <w:rsid w:val="1AF06CFB"/>
    <w:rsid w:val="1AF11B8D"/>
    <w:rsid w:val="1B0E73A6"/>
    <w:rsid w:val="1B11359C"/>
    <w:rsid w:val="1B2A271F"/>
    <w:rsid w:val="1B2C3630"/>
    <w:rsid w:val="1B530544"/>
    <w:rsid w:val="1B6E5FB3"/>
    <w:rsid w:val="1B713184"/>
    <w:rsid w:val="1BA209CF"/>
    <w:rsid w:val="1BB4777D"/>
    <w:rsid w:val="1BB92BDD"/>
    <w:rsid w:val="1BBE727D"/>
    <w:rsid w:val="1BCF2401"/>
    <w:rsid w:val="1BD75AB8"/>
    <w:rsid w:val="1BF260EF"/>
    <w:rsid w:val="1C0459C2"/>
    <w:rsid w:val="1C1B3B4A"/>
    <w:rsid w:val="1C88086E"/>
    <w:rsid w:val="1C9D4496"/>
    <w:rsid w:val="1CD2178B"/>
    <w:rsid w:val="1D012A8E"/>
    <w:rsid w:val="1D266CE1"/>
    <w:rsid w:val="1D3963AF"/>
    <w:rsid w:val="1D6A673C"/>
    <w:rsid w:val="1D9247AE"/>
    <w:rsid w:val="1DB567EC"/>
    <w:rsid w:val="1DC13FCB"/>
    <w:rsid w:val="1DF51A98"/>
    <w:rsid w:val="1E051CD9"/>
    <w:rsid w:val="1E3D060F"/>
    <w:rsid w:val="1E3F7D2E"/>
    <w:rsid w:val="1E4134E4"/>
    <w:rsid w:val="1E5062B3"/>
    <w:rsid w:val="1E523514"/>
    <w:rsid w:val="1E714A66"/>
    <w:rsid w:val="1E802593"/>
    <w:rsid w:val="1E8B6156"/>
    <w:rsid w:val="1EA703CC"/>
    <w:rsid w:val="1EB7330C"/>
    <w:rsid w:val="1EB853CE"/>
    <w:rsid w:val="1F0A0FF3"/>
    <w:rsid w:val="1F42113B"/>
    <w:rsid w:val="1F5771FF"/>
    <w:rsid w:val="1FD52574"/>
    <w:rsid w:val="1FE868A9"/>
    <w:rsid w:val="20034907"/>
    <w:rsid w:val="20173E4B"/>
    <w:rsid w:val="203B7621"/>
    <w:rsid w:val="204E48BC"/>
    <w:rsid w:val="206104AB"/>
    <w:rsid w:val="208921B3"/>
    <w:rsid w:val="20973DEB"/>
    <w:rsid w:val="20B26522"/>
    <w:rsid w:val="20B44310"/>
    <w:rsid w:val="20D61B3B"/>
    <w:rsid w:val="211116EB"/>
    <w:rsid w:val="216133FC"/>
    <w:rsid w:val="217001E2"/>
    <w:rsid w:val="21B55BF5"/>
    <w:rsid w:val="21D56769"/>
    <w:rsid w:val="21E52EF3"/>
    <w:rsid w:val="21FB5D7B"/>
    <w:rsid w:val="22015E94"/>
    <w:rsid w:val="220B1C3D"/>
    <w:rsid w:val="221D1D20"/>
    <w:rsid w:val="22334A87"/>
    <w:rsid w:val="226D27AC"/>
    <w:rsid w:val="22737BDE"/>
    <w:rsid w:val="22A273FF"/>
    <w:rsid w:val="22BE6801"/>
    <w:rsid w:val="22E76282"/>
    <w:rsid w:val="233500BF"/>
    <w:rsid w:val="23377FF7"/>
    <w:rsid w:val="233A0AA7"/>
    <w:rsid w:val="234F5BD5"/>
    <w:rsid w:val="236B425F"/>
    <w:rsid w:val="23836192"/>
    <w:rsid w:val="23901F29"/>
    <w:rsid w:val="239C0061"/>
    <w:rsid w:val="23B908A4"/>
    <w:rsid w:val="23E95BEF"/>
    <w:rsid w:val="23F76998"/>
    <w:rsid w:val="23FD0064"/>
    <w:rsid w:val="241B6C93"/>
    <w:rsid w:val="245375B0"/>
    <w:rsid w:val="24642C0A"/>
    <w:rsid w:val="24B22173"/>
    <w:rsid w:val="24B95AD9"/>
    <w:rsid w:val="24BE24DA"/>
    <w:rsid w:val="24CF5825"/>
    <w:rsid w:val="24D663E6"/>
    <w:rsid w:val="24D77F2B"/>
    <w:rsid w:val="24FE5B05"/>
    <w:rsid w:val="256320CE"/>
    <w:rsid w:val="258B00E2"/>
    <w:rsid w:val="25A16BBC"/>
    <w:rsid w:val="25A917A6"/>
    <w:rsid w:val="25BE27CC"/>
    <w:rsid w:val="25C5621A"/>
    <w:rsid w:val="25F74A5C"/>
    <w:rsid w:val="26272215"/>
    <w:rsid w:val="2628662C"/>
    <w:rsid w:val="262D45DE"/>
    <w:rsid w:val="26464CD4"/>
    <w:rsid w:val="267A6508"/>
    <w:rsid w:val="26871DC8"/>
    <w:rsid w:val="26A53EF9"/>
    <w:rsid w:val="26A94201"/>
    <w:rsid w:val="26AC274F"/>
    <w:rsid w:val="27005B64"/>
    <w:rsid w:val="27044A29"/>
    <w:rsid w:val="271D34C8"/>
    <w:rsid w:val="276142BF"/>
    <w:rsid w:val="27783712"/>
    <w:rsid w:val="27907362"/>
    <w:rsid w:val="27C844E7"/>
    <w:rsid w:val="28333E1D"/>
    <w:rsid w:val="28454BD6"/>
    <w:rsid w:val="28455253"/>
    <w:rsid w:val="28551971"/>
    <w:rsid w:val="285B1C53"/>
    <w:rsid w:val="28956780"/>
    <w:rsid w:val="289F7086"/>
    <w:rsid w:val="28C32028"/>
    <w:rsid w:val="28CA08EA"/>
    <w:rsid w:val="28CC490F"/>
    <w:rsid w:val="28DE40AA"/>
    <w:rsid w:val="28E13773"/>
    <w:rsid w:val="29345E77"/>
    <w:rsid w:val="294C65AD"/>
    <w:rsid w:val="29567A3B"/>
    <w:rsid w:val="295B52D4"/>
    <w:rsid w:val="29806583"/>
    <w:rsid w:val="298B3C4C"/>
    <w:rsid w:val="29B03871"/>
    <w:rsid w:val="29F26D24"/>
    <w:rsid w:val="2A15033F"/>
    <w:rsid w:val="2A1662C1"/>
    <w:rsid w:val="2A1C7367"/>
    <w:rsid w:val="2A2815FA"/>
    <w:rsid w:val="2A3902CD"/>
    <w:rsid w:val="2A662182"/>
    <w:rsid w:val="2A663F30"/>
    <w:rsid w:val="2A680B0C"/>
    <w:rsid w:val="2A6D6092"/>
    <w:rsid w:val="2A7D76B4"/>
    <w:rsid w:val="2AB7478C"/>
    <w:rsid w:val="2AD76BDC"/>
    <w:rsid w:val="2AE17A5A"/>
    <w:rsid w:val="2B437463"/>
    <w:rsid w:val="2B597F39"/>
    <w:rsid w:val="2B6C37C8"/>
    <w:rsid w:val="2B7807EE"/>
    <w:rsid w:val="2BA50BF7"/>
    <w:rsid w:val="2BBF00EC"/>
    <w:rsid w:val="2BC37CFD"/>
    <w:rsid w:val="2BC538CE"/>
    <w:rsid w:val="2BD5237F"/>
    <w:rsid w:val="2BE536CE"/>
    <w:rsid w:val="2BE758D9"/>
    <w:rsid w:val="2BF346BB"/>
    <w:rsid w:val="2C061FF9"/>
    <w:rsid w:val="2C09049E"/>
    <w:rsid w:val="2C0A653C"/>
    <w:rsid w:val="2C191F85"/>
    <w:rsid w:val="2C5113AD"/>
    <w:rsid w:val="2CE82D6F"/>
    <w:rsid w:val="2D343236"/>
    <w:rsid w:val="2D575011"/>
    <w:rsid w:val="2D9B0395"/>
    <w:rsid w:val="2DD15014"/>
    <w:rsid w:val="2DF72DE4"/>
    <w:rsid w:val="2E0220AF"/>
    <w:rsid w:val="2E4B082A"/>
    <w:rsid w:val="2E59653C"/>
    <w:rsid w:val="2E5D4E86"/>
    <w:rsid w:val="2E5D790B"/>
    <w:rsid w:val="2E9A3C18"/>
    <w:rsid w:val="2EBB0FEE"/>
    <w:rsid w:val="2EC63002"/>
    <w:rsid w:val="2F0A6B38"/>
    <w:rsid w:val="2F946CCB"/>
    <w:rsid w:val="2FD25781"/>
    <w:rsid w:val="2FDC745C"/>
    <w:rsid w:val="2FE57FED"/>
    <w:rsid w:val="2FED2BB4"/>
    <w:rsid w:val="2FFD7934"/>
    <w:rsid w:val="300E4AB9"/>
    <w:rsid w:val="30733ACD"/>
    <w:rsid w:val="308C3862"/>
    <w:rsid w:val="309379D8"/>
    <w:rsid w:val="30A270F7"/>
    <w:rsid w:val="30DF1478"/>
    <w:rsid w:val="30E16A06"/>
    <w:rsid w:val="30EC586F"/>
    <w:rsid w:val="30F037CF"/>
    <w:rsid w:val="31083063"/>
    <w:rsid w:val="310D15A9"/>
    <w:rsid w:val="315076E8"/>
    <w:rsid w:val="319C6071"/>
    <w:rsid w:val="31AC537E"/>
    <w:rsid w:val="31BB7257"/>
    <w:rsid w:val="31CB4865"/>
    <w:rsid w:val="31E3679B"/>
    <w:rsid w:val="31E732FD"/>
    <w:rsid w:val="32517576"/>
    <w:rsid w:val="32613F1F"/>
    <w:rsid w:val="32A41A99"/>
    <w:rsid w:val="32BE5C2C"/>
    <w:rsid w:val="32FA3DAF"/>
    <w:rsid w:val="32FB6478"/>
    <w:rsid w:val="33263B3F"/>
    <w:rsid w:val="336963EB"/>
    <w:rsid w:val="33816EEB"/>
    <w:rsid w:val="33835B53"/>
    <w:rsid w:val="33930DAF"/>
    <w:rsid w:val="33A3446E"/>
    <w:rsid w:val="33DB773D"/>
    <w:rsid w:val="33EB55CD"/>
    <w:rsid w:val="33EC4C02"/>
    <w:rsid w:val="340D2360"/>
    <w:rsid w:val="3410665D"/>
    <w:rsid w:val="34192013"/>
    <w:rsid w:val="34211214"/>
    <w:rsid w:val="342E63AB"/>
    <w:rsid w:val="34513D87"/>
    <w:rsid w:val="34950E68"/>
    <w:rsid w:val="34986E94"/>
    <w:rsid w:val="34AF62C9"/>
    <w:rsid w:val="34CB4388"/>
    <w:rsid w:val="34DD3449"/>
    <w:rsid w:val="34FA6E12"/>
    <w:rsid w:val="350D7760"/>
    <w:rsid w:val="354D7158"/>
    <w:rsid w:val="357A11D7"/>
    <w:rsid w:val="358D5588"/>
    <w:rsid w:val="35DE019D"/>
    <w:rsid w:val="35FE7713"/>
    <w:rsid w:val="363A3B40"/>
    <w:rsid w:val="36466438"/>
    <w:rsid w:val="365302AE"/>
    <w:rsid w:val="36607A0A"/>
    <w:rsid w:val="366E227C"/>
    <w:rsid w:val="366F2E0D"/>
    <w:rsid w:val="367B6A5C"/>
    <w:rsid w:val="36880486"/>
    <w:rsid w:val="36A74ADA"/>
    <w:rsid w:val="36AD60D5"/>
    <w:rsid w:val="36B224F9"/>
    <w:rsid w:val="36EC0CC9"/>
    <w:rsid w:val="36F17277"/>
    <w:rsid w:val="37127ADF"/>
    <w:rsid w:val="371A7BE8"/>
    <w:rsid w:val="37202102"/>
    <w:rsid w:val="373F410B"/>
    <w:rsid w:val="37633048"/>
    <w:rsid w:val="37EE7094"/>
    <w:rsid w:val="37FB50A4"/>
    <w:rsid w:val="38296C89"/>
    <w:rsid w:val="383002EB"/>
    <w:rsid w:val="38586797"/>
    <w:rsid w:val="385D15DF"/>
    <w:rsid w:val="38675A43"/>
    <w:rsid w:val="38997BC6"/>
    <w:rsid w:val="38BC0149"/>
    <w:rsid w:val="38D87D1C"/>
    <w:rsid w:val="39202096"/>
    <w:rsid w:val="39317DFF"/>
    <w:rsid w:val="39636459"/>
    <w:rsid w:val="396B7F6C"/>
    <w:rsid w:val="397F0B6A"/>
    <w:rsid w:val="39AB5E03"/>
    <w:rsid w:val="39B417A9"/>
    <w:rsid w:val="39FC5695"/>
    <w:rsid w:val="3A006D8E"/>
    <w:rsid w:val="3A1514CF"/>
    <w:rsid w:val="3A3651E5"/>
    <w:rsid w:val="3A744481"/>
    <w:rsid w:val="3A8C7BEF"/>
    <w:rsid w:val="3A906246"/>
    <w:rsid w:val="3B215026"/>
    <w:rsid w:val="3B2349B7"/>
    <w:rsid w:val="3B3A14F2"/>
    <w:rsid w:val="3B616CFF"/>
    <w:rsid w:val="3B6259F6"/>
    <w:rsid w:val="3B976654"/>
    <w:rsid w:val="3BC01EFC"/>
    <w:rsid w:val="3BCA786A"/>
    <w:rsid w:val="3BD31E2F"/>
    <w:rsid w:val="3BF15831"/>
    <w:rsid w:val="3C105946"/>
    <w:rsid w:val="3C436C8A"/>
    <w:rsid w:val="3C471448"/>
    <w:rsid w:val="3C5F759A"/>
    <w:rsid w:val="3C6C525A"/>
    <w:rsid w:val="3C9012E0"/>
    <w:rsid w:val="3CB67377"/>
    <w:rsid w:val="3CCE23CB"/>
    <w:rsid w:val="3CD17D17"/>
    <w:rsid w:val="3D3C7F39"/>
    <w:rsid w:val="3D440F09"/>
    <w:rsid w:val="3D4504A0"/>
    <w:rsid w:val="3D461908"/>
    <w:rsid w:val="3D8734BB"/>
    <w:rsid w:val="3D9A11D4"/>
    <w:rsid w:val="3DA16D89"/>
    <w:rsid w:val="3DA364BE"/>
    <w:rsid w:val="3DB340BC"/>
    <w:rsid w:val="3DE041CB"/>
    <w:rsid w:val="3E0D48F6"/>
    <w:rsid w:val="3E126EE3"/>
    <w:rsid w:val="3E1868B4"/>
    <w:rsid w:val="3E377251"/>
    <w:rsid w:val="3E42664B"/>
    <w:rsid w:val="3E5A7334"/>
    <w:rsid w:val="3E7B5D6B"/>
    <w:rsid w:val="3E843E66"/>
    <w:rsid w:val="3E8F51FE"/>
    <w:rsid w:val="3E926F87"/>
    <w:rsid w:val="3E9A59DE"/>
    <w:rsid w:val="3EAF4836"/>
    <w:rsid w:val="3EC33DFA"/>
    <w:rsid w:val="3EE871B2"/>
    <w:rsid w:val="3F060E16"/>
    <w:rsid w:val="3F1D1096"/>
    <w:rsid w:val="3F277CDA"/>
    <w:rsid w:val="3F2F0234"/>
    <w:rsid w:val="3F552BCE"/>
    <w:rsid w:val="3F6363FE"/>
    <w:rsid w:val="3F756B8F"/>
    <w:rsid w:val="3F95482B"/>
    <w:rsid w:val="4019356B"/>
    <w:rsid w:val="40592157"/>
    <w:rsid w:val="406E1CAE"/>
    <w:rsid w:val="40A0133A"/>
    <w:rsid w:val="40C31A53"/>
    <w:rsid w:val="40FF545D"/>
    <w:rsid w:val="410067C8"/>
    <w:rsid w:val="412F10C8"/>
    <w:rsid w:val="416C081A"/>
    <w:rsid w:val="418F0D2A"/>
    <w:rsid w:val="41D01505"/>
    <w:rsid w:val="41F30C36"/>
    <w:rsid w:val="42474939"/>
    <w:rsid w:val="424C3C57"/>
    <w:rsid w:val="42613FF3"/>
    <w:rsid w:val="42660D96"/>
    <w:rsid w:val="428667D2"/>
    <w:rsid w:val="42CD1CE0"/>
    <w:rsid w:val="42E1381E"/>
    <w:rsid w:val="42E303BC"/>
    <w:rsid w:val="42ED6459"/>
    <w:rsid w:val="42FE58DD"/>
    <w:rsid w:val="43174B3D"/>
    <w:rsid w:val="43324E9F"/>
    <w:rsid w:val="434B790E"/>
    <w:rsid w:val="4360274F"/>
    <w:rsid w:val="43792ACE"/>
    <w:rsid w:val="4383394D"/>
    <w:rsid w:val="43977AB6"/>
    <w:rsid w:val="43A3342B"/>
    <w:rsid w:val="43C77C27"/>
    <w:rsid w:val="43CA157C"/>
    <w:rsid w:val="43D142B2"/>
    <w:rsid w:val="43DE09EE"/>
    <w:rsid w:val="44002FAD"/>
    <w:rsid w:val="449101DD"/>
    <w:rsid w:val="44DE1391"/>
    <w:rsid w:val="451B225C"/>
    <w:rsid w:val="45230F44"/>
    <w:rsid w:val="452410C9"/>
    <w:rsid w:val="45317DFB"/>
    <w:rsid w:val="455F5CFF"/>
    <w:rsid w:val="456D3CE4"/>
    <w:rsid w:val="4579042C"/>
    <w:rsid w:val="457F0571"/>
    <w:rsid w:val="45851176"/>
    <w:rsid w:val="45AC19CC"/>
    <w:rsid w:val="45C63B94"/>
    <w:rsid w:val="460E7DA5"/>
    <w:rsid w:val="46422483"/>
    <w:rsid w:val="464367F4"/>
    <w:rsid w:val="4659254A"/>
    <w:rsid w:val="465B0637"/>
    <w:rsid w:val="465E3F0D"/>
    <w:rsid w:val="466A16E6"/>
    <w:rsid w:val="46893F2B"/>
    <w:rsid w:val="469A6FE4"/>
    <w:rsid w:val="46C4686E"/>
    <w:rsid w:val="46D1677D"/>
    <w:rsid w:val="46D22C21"/>
    <w:rsid w:val="471843AC"/>
    <w:rsid w:val="477B778F"/>
    <w:rsid w:val="478203EC"/>
    <w:rsid w:val="47B025FA"/>
    <w:rsid w:val="4809698F"/>
    <w:rsid w:val="4811697D"/>
    <w:rsid w:val="48183C29"/>
    <w:rsid w:val="487A3E25"/>
    <w:rsid w:val="488B5503"/>
    <w:rsid w:val="48937E21"/>
    <w:rsid w:val="489A0361"/>
    <w:rsid w:val="489B05F3"/>
    <w:rsid w:val="48B94FF3"/>
    <w:rsid w:val="48E37AAB"/>
    <w:rsid w:val="48FD4B4C"/>
    <w:rsid w:val="490A68E0"/>
    <w:rsid w:val="491055FE"/>
    <w:rsid w:val="49312BD1"/>
    <w:rsid w:val="495F5B3E"/>
    <w:rsid w:val="496F77D7"/>
    <w:rsid w:val="497654FD"/>
    <w:rsid w:val="49AA39E1"/>
    <w:rsid w:val="49B64211"/>
    <w:rsid w:val="49E30CA1"/>
    <w:rsid w:val="49F6167F"/>
    <w:rsid w:val="49FF5646"/>
    <w:rsid w:val="4A064FA0"/>
    <w:rsid w:val="4A16615C"/>
    <w:rsid w:val="4A353541"/>
    <w:rsid w:val="4A4424D7"/>
    <w:rsid w:val="4A9B5A20"/>
    <w:rsid w:val="4AB82D0F"/>
    <w:rsid w:val="4ABB577A"/>
    <w:rsid w:val="4AE178D7"/>
    <w:rsid w:val="4AEB7664"/>
    <w:rsid w:val="4AFD7C19"/>
    <w:rsid w:val="4B0307AC"/>
    <w:rsid w:val="4B0567D1"/>
    <w:rsid w:val="4B236AAE"/>
    <w:rsid w:val="4B4A440C"/>
    <w:rsid w:val="4B707271"/>
    <w:rsid w:val="4B9739F7"/>
    <w:rsid w:val="4BEE2503"/>
    <w:rsid w:val="4C245A30"/>
    <w:rsid w:val="4CB6685F"/>
    <w:rsid w:val="4CC367FE"/>
    <w:rsid w:val="4D077F3C"/>
    <w:rsid w:val="4D123355"/>
    <w:rsid w:val="4D2A3B31"/>
    <w:rsid w:val="4D2E66D8"/>
    <w:rsid w:val="4D312C52"/>
    <w:rsid w:val="4D7A7B6F"/>
    <w:rsid w:val="4D905305"/>
    <w:rsid w:val="4D9410E0"/>
    <w:rsid w:val="4D964A72"/>
    <w:rsid w:val="4D9C1254"/>
    <w:rsid w:val="4DC0739F"/>
    <w:rsid w:val="4DE1199C"/>
    <w:rsid w:val="4DF55447"/>
    <w:rsid w:val="4E1E04FA"/>
    <w:rsid w:val="4E256F79"/>
    <w:rsid w:val="4E2F6C3C"/>
    <w:rsid w:val="4E793892"/>
    <w:rsid w:val="4E800872"/>
    <w:rsid w:val="4E8B5510"/>
    <w:rsid w:val="4EC569ED"/>
    <w:rsid w:val="4ED50EA1"/>
    <w:rsid w:val="4EEC050C"/>
    <w:rsid w:val="4F104EC3"/>
    <w:rsid w:val="4F47354A"/>
    <w:rsid w:val="4F911C54"/>
    <w:rsid w:val="4FD25A40"/>
    <w:rsid w:val="4FE625E0"/>
    <w:rsid w:val="5021480F"/>
    <w:rsid w:val="50962ECB"/>
    <w:rsid w:val="50A42E38"/>
    <w:rsid w:val="50A4577F"/>
    <w:rsid w:val="50B73D1F"/>
    <w:rsid w:val="50BD5BC9"/>
    <w:rsid w:val="50C11EEE"/>
    <w:rsid w:val="50E97CFC"/>
    <w:rsid w:val="50FA4028"/>
    <w:rsid w:val="510D65B7"/>
    <w:rsid w:val="511157AB"/>
    <w:rsid w:val="511D4DBE"/>
    <w:rsid w:val="5142540C"/>
    <w:rsid w:val="514439F7"/>
    <w:rsid w:val="515D57DD"/>
    <w:rsid w:val="5186233E"/>
    <w:rsid w:val="518832C8"/>
    <w:rsid w:val="519D3C50"/>
    <w:rsid w:val="51A0432A"/>
    <w:rsid w:val="51A12147"/>
    <w:rsid w:val="51A86090"/>
    <w:rsid w:val="51B7396D"/>
    <w:rsid w:val="51ED6B61"/>
    <w:rsid w:val="521F0CE5"/>
    <w:rsid w:val="522E4CC3"/>
    <w:rsid w:val="5244713B"/>
    <w:rsid w:val="52615633"/>
    <w:rsid w:val="526F4DE4"/>
    <w:rsid w:val="52977FD4"/>
    <w:rsid w:val="52A25790"/>
    <w:rsid w:val="52A96B6F"/>
    <w:rsid w:val="52B45975"/>
    <w:rsid w:val="52BC4EF2"/>
    <w:rsid w:val="52D94AA4"/>
    <w:rsid w:val="52EA3A62"/>
    <w:rsid w:val="52F50BB8"/>
    <w:rsid w:val="53097272"/>
    <w:rsid w:val="53544462"/>
    <w:rsid w:val="53572C81"/>
    <w:rsid w:val="53713144"/>
    <w:rsid w:val="538057B3"/>
    <w:rsid w:val="5397158E"/>
    <w:rsid w:val="54013861"/>
    <w:rsid w:val="54487265"/>
    <w:rsid w:val="544D6070"/>
    <w:rsid w:val="54605E1E"/>
    <w:rsid w:val="548337AD"/>
    <w:rsid w:val="54857525"/>
    <w:rsid w:val="54B3506A"/>
    <w:rsid w:val="54CA0D16"/>
    <w:rsid w:val="54DD4057"/>
    <w:rsid w:val="54E7490F"/>
    <w:rsid w:val="5500128A"/>
    <w:rsid w:val="550764A4"/>
    <w:rsid w:val="550B2BF6"/>
    <w:rsid w:val="55214EB5"/>
    <w:rsid w:val="55364EFD"/>
    <w:rsid w:val="55482ADB"/>
    <w:rsid w:val="555B2921"/>
    <w:rsid w:val="555D4828"/>
    <w:rsid w:val="557A4C8B"/>
    <w:rsid w:val="558931E1"/>
    <w:rsid w:val="55923347"/>
    <w:rsid w:val="55925180"/>
    <w:rsid w:val="55983B1B"/>
    <w:rsid w:val="55A8376B"/>
    <w:rsid w:val="55D43B94"/>
    <w:rsid w:val="55DC29B6"/>
    <w:rsid w:val="55DD4241"/>
    <w:rsid w:val="56097CE2"/>
    <w:rsid w:val="56375511"/>
    <w:rsid w:val="56471638"/>
    <w:rsid w:val="566B6D1E"/>
    <w:rsid w:val="57032A2C"/>
    <w:rsid w:val="570F5219"/>
    <w:rsid w:val="575D12B5"/>
    <w:rsid w:val="57610A87"/>
    <w:rsid w:val="577B1140"/>
    <w:rsid w:val="577B7F21"/>
    <w:rsid w:val="577F181B"/>
    <w:rsid w:val="57921984"/>
    <w:rsid w:val="579737F0"/>
    <w:rsid w:val="57AB7B30"/>
    <w:rsid w:val="57AF5251"/>
    <w:rsid w:val="57B10631"/>
    <w:rsid w:val="57B26373"/>
    <w:rsid w:val="57B63F04"/>
    <w:rsid w:val="57CD20C2"/>
    <w:rsid w:val="57D675AB"/>
    <w:rsid w:val="57D73717"/>
    <w:rsid w:val="57D95FDD"/>
    <w:rsid w:val="57E738F8"/>
    <w:rsid w:val="57F978FD"/>
    <w:rsid w:val="58523BC2"/>
    <w:rsid w:val="5878114F"/>
    <w:rsid w:val="58917D2F"/>
    <w:rsid w:val="5894085C"/>
    <w:rsid w:val="58AE4F0C"/>
    <w:rsid w:val="58B85899"/>
    <w:rsid w:val="58E363A9"/>
    <w:rsid w:val="59166304"/>
    <w:rsid w:val="593E3270"/>
    <w:rsid w:val="595E1678"/>
    <w:rsid w:val="596D5BD4"/>
    <w:rsid w:val="597E3DD8"/>
    <w:rsid w:val="5980650D"/>
    <w:rsid w:val="59E7307A"/>
    <w:rsid w:val="59F80043"/>
    <w:rsid w:val="5A026F22"/>
    <w:rsid w:val="5A09252F"/>
    <w:rsid w:val="5A0B2778"/>
    <w:rsid w:val="5A2A7C7B"/>
    <w:rsid w:val="5A3E2560"/>
    <w:rsid w:val="5A5D3B6E"/>
    <w:rsid w:val="5A61633E"/>
    <w:rsid w:val="5A637A76"/>
    <w:rsid w:val="5A6D33BA"/>
    <w:rsid w:val="5A792B1F"/>
    <w:rsid w:val="5A874767"/>
    <w:rsid w:val="5A932270"/>
    <w:rsid w:val="5AA85BE2"/>
    <w:rsid w:val="5AAD6F28"/>
    <w:rsid w:val="5AD63A24"/>
    <w:rsid w:val="5B2E1A1D"/>
    <w:rsid w:val="5B3F5F54"/>
    <w:rsid w:val="5B4F0A46"/>
    <w:rsid w:val="5B843A1C"/>
    <w:rsid w:val="5B873E3F"/>
    <w:rsid w:val="5BA316B7"/>
    <w:rsid w:val="5BD52217"/>
    <w:rsid w:val="5BFE5E0F"/>
    <w:rsid w:val="5C02690E"/>
    <w:rsid w:val="5C0607EB"/>
    <w:rsid w:val="5C196DA7"/>
    <w:rsid w:val="5C2A048C"/>
    <w:rsid w:val="5C2B154B"/>
    <w:rsid w:val="5C80234E"/>
    <w:rsid w:val="5C8A680C"/>
    <w:rsid w:val="5D0C4701"/>
    <w:rsid w:val="5D0F0395"/>
    <w:rsid w:val="5D221076"/>
    <w:rsid w:val="5D397964"/>
    <w:rsid w:val="5D443CF5"/>
    <w:rsid w:val="5D5A391C"/>
    <w:rsid w:val="5D5F10C0"/>
    <w:rsid w:val="5D7A56E1"/>
    <w:rsid w:val="5D8012C9"/>
    <w:rsid w:val="5D865216"/>
    <w:rsid w:val="5D891B7B"/>
    <w:rsid w:val="5DAD38EE"/>
    <w:rsid w:val="5DB744C7"/>
    <w:rsid w:val="5E006862"/>
    <w:rsid w:val="5E0207B9"/>
    <w:rsid w:val="5E14191A"/>
    <w:rsid w:val="5E1834A1"/>
    <w:rsid w:val="5E261785"/>
    <w:rsid w:val="5E2C6B0B"/>
    <w:rsid w:val="5E4A7017"/>
    <w:rsid w:val="5E4F2952"/>
    <w:rsid w:val="5E552BBA"/>
    <w:rsid w:val="5E611C10"/>
    <w:rsid w:val="5E7A0F3F"/>
    <w:rsid w:val="5E8D407E"/>
    <w:rsid w:val="5E9F3C9D"/>
    <w:rsid w:val="5EB25E2A"/>
    <w:rsid w:val="5ED864A3"/>
    <w:rsid w:val="5EFC7377"/>
    <w:rsid w:val="5F047298"/>
    <w:rsid w:val="5F06174D"/>
    <w:rsid w:val="5F1919AA"/>
    <w:rsid w:val="5F2B0CC9"/>
    <w:rsid w:val="5F3A3602"/>
    <w:rsid w:val="5F3D51C4"/>
    <w:rsid w:val="5F45733B"/>
    <w:rsid w:val="5F6277C6"/>
    <w:rsid w:val="5F6D0B1D"/>
    <w:rsid w:val="5F8D0B82"/>
    <w:rsid w:val="5FB32F4A"/>
    <w:rsid w:val="5FCC5339"/>
    <w:rsid w:val="5FE34A5B"/>
    <w:rsid w:val="5FFE1E36"/>
    <w:rsid w:val="60232584"/>
    <w:rsid w:val="607330CE"/>
    <w:rsid w:val="60825176"/>
    <w:rsid w:val="609F2AC4"/>
    <w:rsid w:val="60AA20C1"/>
    <w:rsid w:val="60D13AF2"/>
    <w:rsid w:val="60E03D35"/>
    <w:rsid w:val="60EC092C"/>
    <w:rsid w:val="60FA2EE8"/>
    <w:rsid w:val="61054A27"/>
    <w:rsid w:val="610726FE"/>
    <w:rsid w:val="610A52BC"/>
    <w:rsid w:val="611D2366"/>
    <w:rsid w:val="61421856"/>
    <w:rsid w:val="615227C4"/>
    <w:rsid w:val="61654E3F"/>
    <w:rsid w:val="61667D97"/>
    <w:rsid w:val="6182292A"/>
    <w:rsid w:val="619F7F92"/>
    <w:rsid w:val="61F4709F"/>
    <w:rsid w:val="61F94C26"/>
    <w:rsid w:val="62000E56"/>
    <w:rsid w:val="62377985"/>
    <w:rsid w:val="624F3E49"/>
    <w:rsid w:val="62632286"/>
    <w:rsid w:val="62885958"/>
    <w:rsid w:val="62920AF5"/>
    <w:rsid w:val="62D3582B"/>
    <w:rsid w:val="62F40B65"/>
    <w:rsid w:val="62FC2CFE"/>
    <w:rsid w:val="63024505"/>
    <w:rsid w:val="63113A29"/>
    <w:rsid w:val="633F4D43"/>
    <w:rsid w:val="635600A5"/>
    <w:rsid w:val="635B1DB5"/>
    <w:rsid w:val="6368668B"/>
    <w:rsid w:val="63711FED"/>
    <w:rsid w:val="63880DDC"/>
    <w:rsid w:val="638D750D"/>
    <w:rsid w:val="63AC6CC0"/>
    <w:rsid w:val="64055776"/>
    <w:rsid w:val="64180567"/>
    <w:rsid w:val="64240056"/>
    <w:rsid w:val="643E143A"/>
    <w:rsid w:val="64491666"/>
    <w:rsid w:val="648B6EEF"/>
    <w:rsid w:val="64C158BF"/>
    <w:rsid w:val="64CE2EAA"/>
    <w:rsid w:val="6503795B"/>
    <w:rsid w:val="653C3090"/>
    <w:rsid w:val="65854376"/>
    <w:rsid w:val="658767BE"/>
    <w:rsid w:val="65892531"/>
    <w:rsid w:val="66195831"/>
    <w:rsid w:val="662E75B1"/>
    <w:rsid w:val="66342C2E"/>
    <w:rsid w:val="663E784C"/>
    <w:rsid w:val="668B6A45"/>
    <w:rsid w:val="6692162D"/>
    <w:rsid w:val="672142A6"/>
    <w:rsid w:val="672F3F24"/>
    <w:rsid w:val="673E055F"/>
    <w:rsid w:val="67551CE3"/>
    <w:rsid w:val="6764121C"/>
    <w:rsid w:val="67A22552"/>
    <w:rsid w:val="67B22DCC"/>
    <w:rsid w:val="67BB4BB4"/>
    <w:rsid w:val="67BE71AA"/>
    <w:rsid w:val="67D90273"/>
    <w:rsid w:val="67DA5AD5"/>
    <w:rsid w:val="67DE5875"/>
    <w:rsid w:val="67E55852"/>
    <w:rsid w:val="67EB1AB4"/>
    <w:rsid w:val="67FA1285"/>
    <w:rsid w:val="68551F4F"/>
    <w:rsid w:val="68555008"/>
    <w:rsid w:val="687C10C9"/>
    <w:rsid w:val="68840C16"/>
    <w:rsid w:val="68876EFB"/>
    <w:rsid w:val="68884654"/>
    <w:rsid w:val="689F444F"/>
    <w:rsid w:val="68B96DBB"/>
    <w:rsid w:val="68CA2805"/>
    <w:rsid w:val="68E278A1"/>
    <w:rsid w:val="68E937A3"/>
    <w:rsid w:val="693E15D3"/>
    <w:rsid w:val="69627681"/>
    <w:rsid w:val="697312D9"/>
    <w:rsid w:val="6977531D"/>
    <w:rsid w:val="69B55D5F"/>
    <w:rsid w:val="69CC2BFF"/>
    <w:rsid w:val="69FD55B8"/>
    <w:rsid w:val="6A0B1C62"/>
    <w:rsid w:val="6A2406C8"/>
    <w:rsid w:val="6A75428F"/>
    <w:rsid w:val="6ADE0BD1"/>
    <w:rsid w:val="6AE96859"/>
    <w:rsid w:val="6B00125C"/>
    <w:rsid w:val="6B087D61"/>
    <w:rsid w:val="6B147746"/>
    <w:rsid w:val="6B24787C"/>
    <w:rsid w:val="6B573233"/>
    <w:rsid w:val="6B5B6274"/>
    <w:rsid w:val="6B6E08BB"/>
    <w:rsid w:val="6B874B2B"/>
    <w:rsid w:val="6B935D53"/>
    <w:rsid w:val="6B9B3B4A"/>
    <w:rsid w:val="6BE7241B"/>
    <w:rsid w:val="6C196F71"/>
    <w:rsid w:val="6C226FCB"/>
    <w:rsid w:val="6C31226F"/>
    <w:rsid w:val="6C552F0B"/>
    <w:rsid w:val="6C8C67B7"/>
    <w:rsid w:val="6C9D744C"/>
    <w:rsid w:val="6D167928"/>
    <w:rsid w:val="6D26299B"/>
    <w:rsid w:val="6D4772EC"/>
    <w:rsid w:val="6D9078AF"/>
    <w:rsid w:val="6DA85BDA"/>
    <w:rsid w:val="6DAA3FEF"/>
    <w:rsid w:val="6DBD740C"/>
    <w:rsid w:val="6DC0172B"/>
    <w:rsid w:val="6DCB690C"/>
    <w:rsid w:val="6DD41A5B"/>
    <w:rsid w:val="6DF43C2E"/>
    <w:rsid w:val="6DF51CA3"/>
    <w:rsid w:val="6E0C6169"/>
    <w:rsid w:val="6E3D27C7"/>
    <w:rsid w:val="6E565963"/>
    <w:rsid w:val="6E8335BD"/>
    <w:rsid w:val="6E8E12EF"/>
    <w:rsid w:val="6E972936"/>
    <w:rsid w:val="6EC24A7A"/>
    <w:rsid w:val="6ECC1456"/>
    <w:rsid w:val="6ED446C5"/>
    <w:rsid w:val="6F2A7D94"/>
    <w:rsid w:val="6F4436E1"/>
    <w:rsid w:val="6F8331F1"/>
    <w:rsid w:val="6F963F3C"/>
    <w:rsid w:val="6FAE1A09"/>
    <w:rsid w:val="6FD75BF8"/>
    <w:rsid w:val="6FF3138F"/>
    <w:rsid w:val="707723D0"/>
    <w:rsid w:val="70944D11"/>
    <w:rsid w:val="70B36D70"/>
    <w:rsid w:val="70F5661B"/>
    <w:rsid w:val="71360107"/>
    <w:rsid w:val="713B688E"/>
    <w:rsid w:val="71D43752"/>
    <w:rsid w:val="71E10E40"/>
    <w:rsid w:val="71F1796A"/>
    <w:rsid w:val="7203702B"/>
    <w:rsid w:val="72154626"/>
    <w:rsid w:val="72262B5D"/>
    <w:rsid w:val="72283FF7"/>
    <w:rsid w:val="722E7212"/>
    <w:rsid w:val="723932A5"/>
    <w:rsid w:val="723A0474"/>
    <w:rsid w:val="725923E4"/>
    <w:rsid w:val="72864BF7"/>
    <w:rsid w:val="729023FC"/>
    <w:rsid w:val="72987FCC"/>
    <w:rsid w:val="72AE2CD6"/>
    <w:rsid w:val="72EA5EB4"/>
    <w:rsid w:val="736425A4"/>
    <w:rsid w:val="73C0646E"/>
    <w:rsid w:val="73ED2599"/>
    <w:rsid w:val="742222F5"/>
    <w:rsid w:val="74476126"/>
    <w:rsid w:val="746C136D"/>
    <w:rsid w:val="74706664"/>
    <w:rsid w:val="747F3682"/>
    <w:rsid w:val="74814FBC"/>
    <w:rsid w:val="749C4185"/>
    <w:rsid w:val="74AA66C6"/>
    <w:rsid w:val="750617FB"/>
    <w:rsid w:val="75067759"/>
    <w:rsid w:val="75184508"/>
    <w:rsid w:val="752E6DCD"/>
    <w:rsid w:val="75466405"/>
    <w:rsid w:val="75501031"/>
    <w:rsid w:val="7551380D"/>
    <w:rsid w:val="75600BE5"/>
    <w:rsid w:val="7564475C"/>
    <w:rsid w:val="7583797F"/>
    <w:rsid w:val="758D7B90"/>
    <w:rsid w:val="75BF50AF"/>
    <w:rsid w:val="75D20F1D"/>
    <w:rsid w:val="75DA2C18"/>
    <w:rsid w:val="75E874BC"/>
    <w:rsid w:val="75F54412"/>
    <w:rsid w:val="761262E7"/>
    <w:rsid w:val="761D08E0"/>
    <w:rsid w:val="765D347C"/>
    <w:rsid w:val="76826699"/>
    <w:rsid w:val="76C87133"/>
    <w:rsid w:val="76CD08D5"/>
    <w:rsid w:val="76D37824"/>
    <w:rsid w:val="76DB4B92"/>
    <w:rsid w:val="76EA2E1A"/>
    <w:rsid w:val="77052AA4"/>
    <w:rsid w:val="77136511"/>
    <w:rsid w:val="77316C41"/>
    <w:rsid w:val="77340A39"/>
    <w:rsid w:val="77351FD0"/>
    <w:rsid w:val="77441FF6"/>
    <w:rsid w:val="77472422"/>
    <w:rsid w:val="775C3CBE"/>
    <w:rsid w:val="77667A81"/>
    <w:rsid w:val="777F31F2"/>
    <w:rsid w:val="77D1700D"/>
    <w:rsid w:val="77EC04CC"/>
    <w:rsid w:val="781E5814"/>
    <w:rsid w:val="785827BE"/>
    <w:rsid w:val="78775729"/>
    <w:rsid w:val="78A42DB0"/>
    <w:rsid w:val="78A656AB"/>
    <w:rsid w:val="78B2245C"/>
    <w:rsid w:val="78E172CC"/>
    <w:rsid w:val="78EA1D1F"/>
    <w:rsid w:val="78F56609"/>
    <w:rsid w:val="7904172F"/>
    <w:rsid w:val="790F7E27"/>
    <w:rsid w:val="792A231A"/>
    <w:rsid w:val="79316829"/>
    <w:rsid w:val="7949283E"/>
    <w:rsid w:val="796B643A"/>
    <w:rsid w:val="797E66A9"/>
    <w:rsid w:val="798518A4"/>
    <w:rsid w:val="79A97383"/>
    <w:rsid w:val="79B21A11"/>
    <w:rsid w:val="79E27E8B"/>
    <w:rsid w:val="79F850CE"/>
    <w:rsid w:val="79FD443C"/>
    <w:rsid w:val="7A17211E"/>
    <w:rsid w:val="7A1D1975"/>
    <w:rsid w:val="7A2025CB"/>
    <w:rsid w:val="7A3E5150"/>
    <w:rsid w:val="7A4670D6"/>
    <w:rsid w:val="7A534B63"/>
    <w:rsid w:val="7A543372"/>
    <w:rsid w:val="7A590988"/>
    <w:rsid w:val="7A615382"/>
    <w:rsid w:val="7A67303B"/>
    <w:rsid w:val="7A8377B3"/>
    <w:rsid w:val="7AAB1D04"/>
    <w:rsid w:val="7ABA4368"/>
    <w:rsid w:val="7AD05746"/>
    <w:rsid w:val="7B1531E0"/>
    <w:rsid w:val="7B257FFD"/>
    <w:rsid w:val="7B343476"/>
    <w:rsid w:val="7B5A2978"/>
    <w:rsid w:val="7B5A7E4C"/>
    <w:rsid w:val="7B667AF9"/>
    <w:rsid w:val="7B7468F8"/>
    <w:rsid w:val="7BEE0103"/>
    <w:rsid w:val="7C0A0FE4"/>
    <w:rsid w:val="7C254906"/>
    <w:rsid w:val="7C590818"/>
    <w:rsid w:val="7C61563F"/>
    <w:rsid w:val="7C7C10F6"/>
    <w:rsid w:val="7C853BEA"/>
    <w:rsid w:val="7C881368"/>
    <w:rsid w:val="7CE27788"/>
    <w:rsid w:val="7CE87DA1"/>
    <w:rsid w:val="7D0C32F1"/>
    <w:rsid w:val="7D0F408D"/>
    <w:rsid w:val="7D491C6C"/>
    <w:rsid w:val="7D5252F7"/>
    <w:rsid w:val="7D5429C0"/>
    <w:rsid w:val="7D6E6D43"/>
    <w:rsid w:val="7DB57A34"/>
    <w:rsid w:val="7DE60973"/>
    <w:rsid w:val="7DEF0916"/>
    <w:rsid w:val="7DF46DEA"/>
    <w:rsid w:val="7E1E5218"/>
    <w:rsid w:val="7E462E8C"/>
    <w:rsid w:val="7E9A4E1F"/>
    <w:rsid w:val="7EA7723A"/>
    <w:rsid w:val="7EBC156B"/>
    <w:rsid w:val="7EDD0C00"/>
    <w:rsid w:val="7EF56FBB"/>
    <w:rsid w:val="7F0768EB"/>
    <w:rsid w:val="7F143BEC"/>
    <w:rsid w:val="7F361298"/>
    <w:rsid w:val="7F6000C3"/>
    <w:rsid w:val="7F6C2F0C"/>
    <w:rsid w:val="7F715AF2"/>
    <w:rsid w:val="7F886E69"/>
    <w:rsid w:val="7F961E7F"/>
    <w:rsid w:val="7FDB11A7"/>
    <w:rsid w:val="BB7FA927"/>
    <w:rsid w:val="F577410D"/>
    <w:rsid w:val="F5FFD31F"/>
    <w:rsid w:val="FEB66EC7"/>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autoRedefine/>
    <w:qFormat/>
    <w:uiPriority w:val="0"/>
    <w:pPr>
      <w:ind w:firstLine="420"/>
    </w:pPr>
    <w:rPr>
      <w:rFonts w:hAnsi="Calibri" w:cs="Times New Roman"/>
      <w:snapToGrid/>
      <w:szCs w:val="20"/>
    </w:r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endnote text"/>
    <w:basedOn w:val="1"/>
    <w:link w:val="931"/>
    <w:autoRedefine/>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autoRedefine/>
    <w:qFormat/>
    <w:uiPriority w:val="0"/>
    <w:rPr>
      <w:b/>
      <w:bCs/>
    </w:rPr>
  </w:style>
  <w:style w:type="paragraph" w:styleId="61">
    <w:name w:val="Body Text First Indent 2"/>
    <w:basedOn w:val="26"/>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basedOn w:val="69"/>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2"/>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5"/>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autoRedefine/>
    <w:qFormat/>
    <w:uiPriority w:val="0"/>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2"/>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2"/>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8395</Words>
  <Characters>47853</Characters>
  <Lines>398</Lines>
  <Paragraphs>112</Paragraphs>
  <TotalTime>2</TotalTime>
  <ScaleCrop>false</ScaleCrop>
  <LinksUpToDate>false</LinksUpToDate>
  <CharactersWithSpaces>56136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浙房咨询</cp:lastModifiedBy>
  <cp:lastPrinted>2021-12-27T19:06:00Z</cp:lastPrinted>
  <dcterms:modified xsi:type="dcterms:W3CDTF">2024-05-09T03:55:48Z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