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hint="eastAsia" w:ascii="宋体" w:hAnsi="宋体" w:eastAsia="宋体" w:cs="宋体"/>
          <w:b/>
          <w:bCs/>
          <w:color w:val="auto"/>
          <w:spacing w:val="6"/>
          <w:sz w:val="44"/>
          <w:szCs w:val="44"/>
          <w:highlight w:val="none"/>
          <w:lang w:eastAsia="zh-CN"/>
        </w:rPr>
      </w:pPr>
      <w:r>
        <w:rPr>
          <w:rFonts w:hint="eastAsia" w:ascii="宋体" w:hAnsi="宋体" w:cs="宋体"/>
          <w:b/>
          <w:bCs/>
          <w:color w:val="auto"/>
          <w:spacing w:val="6"/>
          <w:sz w:val="44"/>
          <w:szCs w:val="44"/>
          <w:highlight w:val="none"/>
          <w:lang w:eastAsia="zh-CN"/>
        </w:rPr>
        <w:t>五常街道梦溪水乡征迁区块卡口管理项目</w:t>
      </w:r>
    </w:p>
    <w:p>
      <w:pPr>
        <w:pStyle w:val="62"/>
        <w:spacing w:line="600" w:lineRule="atLeast"/>
        <w:ind w:left="0" w:leftChars="0" w:firstLine="0" w:firstLineChars="0"/>
        <w:jc w:val="center"/>
        <w:rPr>
          <w:rFonts w:hint="eastAsia" w:ascii="宋体" w:hAnsi="宋体" w:eastAsia="宋体" w:cs="宋体"/>
          <w:color w:val="auto"/>
          <w:highlight w:val="none"/>
        </w:rPr>
      </w:pPr>
    </w:p>
    <w:p>
      <w:pPr>
        <w:adjustRightInd/>
        <w:spacing w:line="600" w:lineRule="atLeast"/>
        <w:jc w:val="center"/>
        <w:rPr>
          <w:rFonts w:hint="eastAsia" w:ascii="宋体" w:hAnsi="宋体" w:eastAsia="宋体" w:cs="宋体"/>
          <w:b/>
          <w:bCs/>
          <w:color w:val="auto"/>
          <w:spacing w:val="6"/>
          <w:sz w:val="44"/>
          <w:szCs w:val="44"/>
          <w:highlight w:val="none"/>
        </w:rPr>
      </w:pPr>
    </w:p>
    <w:p>
      <w:pPr>
        <w:adjustRightInd/>
        <w:spacing w:line="600" w:lineRule="atLeast"/>
        <w:jc w:val="center"/>
        <w:rPr>
          <w:rFonts w:hint="eastAsia" w:ascii="宋体" w:hAnsi="宋体" w:eastAsia="宋体" w:cs="宋体"/>
          <w:b/>
          <w:bCs/>
          <w:color w:val="auto"/>
          <w:spacing w:val="6"/>
          <w:sz w:val="44"/>
          <w:szCs w:val="44"/>
          <w:highlight w:val="none"/>
        </w:rPr>
      </w:pPr>
    </w:p>
    <w:p>
      <w:pPr>
        <w:pStyle w:val="62"/>
        <w:spacing w:line="600" w:lineRule="atLeast"/>
        <w:ind w:left="0" w:leftChars="0" w:firstLine="0" w:firstLineChars="0"/>
        <w:jc w:val="center"/>
        <w:rPr>
          <w:rFonts w:hint="eastAsia" w:ascii="宋体" w:hAnsi="宋体" w:eastAsia="宋体" w:cs="宋体"/>
          <w:color w:val="auto"/>
          <w:highlight w:val="none"/>
        </w:rPr>
      </w:pPr>
    </w:p>
    <w:p>
      <w:pPr>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招标文件</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（电子招投标）</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编号：（RTZFCG-2022-087）</w:t>
      </w:r>
    </w:p>
    <w:p>
      <w:pPr>
        <w:adjustRightInd/>
        <w:spacing w:line="600" w:lineRule="atLeast"/>
        <w:jc w:val="center"/>
        <w:rPr>
          <w:rFonts w:hint="eastAsia" w:ascii="宋体" w:hAnsi="宋体" w:eastAsia="宋体" w:cs="宋体"/>
          <w:b/>
          <w:bCs/>
          <w:color w:val="auto"/>
          <w:spacing w:val="6"/>
          <w:sz w:val="44"/>
          <w:szCs w:val="44"/>
          <w:highlight w:val="none"/>
        </w:rPr>
      </w:pPr>
    </w:p>
    <w:p>
      <w:pPr>
        <w:pStyle w:val="62"/>
        <w:spacing w:line="600" w:lineRule="atLeast"/>
        <w:ind w:left="0" w:leftChars="0" w:firstLine="0" w:firstLineChars="0"/>
        <w:jc w:val="center"/>
        <w:rPr>
          <w:rFonts w:hint="eastAsia" w:ascii="宋体" w:hAnsi="宋体" w:eastAsia="宋体" w:cs="宋体"/>
          <w:color w:val="auto"/>
          <w:highlight w:val="none"/>
        </w:rPr>
      </w:pPr>
    </w:p>
    <w:p>
      <w:pPr>
        <w:adjustRightInd/>
        <w:spacing w:line="600" w:lineRule="atLeast"/>
        <w:jc w:val="center"/>
        <w:rPr>
          <w:rFonts w:hint="eastAsia" w:ascii="宋体" w:hAnsi="宋体" w:eastAsia="宋体" w:cs="宋体"/>
          <w:b/>
          <w:bCs/>
          <w:color w:val="auto"/>
          <w:spacing w:val="6"/>
          <w:sz w:val="44"/>
          <w:szCs w:val="44"/>
          <w:highlight w:val="none"/>
        </w:rPr>
      </w:pPr>
    </w:p>
    <w:p>
      <w:pPr>
        <w:adjustRightInd/>
        <w:spacing w:line="600" w:lineRule="atLeast"/>
        <w:jc w:val="center"/>
        <w:rPr>
          <w:rFonts w:hint="eastAsia" w:ascii="宋体" w:hAnsi="宋体" w:eastAsia="宋体" w:cs="宋体"/>
          <w:b/>
          <w:bCs/>
          <w:color w:val="auto"/>
          <w:spacing w:val="6"/>
          <w:sz w:val="44"/>
          <w:szCs w:val="44"/>
          <w:highlight w:val="none"/>
        </w:rPr>
      </w:pPr>
    </w:p>
    <w:p>
      <w:pPr>
        <w:pStyle w:val="62"/>
        <w:spacing w:line="600" w:lineRule="atLeast"/>
        <w:ind w:left="0" w:leftChars="0" w:firstLine="0" w:firstLineChars="0"/>
        <w:jc w:val="center"/>
        <w:rPr>
          <w:rFonts w:hint="eastAsia" w:ascii="宋体" w:hAnsi="宋体" w:eastAsia="宋体" w:cs="宋体"/>
          <w:color w:val="auto"/>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采购人：杭州市余杭区人民政府五常街道办事处</w:t>
      </w:r>
    </w:p>
    <w:p>
      <w:pPr>
        <w:pStyle w:val="26"/>
        <w:rPr>
          <w:rFonts w:hint="eastAsia" w:ascii="宋体" w:hAnsi="宋体" w:eastAsia="宋体" w:cs="宋体"/>
          <w:color w:val="auto"/>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二〇二二年</w:t>
      </w:r>
      <w:r>
        <w:rPr>
          <w:rFonts w:hint="eastAsia" w:ascii="宋体" w:hAnsi="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pPr>
        <w:spacing w:line="360" w:lineRule="auto"/>
        <w:rPr>
          <w:rFonts w:hint="eastAsia" w:ascii="宋体" w:hAnsi="宋体" w:eastAsia="宋体" w:cs="宋体"/>
          <w:color w:val="auto"/>
          <w:sz w:val="32"/>
          <w:szCs w:val="32"/>
          <w:highlight w:val="none"/>
        </w:rPr>
      </w:pPr>
    </w:p>
    <w:p>
      <w:pPr>
        <w:spacing w:line="6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spacing w:line="6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spacing w:line="6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spacing w:line="6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评标办法</w:t>
      </w:r>
    </w:p>
    <w:p>
      <w:pPr>
        <w:spacing w:line="6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拟签订的合同文本</w:t>
      </w:r>
    </w:p>
    <w:p>
      <w:pPr>
        <w:spacing w:line="6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bookmarkEnd w:id="2"/>
    <w:p>
      <w:pPr>
        <w:adjustRightInd/>
        <w:jc w:val="center"/>
        <w:outlineLvl w:val="0"/>
        <w:rPr>
          <w:rFonts w:hint="eastAsia" w:ascii="宋体" w:hAnsi="宋体" w:eastAsia="宋体" w:cs="宋体"/>
          <w:b/>
          <w:color w:val="auto"/>
          <w:sz w:val="28"/>
          <w:szCs w:val="28"/>
          <w:highlight w:val="none"/>
        </w:rPr>
      </w:pPr>
      <w:bookmarkStart w:id="3" w:name="第二部分"/>
      <w:bookmarkStart w:id="4" w:name="_Toc91899870"/>
      <w:bookmarkStart w:id="5" w:name="_Toc91899871"/>
    </w:p>
    <w:p>
      <w:pPr>
        <w:pStyle w:val="26"/>
        <w:ind w:firstLine="562"/>
        <w:rPr>
          <w:rFonts w:hint="eastAsia" w:ascii="宋体" w:hAnsi="宋体" w:eastAsia="宋体" w:cs="宋体"/>
          <w:b/>
          <w:color w:val="auto"/>
          <w:sz w:val="28"/>
          <w:szCs w:val="28"/>
          <w:highlight w:val="none"/>
        </w:rPr>
      </w:pPr>
    </w:p>
    <w:p>
      <w:pPr>
        <w:pStyle w:val="62"/>
        <w:ind w:firstLine="562"/>
        <w:rPr>
          <w:rFonts w:hint="eastAsia" w:ascii="宋体" w:hAnsi="宋体" w:eastAsia="宋体" w:cs="宋体"/>
          <w:b/>
          <w:color w:val="auto"/>
          <w:sz w:val="28"/>
          <w:szCs w:val="28"/>
          <w:highlight w:val="none"/>
        </w:rPr>
      </w:pPr>
    </w:p>
    <w:p>
      <w:pPr>
        <w:pStyle w:val="62"/>
        <w:ind w:firstLine="562"/>
        <w:rPr>
          <w:rFonts w:hint="eastAsia" w:ascii="宋体" w:hAnsi="宋体" w:eastAsia="宋体" w:cs="宋体"/>
          <w:b/>
          <w:color w:val="auto"/>
          <w:sz w:val="28"/>
          <w:szCs w:val="28"/>
          <w:highlight w:val="none"/>
        </w:rPr>
      </w:pPr>
    </w:p>
    <w:p>
      <w:pPr>
        <w:adjustRightInd/>
        <w:jc w:val="center"/>
        <w:outlineLvl w:val="0"/>
        <w:rPr>
          <w:rFonts w:hint="eastAsia" w:ascii="宋体" w:hAnsi="宋体" w:eastAsia="宋体" w:cs="宋体"/>
          <w:b/>
          <w:color w:val="auto"/>
          <w:sz w:val="28"/>
          <w:szCs w:val="28"/>
          <w:highlight w:val="none"/>
        </w:rPr>
      </w:pPr>
    </w:p>
    <w:p>
      <w:pPr>
        <w:adjustRightInd/>
        <w:jc w:val="center"/>
        <w:outlineLvl w:val="0"/>
        <w:rPr>
          <w:rFonts w:hint="eastAsia" w:ascii="宋体" w:hAnsi="宋体" w:eastAsia="宋体" w:cs="宋体"/>
          <w:b/>
          <w:color w:val="auto"/>
          <w:sz w:val="28"/>
          <w:szCs w:val="28"/>
          <w:highlight w:val="none"/>
        </w:rPr>
      </w:pPr>
    </w:p>
    <w:p>
      <w:pPr>
        <w:adjustRightInd/>
        <w:jc w:val="center"/>
        <w:outlineLvl w:val="0"/>
        <w:rPr>
          <w:rFonts w:hint="eastAsia" w:ascii="宋体" w:hAnsi="宋体" w:eastAsia="宋体" w:cs="宋体"/>
          <w:b/>
          <w:color w:val="auto"/>
          <w:sz w:val="28"/>
          <w:szCs w:val="28"/>
          <w:highlight w:val="none"/>
        </w:rPr>
      </w:pPr>
    </w:p>
    <w:p>
      <w:pPr>
        <w:adjustRightInd/>
        <w:jc w:val="center"/>
        <w:outlineLvl w:val="0"/>
        <w:rPr>
          <w:rFonts w:hint="eastAsia" w:ascii="宋体" w:hAnsi="宋体" w:eastAsia="宋体" w:cs="宋体"/>
          <w:b/>
          <w:color w:val="auto"/>
          <w:sz w:val="28"/>
          <w:szCs w:val="28"/>
          <w:highlight w:val="none"/>
        </w:rPr>
      </w:pPr>
    </w:p>
    <w:p>
      <w:pPr>
        <w:adjustRightInd/>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28"/>
          <w:szCs w:val="28"/>
          <w:highlight w:val="none"/>
        </w:rPr>
        <w:t>第一部分 招标公告</w:t>
      </w:r>
    </w:p>
    <w:p>
      <w:pPr>
        <w:pBdr>
          <w:top w:val="single" w:color="auto" w:sz="4" w:space="1"/>
          <w:left w:val="single" w:color="auto" w:sz="4" w:space="4"/>
          <w:bottom w:val="single" w:color="auto" w:sz="4" w:space="1"/>
          <w:right w:val="single" w:color="auto" w:sz="4" w:space="4"/>
        </w:pBdr>
        <w:spacing w:line="600" w:lineRule="atLeast"/>
        <w:ind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600" w:lineRule="atLeas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五常街道梦溪水乡征迁区块卡口管理项目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2022年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u w:val="single"/>
        </w:rPr>
        <w:t>RTZFCG-2022-087</w:t>
      </w:r>
    </w:p>
    <w:p>
      <w:pPr>
        <w:spacing w:line="600" w:lineRule="exact"/>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u w:val="single"/>
          <w:lang w:eastAsia="zh-CN"/>
        </w:rPr>
        <w:t>五常街道梦溪水乡征迁区块卡口管理项目</w:t>
      </w:r>
    </w:p>
    <w:p>
      <w:pPr>
        <w:spacing w:line="600" w:lineRule="exact"/>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u w:val="single"/>
          <w:lang w:val="en-US" w:eastAsia="zh-CN"/>
        </w:rPr>
        <w:t>504</w:t>
      </w:r>
      <w:r>
        <w:rPr>
          <w:rFonts w:hint="eastAsia" w:ascii="宋体" w:hAnsi="宋体" w:eastAsia="宋体" w:cs="宋体"/>
          <w:color w:val="auto"/>
          <w:sz w:val="24"/>
          <w:highlight w:val="none"/>
          <w:u w:val="single"/>
        </w:rPr>
        <w:t>0000元</w:t>
      </w:r>
    </w:p>
    <w:p>
      <w:pPr>
        <w:spacing w:line="600" w:lineRule="exact"/>
        <w:ind w:firstLine="482"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u w:val="single"/>
          <w:lang w:val="en-US" w:eastAsia="zh-CN"/>
        </w:rPr>
        <w:t>504</w:t>
      </w:r>
      <w:r>
        <w:rPr>
          <w:rFonts w:hint="eastAsia" w:ascii="宋体" w:hAnsi="宋体" w:eastAsia="宋体" w:cs="宋体"/>
          <w:color w:val="auto"/>
          <w:sz w:val="24"/>
          <w:highlight w:val="none"/>
          <w:u w:val="single"/>
        </w:rPr>
        <w:t>0000元</w:t>
      </w:r>
      <w:r>
        <w:rPr>
          <w:rFonts w:hint="eastAsia" w:ascii="宋体" w:hAnsi="宋体" w:cs="宋体"/>
          <w:color w:val="auto"/>
          <w:sz w:val="24"/>
          <w:highlight w:val="none"/>
          <w:u w:val="single"/>
          <w:lang w:val="en-US" w:eastAsia="zh-CN"/>
        </w:rPr>
        <w:t>/三年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1680000元/年</w:t>
      </w:r>
    </w:p>
    <w:p>
      <w:pPr>
        <w:spacing w:line="60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u w:val="single"/>
        </w:rPr>
        <w:t>本项目采购内容为</w:t>
      </w:r>
      <w:r>
        <w:rPr>
          <w:rFonts w:hint="eastAsia" w:ascii="宋体" w:hAnsi="宋体" w:cs="宋体"/>
          <w:color w:val="auto"/>
          <w:sz w:val="24"/>
          <w:highlight w:val="none"/>
          <w:u w:val="single"/>
          <w:lang w:eastAsia="zh-CN"/>
        </w:rPr>
        <w:t>五常街道梦溪水乡征迁区块卡口管理项目</w:t>
      </w:r>
      <w:r>
        <w:rPr>
          <w:rFonts w:hint="eastAsia" w:ascii="宋体" w:hAnsi="宋体" w:eastAsia="宋体" w:cs="宋体"/>
          <w:color w:val="auto"/>
          <w:sz w:val="24"/>
          <w:highlight w:val="none"/>
          <w:u w:val="single"/>
        </w:rPr>
        <w:t>；详见第三部分—项目技术规范和服务要求</w:t>
      </w:r>
      <w:r>
        <w:rPr>
          <w:rFonts w:hint="eastAsia" w:ascii="宋体" w:hAnsi="宋体" w:eastAsia="宋体" w:cs="宋体"/>
          <w:bCs/>
          <w:color w:val="auto"/>
          <w:sz w:val="24"/>
          <w:highlight w:val="none"/>
        </w:rPr>
        <w:t>。</w:t>
      </w:r>
    </w:p>
    <w:p>
      <w:pPr>
        <w:widowControl w:val="0"/>
        <w:wordWrap/>
        <w:adjustRightInd w:val="0"/>
        <w:snapToGrid w:val="0"/>
        <w:spacing w:line="600" w:lineRule="exact"/>
        <w:ind w:firstLine="42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Cs w:val="24"/>
          <w:highlight w:val="none"/>
        </w:rPr>
        <w:t>服务期限：</w:t>
      </w:r>
      <w:r>
        <w:rPr>
          <w:rFonts w:hint="eastAsia" w:ascii="宋体" w:hAnsi="宋体" w:eastAsia="宋体" w:cs="宋体"/>
          <w:b/>
          <w:color w:val="auto"/>
          <w:sz w:val="24"/>
          <w:highlight w:val="none"/>
          <w:u w:val="single"/>
          <w:lang w:val="en-US" w:eastAsia="zh-CN"/>
        </w:rPr>
        <w:t>叁</w:t>
      </w:r>
      <w:r>
        <w:rPr>
          <w:rFonts w:hint="eastAsia" w:ascii="宋体" w:hAnsi="宋体" w:eastAsia="宋体" w:cs="宋体"/>
          <w:b/>
          <w:color w:val="auto"/>
          <w:sz w:val="24"/>
          <w:highlight w:val="none"/>
          <w:u w:val="single"/>
          <w:lang w:eastAsia="zh-CN"/>
        </w:rPr>
        <w:t>年</w:t>
      </w:r>
      <w:r>
        <w:rPr>
          <w:rFonts w:hint="eastAsia" w:ascii="宋体" w:hAnsi="宋体" w:eastAsia="宋体" w:cs="宋体"/>
          <w:b/>
          <w:color w:val="auto"/>
          <w:sz w:val="24"/>
          <w:highlight w:val="none"/>
          <w:u w:val="single"/>
        </w:rPr>
        <w:t>，</w:t>
      </w:r>
      <w:r>
        <w:rPr>
          <w:rFonts w:hint="eastAsia" w:ascii="宋体" w:hAnsi="宋体" w:eastAsia="宋体" w:cs="宋体"/>
          <w:b/>
          <w:color w:val="auto"/>
          <w:sz w:val="24"/>
          <w:highlight w:val="none"/>
          <w:u w:val="single"/>
          <w:lang w:val="en-US" w:eastAsia="zh-CN"/>
        </w:rPr>
        <w:t>合同一年一考核一续签</w:t>
      </w:r>
      <w:r>
        <w:rPr>
          <w:rFonts w:hint="eastAsia" w:ascii="宋体" w:hAnsi="宋体" w:eastAsia="宋体" w:cs="宋体"/>
          <w:b/>
          <w:color w:val="auto"/>
          <w:sz w:val="24"/>
          <w:highlight w:val="none"/>
          <w:u w:val="single"/>
        </w:rPr>
        <w:t>，续签期间服务费不变。</w:t>
      </w:r>
    </w:p>
    <w:p>
      <w:pPr>
        <w:pStyle w:val="2"/>
        <w:spacing w:line="600" w:lineRule="exact"/>
        <w:ind w:firstLine="480"/>
        <w:rPr>
          <w:rFonts w:hint="eastAsia" w:ascii="宋体" w:hAnsi="宋体" w:eastAsia="宋体" w:cs="宋体"/>
          <w:color w:val="auto"/>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highlight w:val="none"/>
        </w:rPr>
        <w:sym w:font="Wingdings" w:char="00A8"/>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600" w:lineRule="exact"/>
        <w:ind w:firstLine="48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    2.落实政府采购政策需满足的资格要求：</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无；</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600" w:lineRule="exact"/>
        <w:ind w:firstLine="897" w:firstLineChars="374"/>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货物全部由符合政策要求的中小企业制造，提供中小企业声明函；</w:t>
      </w:r>
    </w:p>
    <w:p>
      <w:pPr>
        <w:spacing w:line="600" w:lineRule="exact"/>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货物全部由符合政策要求的小微企业制造，提供中小企业声明函；</w:t>
      </w:r>
    </w:p>
    <w:p>
      <w:pPr>
        <w:spacing w:line="600" w:lineRule="exact"/>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服务全部由符合政策要求的中小企业承接，提供中小企业声明函；</w:t>
      </w:r>
    </w:p>
    <w:p>
      <w:pPr>
        <w:spacing w:line="600" w:lineRule="exact"/>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cs="宋体"/>
          <w:color w:val="auto"/>
          <w:sz w:val="24"/>
          <w:highlight w:val="none"/>
          <w:lang w:val="en-US" w:eastAsia="zh-CN"/>
        </w:rPr>
        <w:t>无</w:t>
      </w:r>
    </w:p>
    <w:p>
      <w:pPr>
        <w:snapToGrid w:val="0"/>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color w:val="auto"/>
          <w:sz w:val="24"/>
          <w:highlight w:val="none"/>
          <w:lang w:val="en-US" w:eastAsia="zh-CN"/>
        </w:rPr>
        <w:t xml:space="preserve">  </w:t>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2022年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，每天上午00：00至12：00，下午12：00至23：59（北京时间，线上获取法定节假日均可，线下获取文件法定节假日除外）</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2022年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w:t>
      </w:r>
      <w:r>
        <w:rPr>
          <w:rFonts w:hint="eastAsia" w:ascii="宋体" w:hAnsi="宋体" w:eastAsia="宋体" w:cs="宋体"/>
          <w:color w:val="auto"/>
          <w:sz w:val="24"/>
          <w:highlight w:val="none"/>
        </w:rPr>
        <w:t>（北京时间）</w:t>
      </w:r>
    </w:p>
    <w:p>
      <w:pPr>
        <w:spacing w:line="6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600" w:lineRule="exact"/>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2022年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w:t>
      </w:r>
      <w:r>
        <w:rPr>
          <w:rFonts w:hint="eastAsia" w:ascii="宋体" w:hAnsi="宋体" w:eastAsia="宋体" w:cs="宋体"/>
          <w:bCs/>
          <w:color w:val="auto"/>
          <w:sz w:val="24"/>
          <w:highlight w:val="none"/>
          <w:u w:val="single"/>
        </w:rPr>
        <w:t xml:space="preserve"> </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6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4.其他事项：无</w:t>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称：杭州市余杭区人民政府五常街道办事处</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址：浙江省杭州市余杭区西坝路59号</w:t>
      </w:r>
    </w:p>
    <w:p>
      <w:pPr>
        <w:widowControl w:val="0"/>
        <w:wordWrap/>
        <w:adjustRightInd w:val="0"/>
        <w:snapToGrid/>
        <w:spacing w:line="560" w:lineRule="exact"/>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项目联系人（询问）：施建洪</w:t>
      </w:r>
      <w:r>
        <w:rPr>
          <w:rFonts w:hint="eastAsia" w:ascii="宋体" w:hAnsi="宋体" w:cs="宋体"/>
          <w:color w:val="auto"/>
          <w:sz w:val="24"/>
          <w:highlight w:val="none"/>
          <w:lang w:val="en-US" w:eastAsia="zh-CN"/>
        </w:rPr>
        <w:t xml:space="preserve"> </w:t>
      </w:r>
    </w:p>
    <w:p>
      <w:pPr>
        <w:widowControl w:val="0"/>
        <w:wordWrap/>
        <w:adjustRightInd w:val="0"/>
        <w:snapToGrid/>
        <w:spacing w:line="56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项目联系方式（询问）：0571-88732318</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张剑</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0571-88733113</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称：杭州瑞拓工程咨询有限公司</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址：杭州市余杭区余杭街道科技大道8-5号5幢</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层</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真：0571-86243788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项目联系人（询问）：石敏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项目联系方式（询问）：0571-89282811</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质疑联系人：张诗佳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质疑联系方式：0571-86243788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名称：余杭区政府采购办公室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地址：杭州市余杭区</w:t>
      </w:r>
      <w:r>
        <w:rPr>
          <w:rFonts w:hint="eastAsia" w:ascii="宋体" w:hAnsi="宋体" w:cs="宋体"/>
          <w:color w:val="auto"/>
          <w:sz w:val="24"/>
          <w:highlight w:val="none"/>
          <w:lang w:val="en-US" w:eastAsia="zh-CN"/>
        </w:rPr>
        <w:t>文一西路1500号8号楼1201室</w:t>
      </w:r>
      <w:r>
        <w:rPr>
          <w:rFonts w:hint="eastAsia" w:ascii="宋体" w:hAnsi="宋体" w:eastAsia="宋体" w:cs="宋体"/>
          <w:color w:val="auto"/>
          <w:sz w:val="24"/>
          <w:highlight w:val="none"/>
        </w:rPr>
        <w:t>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传真：0571-88728858</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联系人：杜国强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监督投诉电话：0571-88728858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5"/>
        <w:spacing w:line="360" w:lineRule="auto"/>
        <w:jc w:val="both"/>
        <w:rPr>
          <w:rFonts w:hint="eastAsia" w:ascii="宋体" w:hAnsi="宋体" w:eastAsia="宋体" w:cs="宋体"/>
          <w:b/>
          <w:color w:val="auto"/>
          <w:sz w:val="28"/>
          <w:szCs w:val="28"/>
          <w:highlight w:val="none"/>
        </w:rPr>
      </w:pPr>
    </w:p>
    <w:p>
      <w:pPr>
        <w:pStyle w:val="35"/>
        <w:spacing w:line="360" w:lineRule="auto"/>
        <w:ind w:firstLine="562" w:firstLineChars="200"/>
        <w:jc w:val="center"/>
        <w:rPr>
          <w:rFonts w:hint="eastAsia" w:ascii="宋体" w:hAnsi="宋体" w:eastAsia="宋体" w:cs="宋体"/>
          <w:b/>
          <w:color w:val="auto"/>
          <w:sz w:val="28"/>
          <w:szCs w:val="28"/>
          <w:highlight w:val="none"/>
        </w:rPr>
        <w:sectPr>
          <w:headerReference r:id="rId4" w:type="first"/>
          <w:footerReference r:id="rId6" w:type="first"/>
          <w:headerReference r:id="rId3" w:type="default"/>
          <w:footerReference r:id="rId5"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5"/>
        <w:spacing w:line="360" w:lineRule="auto"/>
        <w:ind w:firstLine="562" w:firstLineChars="200"/>
        <w:jc w:val="center"/>
        <w:rPr>
          <w:rFonts w:hint="eastAsia" w:ascii="宋体" w:hAnsi="宋体" w:eastAsia="宋体" w:cs="宋体"/>
          <w:b/>
          <w:color w:val="auto"/>
          <w:sz w:val="36"/>
          <w:szCs w:val="20"/>
          <w:highlight w:val="none"/>
        </w:rPr>
      </w:pPr>
      <w:r>
        <w:rPr>
          <w:rFonts w:hint="eastAsia" w:ascii="宋体" w:hAnsi="宋体" w:eastAsia="宋体" w:cs="宋体"/>
          <w:b/>
          <w:color w:val="auto"/>
          <w:sz w:val="28"/>
          <w:szCs w:val="28"/>
          <w:highlight w:val="none"/>
        </w:rPr>
        <w:t>第二部分</w:t>
      </w:r>
      <w:bookmarkEnd w:id="3"/>
      <w:r>
        <w:rPr>
          <w:rFonts w:hint="eastAsia" w:ascii="宋体" w:hAnsi="宋体" w:eastAsia="宋体" w:cs="宋体"/>
          <w:b/>
          <w:color w:val="auto"/>
          <w:sz w:val="28"/>
          <w:szCs w:val="28"/>
          <w:highlight w:val="none"/>
        </w:rPr>
        <w:t xml:space="preserve"> 投标人须知</w:t>
      </w:r>
      <w:bookmarkEnd w:id="4"/>
    </w:p>
    <w:p>
      <w:pPr>
        <w:adjustRightInd/>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前附表</w:t>
      </w:r>
    </w:p>
    <w:tbl>
      <w:tblPr>
        <w:tblStyle w:val="63"/>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0"/>
        <w:gridCol w:w="1909"/>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事项</w:t>
            </w:r>
          </w:p>
        </w:tc>
        <w:tc>
          <w:tcPr>
            <w:tcW w:w="657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报价要求</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sz w:val="24"/>
                <w:highlight w:val="none"/>
                <w:lang w:val="zh-CN"/>
              </w:rPr>
              <w:t>。投标文件中价格全部采用人民币报价。招标文件未列明，而投标人认为必需的费用也需列入报价。</w:t>
            </w:r>
          </w:p>
          <w:p>
            <w:pPr>
              <w:widowControl w:val="0"/>
              <w:wordWrap/>
              <w:adjustRightInd w:val="0"/>
              <w:snapToGrid/>
              <w:spacing w:line="530" w:lineRule="exact"/>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投标报价出现下列情形的，投标无效：</w:t>
            </w:r>
          </w:p>
          <w:p>
            <w:pPr>
              <w:widowControl w:val="0"/>
              <w:wordWrap/>
              <w:adjustRightInd w:val="0"/>
              <w:snapToGrid/>
              <w:spacing w:line="530" w:lineRule="exact"/>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投标文件出现不是唯一的、有选择性投标报价的；</w:t>
            </w:r>
          </w:p>
          <w:p>
            <w:pPr>
              <w:widowControl w:val="0"/>
              <w:wordWrap/>
              <w:adjustRightInd w:val="0"/>
              <w:snapToGrid/>
              <w:spacing w:line="530" w:lineRule="exact"/>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投标报价超过招标文件中规定的预算金额或者最高限价的；</w:t>
            </w:r>
          </w:p>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3）报价明显低于其他通过符合性审查投标人的报价，有可能影响产品质量或者不能诚信履约的，未能按要求提供书面说明或者提交相关证明材料证明其报价合理性的；</w:t>
            </w:r>
          </w:p>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restart"/>
            <w:vAlign w:val="center"/>
          </w:tcPr>
          <w:p>
            <w:pPr>
              <w:wordWrap/>
              <w:adjustRightInd w:val="0"/>
              <w:spacing w:line="530" w:lineRule="exact"/>
              <w:jc w:val="center"/>
              <w:textAlignment w:val="auto"/>
              <w:rPr>
                <w:rFonts w:hint="eastAsia" w:ascii="宋体" w:hAnsi="宋体" w:eastAsia="宋体" w:cs="宋体"/>
                <w:color w:val="auto"/>
                <w:sz w:val="24"/>
                <w:highlight w:val="none"/>
              </w:rPr>
            </w:pPr>
          </w:p>
          <w:p>
            <w:pPr>
              <w:wordWrap/>
              <w:adjustRightInd w:val="0"/>
              <w:spacing w:line="530" w:lineRule="exact"/>
              <w:jc w:val="center"/>
              <w:textAlignment w:val="auto"/>
              <w:rPr>
                <w:rFonts w:hint="eastAsia" w:ascii="宋体" w:hAnsi="宋体" w:eastAsia="宋体" w:cs="宋体"/>
                <w:color w:val="auto"/>
                <w:sz w:val="24"/>
                <w:highlight w:val="none"/>
              </w:rPr>
            </w:pPr>
          </w:p>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09" w:type="dxa"/>
            <w:vMerge w:val="restart"/>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投标人应当提供的资格、资信证明文件</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continue"/>
            <w:vAlign w:val="center"/>
          </w:tcPr>
          <w:p>
            <w:pPr>
              <w:wordWrap/>
              <w:adjustRightInd w:val="0"/>
              <w:spacing w:line="530" w:lineRule="exact"/>
              <w:jc w:val="center"/>
              <w:textAlignment w:val="auto"/>
              <w:rPr>
                <w:rFonts w:hint="eastAsia" w:ascii="宋体" w:hAnsi="宋体" w:eastAsia="宋体" w:cs="宋体"/>
                <w:color w:val="auto"/>
                <w:sz w:val="24"/>
                <w:highlight w:val="none"/>
              </w:rPr>
            </w:pPr>
          </w:p>
        </w:tc>
        <w:tc>
          <w:tcPr>
            <w:tcW w:w="1909" w:type="dxa"/>
            <w:vMerge w:val="continue"/>
            <w:vAlign w:val="center"/>
          </w:tcPr>
          <w:p>
            <w:pPr>
              <w:wordWrap/>
              <w:adjustRightInd w:val="0"/>
              <w:spacing w:line="530" w:lineRule="exact"/>
              <w:jc w:val="center"/>
              <w:textAlignment w:val="auto"/>
              <w:rPr>
                <w:rFonts w:hint="eastAsia" w:ascii="宋体" w:hAnsi="宋体" w:eastAsia="宋体" w:cs="宋体"/>
                <w:color w:val="auto"/>
                <w:sz w:val="24"/>
                <w:highlight w:val="none"/>
              </w:rPr>
            </w:pP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p>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开标前答疑会或现场考察</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样品提供</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方案讲解演示</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是否允许采购进口产品</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项目属性与核心产品</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采购标的对应的中小企业划分标准所属行业</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w:t>
            </w:r>
            <w:r>
              <w:rPr>
                <w:rFonts w:hint="eastAsia" w:ascii="宋体" w:hAnsi="宋体" w:eastAsia="宋体" w:cs="宋体"/>
                <w:color w:val="auto"/>
                <w:sz w:val="24"/>
                <w:highlight w:val="none"/>
                <w:u w:val="single"/>
                <w:lang w:val="en-US" w:eastAsia="zh-CN"/>
              </w:rPr>
              <w:t>卡口管理</w:t>
            </w:r>
            <w:r>
              <w:rPr>
                <w:rFonts w:hint="eastAsia" w:ascii="宋体" w:hAnsi="宋体" w:eastAsia="宋体" w:cs="宋体"/>
                <w:color w:val="auto"/>
                <w:sz w:val="24"/>
                <w:highlight w:val="none"/>
                <w:u w:val="single"/>
              </w:rPr>
              <w:t>项目</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（十六）其他未列明行业</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节能产品、环境标志产品</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restart"/>
            <w:vAlign w:val="center"/>
          </w:tcPr>
          <w:p>
            <w:pPr>
              <w:wordWrap/>
              <w:adjustRightInd w:val="0"/>
              <w:spacing w:line="530" w:lineRule="exact"/>
              <w:jc w:val="center"/>
              <w:textAlignment w:val="auto"/>
              <w:rPr>
                <w:rFonts w:hint="eastAsia" w:ascii="宋体" w:hAnsi="宋体" w:eastAsia="宋体" w:cs="宋体"/>
                <w:color w:val="auto"/>
                <w:sz w:val="24"/>
                <w:highlight w:val="none"/>
              </w:rPr>
            </w:pPr>
          </w:p>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09" w:type="dxa"/>
            <w:vMerge w:val="restart"/>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中小企业信用融资</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continue"/>
            <w:vAlign w:val="center"/>
          </w:tcPr>
          <w:p>
            <w:pPr>
              <w:wordWrap/>
              <w:adjustRightInd w:val="0"/>
              <w:spacing w:line="530" w:lineRule="exact"/>
              <w:jc w:val="center"/>
              <w:textAlignment w:val="auto"/>
              <w:rPr>
                <w:rFonts w:hint="eastAsia" w:ascii="宋体" w:hAnsi="宋体" w:eastAsia="宋体" w:cs="宋体"/>
                <w:color w:val="auto"/>
                <w:sz w:val="24"/>
                <w:highlight w:val="none"/>
              </w:rPr>
            </w:pPr>
          </w:p>
        </w:tc>
        <w:tc>
          <w:tcPr>
            <w:tcW w:w="1909" w:type="dxa"/>
            <w:vMerge w:val="continue"/>
            <w:vAlign w:val="center"/>
          </w:tcPr>
          <w:p>
            <w:pPr>
              <w:wordWrap/>
              <w:adjustRightInd w:val="0"/>
              <w:spacing w:line="530" w:lineRule="exact"/>
              <w:jc w:val="center"/>
              <w:textAlignment w:val="auto"/>
              <w:rPr>
                <w:rFonts w:hint="eastAsia" w:ascii="宋体" w:hAnsi="宋体" w:eastAsia="宋体" w:cs="宋体"/>
                <w:color w:val="auto"/>
                <w:sz w:val="24"/>
                <w:highlight w:val="none"/>
              </w:rPr>
            </w:pP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备份投标文件送达地点和签收人员</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备份投标文件送达地点：杭州市余杭区余杭街道科技大道8-5号5幢</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层；备份投标文件签收人员联系电话：13456280842。</w:t>
            </w:r>
          </w:p>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909"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招标代理服务费</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本次代理服务费由</w:t>
            </w:r>
            <w:r>
              <w:rPr>
                <w:rFonts w:hint="eastAsia" w:ascii="宋体" w:hAnsi="宋体" w:cs="宋体"/>
                <w:color w:val="auto"/>
                <w:sz w:val="24"/>
                <w:highlight w:val="none"/>
                <w:lang w:eastAsia="zh-CN"/>
              </w:rPr>
              <w:t>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人支付，代理服务费按照国家计委印发的《招标代理服务收费管理暂行办法》计价格[2002]1980号、发改办价格[2003]857号和《关于规范余杭区政府投资项目中介服务付费限额标准的通知》余财政〔2018〕24号</w:t>
            </w:r>
            <w:r>
              <w:rPr>
                <w:rFonts w:hint="eastAsia" w:ascii="宋体" w:hAnsi="宋体" w:eastAsia="宋体" w:cs="宋体"/>
                <w:color w:val="auto"/>
                <w:sz w:val="24"/>
                <w:highlight w:val="none"/>
                <w:lang w:val="en-US" w:eastAsia="zh-CN"/>
              </w:rPr>
              <w:t>文件</w:t>
            </w:r>
            <w:r>
              <w:rPr>
                <w:rFonts w:hint="eastAsia" w:ascii="宋体" w:hAnsi="宋体" w:cs="宋体"/>
                <w:color w:val="auto"/>
                <w:sz w:val="24"/>
                <w:highlight w:val="none"/>
                <w:lang w:val="en-US" w:eastAsia="zh-CN"/>
              </w:rPr>
              <w:t>的90%计取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rPr>
              <w:t>招标代理费为人民币</w:t>
            </w:r>
            <w:r>
              <w:rPr>
                <w:rFonts w:hint="eastAsia" w:ascii="宋体" w:hAnsi="宋体" w:cs="宋体"/>
                <w:color w:val="auto"/>
                <w:sz w:val="24"/>
                <w:highlight w:val="none"/>
                <w:lang w:val="en-US" w:eastAsia="zh-CN"/>
              </w:rPr>
              <w:t>38736</w:t>
            </w:r>
            <w:r>
              <w:rPr>
                <w:rFonts w:hint="eastAsia" w:ascii="宋体" w:hAnsi="宋体" w:eastAsia="宋体" w:cs="宋体"/>
                <w:color w:val="auto"/>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00" w:type="dxa"/>
            <w:vAlign w:val="center"/>
          </w:tcPr>
          <w:p>
            <w:pPr>
              <w:wordWrap/>
              <w:adjustRightInd w:val="0"/>
              <w:spacing w:line="530" w:lineRule="exact"/>
              <w:jc w:val="center"/>
              <w:textAlignment w:val="auto"/>
              <w:rPr>
                <w:rFonts w:hint="eastAsia" w:ascii="宋体" w:hAnsi="宋体" w:eastAsia="宋体" w:cs="宋体"/>
                <w:color w:val="auto"/>
                <w:sz w:val="24"/>
                <w:highlight w:val="none"/>
              </w:rPr>
            </w:pPr>
            <w:bookmarkStart w:id="6" w:name="第三部分"/>
            <w:bookmarkStart w:id="7" w:name="_Toc164416483"/>
            <w:r>
              <w:rPr>
                <w:rFonts w:hint="eastAsia" w:ascii="宋体" w:hAnsi="宋体" w:eastAsia="宋体" w:cs="宋体"/>
                <w:color w:val="auto"/>
                <w:sz w:val="24"/>
                <w:highlight w:val="none"/>
              </w:rPr>
              <w:t>14</w:t>
            </w:r>
          </w:p>
        </w:tc>
        <w:tc>
          <w:tcPr>
            <w:tcW w:w="1909" w:type="dxa"/>
            <w:vAlign w:val="center"/>
          </w:tcPr>
          <w:p>
            <w:pPr>
              <w:widowControl w:val="0"/>
              <w:wordWrap/>
              <w:adjustRightInd w:val="0"/>
              <w:snapToGrid/>
              <w:spacing w:line="53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书面投标文件</w:t>
            </w:r>
          </w:p>
        </w:tc>
        <w:tc>
          <w:tcPr>
            <w:tcW w:w="6570" w:type="dxa"/>
            <w:vAlign w:val="center"/>
          </w:tcPr>
          <w:p>
            <w:pPr>
              <w:widowControl w:val="0"/>
              <w:wordWrap/>
              <w:adjustRightInd w:val="0"/>
              <w:snapToGrid/>
              <w:spacing w:line="53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中标单位需在领取中标通知书时，提供本项目纸质投标文件（资格文件”、“报价文件”和“商务技术文件”）</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份（正本一份，副本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份）并提供电子投标文件与纸质投标文件内容一致承诺书</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wordWrap/>
              <w:adjustRightInd w:val="0"/>
              <w:spacing w:line="53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479" w:type="dxa"/>
            <w:gridSpan w:val="2"/>
            <w:vAlign w:val="center"/>
          </w:tcPr>
          <w:p>
            <w:pPr>
              <w:widowControl w:val="0"/>
              <w:wordWrap/>
              <w:adjustRightInd w:val="0"/>
              <w:snapToGrid/>
              <w:spacing w:line="530" w:lineRule="exact"/>
              <w:jc w:val="left"/>
              <w:textAlignment w:val="auto"/>
              <w:rPr>
                <w:rFonts w:hint="eastAsia" w:ascii="宋体" w:hAnsi="宋体" w:eastAsia="宋体" w:cs="宋体"/>
                <w:color w:val="auto"/>
                <w:sz w:val="24"/>
                <w:highlight w:val="none"/>
              </w:rPr>
            </w:pPr>
            <w:r>
              <w:rPr>
                <w:rFonts w:hint="eastAsia" w:ascii="Times New Roman" w:hAnsi="Times New Roman" w:cs="Times New Roman"/>
                <w:b/>
                <w:bCs/>
                <w:color w:val="auto"/>
                <w:sz w:val="24"/>
                <w:highlight w:val="none"/>
              </w:rPr>
              <w:t>采购</w:t>
            </w:r>
            <w:r>
              <w:rPr>
                <w:rFonts w:hint="eastAsia" w:ascii="Times New Roman" w:hAnsi="Times New Roman" w:cs="Times New Roman"/>
                <w:b/>
                <w:bCs/>
                <w:color w:val="auto"/>
                <w:sz w:val="24"/>
                <w:highlight w:val="none"/>
                <w:lang w:val="en-US" w:eastAsia="zh-CN"/>
              </w:rPr>
              <w:t>文件</w:t>
            </w:r>
            <w:r>
              <w:rPr>
                <w:rFonts w:hint="eastAsia" w:ascii="Times New Roman" w:hAnsi="Times New Roman" w:cs="Times New Roman"/>
                <w:b/>
                <w:bCs/>
                <w:color w:val="auto"/>
                <w:sz w:val="24"/>
                <w:highlight w:val="none"/>
              </w:rPr>
              <w:t>中带“</w:t>
            </w:r>
            <w:r>
              <w:rPr>
                <w:rFonts w:hint="eastAsia" w:ascii="Times New Roman" w:hAnsi="Times New Roman" w:cs="Times New Roman"/>
                <w:b/>
                <w:bCs/>
                <w:color w:val="auto"/>
                <w:sz w:val="24"/>
                <w:highlight w:val="none"/>
                <w:lang w:eastAsia="zh-CN"/>
              </w:rPr>
              <w:t>●</w:t>
            </w:r>
            <w:r>
              <w:rPr>
                <w:rFonts w:hint="eastAsia" w:ascii="Times New Roman" w:hAnsi="Times New Roman" w:cs="Times New Roman"/>
                <w:b/>
                <w:bCs/>
                <w:color w:val="auto"/>
                <w:sz w:val="24"/>
                <w:highlight w:val="none"/>
              </w:rPr>
              <w:t>”条款为</w:t>
            </w:r>
            <w:r>
              <w:rPr>
                <w:rFonts w:hint="eastAsia" w:ascii="Times New Roman" w:hAnsi="Times New Roman" w:cs="Times New Roman"/>
                <w:b/>
                <w:bCs/>
                <w:color w:val="auto"/>
                <w:sz w:val="24"/>
                <w:highlight w:val="none"/>
                <w:lang w:val="en-US" w:eastAsia="zh-CN"/>
              </w:rPr>
              <w:t>招标文件要求的</w:t>
            </w:r>
            <w:r>
              <w:rPr>
                <w:rFonts w:hint="eastAsia" w:ascii="Times New Roman" w:hAnsi="Times New Roman" w:cs="Times New Roman"/>
                <w:b/>
                <w:bCs/>
                <w:color w:val="auto"/>
                <w:sz w:val="24"/>
                <w:highlight w:val="none"/>
              </w:rPr>
              <w:t>实质性内容，投标人须在投标文件中提供《符合性审查资料》（格式见第</w:t>
            </w:r>
            <w:r>
              <w:rPr>
                <w:rFonts w:hint="eastAsia" w:ascii="Times New Roman" w:hAnsi="Times New Roman" w:cs="Times New Roman"/>
                <w:b/>
                <w:bCs/>
                <w:color w:val="auto"/>
                <w:sz w:val="24"/>
                <w:highlight w:val="none"/>
                <w:lang w:val="en-US" w:eastAsia="zh-CN"/>
              </w:rPr>
              <w:t>六</w:t>
            </w:r>
            <w:r>
              <w:rPr>
                <w:rFonts w:hint="eastAsia" w:ascii="Times New Roman" w:hAnsi="Times New Roman" w:cs="Times New Roman"/>
                <w:b/>
                <w:bCs/>
                <w:color w:val="auto"/>
                <w:sz w:val="24"/>
                <w:highlight w:val="none"/>
              </w:rPr>
              <w:t>部分  应提交的有关格式范例），如有任意一条未响应或不满足，将被视为无效。</w:t>
            </w:r>
          </w:p>
        </w:tc>
      </w:tr>
      <w:bookmarkEnd w:id="5"/>
    </w:tbl>
    <w:p>
      <w:pPr>
        <w:adjustRightInd/>
        <w:spacing w:line="360" w:lineRule="auto"/>
        <w:ind w:firstLine="3845" w:firstLineChars="1197"/>
        <w:outlineLvl w:val="0"/>
        <w:rPr>
          <w:rFonts w:hint="eastAsia" w:ascii="宋体" w:hAnsi="宋体" w:eastAsia="宋体" w:cs="宋体"/>
          <w:b/>
          <w:color w:val="auto"/>
          <w:sz w:val="32"/>
          <w:szCs w:val="20"/>
          <w:highlight w:val="none"/>
        </w:rPr>
      </w:pPr>
    </w:p>
    <w:p>
      <w:pPr>
        <w:jc w:val="center"/>
        <w:rPr>
          <w:rFonts w:hint="eastAsia" w:ascii="宋体" w:hAnsi="宋体" w:eastAsia="宋体" w:cs="宋体"/>
          <w:b/>
          <w:bCs/>
          <w:color w:val="auto"/>
          <w:sz w:val="28"/>
          <w:szCs w:val="28"/>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8" w:name="_Toc91899903"/>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1、适用范围</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3、采购项目需要落实的政府采购政策</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3.3.2在政府采购活动中，投标人提供的货物、工程或者服务符合下列情形的，享受中小企业扶持政策：</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3.3.2.1在货物采购项目中，货物由中小企业制造，即货物由中小企业生产且使用该中小企业商号或者注册商标；</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3.3.2.2在工程采购项目中，工程由中小企业承建，即工程施工单位为中小企业；</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3.3.2.3在服务采购项目中，服务由中小企业承接，即提供服务的人员为中小企业依照《中华人民共和国劳动合同法》订立劳动合同的从业人员。</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在货物采购项目中，投标人提供的货物既有中小企业制造货物，也有大型企业制造货物的，不享受中小企业扶持政策。</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4、询问、质疑、投诉</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4.2供应商质疑</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4.2.2.1对招标文件提出质疑的，质疑期限为供应商获得招标文件之日或者招标文件公告期限届满之日起计算。</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4.2.3.1供应商的姓名或者名称、地址、邮编、联系人及联系电话；</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4.2.3.2质疑项目的名称、编号；</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4.2.3.3具体、明确的质疑事项和与质疑事项相关的请求；</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4.2.3.4事实依据；</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4.2.3.5必要的法律依据；</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4.2.3.6提出质疑的日期：</w:t>
      </w: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质疑函范本及制作说明详见附件2。</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4.2</w:t>
      </w:r>
      <w:r>
        <w:rPr>
          <w:rFonts w:hint="eastAsia" w:ascii="宋体" w:hAnsi="宋体" w:eastAsia="宋体" w:cs="宋体"/>
          <w:color w:val="auto"/>
          <w:sz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4.2</w:t>
      </w:r>
      <w:r>
        <w:rPr>
          <w:rFonts w:hint="eastAsia" w:ascii="宋体" w:hAnsi="宋体" w:eastAsia="宋体" w:cs="宋体"/>
          <w:color w:val="auto"/>
          <w:sz w:val="24"/>
          <w:highlight w:val="none"/>
        </w:rPr>
        <w:t>.5询问或者质疑事项可能影响采购结果的，采购人应当暂停签订合同，已经签订合同的，应当中止履行合同。</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4.3供应商投诉</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4.3.1质疑供应商对采购人、采购机构的答复不满意或者采购人、采购机构未在规定的时间内作出答复的，可以在答复期满后十五个工作日内向同级政府采购监督管理部门提出投诉。</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供应商投诉的事项不得超出已质疑事项的范围，基于质疑答复内容提出的投诉事项除外。</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4.3.3供应商投诉应当有明确的请求和必要的证明材料。</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4.3.4以联合体形式参加政府采购活动的，其投诉应当由组成联合体的所有供应商共同提出。</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投诉书范本及制作说明详见附件3。</w:t>
      </w:r>
    </w:p>
    <w:p>
      <w:pPr>
        <w:spacing w:line="600" w:lineRule="exact"/>
        <w:jc w:val="center"/>
        <w:rPr>
          <w:rFonts w:hint="eastAsia" w:ascii="宋体" w:hAnsi="宋体" w:eastAsia="宋体" w:cs="宋体"/>
          <w:b/>
          <w:bCs/>
          <w:color w:val="auto"/>
          <w:sz w:val="28"/>
          <w:szCs w:val="28"/>
          <w:highlight w:val="none"/>
        </w:rPr>
      </w:pPr>
    </w:p>
    <w:p>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二、招标文件的构成、澄清、修改</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5、招标文件的构成</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招标文件包括下列文件及附件：</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5.1.1招标公告；</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5.1.2投标人须知；</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5.1.3采购需求；</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5.1.4评标办法；</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5.1.5拟签订的合同文本；</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5.1.6应提交的有关格式范例。</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5.2与本项目有关的澄清或者修改的内容为招标文件的组成部分。</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6、招标文件的澄清、修改</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6.1已获取招标文件的潜在投标人，若有问题需要澄清，应于投标截止时间前，以书面形式向采购机构提出。</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600" w:lineRule="exact"/>
        <w:jc w:val="center"/>
        <w:rPr>
          <w:rFonts w:hint="eastAsia" w:ascii="宋体" w:hAnsi="宋体" w:eastAsia="宋体" w:cs="宋体"/>
          <w:b/>
          <w:bCs/>
          <w:color w:val="auto"/>
          <w:sz w:val="28"/>
          <w:szCs w:val="28"/>
          <w:highlight w:val="none"/>
        </w:rPr>
      </w:pPr>
    </w:p>
    <w:p>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三、投标</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7、招标文件的获取</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详见招标公告中获取招标文件的时间期限、地点、方式及招标文件售价。</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8、开标前答疑会或现场考察</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采购人组织潜在投标人现场考察或者召开开标前答疑会的，潜在投标人按第二部分投标人须知前附表的规定参加现场考察或者开标前答疑会。</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9、投标保证金</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10、投标文件的语言</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11、投标文件的组成</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11.1资格文件：</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11.2.8采购需求实质性内容响应表；</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11.2.9</w:t>
      </w:r>
      <w:r>
        <w:rPr>
          <w:rFonts w:hint="eastAsia" w:ascii="宋体" w:hAnsi="宋体" w:eastAsia="宋体" w:cs="宋体"/>
          <w:color w:val="auto"/>
          <w:sz w:val="24"/>
          <w:highlight w:val="none"/>
          <w:lang w:val="zh-CN"/>
        </w:rPr>
        <w:t>政府采购供应商廉洁自律承诺书；</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 xml:space="preserve">3报价文件： </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投标文件含有采购人不能接受的附加条件的，投标无效；</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投标人提供虚假材料投标的，投标无效。</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12、投标文件的编制</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12.3使用“政采云电子交易客户端”需要提前申领CA数字证书，申领流程请自行前往“浙江政府采购网-下载专区-电子交易客户端-CA驱动和申领流程”进行查阅。</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13、投标文件的签署、盖章</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13.1投标文件按照招标文件第六部分格式要求进行签署、盖章。●投标人的投标文件未按照招标文件要求签署、盖章的，其投标无效。</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13.2为确保网上操作合法、有效和安全，投标人应当在投标截止时间前完成在“政府采购云平台”的身份认证，确保在电子投标过程中能够对相关数据电文进行加密和使用电子签名。</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13.3招标文件对投标文件签署、盖章的要求适用于电子签名。</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14、投标文件的提交、补充、修改、撤回</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14.3采购人、采购机构可以视情况延长投标文件提交的截止时间。在上述情况下，采购机构与投标人以前在投标截止期方面的全部权利、责任和义务，将适用于延长至新的投标截止期。</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15、备份投标文件</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15.3直接提交备份投标文件的，投标人应于投标截止时间前在招标公告中载明的开标地点将备份投标文件提交给采购机构，采购机构将拒绝接受逾期送达的备份投标文件。</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15.5投标人仅提交备份投标文件，没有在电子交易平台传输递交投标文件的，投标无效。</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16、投标文件的无效处理</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有招标文件第四部分第13项规定的情形之一的，投标无效：</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17.1投标有效期为从提交投标文件的截止之日起90天。●投标人的投标文件中承诺的投标有效期少于招标文件中载明的投标有效期的，投标无效。</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17.2投标文件合格投递后，自投标截止日期起，在投标有效期内有效。</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spacing w:line="600" w:lineRule="exact"/>
        <w:jc w:val="center"/>
        <w:rPr>
          <w:rFonts w:hint="eastAsia" w:ascii="宋体" w:hAnsi="宋体" w:eastAsia="宋体" w:cs="宋体"/>
          <w:b/>
          <w:bCs/>
          <w:color w:val="auto"/>
          <w:sz w:val="28"/>
          <w:szCs w:val="28"/>
          <w:highlight w:val="none"/>
        </w:rPr>
      </w:pPr>
    </w:p>
    <w:p>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四、开标、资格审查与信用信息查询</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18、开标 </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18.3投标文件未按时解密，投标人提供了备份投标文件的，以备份投标文件作为依据，否则视为投标文件撤回。投标文件已按时解密的，备份投标文件自动失效。</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19、资格审查</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19.1开标后，采购人或采购机构将依法对投标人的资格进行审查。</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19.2采购人或采购机构依据法律法规和招标文件的规定，对投标人的基本资格条件、特定资格条件进行审查。</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19.3投标人未按照招标文件要求提供与基本资格条件、特定资格条件相应的有效资格证明材料的，视为投标人不具备招标文件中规定的资格要求，其投标无效。</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19.4对未通过资格审查的投标人，采购人或采购机构告知其未通过的原因。</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19.5合格投标人不足3家的，不再评标。</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20、信用信息查询</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20.1信用信息查询渠道及截止时间：采购机构将通过“信用中国”网站(www.creditchina.gov.cn）、中国政府采购网(www.ccgp.gov.cn）渠道查询投标人投标截止时间当天的信用记录。</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20.2信用信息查询记录和证据留存的具体方式：现场查询的投标人的信用记录、查询结果经确认后将与采购文件一起存档。</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20.3信用信息的使用规则：经查询列入失信被执行人名单、重大税收违法案件当事人名单、政府采购严重违法失信行为记录名单的投标人将被拒绝参与政府采购活动。</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600" w:lineRule="exact"/>
        <w:jc w:val="center"/>
        <w:rPr>
          <w:rFonts w:hint="eastAsia" w:ascii="宋体" w:hAnsi="宋体" w:eastAsia="宋体" w:cs="宋体"/>
          <w:b/>
          <w:bCs/>
          <w:color w:val="auto"/>
          <w:sz w:val="28"/>
          <w:szCs w:val="28"/>
          <w:highlight w:val="none"/>
        </w:rPr>
      </w:pPr>
    </w:p>
    <w:p>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五、评标</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600" w:lineRule="exact"/>
        <w:jc w:val="center"/>
        <w:rPr>
          <w:rFonts w:hint="eastAsia" w:ascii="宋体" w:hAnsi="宋体" w:eastAsia="宋体" w:cs="宋体"/>
          <w:b/>
          <w:bCs/>
          <w:color w:val="auto"/>
          <w:sz w:val="28"/>
          <w:szCs w:val="28"/>
          <w:highlight w:val="none"/>
        </w:rPr>
      </w:pPr>
    </w:p>
    <w:p>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六、定 标</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22、确定中标供应商</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采购人将自收到评审报告之日起5个工作日内通过电子交易平台在评审报告推荐的中标候选人中按顺序确定中标供应商。</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23、中标通知与中标结果公告</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pacing w:line="600" w:lineRule="exact"/>
        <w:jc w:val="center"/>
        <w:rPr>
          <w:rFonts w:hint="eastAsia" w:ascii="宋体" w:hAnsi="宋体" w:eastAsia="宋体" w:cs="宋体"/>
          <w:b/>
          <w:bCs/>
          <w:color w:val="auto"/>
          <w:sz w:val="28"/>
          <w:szCs w:val="28"/>
          <w:highlight w:val="none"/>
        </w:rPr>
      </w:pPr>
    </w:p>
    <w:p>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七、合同授予</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24、合同主要条款详见第五部分拟签订的合同文本。</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25、合同的签订</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采购人与中标人应当通过电子交易平台在中标通知书发出之日起三十日内，按照招标文件确定的事项签订政府采购合同，并在合同签订之日起2个工作日内依法发布合同公告。</w:t>
      </w:r>
    </w:p>
    <w:p>
      <w:pPr>
        <w:spacing w:line="6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25.3如签订合同并生效后，供应商无故拒绝或延期，除按照合同条款处理外，列入不良行为记录一次，并给予通报。</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25.4中标供应商拒绝与采购人签订合同的，采购人可以按照评审报告推荐的中标或者成交候选人名单排序，确定下一候选人为中标供应商，也可以重新开展政府采购活动。</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25.5采购合同由采购人与中标供应商根据招标文件、投标文件等内容通过政府采购电子交易平台在线签订，自动备案。</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26、履约保证金</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%。鼓励和支持供应商以银行、保险公司出具的保函形式提供履约保证金。采购人不得拒收履约保函。</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%；评价总分在90分以下或者暂无评分的，收取履约保证金不得高于合同金额</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600" w:lineRule="exact"/>
        <w:jc w:val="center"/>
        <w:rPr>
          <w:rFonts w:hint="eastAsia" w:ascii="宋体" w:hAnsi="宋体" w:eastAsia="宋体" w:cs="宋体"/>
          <w:b/>
          <w:bCs/>
          <w:color w:val="auto"/>
          <w:sz w:val="28"/>
          <w:szCs w:val="28"/>
          <w:highlight w:val="none"/>
        </w:rPr>
      </w:pPr>
    </w:p>
    <w:p>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八、电子交易活动的中止</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27、电子交易活动的中止。采购过程中出现以下情形，导致电子交易平台无法正常运行，或者无法保证电子交易的公平、公正和安全时，采购机构可中止电子交易活动：</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27.1电子交易平台发生故障而无法登录访问的； </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27.2电子交易平台应用或数据库出现错误，不能进行正常操作的；</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27.3电子交易平台发现严重安全漏洞，有潜在泄密危险的；</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27.4病毒发作导致不能进行正常操作的； </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27.5其他无法保证电子交易的公平、公正和安全的情况。</w:t>
      </w:r>
    </w:p>
    <w:p>
      <w:pPr>
        <w:spacing w:line="60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28、出现以上情形，不影响采购公平、公正性的，采购组织机构可以待上述情形消除后继 续组织电子交易活动，也可以决定某些环节以纸质形式进行；影响或可能影响采购公平、公正性的，应当重新采购。</w:t>
      </w:r>
    </w:p>
    <w:p>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九、验收</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29、验收</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29.2采购人可以邀请参加本项目的其他投标人或者第三方机构参与验收。参与验收的投标人或者第三方机构的意见作为验收书的参考资料一并存档。</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600" w:lineRule="exact"/>
        <w:ind w:firstLine="480" w:firstLineChars="200"/>
        <w:rPr>
          <w:rFonts w:hint="eastAsia" w:ascii="宋体" w:hAnsi="宋体" w:eastAsia="宋体" w:cs="宋体"/>
          <w:color w:val="auto"/>
          <w:sz w:val="18"/>
          <w:szCs w:val="18"/>
          <w:highlight w:val="none"/>
        </w:rPr>
      </w:pPr>
      <w:r>
        <w:rPr>
          <w:rFonts w:hint="eastAsia" w:ascii="宋体" w:hAnsi="宋体" w:eastAsia="宋体" w:cs="宋体"/>
          <w:color w:val="auto"/>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p>
      <w:pPr>
        <w:tabs>
          <w:tab w:val="left" w:pos="0"/>
        </w:tabs>
        <w:spacing w:line="600" w:lineRule="exact"/>
        <w:ind w:firstLine="480"/>
        <w:rPr>
          <w:rFonts w:hint="eastAsia" w:ascii="宋体" w:hAnsi="宋体" w:eastAsia="宋体" w:cs="宋体"/>
          <w:color w:val="auto"/>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9" w:name="_Hlt75236290"/>
      <w:bookmarkEnd w:id="9"/>
      <w:bookmarkStart w:id="10" w:name="_Hlt68072998"/>
      <w:bookmarkEnd w:id="10"/>
      <w:bookmarkStart w:id="11" w:name="_Hlt74714665"/>
      <w:bookmarkEnd w:id="11"/>
      <w:bookmarkStart w:id="12" w:name="_Hlt75236011"/>
      <w:bookmarkEnd w:id="12"/>
      <w:bookmarkStart w:id="13" w:name="_Hlt74730295"/>
      <w:bookmarkEnd w:id="13"/>
      <w:bookmarkStart w:id="14" w:name="_Hlt68403820"/>
      <w:bookmarkEnd w:id="14"/>
      <w:bookmarkStart w:id="15" w:name="_Hlt68073093"/>
      <w:bookmarkEnd w:id="15"/>
      <w:bookmarkStart w:id="16" w:name="_Hlt68057669"/>
      <w:bookmarkEnd w:id="16"/>
      <w:bookmarkStart w:id="17" w:name="_Hlt75236101"/>
      <w:bookmarkEnd w:id="17"/>
      <w:bookmarkStart w:id="18" w:name="_Hlt68072990"/>
      <w:bookmarkEnd w:id="18"/>
      <w:bookmarkStart w:id="19" w:name="_Hlt74729768"/>
      <w:bookmarkEnd w:id="19"/>
      <w:bookmarkStart w:id="20" w:name="_Hlt74707468"/>
      <w:bookmarkEnd w:id="20"/>
    </w:p>
    <w:bookmarkEnd w:id="6"/>
    <w:bookmarkEnd w:id="7"/>
    <w:p>
      <w:pPr>
        <w:widowControl w:val="0"/>
        <w:wordWrap/>
        <w:adjustRightInd w:val="0"/>
        <w:spacing w:line="600" w:lineRule="exact"/>
        <w:jc w:val="center"/>
        <w:textAlignment w:val="auto"/>
        <w:rPr>
          <w:rFonts w:hint="eastAsia" w:ascii="宋体" w:hAnsi="宋体" w:eastAsia="宋体" w:cs="宋体"/>
          <w:b/>
          <w:color w:val="auto"/>
          <w:sz w:val="28"/>
          <w:szCs w:val="28"/>
          <w:highlight w:val="none"/>
        </w:rPr>
      </w:pPr>
      <w:bookmarkStart w:id="21" w:name="第四部分"/>
      <w:r>
        <w:rPr>
          <w:rFonts w:hint="eastAsia" w:ascii="宋体" w:hAnsi="宋体" w:eastAsia="宋体" w:cs="宋体"/>
          <w:b/>
          <w:color w:val="auto"/>
          <w:sz w:val="28"/>
          <w:szCs w:val="28"/>
          <w:highlight w:val="none"/>
        </w:rPr>
        <w:t>第三部分   采购需求</w:t>
      </w:r>
    </w:p>
    <w:p>
      <w:pPr>
        <w:widowControl w:val="0"/>
        <w:numPr>
          <w:ilvl w:val="0"/>
          <w:numId w:val="0"/>
        </w:numPr>
        <w:wordWrap/>
        <w:adjustRightInd w:val="0"/>
        <w:snapToGrid w:val="0"/>
        <w:spacing w:line="5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项目概述：</w:t>
      </w:r>
    </w:p>
    <w:p>
      <w:pPr>
        <w:widowControl w:val="0"/>
        <w:wordWrap/>
        <w:adjustRightInd w:val="0"/>
        <w:snapToGrid w:val="0"/>
        <w:spacing w:line="560" w:lineRule="exact"/>
        <w:ind w:firstLine="352" w:firstLineChars="14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w:t>
      </w:r>
      <w:r>
        <w:rPr>
          <w:rFonts w:hint="eastAsia" w:ascii="宋体" w:hAnsi="宋体" w:eastAsia="宋体" w:cs="宋体"/>
          <w:color w:val="auto"/>
          <w:sz w:val="24"/>
          <w:highlight w:val="none"/>
          <w:lang w:eastAsia="zh-CN"/>
        </w:rPr>
        <w:t>购买</w:t>
      </w:r>
      <w:r>
        <w:rPr>
          <w:rFonts w:hint="eastAsia" w:ascii="宋体" w:hAnsi="宋体" w:eastAsia="宋体" w:cs="宋体"/>
          <w:b w:val="0"/>
          <w:bCs w:val="0"/>
          <w:color w:val="auto"/>
          <w:sz w:val="24"/>
          <w:highlight w:val="none"/>
          <w:lang w:eastAsia="zh-CN"/>
        </w:rPr>
        <w:t>服务</w:t>
      </w:r>
      <w:r>
        <w:rPr>
          <w:rFonts w:hint="eastAsia" w:ascii="宋体" w:hAnsi="宋体" w:eastAsia="宋体" w:cs="宋体"/>
          <w:b w:val="0"/>
          <w:bCs w:val="0"/>
          <w:color w:val="auto"/>
          <w:sz w:val="24"/>
          <w:highlight w:val="none"/>
        </w:rPr>
        <w:t>”项目，采购内容包括为</w:t>
      </w:r>
      <w:r>
        <w:rPr>
          <w:rFonts w:hint="eastAsia" w:ascii="宋体" w:hAnsi="宋体" w:eastAsia="宋体" w:cs="宋体"/>
          <w:b w:val="0"/>
          <w:bCs w:val="0"/>
          <w:color w:val="auto"/>
          <w:sz w:val="24"/>
          <w:highlight w:val="none"/>
          <w:lang w:val="en-US" w:eastAsia="zh-CN"/>
        </w:rPr>
        <w:t>五常街道梦溪水乡征迁区块卡口管理</w:t>
      </w:r>
      <w:r>
        <w:rPr>
          <w:rFonts w:hint="eastAsia" w:ascii="宋体" w:hAnsi="宋体" w:eastAsia="宋体" w:cs="宋体"/>
          <w:b w:val="0"/>
          <w:bCs w:val="0"/>
          <w:color w:val="auto"/>
          <w:kern w:val="0"/>
          <w:sz w:val="24"/>
          <w:szCs w:val="24"/>
          <w:highlight w:val="none"/>
          <w:lang w:eastAsia="zh-CN"/>
        </w:rPr>
        <w:t>项目</w:t>
      </w:r>
      <w:r>
        <w:rPr>
          <w:rFonts w:hint="eastAsia" w:ascii="宋体" w:hAnsi="宋体" w:eastAsia="宋体" w:cs="宋体"/>
          <w:b w:val="0"/>
          <w:bCs w:val="0"/>
          <w:color w:val="auto"/>
          <w:sz w:val="24"/>
          <w:highlight w:val="none"/>
        </w:rPr>
        <w:t>提供符合采购人要求的</w:t>
      </w:r>
      <w:r>
        <w:rPr>
          <w:rFonts w:hint="eastAsia" w:ascii="宋体" w:hAnsi="宋体" w:eastAsia="宋体" w:cs="宋体"/>
          <w:color w:val="auto"/>
          <w:sz w:val="24"/>
          <w:highlight w:val="none"/>
        </w:rPr>
        <w:t>安保人员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对3个卡口每天24小时</w:t>
      </w:r>
      <w:r>
        <w:rPr>
          <w:rFonts w:hint="eastAsia" w:ascii="宋体" w:hAnsi="宋体" w:eastAsia="宋体" w:cs="宋体"/>
          <w:color w:val="auto"/>
          <w:sz w:val="24"/>
          <w:highlight w:val="none"/>
          <w:lang w:eastAsia="zh-CN"/>
        </w:rPr>
        <w:t>巡逻、值守、看管、信息采集</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服务。</w:t>
      </w:r>
      <w:r>
        <w:rPr>
          <w:rFonts w:hint="eastAsia" w:ascii="宋体" w:hAnsi="宋体" w:eastAsia="宋体" w:cs="宋体"/>
          <w:b w:val="0"/>
          <w:bCs w:val="0"/>
          <w:color w:val="auto"/>
          <w:sz w:val="24"/>
          <w:highlight w:val="none"/>
        </w:rPr>
        <w:t>投标报价包括所有人员的工资、社保、</w:t>
      </w:r>
      <w:r>
        <w:rPr>
          <w:rFonts w:hint="eastAsia" w:ascii="宋体" w:hAnsi="宋体" w:eastAsia="宋体" w:cs="宋体"/>
          <w:b w:val="0"/>
          <w:bCs w:val="0"/>
          <w:color w:val="auto"/>
          <w:sz w:val="24"/>
          <w:highlight w:val="none"/>
          <w:lang w:eastAsia="zh-CN"/>
        </w:rPr>
        <w:t>服装</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rPr>
        <w:t>通讯设备、低值易耗品、工具及相关设备费、临时性杂项服务费、政策性文件规定及合同包含的所有风险、责任、税费、合理利润等各项全部费用。</w:t>
      </w:r>
    </w:p>
    <w:p>
      <w:pPr>
        <w:widowControl w:val="0"/>
        <w:numPr>
          <w:ilvl w:val="0"/>
          <w:numId w:val="0"/>
        </w:numPr>
        <w:wordWrap/>
        <w:adjustRightInd w:val="0"/>
        <w:snapToGrid w:val="0"/>
        <w:spacing w:line="56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具体服务内容、要求等：</w:t>
      </w:r>
    </w:p>
    <w:p>
      <w:pPr>
        <w:widowControl w:val="0"/>
        <w:wordWrap/>
        <w:adjustRightInd w:val="0"/>
        <w:snapToGrid w:val="0"/>
        <w:spacing w:line="5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bCs/>
          <w:color w:val="auto"/>
          <w:sz w:val="24"/>
          <w:highlight w:val="none"/>
          <w:lang w:eastAsia="zh-CN"/>
        </w:rPr>
        <w:t>岗位及职数</w:t>
      </w:r>
      <w:r>
        <w:rPr>
          <w:rFonts w:hint="eastAsia" w:ascii="宋体" w:hAnsi="宋体" w:eastAsia="宋体" w:cs="宋体"/>
          <w:b/>
          <w:bCs/>
          <w:color w:val="auto"/>
          <w:sz w:val="24"/>
          <w:highlight w:val="none"/>
        </w:rPr>
        <w:t>要求</w:t>
      </w:r>
      <w:r>
        <w:rPr>
          <w:rFonts w:hint="eastAsia" w:ascii="宋体" w:hAnsi="宋体" w:eastAsia="宋体" w:cs="宋体"/>
          <w:b/>
          <w:color w:val="auto"/>
          <w:sz w:val="24"/>
          <w:highlight w:val="none"/>
        </w:rPr>
        <w:t>：</w:t>
      </w:r>
    </w:p>
    <w:p>
      <w:pPr>
        <w:widowControl w:val="0"/>
        <w:wordWrap/>
        <w:adjustRightInd w:val="0"/>
        <w:snapToGrid w:val="0"/>
        <w:spacing w:line="56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1.1、配置不少于24个人员，3个卡口每天24小时4班3运转。</w:t>
      </w:r>
    </w:p>
    <w:p>
      <w:pPr>
        <w:widowControl w:val="0"/>
        <w:wordWrap/>
        <w:adjustRightInd w:val="0"/>
        <w:snapToGrid w:val="0"/>
        <w:spacing w:line="560" w:lineRule="exact"/>
        <w:ind w:firstLine="480"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lang w:eastAsia="zh-CN"/>
        </w:rPr>
        <w:t>服务外包</w:t>
      </w:r>
      <w:r>
        <w:rPr>
          <w:rFonts w:hint="eastAsia" w:ascii="宋体" w:hAnsi="宋体" w:eastAsia="宋体" w:cs="宋体"/>
          <w:bCs/>
          <w:color w:val="auto"/>
          <w:sz w:val="24"/>
          <w:highlight w:val="none"/>
        </w:rPr>
        <w:t>人员要求：</w:t>
      </w:r>
      <w:r>
        <w:rPr>
          <w:rFonts w:hint="eastAsia" w:ascii="宋体" w:hAnsi="宋体" w:eastAsia="宋体" w:cs="宋体"/>
          <w:color w:val="auto"/>
          <w:sz w:val="24"/>
          <w:highlight w:val="none"/>
          <w:lang w:eastAsia="zh-CN"/>
        </w:rPr>
        <w:t>服务外包</w:t>
      </w:r>
      <w:r>
        <w:rPr>
          <w:rFonts w:hint="eastAsia" w:ascii="宋体" w:hAnsi="宋体" w:eastAsia="宋体" w:cs="宋体"/>
          <w:color w:val="auto"/>
          <w:sz w:val="24"/>
          <w:szCs w:val="24"/>
          <w:highlight w:val="none"/>
        </w:rPr>
        <w:t>人员年龄需在</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周岁及以下，身体健康，体质较好</w:t>
      </w:r>
      <w:r>
        <w:rPr>
          <w:rFonts w:hint="eastAsia" w:ascii="宋体" w:hAnsi="宋体" w:eastAsia="宋体" w:cs="宋体"/>
          <w:color w:val="auto"/>
          <w:sz w:val="24"/>
          <w:szCs w:val="24"/>
          <w:highlight w:val="none"/>
          <w:lang w:eastAsia="zh-CN"/>
        </w:rPr>
        <w:t>（服务外包人员入职前应提供区级及以上医院体检报告）</w:t>
      </w:r>
      <w:r>
        <w:rPr>
          <w:rFonts w:hint="eastAsia" w:ascii="宋体" w:hAnsi="宋体" w:eastAsia="宋体" w:cs="宋体"/>
          <w:color w:val="auto"/>
          <w:sz w:val="24"/>
          <w:szCs w:val="24"/>
          <w:highlight w:val="none"/>
        </w:rPr>
        <w:t>。须在中标后十个工作日内完全到位，超出时间按照违约处理，解除合同，并保留追究中标供应商责任的权利</w:t>
      </w:r>
    </w:p>
    <w:p>
      <w:pPr>
        <w:widowControl w:val="0"/>
        <w:wordWrap/>
        <w:adjustRightInd w:val="0"/>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服务外包</w:t>
      </w:r>
      <w:r>
        <w:rPr>
          <w:rFonts w:hint="eastAsia" w:ascii="宋体" w:hAnsi="宋体" w:eastAsia="宋体" w:cs="宋体"/>
          <w:color w:val="auto"/>
          <w:sz w:val="24"/>
          <w:highlight w:val="none"/>
        </w:rPr>
        <w:t>人员持证要求: 本项目的所有</w:t>
      </w:r>
      <w:r>
        <w:rPr>
          <w:rFonts w:hint="eastAsia" w:ascii="宋体" w:hAnsi="宋体" w:eastAsia="宋体" w:cs="宋体"/>
          <w:color w:val="auto"/>
          <w:sz w:val="24"/>
          <w:highlight w:val="none"/>
          <w:lang w:eastAsia="zh-CN"/>
        </w:rPr>
        <w:t>服务外包人</w:t>
      </w:r>
      <w:r>
        <w:rPr>
          <w:rFonts w:hint="eastAsia" w:ascii="宋体" w:hAnsi="宋体" w:eastAsia="宋体" w:cs="宋体"/>
          <w:color w:val="auto"/>
          <w:sz w:val="24"/>
          <w:highlight w:val="none"/>
        </w:rPr>
        <w:t>员上岗时必须持有公安机关颁发的《保安员证》，持证上岗，统一着装，进场服务前由采购人统一审核；</w:t>
      </w:r>
    </w:p>
    <w:p>
      <w:pPr>
        <w:widowControl w:val="0"/>
        <w:wordWrap/>
        <w:adjustRightIn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服务外包</w:t>
      </w:r>
      <w:r>
        <w:rPr>
          <w:rFonts w:hint="eastAsia" w:ascii="宋体" w:hAnsi="宋体" w:eastAsia="宋体" w:cs="宋体"/>
          <w:color w:val="auto"/>
          <w:sz w:val="24"/>
          <w:highlight w:val="none"/>
        </w:rPr>
        <w:t>人员素质要求:</w:t>
      </w:r>
      <w:r>
        <w:rPr>
          <w:rFonts w:hint="eastAsia" w:ascii="宋体" w:hAnsi="宋体" w:eastAsia="宋体" w:cs="宋体"/>
          <w:color w:val="auto"/>
          <w:sz w:val="24"/>
          <w:highlight w:val="none"/>
          <w:lang w:eastAsia="zh-CN"/>
        </w:rPr>
        <w:t>服务外包</w:t>
      </w:r>
      <w:r>
        <w:rPr>
          <w:rFonts w:hint="eastAsia" w:ascii="宋体" w:hAnsi="宋体" w:eastAsia="宋体" w:cs="宋体"/>
          <w:color w:val="auto"/>
          <w:sz w:val="24"/>
          <w:highlight w:val="none"/>
        </w:rPr>
        <w:t>人员应当政治素质好、工作积极、热爱工作，负责所指定区域、部位、物品、人员的安全防范和安全处理工作。</w:t>
      </w:r>
      <w:r>
        <w:rPr>
          <w:rFonts w:hint="eastAsia" w:ascii="宋体" w:hAnsi="宋体" w:eastAsia="宋体" w:cs="宋体"/>
          <w:color w:val="auto"/>
          <w:sz w:val="24"/>
          <w:highlight w:val="none"/>
          <w:lang w:eastAsia="zh-CN"/>
        </w:rPr>
        <w:t>服务外包</w:t>
      </w:r>
      <w:r>
        <w:rPr>
          <w:rFonts w:hint="eastAsia" w:ascii="宋体" w:hAnsi="宋体" w:eastAsia="宋体" w:cs="宋体"/>
          <w:color w:val="auto"/>
          <w:sz w:val="24"/>
          <w:highlight w:val="none"/>
        </w:rPr>
        <w:t>人员进驻采购人执勤后，必须服从采购人的安排和管理，严格遵守采购人有关规章制度并接受采购人领导和员工的监督，遵纪守法、着装整洁、礼貌待客、认真负责；</w:t>
      </w:r>
      <w:r>
        <w:rPr>
          <w:rFonts w:hint="eastAsia" w:ascii="宋体" w:hAnsi="宋体" w:eastAsia="宋体" w:cs="宋体"/>
          <w:color w:val="auto"/>
          <w:sz w:val="24"/>
          <w:highlight w:val="none"/>
          <w:lang w:eastAsia="zh-CN"/>
        </w:rPr>
        <w:t>服务外包</w:t>
      </w:r>
      <w:r>
        <w:rPr>
          <w:rFonts w:hint="eastAsia" w:ascii="宋体" w:hAnsi="宋体" w:eastAsia="宋体" w:cs="宋体"/>
          <w:color w:val="auto"/>
          <w:sz w:val="24"/>
          <w:highlight w:val="none"/>
        </w:rPr>
        <w:t>人员在执勤时，必须按规定着装，佩戴标志，做到文明执勤，礼貌待人；</w:t>
      </w:r>
    </w:p>
    <w:p>
      <w:pPr>
        <w:widowControl w:val="0"/>
        <w:wordWrap/>
        <w:adjustRightIn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服务外包</w:t>
      </w:r>
      <w:r>
        <w:rPr>
          <w:rFonts w:hint="eastAsia" w:ascii="宋体" w:hAnsi="宋体" w:eastAsia="宋体" w:cs="宋体"/>
          <w:color w:val="auto"/>
          <w:sz w:val="24"/>
          <w:highlight w:val="none"/>
        </w:rPr>
        <w:t>人员的仪容仪表和执勤规范：</w:t>
      </w:r>
      <w:r>
        <w:rPr>
          <w:rFonts w:hint="eastAsia" w:ascii="宋体" w:hAnsi="宋体" w:eastAsia="宋体" w:cs="宋体"/>
          <w:color w:val="auto"/>
          <w:sz w:val="24"/>
          <w:highlight w:val="none"/>
          <w:lang w:eastAsia="zh-CN"/>
        </w:rPr>
        <w:t>服务外包</w:t>
      </w:r>
      <w:r>
        <w:rPr>
          <w:rFonts w:hint="eastAsia" w:ascii="宋体" w:hAnsi="宋体" w:eastAsia="宋体" w:cs="宋体"/>
          <w:color w:val="auto"/>
          <w:sz w:val="24"/>
          <w:highlight w:val="none"/>
        </w:rPr>
        <w:t>人员应衣冠整洁，胸佩工作卡；坚守工作岗位，提高警惕，严防犯罪分子从事破坏活动，保证人身安全；认真做好防火防盗工作，发现不安全因素立即查明原因，尽快排除险情并及时向采购人汇报；认真做好各类台账记录，严格履行交接班制度。</w:t>
      </w:r>
    </w:p>
    <w:p>
      <w:pPr>
        <w:widowControl w:val="0"/>
        <w:numPr>
          <w:ilvl w:val="0"/>
          <w:numId w:val="1"/>
        </w:numPr>
        <w:wordWrap/>
        <w:adjustRightIn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服务范围及工作要求：</w:t>
      </w:r>
    </w:p>
    <w:p>
      <w:pPr>
        <w:widowControl w:val="0"/>
        <w:wordWrap/>
        <w:adjustRightIn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rPr>
        <w:t>服务范围:采购人招标范围内，要求24小时不间断守卫巡视，随时做好应急情况处理的准备，确保采购人各部门人员安全无事故</w:t>
      </w:r>
      <w:r>
        <w:rPr>
          <w:rFonts w:hint="eastAsia" w:ascii="宋体" w:hAnsi="宋体" w:eastAsia="宋体" w:cs="宋体"/>
          <w:color w:val="auto"/>
          <w:sz w:val="24"/>
          <w:highlight w:val="none"/>
          <w:lang w:eastAsia="zh-CN"/>
        </w:rPr>
        <w:t>，做好所负责拆迁区块偷倒垃圾等采购人要求的管控服务</w:t>
      </w:r>
      <w:r>
        <w:rPr>
          <w:rFonts w:hint="eastAsia" w:ascii="宋体" w:hAnsi="宋体" w:eastAsia="宋体" w:cs="宋体"/>
          <w:color w:val="auto"/>
          <w:sz w:val="24"/>
          <w:highlight w:val="none"/>
        </w:rPr>
        <w:t>。</w:t>
      </w:r>
    </w:p>
    <w:p>
      <w:pPr>
        <w:widowControl w:val="0"/>
        <w:wordWrap/>
        <w:adjustRightInd w:val="0"/>
        <w:spacing w:line="5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2.2、保安管理要求：每天定人定岗执勤，发现可疑及时处理，保证安置区块人员和物品的安全</w:t>
      </w:r>
      <w:r>
        <w:rPr>
          <w:rFonts w:hint="eastAsia" w:ascii="宋体" w:hAnsi="宋体" w:eastAsia="宋体" w:cs="宋体"/>
          <w:color w:val="auto"/>
          <w:sz w:val="24"/>
          <w:highlight w:val="none"/>
          <w:lang w:eastAsia="zh-CN"/>
        </w:rPr>
        <w:t>，及时阻止和避免偷到垃圾的行为发生</w:t>
      </w:r>
      <w:r>
        <w:rPr>
          <w:rFonts w:hint="eastAsia" w:ascii="宋体" w:hAnsi="宋体" w:eastAsia="宋体" w:cs="宋体"/>
          <w:color w:val="auto"/>
          <w:sz w:val="24"/>
          <w:highlight w:val="none"/>
        </w:rPr>
        <w:t>；</w:t>
      </w:r>
    </w:p>
    <w:p>
      <w:pPr>
        <w:widowControl w:val="0"/>
        <w:wordWrap/>
        <w:adjustRightInd w:val="0"/>
        <w:spacing w:line="5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2.3、夜间保安巡更要求:按照规定的时间段和巡更路线进行巡更。</w:t>
      </w:r>
    </w:p>
    <w:p>
      <w:pPr>
        <w:widowControl w:val="0"/>
        <w:wordWrap/>
        <w:adjustRightInd w:val="0"/>
        <w:spacing w:line="5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、消防工作要求：熟悉了解采购人内所有消防设施器材，懂得防火、灭火知识，能熟练使用灭火器材扑救火灾，每日检查灭火器材是否完好无损，并做好检查记录；</w:t>
      </w:r>
    </w:p>
    <w:p>
      <w:pPr>
        <w:widowControl w:val="0"/>
        <w:numPr>
          <w:ilvl w:val="0"/>
          <w:numId w:val="1"/>
        </w:numPr>
        <w:wordWrap/>
        <w:adjustRightInd w:val="0"/>
        <w:snapToGri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其他相关服务要求：</w:t>
      </w:r>
    </w:p>
    <w:p>
      <w:pPr>
        <w:widowControl w:val="0"/>
        <w:wordWrap/>
        <w:adjustRightInd w:val="0"/>
        <w:snapToGrid w:val="0"/>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3.1、服务出现问题响应要求：服务期内中标单位的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队伍自身出现了问题，如缺岗、离岗、与招标人工作人员发生纠纷、保安与保安、保安与保洁之间出现纠纷等影响</w:t>
      </w:r>
      <w:r>
        <w:rPr>
          <w:rStyle w:val="79"/>
          <w:rFonts w:hint="eastAsia" w:ascii="宋体" w:hAnsi="宋体" w:eastAsia="宋体" w:cs="宋体"/>
          <w:color w:val="auto"/>
          <w:sz w:val="24"/>
          <w:highlight w:val="none"/>
        </w:rPr>
        <w:t>采购人及招标人</w:t>
      </w:r>
      <w:r>
        <w:rPr>
          <w:rFonts w:hint="eastAsia" w:ascii="宋体" w:hAnsi="宋体" w:eastAsia="宋体" w:cs="宋体"/>
          <w:color w:val="auto"/>
          <w:sz w:val="24"/>
          <w:highlight w:val="none"/>
        </w:rPr>
        <w:t>声誉的所有事件，中标单位的主要负责人应立即响应，2小时内到达现场，3小时内解决问题，现场解决不了的应采取应急措施，应立即阻止事态的发展，确保无任何影响采购人的事件发生。</w:t>
      </w:r>
    </w:p>
    <w:p>
      <w:pPr>
        <w:widowControl w:val="0"/>
        <w:wordWrap/>
        <w:adjustRightInd w:val="0"/>
        <w:snapToGrid w:val="0"/>
        <w:spacing w:line="56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3.2、乙方在公司运营中发生的劳资纠纷、工伤纠纷、人身意外伤亡等事件，由乙方自行承担，如因此造成甲方被第三方索赔，甲方有权向乙方进行追偿。</w:t>
      </w:r>
    </w:p>
    <w:p>
      <w:pPr>
        <w:widowControl w:val="0"/>
        <w:numPr>
          <w:ilvl w:val="0"/>
          <w:numId w:val="1"/>
        </w:numPr>
        <w:wordWrap/>
        <w:adjustRightInd w:val="0"/>
        <w:snapToGri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其他相关费用说明：</w:t>
      </w:r>
    </w:p>
    <w:p>
      <w:pPr>
        <w:widowControl w:val="0"/>
        <w:wordWrap/>
        <w:adjustRightInd w:val="0"/>
        <w:snapToGri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、保安使用对讲通讯、巡视等设备均由中标单位自理，</w:t>
      </w:r>
      <w:r>
        <w:rPr>
          <w:rFonts w:hint="eastAsia" w:ascii="宋体" w:hAnsi="宋体" w:cs="宋体"/>
          <w:color w:val="auto"/>
          <w:sz w:val="24"/>
          <w:highlight w:val="none"/>
          <w:lang w:val="en-US" w:eastAsia="zh-CN"/>
        </w:rPr>
        <w:t>保安员的工作服、</w:t>
      </w:r>
      <w:r>
        <w:rPr>
          <w:rFonts w:hint="eastAsia" w:ascii="宋体" w:hAnsi="宋体" w:eastAsia="宋体" w:cs="宋体"/>
          <w:color w:val="auto"/>
          <w:sz w:val="24"/>
          <w:highlight w:val="none"/>
        </w:rPr>
        <w:t>保安服务管理中所需的物品（如低值易耗品、工具及相关设备）包含在中标价中，但要附有明细。</w:t>
      </w:r>
    </w:p>
    <w:p>
      <w:pPr>
        <w:widowControl w:val="0"/>
        <w:wordWrap/>
        <w:adjustRightInd w:val="0"/>
        <w:snapToGri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、其它临时性杂项服务极少，如采购人在日常工作时间搬运、看管物品，应急性地保障服务等，费用包含在中标价中。</w:t>
      </w:r>
    </w:p>
    <w:p>
      <w:pPr>
        <w:pStyle w:val="4"/>
        <w:tabs>
          <w:tab w:val="left" w:pos="0"/>
          <w:tab w:val="clear" w:pos="432"/>
        </w:tabs>
        <w:wordWrap/>
        <w:spacing w:line="560" w:lineRule="exact"/>
        <w:ind w:left="12" w:leftChars="0" w:hanging="12"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4.3本项目需配备监控设施，对于监控内容保存时间为半个月及以上，采购人有权查询监控内容及记录</w:t>
      </w:r>
      <w:r>
        <w:rPr>
          <w:rFonts w:hint="eastAsia" w:ascii="宋体" w:hAnsi="宋体" w:eastAsia="宋体" w:cs="宋体"/>
          <w:color w:val="auto"/>
          <w:sz w:val="24"/>
          <w:highlight w:val="none"/>
          <w:lang w:val="en-US" w:eastAsia="zh-CN"/>
        </w:rPr>
        <w:t>。</w:t>
      </w:r>
    </w:p>
    <w:p>
      <w:pPr>
        <w:wordWrap/>
        <w:spacing w:line="560" w:lineRule="exact"/>
        <w:textAlignment w:val="auto"/>
        <w:rPr>
          <w:rFonts w:hint="default"/>
          <w:color w:val="auto"/>
          <w:highlight w:val="none"/>
          <w:lang w:val="en-US" w:eastAsia="zh-CN"/>
        </w:rPr>
      </w:pPr>
      <w:r>
        <w:rPr>
          <w:rFonts w:hint="eastAsia" w:ascii="宋体" w:hAnsi="宋体" w:cs="宋体"/>
          <w:color w:val="auto"/>
          <w:sz w:val="24"/>
          <w:highlight w:val="none"/>
          <w:lang w:val="en-US" w:eastAsia="zh-CN"/>
        </w:rPr>
        <w:t xml:space="preserve">    4.4本项目在服务期内，必须服从采购人的安排和管理，根据采购人的要求和实际情况进行岗位调整等。</w:t>
      </w:r>
    </w:p>
    <w:p>
      <w:pPr>
        <w:widowControl w:val="0"/>
        <w:wordWrap/>
        <w:adjustRightInd w:val="0"/>
        <w:snapToGrid w:val="0"/>
        <w:spacing w:line="5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、服务期限：</w:t>
      </w:r>
    </w:p>
    <w:p>
      <w:pPr>
        <w:widowControl w:val="0"/>
        <w:wordWrap/>
        <w:adjustRightInd w:val="0"/>
        <w:snapToGrid w:val="0"/>
        <w:spacing w:line="5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叁</w:t>
      </w:r>
      <w:r>
        <w:rPr>
          <w:rFonts w:hint="eastAsia" w:ascii="宋体" w:hAnsi="宋体" w:eastAsia="宋体" w:cs="宋体"/>
          <w:b/>
          <w:color w:val="auto"/>
          <w:sz w:val="24"/>
          <w:highlight w:val="none"/>
          <w:lang w:eastAsia="zh-CN"/>
        </w:rPr>
        <w:t>年</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合同一年一考核一续签</w:t>
      </w:r>
      <w:r>
        <w:rPr>
          <w:rFonts w:hint="eastAsia" w:ascii="宋体" w:hAnsi="宋体" w:eastAsia="宋体" w:cs="宋体"/>
          <w:b/>
          <w:color w:val="auto"/>
          <w:sz w:val="24"/>
          <w:highlight w:val="none"/>
        </w:rPr>
        <w:t>，续签期间服务费不变。</w:t>
      </w:r>
    </w:p>
    <w:p>
      <w:pPr>
        <w:widowControl w:val="0"/>
        <w:wordWrap/>
        <w:adjustRightInd w:val="0"/>
        <w:snapToGrid w:val="0"/>
        <w:spacing w:line="560" w:lineRule="exact"/>
        <w:ind w:firstLine="470" w:firstLineChars="196"/>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本项目在合同期限内，供应商能严格履行合同，采购人对其履约服务满意的，经双方协商，采购人在合同期满前一个月内向</w:t>
      </w:r>
      <w:r>
        <w:rPr>
          <w:rFonts w:hint="eastAsia" w:ascii="宋体" w:hAnsi="宋体" w:eastAsia="宋体" w:cs="宋体"/>
          <w:color w:val="auto"/>
          <w:sz w:val="24"/>
          <w:highlight w:val="none"/>
          <w:lang w:val="en-US" w:eastAsia="zh-CN"/>
        </w:rPr>
        <w:t>街道</w:t>
      </w:r>
      <w:r>
        <w:rPr>
          <w:rFonts w:hint="eastAsia" w:ascii="宋体" w:hAnsi="宋体" w:eastAsia="宋体" w:cs="宋体"/>
          <w:color w:val="auto"/>
          <w:sz w:val="24"/>
          <w:highlight w:val="none"/>
        </w:rPr>
        <w:t>提出申请，经批准同意后可以续签，</w:t>
      </w:r>
      <w:r>
        <w:rPr>
          <w:rFonts w:hint="eastAsia" w:ascii="宋体" w:hAnsi="宋体" w:eastAsia="宋体" w:cs="宋体"/>
          <w:color w:val="auto"/>
          <w:sz w:val="24"/>
          <w:highlight w:val="none"/>
          <w:lang w:val="en-US" w:eastAsia="zh-CN"/>
        </w:rPr>
        <w:t>总服务期限不超过三年</w:t>
      </w:r>
      <w:r>
        <w:rPr>
          <w:rFonts w:hint="eastAsia" w:ascii="宋体" w:hAnsi="宋体" w:eastAsia="宋体" w:cs="宋体"/>
          <w:color w:val="auto"/>
          <w:sz w:val="24"/>
          <w:highlight w:val="none"/>
        </w:rPr>
        <w:t>。续签合同一式多份。</w:t>
      </w:r>
    </w:p>
    <w:p>
      <w:pPr>
        <w:widowControl w:val="0"/>
        <w:numPr>
          <w:ilvl w:val="0"/>
          <w:numId w:val="0"/>
        </w:numPr>
        <w:wordWrap/>
        <w:adjustRightInd w:val="0"/>
        <w:snapToGrid w:val="0"/>
        <w:spacing w:line="56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培训要求：</w:t>
      </w:r>
    </w:p>
    <w:p>
      <w:pPr>
        <w:widowControl w:val="0"/>
        <w:numPr>
          <w:ilvl w:val="0"/>
          <w:numId w:val="0"/>
        </w:numPr>
        <w:wordWrap/>
        <w:adjustRightInd w:val="0"/>
        <w:snapToGrid w:val="0"/>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对安保人员进行完善的安保培训后方可上岗，有详细的培训计划、内容、方案、时间等。</w:t>
      </w:r>
    </w:p>
    <w:p>
      <w:pPr>
        <w:widowControl w:val="0"/>
        <w:wordWrap/>
        <w:adjustRightInd w:val="0"/>
        <w:snapToGrid w:val="0"/>
        <w:spacing w:line="56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五、考核要求及制度：</w:t>
      </w:r>
    </w:p>
    <w:p>
      <w:pPr>
        <w:widowControl w:val="0"/>
        <w:numPr>
          <w:ilvl w:val="0"/>
          <w:numId w:val="0"/>
        </w:numPr>
        <w:wordWrap/>
        <w:adjustRightInd w:val="0"/>
        <w:snapToGrid w:val="0"/>
        <w:spacing w:line="56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考核要求：保安人员数量应不少于</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人，并持证上岗，政治素质好、工作积极、热爱保安工作。保安人员的年龄</w:t>
      </w:r>
      <w:r>
        <w:rPr>
          <w:rFonts w:hint="eastAsia" w:ascii="宋体" w:hAnsi="宋体" w:cs="宋体"/>
          <w:color w:val="auto"/>
          <w:sz w:val="24"/>
          <w:highlight w:val="none"/>
          <w:lang w:val="en-US" w:eastAsia="zh-CN"/>
        </w:rPr>
        <w:t>原则上</w:t>
      </w:r>
      <w:r>
        <w:rPr>
          <w:rFonts w:hint="eastAsia" w:ascii="宋体" w:hAnsi="宋体" w:eastAsia="宋体" w:cs="宋体"/>
          <w:color w:val="auto"/>
          <w:sz w:val="24"/>
          <w:highlight w:val="none"/>
        </w:rPr>
        <w:t xml:space="preserve">不得超过 </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rPr>
        <w:t xml:space="preserve"> 周岁，并以男性保安为主</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具体考评办法附后，在本项目服务期间采购人可根据实际情况调整考评办法。</w:t>
      </w:r>
    </w:p>
    <w:p>
      <w:pPr>
        <w:widowControl w:val="0"/>
        <w:wordWrap/>
        <w:adjustRightInd w:val="0"/>
        <w:snapToGrid w:val="0"/>
        <w:spacing w:line="5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、费用支付：</w:t>
      </w:r>
    </w:p>
    <w:p>
      <w:pPr>
        <w:widowControl w:val="0"/>
        <w:wordWrap/>
        <w:adjustRightInd w:val="0"/>
        <w:spacing w:line="560" w:lineRule="exact"/>
        <w:ind w:firstLine="480" w:firstLineChars="200"/>
        <w:jc w:val="both"/>
        <w:textAlignment w:val="auto"/>
        <w:rPr>
          <w:rFonts w:hint="eastAsia" w:ascii="宋体" w:hAnsi="宋体" w:eastAsia="宋体" w:cs="宋体"/>
          <w:b w:val="0"/>
          <w:bCs/>
          <w:color w:val="auto"/>
          <w:sz w:val="28"/>
          <w:szCs w:val="28"/>
          <w:highlight w:val="none"/>
        </w:rPr>
      </w:pPr>
      <w:r>
        <w:rPr>
          <w:rFonts w:hint="eastAsia" w:ascii="宋体" w:hAnsi="宋体" w:cs="宋体"/>
          <w:b w:val="0"/>
          <w:bCs/>
          <w:color w:val="auto"/>
          <w:sz w:val="24"/>
          <w:highlight w:val="none"/>
          <w:lang w:val="en-US" w:eastAsia="zh-CN"/>
        </w:rPr>
        <w:t>本项目</w:t>
      </w:r>
      <w:r>
        <w:rPr>
          <w:rFonts w:hint="eastAsia" w:ascii="宋体" w:hAnsi="宋体" w:eastAsia="宋体" w:cs="宋体"/>
          <w:b w:val="0"/>
          <w:bCs/>
          <w:color w:val="auto"/>
          <w:sz w:val="24"/>
          <w:highlight w:val="none"/>
        </w:rPr>
        <w:t>服务费</w:t>
      </w:r>
      <w:r>
        <w:rPr>
          <w:rFonts w:hint="eastAsia" w:ascii="宋体" w:hAnsi="宋体" w:cs="宋体"/>
          <w:b w:val="0"/>
          <w:bCs/>
          <w:color w:val="auto"/>
          <w:sz w:val="24"/>
          <w:highlight w:val="none"/>
          <w:lang w:val="en-US" w:eastAsia="zh-CN"/>
        </w:rPr>
        <w:t>按一年为一个计费周期，</w:t>
      </w:r>
      <w:r>
        <w:rPr>
          <w:rFonts w:hint="eastAsia" w:ascii="宋体" w:hAnsi="宋体" w:eastAsia="宋体" w:cs="宋体"/>
          <w:b w:val="0"/>
          <w:bCs w:val="0"/>
          <w:color w:val="auto"/>
          <w:sz w:val="24"/>
          <w:highlight w:val="none"/>
          <w:lang w:val="en-US" w:eastAsia="zh-CN"/>
        </w:rPr>
        <w:t>合同签订生效后，采购人向中标方支付当年合同金额25％为预付款，并在前三个月完成后转为该三个月的服务费（即预付款在三个月后扣回）。后续费用</w:t>
      </w:r>
      <w:r>
        <w:rPr>
          <w:rFonts w:hint="eastAsia" w:ascii="宋体" w:hAnsi="宋体" w:eastAsia="宋体" w:cs="宋体"/>
          <w:b w:val="0"/>
          <w:bCs/>
          <w:color w:val="auto"/>
          <w:sz w:val="24"/>
          <w:highlight w:val="none"/>
        </w:rPr>
        <w:t>每三个月结算一次，每次支付</w:t>
      </w:r>
      <w:r>
        <w:rPr>
          <w:rFonts w:hint="eastAsia" w:ascii="宋体" w:hAnsi="宋体" w:cs="宋体"/>
          <w:b w:val="0"/>
          <w:bCs/>
          <w:color w:val="auto"/>
          <w:sz w:val="24"/>
          <w:highlight w:val="none"/>
          <w:lang w:val="en-US" w:eastAsia="zh-CN"/>
        </w:rPr>
        <w:t>该年度服务费用</w:t>
      </w:r>
      <w:r>
        <w:rPr>
          <w:rFonts w:hint="eastAsia" w:ascii="宋体" w:hAnsi="宋体" w:eastAsia="宋体" w:cs="宋体"/>
          <w:b w:val="0"/>
          <w:bCs/>
          <w:color w:val="auto"/>
          <w:sz w:val="24"/>
          <w:highlight w:val="none"/>
        </w:rPr>
        <w:t>的25%，经采购人考核合格于下一个月初支付前三个月的服务费（扣除考核扣分款）。</w:t>
      </w:r>
    </w:p>
    <w:p>
      <w:pPr>
        <w:wordWrap/>
        <w:adjustRightInd w:val="0"/>
        <w:snapToGrid w:val="0"/>
        <w:spacing w:line="560" w:lineRule="exact"/>
        <w:textAlignment w:val="auto"/>
        <w:rPr>
          <w:rFonts w:hint="eastAsia" w:ascii="宋体" w:hAnsi="宋体"/>
          <w:b/>
          <w:color w:val="auto"/>
          <w:sz w:val="24"/>
          <w:highlight w:val="none"/>
        </w:rPr>
      </w:pPr>
      <w:r>
        <w:rPr>
          <w:rFonts w:hint="eastAsia" w:ascii="宋体" w:hAnsi="宋体"/>
          <w:b/>
          <w:color w:val="auto"/>
          <w:sz w:val="24"/>
          <w:highlight w:val="none"/>
          <w:lang w:val="en-US" w:eastAsia="zh-CN"/>
        </w:rPr>
        <w:t>七</w:t>
      </w:r>
      <w:r>
        <w:rPr>
          <w:rFonts w:hint="eastAsia" w:ascii="宋体" w:hAnsi="宋体"/>
          <w:b/>
          <w:color w:val="auto"/>
          <w:sz w:val="24"/>
          <w:highlight w:val="none"/>
        </w:rPr>
        <w:t>、采购人认为必须说明的其他内容：</w:t>
      </w:r>
    </w:p>
    <w:p>
      <w:pPr>
        <w:widowControl/>
        <w:wordWrap/>
        <w:spacing w:line="560" w:lineRule="exact"/>
        <w:ind w:firstLine="481"/>
        <w:jc w:val="center"/>
        <w:textAlignment w:val="auto"/>
        <w:rPr>
          <w:rFonts w:hint="eastAsia" w:ascii="宋体" w:hAnsi="宋体" w:eastAsia="宋体" w:cs="宋体"/>
          <w:b/>
          <w:color w:val="auto"/>
          <w:sz w:val="28"/>
          <w:szCs w:val="28"/>
          <w:highlight w:val="none"/>
        </w:rPr>
      </w:pPr>
      <w:r>
        <w:rPr>
          <w:rFonts w:hint="eastAsia" w:ascii="宋体" w:hAnsi="宋体"/>
          <w:b/>
          <w:color w:val="auto"/>
          <w:sz w:val="24"/>
          <w:highlight w:val="none"/>
        </w:rPr>
        <w:t xml:space="preserve">带“●”条款为实质性条款，投标人须提供《采购需求实质性内容响应表》（格式见第五部分 投标文件格式），如有任意一条未响应或不满足，将被视为无效。 </w:t>
      </w:r>
    </w:p>
    <w:p>
      <w:pPr>
        <w:rPr>
          <w:rFonts w:hint="eastAsia" w:ascii="宋体" w:hAnsi="宋体" w:eastAsia="宋体" w:cs="宋体"/>
          <w:b/>
          <w:color w:val="auto"/>
          <w:sz w:val="28"/>
          <w:szCs w:val="28"/>
          <w:highlight w:val="none"/>
        </w:rPr>
      </w:pPr>
    </w:p>
    <w:p>
      <w:pPr>
        <w:widowControl/>
        <w:jc w:val="center"/>
        <w:textAlignment w:val="center"/>
        <w:rPr>
          <w:rFonts w:hint="eastAsia" w:ascii="宋体" w:hAnsi="宋体" w:cs="宋体"/>
          <w:b/>
          <w:bCs/>
          <w:i w:val="0"/>
          <w:color w:val="auto"/>
          <w:kern w:val="0"/>
          <w:sz w:val="32"/>
          <w:szCs w:val="32"/>
          <w:highlight w:val="none"/>
          <w:u w:val="none"/>
          <w:lang w:val="en-US" w:eastAsia="zh-CN" w:bidi="ar-SA"/>
        </w:rPr>
      </w:pPr>
      <w:r>
        <w:rPr>
          <w:rFonts w:hint="eastAsia" w:ascii="宋体" w:hAnsi="宋体" w:eastAsia="宋体" w:cs="宋体"/>
          <w:b/>
          <w:bCs/>
          <w:i w:val="0"/>
          <w:color w:val="auto"/>
          <w:kern w:val="0"/>
          <w:sz w:val="32"/>
          <w:szCs w:val="32"/>
          <w:highlight w:val="none"/>
          <w:u w:val="none"/>
          <w:lang w:val="en-US" w:eastAsia="zh-CN" w:bidi="ar-SA"/>
        </w:rPr>
        <w:t>考 评 办 法</w:t>
      </w:r>
    </w:p>
    <w:tbl>
      <w:tblPr>
        <w:tblStyle w:val="63"/>
        <w:tblpPr w:leftFromText="180" w:rightFromText="180" w:vertAnchor="text" w:horzAnchor="page" w:tblpX="1395" w:tblpY="54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2"/>
        <w:gridCol w:w="678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152" w:type="dxa"/>
            <w:vAlign w:val="center"/>
          </w:tcPr>
          <w:p>
            <w:pPr>
              <w:widowControl/>
              <w:jc w:val="center"/>
              <w:textAlignment w:val="center"/>
              <w:rPr>
                <w:rFonts w:hint="default" w:ascii="宋体" w:hAnsi="宋体" w:eastAsia="宋体" w:cs="宋体"/>
                <w:b w:val="0"/>
                <w:bCs/>
                <w:i w:val="0"/>
                <w:color w:val="auto"/>
                <w:sz w:val="21"/>
                <w:szCs w:val="21"/>
                <w:highlight w:val="none"/>
                <w:u w:val="none"/>
                <w:lang w:val="en-US" w:eastAsia="zh-CN"/>
              </w:rPr>
            </w:pPr>
            <w:r>
              <w:rPr>
                <w:rFonts w:hint="eastAsia" w:ascii="宋体" w:hAnsi="宋体" w:eastAsia="宋体" w:cs="宋体"/>
                <w:b w:val="0"/>
                <w:bCs/>
                <w:i w:val="0"/>
                <w:color w:val="auto"/>
                <w:sz w:val="21"/>
                <w:szCs w:val="21"/>
                <w:highlight w:val="none"/>
                <w:u w:val="none"/>
                <w:lang w:val="en-US" w:eastAsia="zh-CN"/>
              </w:rPr>
              <w:t>考核项目</w:t>
            </w:r>
          </w:p>
        </w:tc>
        <w:tc>
          <w:tcPr>
            <w:tcW w:w="6780" w:type="dxa"/>
            <w:vAlign w:val="center"/>
          </w:tcPr>
          <w:p>
            <w:pPr>
              <w:widowControl/>
              <w:jc w:val="center"/>
              <w:textAlignment w:val="center"/>
              <w:rPr>
                <w:rFonts w:hint="default" w:ascii="宋体" w:hAnsi="宋体" w:eastAsia="宋体" w:cs="宋体"/>
                <w:b w:val="0"/>
                <w:bCs/>
                <w:i w:val="0"/>
                <w:color w:val="auto"/>
                <w:sz w:val="21"/>
                <w:szCs w:val="21"/>
                <w:highlight w:val="none"/>
                <w:u w:val="none"/>
                <w:lang w:val="en-US"/>
              </w:rPr>
            </w:pPr>
            <w:r>
              <w:rPr>
                <w:rFonts w:hint="eastAsia" w:ascii="宋体" w:hAnsi="宋体" w:eastAsia="宋体" w:cs="宋体"/>
                <w:b w:val="0"/>
                <w:bCs/>
                <w:i w:val="0"/>
                <w:color w:val="auto"/>
                <w:kern w:val="0"/>
                <w:sz w:val="21"/>
                <w:szCs w:val="21"/>
                <w:highlight w:val="none"/>
                <w:u w:val="none"/>
                <w:lang w:val="en-US" w:eastAsia="zh-CN" w:bidi="ar-SA"/>
              </w:rPr>
              <w:t>考核标准</w:t>
            </w:r>
          </w:p>
        </w:tc>
        <w:tc>
          <w:tcPr>
            <w:tcW w:w="1107" w:type="dxa"/>
            <w:vAlign w:val="center"/>
          </w:tcPr>
          <w:p>
            <w:pPr>
              <w:widowControl/>
              <w:jc w:val="center"/>
              <w:textAlignment w:val="center"/>
              <w:rPr>
                <w:rFonts w:hint="default" w:ascii="宋体" w:hAnsi="宋体" w:eastAsia="宋体" w:cs="宋体"/>
                <w:b w:val="0"/>
                <w:bCs/>
                <w:i w:val="0"/>
                <w:color w:val="auto"/>
                <w:sz w:val="21"/>
                <w:szCs w:val="21"/>
                <w:highlight w:val="none"/>
                <w:u w:val="none"/>
                <w:lang w:val="en-US" w:eastAsia="zh-CN"/>
              </w:rPr>
            </w:pPr>
            <w:r>
              <w:rPr>
                <w:rFonts w:hint="eastAsia" w:ascii="宋体" w:hAnsi="宋体" w:eastAsia="宋体" w:cs="宋体"/>
                <w:b w:val="0"/>
                <w:bCs/>
                <w:i w:val="0"/>
                <w:color w:val="auto"/>
                <w:sz w:val="21"/>
                <w:szCs w:val="21"/>
                <w:highlight w:val="none"/>
                <w:u w:val="none"/>
                <w:lang w:val="en-US" w:eastAsia="zh-CN"/>
              </w:rPr>
              <w:t>扣除分值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rPr>
        <w:tc>
          <w:tcPr>
            <w:tcW w:w="1152" w:type="dxa"/>
            <w:vAlign w:val="center"/>
          </w:tcPr>
          <w:p>
            <w:pPr>
              <w:widowControl/>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服从命令</w:t>
            </w:r>
          </w:p>
        </w:tc>
        <w:tc>
          <w:tcPr>
            <w:tcW w:w="6780" w:type="dxa"/>
            <w:vAlign w:val="center"/>
          </w:tcPr>
          <w:p>
            <w:pPr>
              <w:widowControl/>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不服从命令，因主观原因未</w:t>
            </w:r>
            <w:r>
              <w:rPr>
                <w:rFonts w:hint="eastAsia" w:ascii="宋体" w:hAnsi="宋体" w:cs="宋体"/>
                <w:i w:val="0"/>
                <w:color w:val="auto"/>
                <w:kern w:val="0"/>
                <w:sz w:val="21"/>
                <w:szCs w:val="21"/>
                <w:highlight w:val="none"/>
                <w:u w:val="none"/>
                <w:lang w:val="en-US" w:eastAsia="zh-CN" w:bidi="ar-SA"/>
              </w:rPr>
              <w:t>及时、高效</w:t>
            </w:r>
            <w:r>
              <w:rPr>
                <w:rFonts w:hint="eastAsia" w:ascii="宋体" w:hAnsi="宋体" w:eastAsia="宋体" w:cs="宋体"/>
                <w:i w:val="0"/>
                <w:color w:val="auto"/>
                <w:kern w:val="0"/>
                <w:sz w:val="21"/>
                <w:szCs w:val="21"/>
                <w:highlight w:val="none"/>
                <w:u w:val="none"/>
                <w:lang w:val="en-US" w:eastAsia="zh-CN" w:bidi="ar-SA"/>
              </w:rPr>
              <w:t>完成交办任务</w:t>
            </w:r>
            <w:r>
              <w:rPr>
                <w:rFonts w:hint="eastAsia" w:ascii="宋体" w:hAnsi="宋体" w:cs="宋体"/>
                <w:i w:val="0"/>
                <w:color w:val="auto"/>
                <w:kern w:val="0"/>
                <w:sz w:val="21"/>
                <w:szCs w:val="21"/>
                <w:highlight w:val="none"/>
                <w:u w:val="none"/>
                <w:lang w:val="en-US" w:eastAsia="zh-CN" w:bidi="ar-SA"/>
              </w:rPr>
              <w:t>，导致街道考核失分的，加倍扣分。</w:t>
            </w:r>
          </w:p>
        </w:tc>
        <w:tc>
          <w:tcPr>
            <w:tcW w:w="1107" w:type="dxa"/>
            <w:vAlign w:val="center"/>
          </w:tcPr>
          <w:p>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3-5</w:t>
            </w:r>
            <w:r>
              <w:rPr>
                <w:rFonts w:hint="eastAsia" w:ascii="宋体" w:hAnsi="宋体" w:eastAsia="宋体" w:cs="宋体"/>
                <w:i w:val="0"/>
                <w:color w:val="auto"/>
                <w:sz w:val="21"/>
                <w:szCs w:val="21"/>
                <w:highlight w:val="none"/>
                <w:u w:val="none"/>
                <w:lang w:val="en-US"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rPr>
        <w:tc>
          <w:tcPr>
            <w:tcW w:w="1152" w:type="dxa"/>
            <w:vAlign w:val="center"/>
          </w:tcPr>
          <w:p>
            <w:pPr>
              <w:widowControl/>
              <w:jc w:val="center"/>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cs="宋体"/>
                <w:i w:val="0"/>
                <w:color w:val="auto"/>
                <w:kern w:val="0"/>
                <w:sz w:val="21"/>
                <w:szCs w:val="21"/>
                <w:highlight w:val="none"/>
                <w:u w:val="none"/>
                <w:lang w:val="en-US" w:eastAsia="zh-CN" w:bidi="ar-SA"/>
              </w:rPr>
              <w:t>人员管理</w:t>
            </w: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cs="宋体"/>
                <w:i w:val="0"/>
                <w:color w:val="auto"/>
                <w:kern w:val="0"/>
                <w:sz w:val="21"/>
                <w:szCs w:val="21"/>
                <w:highlight w:val="none"/>
                <w:u w:val="none"/>
                <w:lang w:val="en-US" w:eastAsia="zh-CN" w:bidi="ar-SA"/>
              </w:rPr>
              <w:t>人员招聘未满半年换岗、流动过于频繁，对工作造成影响</w:t>
            </w:r>
          </w:p>
        </w:tc>
        <w:tc>
          <w:tcPr>
            <w:tcW w:w="1107" w:type="dxa"/>
            <w:vAlign w:val="center"/>
          </w:tcPr>
          <w:p>
            <w:pPr>
              <w:jc w:val="center"/>
              <w:rPr>
                <w:rFonts w:hint="eastAsia"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lang w:val="en-US"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1152" w:type="dxa"/>
            <w:vMerge w:val="restart"/>
            <w:vAlign w:val="center"/>
          </w:tcPr>
          <w:p>
            <w:pPr>
              <w:widowControl/>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工作纪律</w:t>
            </w:r>
          </w:p>
        </w:tc>
        <w:tc>
          <w:tcPr>
            <w:tcW w:w="6780" w:type="dxa"/>
            <w:vAlign w:val="center"/>
          </w:tcPr>
          <w:p>
            <w:pPr>
              <w:widowControl/>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人员不在岗，电话5分钟未到岗的</w:t>
            </w:r>
          </w:p>
        </w:tc>
        <w:tc>
          <w:tcPr>
            <w:tcW w:w="1107" w:type="dxa"/>
            <w:vAlign w:val="center"/>
          </w:tcPr>
          <w:p>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lang w:val="en-US"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rPr>
        <w:tc>
          <w:tcPr>
            <w:tcW w:w="1152" w:type="dxa"/>
            <w:vMerge w:val="continue"/>
            <w:vAlign w:val="center"/>
          </w:tcPr>
          <w:p>
            <w:pPr>
              <w:widowControl/>
              <w:jc w:val="left"/>
              <w:textAlignment w:val="center"/>
              <w:rPr>
                <w:rFonts w:hint="eastAsia" w:ascii="宋体" w:hAnsi="宋体" w:eastAsia="宋体" w:cs="宋体"/>
                <w:color w:val="auto"/>
                <w:sz w:val="21"/>
                <w:szCs w:val="21"/>
                <w:highlight w:val="none"/>
              </w:rPr>
            </w:pP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指令电话半小时内不回的</w:t>
            </w:r>
            <w:r>
              <w:rPr>
                <w:rFonts w:hint="eastAsia" w:ascii="宋体" w:hAnsi="宋体" w:cs="宋体"/>
                <w:i w:val="0"/>
                <w:color w:val="auto"/>
                <w:kern w:val="0"/>
                <w:sz w:val="21"/>
                <w:szCs w:val="21"/>
                <w:highlight w:val="none"/>
                <w:u w:val="none"/>
                <w:lang w:val="en-US" w:eastAsia="zh-CN" w:bidi="ar-SA"/>
              </w:rPr>
              <w:t>，事后不能说明原因的加倍扣分，相关人员予以辞退。</w:t>
            </w:r>
          </w:p>
        </w:tc>
        <w:tc>
          <w:tcPr>
            <w:tcW w:w="1107" w:type="dxa"/>
            <w:vAlign w:val="center"/>
          </w:tcPr>
          <w:p>
            <w:pPr>
              <w:widowControl/>
              <w:jc w:val="center"/>
              <w:textAlignment w:val="center"/>
              <w:rPr>
                <w:rFonts w:hint="default" w:ascii="宋体" w:hAnsi="宋体" w:eastAsia="宋体" w:cs="宋体"/>
                <w:i w:val="0"/>
                <w:color w:val="auto"/>
                <w:kern w:val="0"/>
                <w:sz w:val="21"/>
                <w:szCs w:val="21"/>
                <w:highlight w:val="none"/>
                <w:u w:val="none"/>
                <w:lang w:val="en-US" w:eastAsia="zh-CN" w:bidi="ar-SA"/>
              </w:rPr>
            </w:pPr>
            <w:r>
              <w:rPr>
                <w:rFonts w:hint="eastAsia" w:ascii="宋体" w:hAnsi="宋体" w:cs="宋体"/>
                <w:i w:val="0"/>
                <w:color w:val="auto"/>
                <w:kern w:val="0"/>
                <w:sz w:val="21"/>
                <w:szCs w:val="21"/>
                <w:highlight w:val="none"/>
                <w:u w:val="none"/>
                <w:lang w:val="en-US" w:eastAsia="zh-CN" w:bidi="ar-SA"/>
              </w:rPr>
              <w:t>2</w:t>
            </w:r>
            <w:r>
              <w:rPr>
                <w:rFonts w:hint="eastAsia" w:ascii="宋体" w:hAnsi="宋体" w:eastAsia="宋体" w:cs="宋体"/>
                <w:i w:val="0"/>
                <w:color w:val="auto"/>
                <w:kern w:val="0"/>
                <w:sz w:val="21"/>
                <w:szCs w:val="21"/>
                <w:highlight w:val="none"/>
                <w:u w:val="none"/>
                <w:lang w:val="en-US" w:eastAsia="zh-CN" w:bidi="ar-SA"/>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152" w:type="dxa"/>
            <w:vMerge w:val="continue"/>
            <w:vAlign w:val="center"/>
          </w:tcPr>
          <w:p>
            <w:pPr>
              <w:widowControl/>
              <w:jc w:val="left"/>
              <w:textAlignment w:val="center"/>
              <w:rPr>
                <w:rFonts w:hint="eastAsia" w:ascii="宋体" w:hAnsi="宋体" w:eastAsia="宋体" w:cs="宋体"/>
                <w:color w:val="auto"/>
                <w:sz w:val="21"/>
                <w:szCs w:val="21"/>
                <w:highlight w:val="none"/>
              </w:rPr>
            </w:pP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无故缺勤或请假未批准擅自休息的视为旷工，旷工半天的</w:t>
            </w:r>
          </w:p>
        </w:tc>
        <w:tc>
          <w:tcPr>
            <w:tcW w:w="1107" w:type="dxa"/>
            <w:vAlign w:val="center"/>
          </w:tcPr>
          <w:p>
            <w:pPr>
              <w:widowControl/>
              <w:jc w:val="center"/>
              <w:textAlignment w:val="center"/>
              <w:rPr>
                <w:rFonts w:hint="default"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trPr>
        <w:tc>
          <w:tcPr>
            <w:tcW w:w="1152" w:type="dxa"/>
            <w:vMerge w:val="continue"/>
            <w:vAlign w:val="center"/>
          </w:tcPr>
          <w:p>
            <w:pPr>
              <w:widowControl/>
              <w:jc w:val="left"/>
              <w:textAlignment w:val="center"/>
              <w:rPr>
                <w:rFonts w:hint="eastAsia" w:ascii="宋体" w:hAnsi="宋体" w:eastAsia="宋体" w:cs="宋体"/>
                <w:color w:val="auto"/>
                <w:sz w:val="21"/>
                <w:szCs w:val="21"/>
                <w:highlight w:val="none"/>
              </w:rPr>
            </w:pP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上级部门、街道办事处组织的会议、活动等无故缺席的</w:t>
            </w:r>
          </w:p>
        </w:tc>
        <w:tc>
          <w:tcPr>
            <w:tcW w:w="1107" w:type="dxa"/>
            <w:vAlign w:val="center"/>
          </w:tcPr>
          <w:p>
            <w:pPr>
              <w:widowControl/>
              <w:jc w:val="center"/>
              <w:textAlignment w:val="center"/>
              <w:rPr>
                <w:rFonts w:hint="default"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trPr>
        <w:tc>
          <w:tcPr>
            <w:tcW w:w="1152" w:type="dxa"/>
            <w:vMerge w:val="continue"/>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凡出现弄虚作假行为的</w:t>
            </w:r>
          </w:p>
        </w:tc>
        <w:tc>
          <w:tcPr>
            <w:tcW w:w="1107" w:type="dxa"/>
            <w:vAlign w:val="center"/>
          </w:tcPr>
          <w:p>
            <w:pPr>
              <w:widowControl/>
              <w:jc w:val="center"/>
              <w:textAlignment w:val="center"/>
              <w:rPr>
                <w:rFonts w:hint="default" w:ascii="宋体" w:hAnsi="宋体" w:eastAsia="宋体" w:cs="宋体"/>
                <w:i w:val="0"/>
                <w:color w:val="auto"/>
                <w:kern w:val="0"/>
                <w:sz w:val="21"/>
                <w:szCs w:val="21"/>
                <w:highlight w:val="none"/>
                <w:u w:val="none"/>
                <w:lang w:val="en-US" w:eastAsia="zh-CN" w:bidi="ar-SA"/>
              </w:rPr>
            </w:pPr>
            <w:r>
              <w:rPr>
                <w:rFonts w:hint="eastAsia" w:ascii="宋体" w:hAnsi="宋体" w:cs="宋体"/>
                <w:i w:val="0"/>
                <w:color w:val="auto"/>
                <w:kern w:val="0"/>
                <w:sz w:val="21"/>
                <w:szCs w:val="21"/>
                <w:highlight w:val="none"/>
                <w:u w:val="none"/>
                <w:lang w:val="en-US" w:eastAsia="zh-CN" w:bidi="ar-SA"/>
              </w:rPr>
              <w:t>3</w:t>
            </w:r>
            <w:r>
              <w:rPr>
                <w:rFonts w:hint="eastAsia" w:ascii="宋体" w:hAnsi="宋体" w:eastAsia="宋体" w:cs="宋体"/>
                <w:i w:val="0"/>
                <w:color w:val="auto"/>
                <w:kern w:val="0"/>
                <w:sz w:val="21"/>
                <w:szCs w:val="21"/>
                <w:highlight w:val="none"/>
                <w:u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4" w:hRule="atLeast"/>
        </w:trPr>
        <w:tc>
          <w:tcPr>
            <w:tcW w:w="1152" w:type="dxa"/>
            <w:vMerge w:val="restart"/>
            <w:vAlign w:val="center"/>
          </w:tcPr>
          <w:p>
            <w:pPr>
              <w:widowControl/>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遵纪守法</w:t>
            </w:r>
          </w:p>
        </w:tc>
        <w:tc>
          <w:tcPr>
            <w:tcW w:w="6780" w:type="dxa"/>
            <w:vAlign w:val="center"/>
          </w:tcPr>
          <w:p>
            <w:pPr>
              <w:widowControl/>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SA"/>
              </w:rPr>
              <w:t>工作期间上网玩游戏、看电影、炒股、睡觉等</w:t>
            </w:r>
          </w:p>
        </w:tc>
        <w:tc>
          <w:tcPr>
            <w:tcW w:w="1107" w:type="dxa"/>
            <w:vAlign w:val="center"/>
          </w:tcPr>
          <w:p>
            <w:pPr>
              <w:jc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1152" w:type="dxa"/>
            <w:vMerge w:val="continue"/>
            <w:vAlign w:val="center"/>
          </w:tcPr>
          <w:p>
            <w:pPr>
              <w:widowControl/>
              <w:jc w:val="left"/>
              <w:textAlignment w:val="center"/>
              <w:rPr>
                <w:rFonts w:hint="eastAsia" w:ascii="宋体" w:hAnsi="宋体" w:eastAsia="宋体" w:cs="宋体"/>
                <w:color w:val="auto"/>
                <w:sz w:val="21"/>
                <w:szCs w:val="21"/>
                <w:highlight w:val="none"/>
              </w:rPr>
            </w:pP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未按规定要求着装</w:t>
            </w:r>
          </w:p>
        </w:tc>
        <w:tc>
          <w:tcPr>
            <w:tcW w:w="1107" w:type="dxa"/>
            <w:vAlign w:val="center"/>
          </w:tcPr>
          <w:p>
            <w:pPr>
              <w:widowControl/>
              <w:jc w:val="center"/>
              <w:textAlignment w:val="center"/>
              <w:rPr>
                <w:rFonts w:hint="default"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1152" w:type="dxa"/>
            <w:vMerge w:val="continue"/>
            <w:vAlign w:val="center"/>
          </w:tcPr>
          <w:p>
            <w:pPr>
              <w:widowControl/>
              <w:jc w:val="left"/>
              <w:textAlignment w:val="center"/>
              <w:rPr>
                <w:rFonts w:hint="eastAsia" w:ascii="宋体" w:hAnsi="宋体" w:eastAsia="宋体" w:cs="宋体"/>
                <w:color w:val="auto"/>
                <w:sz w:val="21"/>
                <w:szCs w:val="21"/>
                <w:highlight w:val="none"/>
              </w:rPr>
            </w:pP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被督察通报或不文明执勤造成有理投诉的</w:t>
            </w:r>
          </w:p>
        </w:tc>
        <w:tc>
          <w:tcPr>
            <w:tcW w:w="1107" w:type="dxa"/>
            <w:vAlign w:val="center"/>
          </w:tcPr>
          <w:p>
            <w:pPr>
              <w:widowControl/>
              <w:jc w:val="center"/>
              <w:textAlignment w:val="center"/>
              <w:rPr>
                <w:rFonts w:hint="default"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9" w:hRule="atLeast"/>
        </w:trPr>
        <w:tc>
          <w:tcPr>
            <w:tcW w:w="1152" w:type="dxa"/>
            <w:vMerge w:val="continue"/>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工作时间饮酒、无证驾驶或酒后驾驶机动车辆的，参与赌博、殴打他人等违法活动，或违反社会公德造成影响的</w:t>
            </w:r>
            <w:r>
              <w:rPr>
                <w:rFonts w:hint="eastAsia" w:ascii="宋体" w:hAnsi="宋体" w:cs="宋体"/>
                <w:i w:val="0"/>
                <w:color w:val="auto"/>
                <w:kern w:val="0"/>
                <w:sz w:val="21"/>
                <w:szCs w:val="21"/>
                <w:highlight w:val="none"/>
                <w:u w:val="none"/>
                <w:lang w:val="en-US" w:eastAsia="zh-CN" w:bidi="ar-SA"/>
              </w:rPr>
              <w:t>，涉事人员予以辞退。</w:t>
            </w:r>
          </w:p>
        </w:tc>
        <w:tc>
          <w:tcPr>
            <w:tcW w:w="1107" w:type="dxa"/>
            <w:vAlign w:val="center"/>
          </w:tcPr>
          <w:p>
            <w:pPr>
              <w:widowControl/>
              <w:jc w:val="center"/>
              <w:textAlignment w:val="center"/>
              <w:rPr>
                <w:rFonts w:hint="default"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trPr>
        <w:tc>
          <w:tcPr>
            <w:tcW w:w="1152" w:type="dxa"/>
            <w:vMerge w:val="restart"/>
            <w:vAlign w:val="center"/>
          </w:tcPr>
          <w:p>
            <w:pPr>
              <w:widowControl/>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考核捆绑</w:t>
            </w:r>
          </w:p>
        </w:tc>
        <w:tc>
          <w:tcPr>
            <w:tcW w:w="6780" w:type="dxa"/>
            <w:vAlign w:val="center"/>
          </w:tcPr>
          <w:p>
            <w:pPr>
              <w:widowControl/>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未第一时间上报辖区内突发应急事件出现信息倒流的</w:t>
            </w:r>
          </w:p>
        </w:tc>
        <w:tc>
          <w:tcPr>
            <w:tcW w:w="1107" w:type="dxa"/>
            <w:vAlign w:val="center"/>
          </w:tcPr>
          <w:p>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w:t>
            </w:r>
            <w:r>
              <w:rPr>
                <w:rFonts w:hint="eastAsia" w:ascii="宋体" w:hAnsi="宋体" w:eastAsia="宋体" w:cs="宋体"/>
                <w:i w:val="0"/>
                <w:color w:val="auto"/>
                <w:sz w:val="21"/>
                <w:szCs w:val="21"/>
                <w:highlight w:val="none"/>
                <w:u w:val="none"/>
                <w:lang w:val="en-US"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1" w:hRule="atLeast"/>
        </w:trPr>
        <w:tc>
          <w:tcPr>
            <w:tcW w:w="1152" w:type="dxa"/>
            <w:vMerge w:val="continue"/>
            <w:vAlign w:val="center"/>
          </w:tcPr>
          <w:p>
            <w:pPr>
              <w:widowControl/>
              <w:jc w:val="left"/>
              <w:textAlignment w:val="center"/>
              <w:rPr>
                <w:rFonts w:hint="eastAsia" w:ascii="宋体" w:hAnsi="宋体" w:eastAsia="宋体" w:cs="宋体"/>
                <w:color w:val="auto"/>
                <w:sz w:val="21"/>
                <w:szCs w:val="21"/>
                <w:highlight w:val="none"/>
              </w:rPr>
            </w:pP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城市环境问题未及时整改或上报，造成上级督查考核扣分或被通报的</w:t>
            </w:r>
          </w:p>
        </w:tc>
        <w:tc>
          <w:tcPr>
            <w:tcW w:w="1107" w:type="dxa"/>
            <w:vAlign w:val="center"/>
          </w:tcPr>
          <w:p>
            <w:pPr>
              <w:widowControl/>
              <w:jc w:val="center"/>
              <w:textAlignment w:val="center"/>
              <w:rPr>
                <w:rFonts w:hint="default"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3-5分/次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1" w:hRule="atLeast"/>
        </w:trPr>
        <w:tc>
          <w:tcPr>
            <w:tcW w:w="1152" w:type="dxa"/>
            <w:vMerge w:val="continue"/>
            <w:vAlign w:val="center"/>
          </w:tcPr>
          <w:p>
            <w:pPr>
              <w:widowControl/>
              <w:jc w:val="left"/>
              <w:textAlignment w:val="center"/>
              <w:rPr>
                <w:rFonts w:hint="eastAsia" w:ascii="宋体" w:hAnsi="宋体" w:eastAsia="宋体" w:cs="宋体"/>
                <w:color w:val="auto"/>
                <w:sz w:val="21"/>
                <w:szCs w:val="21"/>
                <w:highlight w:val="none"/>
              </w:rPr>
            </w:pP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cs="宋体"/>
                <w:i w:val="0"/>
                <w:color w:val="auto"/>
                <w:kern w:val="0"/>
                <w:sz w:val="21"/>
                <w:szCs w:val="21"/>
                <w:highlight w:val="none"/>
                <w:u w:val="none"/>
                <w:lang w:val="en-US" w:eastAsia="zh-CN" w:bidi="ar-SA"/>
              </w:rPr>
              <w:t>未能积极参加上级迎检，未到岗的。导致街道考核失分的加倍扣分。</w:t>
            </w:r>
          </w:p>
        </w:tc>
        <w:tc>
          <w:tcPr>
            <w:tcW w:w="1107" w:type="dxa"/>
            <w:vAlign w:val="center"/>
          </w:tcPr>
          <w:p>
            <w:pPr>
              <w:widowControl/>
              <w:jc w:val="center"/>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cs="宋体"/>
                <w:i w:val="0"/>
                <w:color w:val="auto"/>
                <w:kern w:val="0"/>
                <w:sz w:val="21"/>
                <w:szCs w:val="21"/>
                <w:highlight w:val="none"/>
                <w:u w:val="none"/>
                <w:lang w:val="en-US" w:eastAsia="zh-CN" w:bidi="ar-SA"/>
              </w:rPr>
              <w:t>5-</w:t>
            </w:r>
            <w:r>
              <w:rPr>
                <w:rFonts w:hint="eastAsia" w:ascii="宋体" w:hAnsi="宋体" w:eastAsia="宋体" w:cs="宋体"/>
                <w:i w:val="0"/>
                <w:color w:val="auto"/>
                <w:kern w:val="0"/>
                <w:sz w:val="21"/>
                <w:szCs w:val="21"/>
                <w:highlight w:val="none"/>
                <w:u w:val="none"/>
                <w:lang w:val="en-US" w:eastAsia="zh-CN" w:bidi="ar-SA"/>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trPr>
        <w:tc>
          <w:tcPr>
            <w:tcW w:w="1152" w:type="dxa"/>
            <w:vMerge w:val="continue"/>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p>
        </w:tc>
        <w:tc>
          <w:tcPr>
            <w:tcW w:w="6780" w:type="dxa"/>
            <w:vAlign w:val="center"/>
          </w:tcPr>
          <w:p>
            <w:pPr>
              <w:widowControl/>
              <w:jc w:val="left"/>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因主观原因未按规定及时处置上级督查问题、数字城管交办件等，导致街道考核失分的</w:t>
            </w:r>
          </w:p>
        </w:tc>
        <w:tc>
          <w:tcPr>
            <w:tcW w:w="1107" w:type="dxa"/>
            <w:vAlign w:val="center"/>
          </w:tcPr>
          <w:p>
            <w:pPr>
              <w:widowControl/>
              <w:jc w:val="center"/>
              <w:textAlignment w:val="center"/>
              <w:rPr>
                <w:rFonts w:hint="default"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1-5分/次</w:t>
            </w:r>
          </w:p>
        </w:tc>
      </w:tr>
    </w:tbl>
    <w:p>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备注：每月抽查一次，根据检查情况进行扣分；</w:t>
      </w:r>
    </w:p>
    <w:p>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若分值＜80分，扣除该项目</w:t>
      </w:r>
      <w:r>
        <w:rPr>
          <w:rFonts w:hint="eastAsia" w:ascii="宋体" w:hAnsi="宋体" w:eastAsia="宋体" w:cs="宋体"/>
          <w:color w:val="auto"/>
          <w:sz w:val="24"/>
          <w:szCs w:val="24"/>
          <w:highlight w:val="none"/>
          <w:lang w:eastAsia="zh-CN"/>
        </w:rPr>
        <w:t>当月服务费用的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若分值＜80分，可无条件解除本合同；</w:t>
      </w:r>
    </w:p>
    <w:p>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C、若80分≤考核得分＜85分，按扣分值（300元/分）在本月服务费中扣除；</w:t>
      </w:r>
    </w:p>
    <w:p>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D、考核得分≥85分，</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支付合同约定服务费用的100%；</w:t>
      </w:r>
    </w:p>
    <w:p>
      <w:pPr>
        <w:pStyle w:val="4"/>
        <w:rPr>
          <w:rFonts w:hint="eastAsia"/>
          <w:color w:val="auto"/>
          <w:highlight w:val="none"/>
        </w:rPr>
        <w:sectPr>
          <w:headerReference r:id="rId7" w:type="default"/>
          <w:footerReference r:id="rId8"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p>
    <w:p>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 xml:space="preserve">第四部分   </w:t>
      </w:r>
      <w:bookmarkStart w:id="22" w:name="_Toc184314447"/>
      <w:bookmarkEnd w:id="22"/>
      <w:bookmarkStart w:id="23" w:name="_Toc184312076"/>
      <w:bookmarkEnd w:id="23"/>
      <w:bookmarkStart w:id="24" w:name="_Toc184310283"/>
      <w:bookmarkEnd w:id="24"/>
      <w:bookmarkStart w:id="25" w:name="_Toc184310338"/>
      <w:bookmarkEnd w:id="25"/>
      <w:bookmarkStart w:id="26" w:name="_Toc184310298"/>
      <w:bookmarkEnd w:id="26"/>
      <w:bookmarkStart w:id="27" w:name="_Toc184308043"/>
      <w:bookmarkEnd w:id="27"/>
      <w:bookmarkStart w:id="28" w:name="_Toc184313240"/>
      <w:bookmarkEnd w:id="28"/>
      <w:bookmarkStart w:id="29" w:name="_Toc184310281"/>
      <w:bookmarkEnd w:id="29"/>
      <w:bookmarkStart w:id="30" w:name="_Toc184312070"/>
      <w:bookmarkEnd w:id="30"/>
      <w:bookmarkStart w:id="31" w:name="_Toc184310339"/>
      <w:bookmarkEnd w:id="31"/>
      <w:bookmarkStart w:id="32" w:name="_Toc184308076"/>
      <w:bookmarkEnd w:id="32"/>
      <w:bookmarkStart w:id="33" w:name="_Toc184314415"/>
      <w:bookmarkEnd w:id="33"/>
      <w:bookmarkStart w:id="34" w:name="_Toc184313308"/>
      <w:bookmarkEnd w:id="34"/>
      <w:bookmarkStart w:id="35" w:name="_Toc184313309"/>
      <w:bookmarkEnd w:id="35"/>
      <w:bookmarkStart w:id="36" w:name="_Toc184313238"/>
      <w:bookmarkEnd w:id="36"/>
      <w:bookmarkStart w:id="37" w:name="_Toc184308095"/>
      <w:bookmarkEnd w:id="37"/>
      <w:bookmarkStart w:id="38" w:name="_Toc184314470"/>
      <w:bookmarkEnd w:id="38"/>
      <w:bookmarkStart w:id="39" w:name="_Toc184312074"/>
      <w:bookmarkEnd w:id="39"/>
      <w:bookmarkStart w:id="40" w:name="_Toc184313258"/>
      <w:bookmarkEnd w:id="40"/>
      <w:bookmarkStart w:id="41" w:name="_Toc184308100"/>
      <w:bookmarkEnd w:id="41"/>
      <w:bookmarkStart w:id="42" w:name="_Toc184308068"/>
      <w:bookmarkEnd w:id="42"/>
      <w:bookmarkStart w:id="43" w:name="_Toc184312091"/>
      <w:bookmarkEnd w:id="43"/>
      <w:bookmarkStart w:id="44" w:name="_Toc184313297"/>
      <w:bookmarkEnd w:id="44"/>
      <w:bookmarkStart w:id="45" w:name="_Toc184308045"/>
      <w:bookmarkEnd w:id="45"/>
      <w:bookmarkStart w:id="46" w:name="_Toc184308101"/>
      <w:bookmarkEnd w:id="46"/>
      <w:bookmarkStart w:id="47" w:name="_Toc184308059"/>
      <w:bookmarkEnd w:id="47"/>
      <w:bookmarkStart w:id="48" w:name="_Toc184312134"/>
      <w:bookmarkEnd w:id="48"/>
      <w:bookmarkStart w:id="49" w:name="_Toc184310328"/>
      <w:bookmarkEnd w:id="49"/>
      <w:bookmarkStart w:id="50" w:name="_Toc184310325"/>
      <w:bookmarkEnd w:id="50"/>
      <w:bookmarkStart w:id="51" w:name="_Toc184308075"/>
      <w:bookmarkEnd w:id="51"/>
      <w:bookmarkStart w:id="52" w:name="_Toc184308082"/>
      <w:bookmarkEnd w:id="52"/>
      <w:bookmarkStart w:id="53" w:name="_Toc184314459"/>
      <w:bookmarkEnd w:id="53"/>
      <w:bookmarkStart w:id="54" w:name="_Toc184308098"/>
      <w:bookmarkEnd w:id="54"/>
      <w:bookmarkStart w:id="55" w:name="_Toc184313269"/>
      <w:bookmarkEnd w:id="55"/>
      <w:bookmarkStart w:id="56" w:name="_Toc184308050"/>
      <w:bookmarkEnd w:id="56"/>
      <w:bookmarkStart w:id="57" w:name="_Toc184310315"/>
      <w:bookmarkEnd w:id="57"/>
      <w:bookmarkStart w:id="58" w:name="_Toc184310279"/>
      <w:bookmarkEnd w:id="58"/>
      <w:bookmarkStart w:id="59" w:name="_Toc184312090"/>
      <w:bookmarkEnd w:id="59"/>
      <w:bookmarkStart w:id="60" w:name="_Toc184310274"/>
      <w:bookmarkEnd w:id="60"/>
      <w:bookmarkStart w:id="61" w:name="_Toc184310341"/>
      <w:bookmarkEnd w:id="61"/>
      <w:bookmarkStart w:id="62" w:name="_Toc184314423"/>
      <w:bookmarkEnd w:id="62"/>
      <w:bookmarkStart w:id="63" w:name="_Toc184312127"/>
      <w:bookmarkEnd w:id="63"/>
      <w:bookmarkStart w:id="64" w:name="_Toc184312132"/>
      <w:bookmarkEnd w:id="64"/>
      <w:bookmarkStart w:id="65" w:name="_Toc184312100"/>
      <w:bookmarkEnd w:id="65"/>
      <w:bookmarkStart w:id="66" w:name="_Toc184308096"/>
      <w:bookmarkEnd w:id="66"/>
      <w:bookmarkStart w:id="67" w:name="_Toc184312098"/>
      <w:bookmarkEnd w:id="67"/>
      <w:bookmarkStart w:id="68" w:name="_Toc184308039"/>
      <w:bookmarkEnd w:id="68"/>
      <w:bookmarkStart w:id="69" w:name="_Toc184308086"/>
      <w:bookmarkEnd w:id="69"/>
      <w:bookmarkStart w:id="70" w:name="_Toc184310289"/>
      <w:bookmarkEnd w:id="70"/>
      <w:bookmarkStart w:id="71" w:name="_Toc184310314"/>
      <w:bookmarkEnd w:id="71"/>
      <w:bookmarkStart w:id="72" w:name="_Toc184310343"/>
      <w:bookmarkEnd w:id="72"/>
      <w:bookmarkStart w:id="73" w:name="_Toc184314481"/>
      <w:bookmarkEnd w:id="73"/>
      <w:bookmarkStart w:id="74" w:name="_Toc184314439"/>
      <w:bookmarkEnd w:id="74"/>
      <w:bookmarkStart w:id="75" w:name="_Toc184314478"/>
      <w:bookmarkEnd w:id="75"/>
      <w:bookmarkStart w:id="76" w:name="_Toc184313284"/>
      <w:bookmarkEnd w:id="76"/>
      <w:bookmarkStart w:id="77" w:name="_Toc184308054"/>
      <w:bookmarkEnd w:id="77"/>
      <w:bookmarkStart w:id="78" w:name="_Toc184312103"/>
      <w:bookmarkEnd w:id="78"/>
      <w:bookmarkStart w:id="79" w:name="_Toc184313285"/>
      <w:bookmarkEnd w:id="79"/>
      <w:bookmarkStart w:id="80" w:name="_Toc184310299"/>
      <w:bookmarkEnd w:id="80"/>
      <w:bookmarkStart w:id="81" w:name="_Toc184310304"/>
      <w:bookmarkEnd w:id="81"/>
      <w:bookmarkStart w:id="82" w:name="_Toc184308106"/>
      <w:bookmarkEnd w:id="82"/>
      <w:bookmarkStart w:id="83" w:name="_Toc184310275"/>
      <w:bookmarkEnd w:id="83"/>
      <w:bookmarkStart w:id="84" w:name="_Toc184312072"/>
      <w:bookmarkEnd w:id="84"/>
      <w:bookmarkStart w:id="85" w:name="_Toc184308079"/>
      <w:bookmarkEnd w:id="85"/>
      <w:bookmarkStart w:id="86" w:name="_Toc184314477"/>
      <w:bookmarkEnd w:id="86"/>
      <w:bookmarkStart w:id="87" w:name="_Toc184313300"/>
      <w:bookmarkEnd w:id="87"/>
      <w:bookmarkStart w:id="88" w:name="_Toc184312079"/>
      <w:bookmarkEnd w:id="88"/>
      <w:bookmarkStart w:id="89" w:name="_Toc184312122"/>
      <w:bookmarkEnd w:id="89"/>
      <w:bookmarkStart w:id="90" w:name="_Toc184308099"/>
      <w:bookmarkEnd w:id="90"/>
      <w:bookmarkStart w:id="91" w:name="_Toc184310280"/>
      <w:bookmarkEnd w:id="91"/>
      <w:bookmarkStart w:id="92" w:name="_Toc184308042"/>
      <w:bookmarkEnd w:id="92"/>
      <w:bookmarkStart w:id="93" w:name="_Toc184308048"/>
      <w:bookmarkEnd w:id="93"/>
      <w:bookmarkStart w:id="94" w:name="_Toc184308065"/>
      <w:bookmarkEnd w:id="94"/>
      <w:bookmarkStart w:id="95" w:name="_Toc184308083"/>
      <w:bookmarkEnd w:id="95"/>
      <w:bookmarkStart w:id="96" w:name="_Toc184313281"/>
      <w:bookmarkEnd w:id="96"/>
      <w:bookmarkStart w:id="97" w:name="_Toc184312120"/>
      <w:bookmarkEnd w:id="97"/>
      <w:bookmarkStart w:id="98" w:name="_Toc184313244"/>
      <w:bookmarkEnd w:id="98"/>
      <w:bookmarkStart w:id="99" w:name="_Toc184314413"/>
      <w:bookmarkEnd w:id="99"/>
      <w:bookmarkStart w:id="100" w:name="_Toc184310329"/>
      <w:bookmarkEnd w:id="100"/>
      <w:bookmarkStart w:id="101" w:name="_Toc184313303"/>
      <w:bookmarkEnd w:id="101"/>
      <w:bookmarkStart w:id="102" w:name="_Toc184313276"/>
      <w:bookmarkEnd w:id="102"/>
      <w:bookmarkStart w:id="103" w:name="_Toc184312092"/>
      <w:bookmarkEnd w:id="103"/>
      <w:bookmarkStart w:id="104" w:name="_Toc184314465"/>
      <w:bookmarkEnd w:id="104"/>
      <w:bookmarkStart w:id="105" w:name="_Toc184314455"/>
      <w:bookmarkEnd w:id="105"/>
      <w:bookmarkStart w:id="106" w:name="_Toc184310302"/>
      <w:bookmarkEnd w:id="106"/>
      <w:bookmarkStart w:id="107" w:name="_Toc184312111"/>
      <w:bookmarkEnd w:id="107"/>
      <w:bookmarkStart w:id="108" w:name="_Toc184308038"/>
      <w:bookmarkEnd w:id="108"/>
      <w:bookmarkStart w:id="109" w:name="_Toc184314474"/>
      <w:bookmarkEnd w:id="109"/>
      <w:bookmarkStart w:id="110" w:name="_Toc184310276"/>
      <w:bookmarkEnd w:id="110"/>
      <w:bookmarkStart w:id="111" w:name="_Toc184314451"/>
      <w:bookmarkEnd w:id="111"/>
      <w:bookmarkStart w:id="112" w:name="_Toc184314433"/>
      <w:bookmarkEnd w:id="112"/>
      <w:bookmarkStart w:id="113" w:name="_Toc184308092"/>
      <w:bookmarkEnd w:id="113"/>
      <w:bookmarkStart w:id="114" w:name="_Toc184314472"/>
      <w:bookmarkEnd w:id="114"/>
      <w:bookmarkStart w:id="115" w:name="_Toc184313256"/>
      <w:bookmarkEnd w:id="115"/>
      <w:bookmarkStart w:id="116" w:name="_Toc184308078"/>
      <w:bookmarkEnd w:id="116"/>
      <w:bookmarkStart w:id="117" w:name="_Toc184310285"/>
      <w:bookmarkEnd w:id="117"/>
      <w:bookmarkStart w:id="118" w:name="_Toc184308037"/>
      <w:bookmarkEnd w:id="118"/>
      <w:bookmarkStart w:id="119" w:name="_Toc184310322"/>
      <w:bookmarkEnd w:id="119"/>
      <w:bookmarkStart w:id="120" w:name="_Toc184312093"/>
      <w:bookmarkEnd w:id="120"/>
      <w:bookmarkStart w:id="121" w:name="_Toc184313249"/>
      <w:bookmarkEnd w:id="121"/>
      <w:bookmarkStart w:id="122" w:name="_Toc184314463"/>
      <w:bookmarkEnd w:id="122"/>
      <w:bookmarkStart w:id="123" w:name="_Toc184313251"/>
      <w:bookmarkEnd w:id="123"/>
      <w:bookmarkStart w:id="124" w:name="_Toc184314434"/>
      <w:bookmarkEnd w:id="124"/>
      <w:bookmarkStart w:id="125" w:name="_Toc184313242"/>
      <w:bookmarkEnd w:id="125"/>
      <w:bookmarkStart w:id="126" w:name="_Toc184314417"/>
      <w:bookmarkEnd w:id="126"/>
      <w:bookmarkStart w:id="127" w:name="_Toc184308097"/>
      <w:bookmarkEnd w:id="127"/>
      <w:bookmarkStart w:id="128" w:name="_Toc184314437"/>
      <w:bookmarkEnd w:id="128"/>
      <w:bookmarkStart w:id="129" w:name="_Toc184313257"/>
      <w:bookmarkEnd w:id="129"/>
      <w:bookmarkStart w:id="130" w:name="_Toc184312110"/>
      <w:bookmarkEnd w:id="130"/>
      <w:bookmarkStart w:id="131" w:name="_Toc184310320"/>
      <w:bookmarkEnd w:id="131"/>
      <w:bookmarkStart w:id="132" w:name="_Toc184314476"/>
      <w:bookmarkEnd w:id="132"/>
      <w:bookmarkStart w:id="133" w:name="_Toc184308044"/>
      <w:bookmarkEnd w:id="133"/>
      <w:bookmarkStart w:id="134" w:name="_Toc184308084"/>
      <w:bookmarkEnd w:id="134"/>
      <w:bookmarkStart w:id="135" w:name="_Toc184310288"/>
      <w:bookmarkEnd w:id="135"/>
      <w:bookmarkStart w:id="136" w:name="_Toc184312125"/>
      <w:bookmarkEnd w:id="136"/>
      <w:bookmarkStart w:id="137" w:name="_Toc184313305"/>
      <w:bookmarkEnd w:id="137"/>
      <w:bookmarkStart w:id="138" w:name="_Toc184314464"/>
      <w:bookmarkEnd w:id="138"/>
      <w:bookmarkStart w:id="139" w:name="_Toc184313241"/>
      <w:bookmarkEnd w:id="139"/>
      <w:bookmarkStart w:id="140" w:name="_Toc184312094"/>
      <w:bookmarkEnd w:id="140"/>
      <w:bookmarkStart w:id="141" w:name="_Toc184312121"/>
      <w:bookmarkEnd w:id="141"/>
      <w:bookmarkStart w:id="142" w:name="_Toc184313293"/>
      <w:bookmarkEnd w:id="142"/>
      <w:bookmarkStart w:id="143" w:name="_Toc184312131"/>
      <w:bookmarkEnd w:id="143"/>
      <w:bookmarkStart w:id="144" w:name="_Toc184314411"/>
      <w:bookmarkEnd w:id="144"/>
      <w:bookmarkStart w:id="145" w:name="_Toc184310323"/>
      <w:bookmarkEnd w:id="145"/>
      <w:bookmarkStart w:id="146" w:name="_Toc184308107"/>
      <w:bookmarkEnd w:id="146"/>
      <w:bookmarkStart w:id="147" w:name="_Toc184312119"/>
      <w:bookmarkEnd w:id="147"/>
      <w:bookmarkStart w:id="148" w:name="_Toc184314475"/>
      <w:bookmarkEnd w:id="148"/>
      <w:bookmarkStart w:id="149" w:name="_Toc184313301"/>
      <w:bookmarkEnd w:id="149"/>
      <w:bookmarkStart w:id="150" w:name="_Toc184312130"/>
      <w:bookmarkEnd w:id="150"/>
      <w:bookmarkStart w:id="151" w:name="_Toc184312118"/>
      <w:bookmarkEnd w:id="151"/>
      <w:bookmarkStart w:id="152" w:name="_Toc184314466"/>
      <w:bookmarkEnd w:id="152"/>
      <w:bookmarkStart w:id="153" w:name="_Toc184314482"/>
      <w:bookmarkEnd w:id="153"/>
      <w:bookmarkStart w:id="154" w:name="_Toc184308067"/>
      <w:bookmarkEnd w:id="154"/>
      <w:bookmarkStart w:id="155" w:name="_Toc184313250"/>
      <w:bookmarkEnd w:id="155"/>
      <w:bookmarkStart w:id="156" w:name="_Toc184313265"/>
      <w:bookmarkEnd w:id="156"/>
      <w:bookmarkStart w:id="157" w:name="_Toc184312088"/>
      <w:bookmarkEnd w:id="157"/>
      <w:bookmarkStart w:id="158" w:name="_Toc184308047"/>
      <w:bookmarkEnd w:id="158"/>
      <w:bookmarkStart w:id="159" w:name="_Toc184308071"/>
      <w:bookmarkEnd w:id="159"/>
      <w:bookmarkStart w:id="160" w:name="_Toc184308066"/>
      <w:bookmarkEnd w:id="160"/>
      <w:bookmarkStart w:id="161" w:name="_Toc184313289"/>
      <w:bookmarkEnd w:id="161"/>
      <w:bookmarkStart w:id="162" w:name="_Toc184308063"/>
      <w:bookmarkEnd w:id="162"/>
      <w:bookmarkStart w:id="163" w:name="_Toc184313291"/>
      <w:bookmarkEnd w:id="163"/>
      <w:bookmarkStart w:id="164" w:name="_Toc184312102"/>
      <w:bookmarkEnd w:id="164"/>
      <w:bookmarkStart w:id="165" w:name="_Toc184308051"/>
      <w:bookmarkEnd w:id="165"/>
      <w:bookmarkStart w:id="166" w:name="_Toc184314426"/>
      <w:bookmarkEnd w:id="166"/>
      <w:bookmarkStart w:id="167" w:name="_Toc184312105"/>
      <w:bookmarkEnd w:id="167"/>
      <w:bookmarkStart w:id="168" w:name="_Toc184313304"/>
      <w:bookmarkEnd w:id="168"/>
      <w:bookmarkStart w:id="169" w:name="_Toc184308055"/>
      <w:bookmarkEnd w:id="169"/>
      <w:bookmarkStart w:id="170" w:name="_Toc184313292"/>
      <w:bookmarkEnd w:id="170"/>
      <w:bookmarkStart w:id="171" w:name="_Toc184312096"/>
      <w:bookmarkEnd w:id="171"/>
      <w:bookmarkStart w:id="172" w:name="_Toc184310292"/>
      <w:bookmarkEnd w:id="172"/>
      <w:bookmarkStart w:id="173" w:name="_Toc184313246"/>
      <w:bookmarkEnd w:id="173"/>
      <w:bookmarkStart w:id="174" w:name="_Toc184308081"/>
      <w:bookmarkEnd w:id="174"/>
      <w:bookmarkStart w:id="175" w:name="_Toc184308064"/>
      <w:bookmarkEnd w:id="175"/>
      <w:bookmarkStart w:id="176" w:name="_Toc184312126"/>
      <w:bookmarkEnd w:id="176"/>
      <w:bookmarkStart w:id="177" w:name="_Toc184314480"/>
      <w:bookmarkEnd w:id="177"/>
      <w:bookmarkStart w:id="178" w:name="_Toc184314420"/>
      <w:bookmarkEnd w:id="178"/>
      <w:bookmarkStart w:id="179" w:name="_Toc184314419"/>
      <w:bookmarkEnd w:id="179"/>
      <w:bookmarkStart w:id="180" w:name="_Toc184310332"/>
      <w:bookmarkEnd w:id="180"/>
      <w:bookmarkStart w:id="181" w:name="_Toc184310282"/>
      <w:bookmarkEnd w:id="181"/>
      <w:bookmarkStart w:id="182" w:name="_Toc184312106"/>
      <w:bookmarkEnd w:id="182"/>
      <w:bookmarkStart w:id="183" w:name="_Toc184314440"/>
      <w:bookmarkEnd w:id="183"/>
      <w:bookmarkStart w:id="184" w:name="_Toc184314454"/>
      <w:bookmarkEnd w:id="184"/>
      <w:bookmarkStart w:id="185" w:name="_Toc184308046"/>
      <w:bookmarkEnd w:id="185"/>
      <w:bookmarkStart w:id="186" w:name="_Toc184308087"/>
      <w:bookmarkEnd w:id="186"/>
      <w:bookmarkStart w:id="187" w:name="_Toc184314443"/>
      <w:bookmarkEnd w:id="187"/>
      <w:bookmarkStart w:id="188" w:name="_Toc184308061"/>
      <w:bookmarkEnd w:id="188"/>
      <w:bookmarkStart w:id="189" w:name="_Toc184308089"/>
      <w:bookmarkEnd w:id="189"/>
      <w:bookmarkStart w:id="190" w:name="_Toc184314416"/>
      <w:bookmarkEnd w:id="190"/>
      <w:bookmarkStart w:id="191" w:name="_Toc184312104"/>
      <w:bookmarkEnd w:id="191"/>
      <w:bookmarkStart w:id="192" w:name="_Toc184314432"/>
      <w:bookmarkEnd w:id="192"/>
      <w:bookmarkStart w:id="193" w:name="_Toc184308072"/>
      <w:bookmarkEnd w:id="193"/>
      <w:bookmarkStart w:id="194" w:name="_Toc184312069"/>
      <w:bookmarkEnd w:id="194"/>
      <w:bookmarkStart w:id="195" w:name="_Toc184312068"/>
      <w:bookmarkEnd w:id="195"/>
      <w:bookmarkStart w:id="196" w:name="_Toc184312114"/>
      <w:bookmarkEnd w:id="196"/>
      <w:bookmarkStart w:id="197" w:name="_Toc184310287"/>
      <w:bookmarkEnd w:id="197"/>
      <w:bookmarkStart w:id="198" w:name="_Toc184308062"/>
      <w:bookmarkEnd w:id="198"/>
      <w:bookmarkStart w:id="199" w:name="_Toc184310312"/>
      <w:bookmarkEnd w:id="199"/>
      <w:bookmarkStart w:id="200" w:name="_Toc184308077"/>
      <w:bookmarkEnd w:id="200"/>
      <w:bookmarkStart w:id="201" w:name="_Toc184310321"/>
      <w:bookmarkEnd w:id="201"/>
      <w:bookmarkStart w:id="202" w:name="_Toc184310284"/>
      <w:bookmarkEnd w:id="202"/>
      <w:bookmarkStart w:id="203" w:name="_Toc184308070"/>
      <w:bookmarkEnd w:id="203"/>
      <w:bookmarkStart w:id="204" w:name="_Toc184310317"/>
      <w:bookmarkEnd w:id="204"/>
      <w:bookmarkStart w:id="205" w:name="_Toc184310303"/>
      <w:bookmarkEnd w:id="205"/>
      <w:bookmarkStart w:id="206" w:name="_Toc184308094"/>
      <w:bookmarkEnd w:id="206"/>
      <w:bookmarkStart w:id="207" w:name="_Toc184308057"/>
      <w:bookmarkEnd w:id="207"/>
      <w:bookmarkStart w:id="208" w:name="_Toc184308102"/>
      <w:bookmarkEnd w:id="208"/>
      <w:bookmarkStart w:id="209" w:name="_Toc184312084"/>
      <w:bookmarkEnd w:id="209"/>
      <w:bookmarkStart w:id="210" w:name="_Toc184314422"/>
      <w:bookmarkEnd w:id="210"/>
      <w:bookmarkStart w:id="211" w:name="_Toc184308069"/>
      <w:bookmarkEnd w:id="211"/>
      <w:bookmarkStart w:id="212" w:name="_Toc184313271"/>
      <w:bookmarkEnd w:id="212"/>
      <w:bookmarkStart w:id="213" w:name="_Toc184314436"/>
      <w:bookmarkEnd w:id="213"/>
      <w:bookmarkStart w:id="214" w:name="_Toc184313270"/>
      <w:bookmarkEnd w:id="214"/>
      <w:bookmarkStart w:id="215" w:name="_Toc184313243"/>
      <w:bookmarkEnd w:id="215"/>
      <w:bookmarkStart w:id="216" w:name="_Toc184312078"/>
      <w:bookmarkEnd w:id="216"/>
      <w:bookmarkStart w:id="217" w:name="_Toc184308080"/>
      <w:bookmarkEnd w:id="217"/>
      <w:bookmarkStart w:id="218" w:name="_Toc184313272"/>
      <w:bookmarkEnd w:id="218"/>
      <w:bookmarkStart w:id="219" w:name="_Toc184313288"/>
      <w:bookmarkEnd w:id="219"/>
      <w:bookmarkStart w:id="220" w:name="_Toc184310272"/>
      <w:bookmarkEnd w:id="220"/>
      <w:bookmarkStart w:id="221" w:name="_Toc184314452"/>
      <w:bookmarkEnd w:id="221"/>
      <w:bookmarkStart w:id="222" w:name="_Toc184313286"/>
      <w:bookmarkEnd w:id="222"/>
      <w:bookmarkStart w:id="223" w:name="_Toc184312113"/>
      <w:bookmarkEnd w:id="223"/>
      <w:bookmarkStart w:id="224" w:name="_Toc184314418"/>
      <w:bookmarkEnd w:id="224"/>
      <w:bookmarkStart w:id="225" w:name="_Toc184312116"/>
      <w:bookmarkEnd w:id="225"/>
      <w:bookmarkStart w:id="226" w:name="_Toc184313277"/>
      <w:bookmarkEnd w:id="226"/>
      <w:bookmarkStart w:id="227" w:name="_Toc184310326"/>
      <w:bookmarkEnd w:id="227"/>
      <w:bookmarkStart w:id="228" w:name="_Toc184310300"/>
      <w:bookmarkEnd w:id="228"/>
      <w:bookmarkStart w:id="229" w:name="_Toc184312081"/>
      <w:bookmarkEnd w:id="229"/>
      <w:bookmarkStart w:id="230" w:name="_Toc184310291"/>
      <w:bookmarkEnd w:id="230"/>
      <w:bookmarkStart w:id="231" w:name="_Toc184314425"/>
      <w:bookmarkEnd w:id="231"/>
      <w:bookmarkStart w:id="232" w:name="_Toc184310336"/>
      <w:bookmarkEnd w:id="232"/>
      <w:bookmarkStart w:id="233" w:name="_Toc184310319"/>
      <w:bookmarkEnd w:id="233"/>
      <w:bookmarkStart w:id="234" w:name="_Toc184310340"/>
      <w:bookmarkEnd w:id="234"/>
      <w:bookmarkStart w:id="235" w:name="_Toc184314428"/>
      <w:bookmarkEnd w:id="235"/>
      <w:bookmarkStart w:id="236" w:name="_Toc184313282"/>
      <w:bookmarkEnd w:id="236"/>
      <w:bookmarkStart w:id="237" w:name="_Toc184308049"/>
      <w:bookmarkEnd w:id="237"/>
      <w:bookmarkStart w:id="238" w:name="_Toc184308040"/>
      <w:bookmarkEnd w:id="238"/>
      <w:bookmarkStart w:id="239" w:name="_Toc184313279"/>
      <w:bookmarkEnd w:id="239"/>
      <w:bookmarkStart w:id="240" w:name="_Toc184312133"/>
      <w:bookmarkEnd w:id="240"/>
      <w:bookmarkStart w:id="241" w:name="_Toc184313268"/>
      <w:bookmarkEnd w:id="241"/>
      <w:bookmarkStart w:id="242" w:name="_Toc184310277"/>
      <w:bookmarkEnd w:id="242"/>
      <w:bookmarkStart w:id="243" w:name="_Toc184312107"/>
      <w:bookmarkEnd w:id="243"/>
      <w:bookmarkStart w:id="244" w:name="_Toc184313278"/>
      <w:bookmarkEnd w:id="244"/>
      <w:bookmarkStart w:id="245" w:name="_Toc184314448"/>
      <w:bookmarkEnd w:id="245"/>
      <w:bookmarkStart w:id="246" w:name="_Toc184312071"/>
      <w:bookmarkEnd w:id="246"/>
      <w:bookmarkStart w:id="247" w:name="_Toc184312109"/>
      <w:bookmarkEnd w:id="247"/>
      <w:bookmarkStart w:id="248" w:name="_Toc184314458"/>
      <w:bookmarkEnd w:id="248"/>
      <w:bookmarkStart w:id="249" w:name="_Toc184313260"/>
      <w:bookmarkEnd w:id="249"/>
      <w:bookmarkStart w:id="250" w:name="_Toc184312117"/>
      <w:bookmarkEnd w:id="250"/>
      <w:bookmarkStart w:id="251" w:name="_Toc184312087"/>
      <w:bookmarkEnd w:id="251"/>
      <w:bookmarkStart w:id="252" w:name="_Toc184313290"/>
      <w:bookmarkEnd w:id="252"/>
      <w:bookmarkStart w:id="253" w:name="_Toc184310278"/>
      <w:bookmarkEnd w:id="253"/>
      <w:bookmarkStart w:id="254" w:name="_Toc184312139"/>
      <w:bookmarkEnd w:id="254"/>
      <w:bookmarkStart w:id="255" w:name="_Toc184310334"/>
      <w:bookmarkEnd w:id="255"/>
      <w:bookmarkStart w:id="256" w:name="_Toc184313253"/>
      <w:bookmarkEnd w:id="256"/>
      <w:bookmarkStart w:id="257" w:name="_Toc184312123"/>
      <w:bookmarkEnd w:id="257"/>
      <w:bookmarkStart w:id="258" w:name="_Toc184308091"/>
      <w:bookmarkEnd w:id="258"/>
      <w:bookmarkStart w:id="259" w:name="_Toc184308041"/>
      <w:bookmarkEnd w:id="259"/>
      <w:bookmarkStart w:id="260" w:name="_Toc184310293"/>
      <w:bookmarkEnd w:id="260"/>
      <w:bookmarkStart w:id="261" w:name="_Toc184312067"/>
      <w:bookmarkEnd w:id="261"/>
      <w:bookmarkStart w:id="262" w:name="_Toc184313310"/>
      <w:bookmarkEnd w:id="262"/>
      <w:bookmarkStart w:id="263" w:name="_Toc184310311"/>
      <w:bookmarkEnd w:id="263"/>
      <w:bookmarkStart w:id="264" w:name="_Toc184310316"/>
      <w:bookmarkEnd w:id="264"/>
      <w:bookmarkStart w:id="265" w:name="_Toc184314479"/>
      <w:bookmarkEnd w:id="265"/>
      <w:bookmarkStart w:id="266" w:name="_Toc184310337"/>
      <w:bookmarkEnd w:id="266"/>
      <w:bookmarkStart w:id="267" w:name="_Toc184314444"/>
      <w:bookmarkEnd w:id="267"/>
      <w:bookmarkStart w:id="268" w:name="_Toc184313245"/>
      <w:bookmarkEnd w:id="268"/>
      <w:bookmarkStart w:id="269" w:name="_Toc184310335"/>
      <w:bookmarkEnd w:id="269"/>
      <w:bookmarkStart w:id="270" w:name="_Toc184310294"/>
      <w:bookmarkEnd w:id="270"/>
      <w:bookmarkStart w:id="271" w:name="_Toc184313262"/>
      <w:bookmarkEnd w:id="271"/>
      <w:bookmarkStart w:id="272" w:name="_Toc184310342"/>
      <w:bookmarkEnd w:id="272"/>
      <w:bookmarkStart w:id="273" w:name="_Toc184312083"/>
      <w:bookmarkEnd w:id="273"/>
      <w:bookmarkStart w:id="274" w:name="_Toc184314438"/>
      <w:bookmarkEnd w:id="274"/>
      <w:bookmarkStart w:id="275" w:name="_Toc184314412"/>
      <w:bookmarkEnd w:id="275"/>
      <w:bookmarkStart w:id="276" w:name="_Toc184312089"/>
      <w:bookmarkEnd w:id="276"/>
      <w:bookmarkStart w:id="277" w:name="_Toc184313267"/>
      <w:bookmarkEnd w:id="277"/>
      <w:bookmarkStart w:id="278" w:name="_Toc184310273"/>
      <w:bookmarkEnd w:id="278"/>
      <w:bookmarkStart w:id="279" w:name="_Toc184312101"/>
      <w:bookmarkEnd w:id="279"/>
      <w:bookmarkStart w:id="280" w:name="_Toc184308036"/>
      <w:bookmarkEnd w:id="280"/>
      <w:bookmarkStart w:id="281" w:name="_Toc184313306"/>
      <w:bookmarkEnd w:id="281"/>
      <w:bookmarkStart w:id="282" w:name="_Toc184312124"/>
      <w:bookmarkEnd w:id="282"/>
      <w:bookmarkStart w:id="283" w:name="_Toc184310286"/>
      <w:bookmarkEnd w:id="283"/>
      <w:bookmarkStart w:id="284" w:name="_Toc184314429"/>
      <w:bookmarkEnd w:id="284"/>
      <w:bookmarkStart w:id="285" w:name="_Toc184308085"/>
      <w:bookmarkEnd w:id="285"/>
      <w:bookmarkStart w:id="286" w:name="_Toc184312137"/>
      <w:bookmarkEnd w:id="286"/>
      <w:bookmarkStart w:id="287" w:name="_Toc184314445"/>
      <w:bookmarkEnd w:id="287"/>
      <w:bookmarkStart w:id="288" w:name="_Toc184308103"/>
      <w:bookmarkEnd w:id="288"/>
      <w:bookmarkStart w:id="289" w:name="_Toc184313298"/>
      <w:bookmarkEnd w:id="289"/>
      <w:bookmarkStart w:id="290" w:name="_Toc184310296"/>
      <w:bookmarkEnd w:id="290"/>
      <w:bookmarkStart w:id="291" w:name="_Toc184312095"/>
      <w:bookmarkEnd w:id="291"/>
      <w:bookmarkStart w:id="292" w:name="_Toc184314453"/>
      <w:bookmarkEnd w:id="292"/>
      <w:bookmarkStart w:id="293" w:name="_Toc184314410"/>
      <w:bookmarkEnd w:id="293"/>
      <w:bookmarkStart w:id="294" w:name="_Toc184314457"/>
      <w:bookmarkEnd w:id="294"/>
      <w:bookmarkStart w:id="295" w:name="_Toc184313273"/>
      <w:bookmarkEnd w:id="295"/>
      <w:bookmarkStart w:id="296" w:name="_Toc184310295"/>
      <w:bookmarkEnd w:id="296"/>
      <w:bookmarkStart w:id="297" w:name="_Toc184310313"/>
      <w:bookmarkEnd w:id="297"/>
      <w:bookmarkStart w:id="298" w:name="_Toc184314431"/>
      <w:bookmarkEnd w:id="298"/>
      <w:bookmarkStart w:id="299" w:name="_Toc184313263"/>
      <w:bookmarkEnd w:id="299"/>
      <w:bookmarkStart w:id="300" w:name="_Toc184313239"/>
      <w:bookmarkEnd w:id="300"/>
      <w:bookmarkStart w:id="301" w:name="_Toc184314460"/>
      <w:bookmarkEnd w:id="301"/>
      <w:bookmarkStart w:id="302" w:name="_Toc184312115"/>
      <w:bookmarkEnd w:id="302"/>
      <w:bookmarkStart w:id="303" w:name="_Toc184308052"/>
      <w:bookmarkEnd w:id="303"/>
      <w:bookmarkStart w:id="304" w:name="_Toc184314456"/>
      <w:bookmarkEnd w:id="304"/>
      <w:bookmarkStart w:id="305" w:name="_Toc184310324"/>
      <w:bookmarkEnd w:id="305"/>
      <w:bookmarkStart w:id="306" w:name="_Toc184312112"/>
      <w:bookmarkEnd w:id="306"/>
      <w:bookmarkStart w:id="307" w:name="_Toc184313264"/>
      <w:bookmarkEnd w:id="307"/>
      <w:bookmarkStart w:id="308" w:name="_Toc184314414"/>
      <w:bookmarkEnd w:id="308"/>
      <w:bookmarkStart w:id="309" w:name="_Toc184312073"/>
      <w:bookmarkEnd w:id="309"/>
      <w:bookmarkStart w:id="310" w:name="_Toc184308073"/>
      <w:bookmarkEnd w:id="310"/>
      <w:bookmarkStart w:id="311" w:name="_Toc184313259"/>
      <w:bookmarkEnd w:id="311"/>
      <w:bookmarkStart w:id="312" w:name="_Toc184314424"/>
      <w:bookmarkEnd w:id="312"/>
      <w:bookmarkStart w:id="313" w:name="_Toc184312075"/>
      <w:bookmarkEnd w:id="313"/>
      <w:bookmarkStart w:id="314" w:name="_Toc184313254"/>
      <w:bookmarkEnd w:id="314"/>
      <w:bookmarkStart w:id="315" w:name="_Toc184310306"/>
      <w:bookmarkEnd w:id="315"/>
      <w:bookmarkStart w:id="316" w:name="_Toc184312086"/>
      <w:bookmarkEnd w:id="316"/>
      <w:bookmarkStart w:id="317" w:name="_Toc184312077"/>
      <w:bookmarkEnd w:id="317"/>
      <w:bookmarkStart w:id="318" w:name="_Toc184312080"/>
      <w:bookmarkEnd w:id="318"/>
      <w:bookmarkStart w:id="319" w:name="_Toc184314421"/>
      <w:bookmarkEnd w:id="319"/>
      <w:bookmarkStart w:id="320" w:name="_Toc184314461"/>
      <w:bookmarkEnd w:id="320"/>
      <w:bookmarkStart w:id="321" w:name="_Toc184312085"/>
      <w:bookmarkEnd w:id="321"/>
      <w:bookmarkStart w:id="322" w:name="_Toc184312136"/>
      <w:bookmarkEnd w:id="322"/>
      <w:bookmarkStart w:id="323" w:name="_Toc184313255"/>
      <w:bookmarkEnd w:id="323"/>
      <w:bookmarkStart w:id="324" w:name="_Toc184308074"/>
      <w:bookmarkEnd w:id="324"/>
      <w:bookmarkStart w:id="325" w:name="_Toc184313287"/>
      <w:bookmarkEnd w:id="325"/>
      <w:bookmarkStart w:id="326" w:name="_Toc184313299"/>
      <w:bookmarkEnd w:id="326"/>
      <w:bookmarkStart w:id="327" w:name="_Toc184314462"/>
      <w:bookmarkEnd w:id="327"/>
      <w:bookmarkStart w:id="328" w:name="_Toc184313294"/>
      <w:bookmarkEnd w:id="328"/>
      <w:bookmarkStart w:id="329" w:name="_Toc184308056"/>
      <w:bookmarkEnd w:id="329"/>
      <w:bookmarkStart w:id="330" w:name="_Toc184312128"/>
      <w:bookmarkEnd w:id="330"/>
      <w:bookmarkStart w:id="331" w:name="_Toc184312082"/>
      <w:bookmarkEnd w:id="331"/>
      <w:bookmarkStart w:id="332" w:name="_Toc184313274"/>
      <w:bookmarkEnd w:id="332"/>
      <w:bookmarkStart w:id="333" w:name="_Toc184310307"/>
      <w:bookmarkEnd w:id="333"/>
      <w:bookmarkStart w:id="334" w:name="_Toc184313283"/>
      <w:bookmarkEnd w:id="334"/>
      <w:bookmarkStart w:id="335" w:name="_Toc184314468"/>
      <w:bookmarkEnd w:id="335"/>
      <w:bookmarkStart w:id="336" w:name="_Toc184310327"/>
      <w:bookmarkEnd w:id="336"/>
      <w:bookmarkStart w:id="337" w:name="_Toc184313295"/>
      <w:bookmarkEnd w:id="337"/>
      <w:bookmarkStart w:id="338" w:name="_Toc184310333"/>
      <w:bookmarkEnd w:id="338"/>
      <w:bookmarkStart w:id="339" w:name="_Toc184312135"/>
      <w:bookmarkEnd w:id="339"/>
      <w:bookmarkStart w:id="340" w:name="_Toc184308104"/>
      <w:bookmarkEnd w:id="340"/>
      <w:bookmarkStart w:id="341" w:name="_Toc184308053"/>
      <w:bookmarkEnd w:id="341"/>
      <w:bookmarkStart w:id="342" w:name="_Toc184314435"/>
      <w:bookmarkEnd w:id="342"/>
      <w:bookmarkStart w:id="343" w:name="_Toc184314467"/>
      <w:bookmarkEnd w:id="343"/>
      <w:bookmarkStart w:id="344" w:name="_Toc184313261"/>
      <w:bookmarkEnd w:id="344"/>
      <w:bookmarkStart w:id="345" w:name="_Toc184310330"/>
      <w:bookmarkEnd w:id="345"/>
      <w:bookmarkStart w:id="346" w:name="_Toc184314441"/>
      <w:bookmarkEnd w:id="346"/>
      <w:bookmarkStart w:id="347" w:name="_Toc184312099"/>
      <w:bookmarkEnd w:id="347"/>
      <w:bookmarkStart w:id="348" w:name="_Toc184313248"/>
      <w:bookmarkEnd w:id="348"/>
      <w:bookmarkStart w:id="349" w:name="_Toc184313252"/>
      <w:bookmarkEnd w:id="349"/>
      <w:bookmarkStart w:id="350" w:name="_Toc184310308"/>
      <w:bookmarkEnd w:id="350"/>
      <w:bookmarkStart w:id="351" w:name="_Toc184314430"/>
      <w:bookmarkEnd w:id="351"/>
      <w:bookmarkStart w:id="352" w:name="_Toc184314442"/>
      <w:bookmarkEnd w:id="352"/>
      <w:bookmarkStart w:id="353" w:name="_Toc184313296"/>
      <w:bookmarkEnd w:id="353"/>
      <w:bookmarkStart w:id="354" w:name="_Toc184308058"/>
      <w:bookmarkEnd w:id="354"/>
      <w:bookmarkStart w:id="355" w:name="_Toc184312097"/>
      <w:bookmarkEnd w:id="355"/>
      <w:bookmarkStart w:id="356" w:name="_Toc184313307"/>
      <w:bookmarkEnd w:id="356"/>
      <w:bookmarkStart w:id="357" w:name="_Toc184313275"/>
      <w:bookmarkEnd w:id="357"/>
      <w:bookmarkStart w:id="358" w:name="_Toc184314449"/>
      <w:bookmarkEnd w:id="358"/>
      <w:bookmarkStart w:id="359" w:name="_Toc184308108"/>
      <w:bookmarkEnd w:id="359"/>
      <w:bookmarkStart w:id="360" w:name="_Toc184313266"/>
      <w:bookmarkEnd w:id="360"/>
      <w:bookmarkStart w:id="361" w:name="_Toc184313302"/>
      <w:bookmarkEnd w:id="361"/>
      <w:bookmarkStart w:id="362" w:name="_Toc184312129"/>
      <w:bookmarkEnd w:id="362"/>
      <w:bookmarkStart w:id="363" w:name="_Toc184310290"/>
      <w:bookmarkEnd w:id="363"/>
      <w:bookmarkStart w:id="364" w:name="_Toc184310305"/>
      <w:bookmarkEnd w:id="364"/>
      <w:bookmarkStart w:id="365" w:name="_Toc184310318"/>
      <w:bookmarkEnd w:id="365"/>
      <w:bookmarkStart w:id="366" w:name="_Toc184314469"/>
      <w:bookmarkEnd w:id="366"/>
      <w:bookmarkStart w:id="367" w:name="_Toc184310344"/>
      <w:bookmarkEnd w:id="367"/>
      <w:bookmarkStart w:id="368" w:name="_Toc184312108"/>
      <w:bookmarkEnd w:id="368"/>
      <w:bookmarkStart w:id="369" w:name="_Toc184314473"/>
      <w:bookmarkEnd w:id="369"/>
      <w:bookmarkStart w:id="370" w:name="_Toc184313280"/>
      <w:bookmarkEnd w:id="370"/>
      <w:bookmarkStart w:id="371" w:name="_Toc184312138"/>
      <w:bookmarkEnd w:id="371"/>
      <w:bookmarkStart w:id="372" w:name="_Toc184314446"/>
      <w:bookmarkEnd w:id="372"/>
      <w:bookmarkStart w:id="373" w:name="_Toc184310301"/>
      <w:bookmarkEnd w:id="373"/>
      <w:bookmarkStart w:id="374" w:name="_Toc184308105"/>
      <w:bookmarkEnd w:id="374"/>
      <w:bookmarkStart w:id="375" w:name="_Toc184314450"/>
      <w:bookmarkEnd w:id="375"/>
      <w:bookmarkStart w:id="376" w:name="_Toc184308093"/>
      <w:bookmarkEnd w:id="376"/>
      <w:bookmarkStart w:id="377" w:name="_Toc184310331"/>
      <w:bookmarkEnd w:id="377"/>
      <w:bookmarkStart w:id="378" w:name="_Toc184313247"/>
      <w:bookmarkEnd w:id="378"/>
      <w:bookmarkStart w:id="379" w:name="_Toc184314427"/>
      <w:bookmarkEnd w:id="379"/>
      <w:bookmarkStart w:id="380" w:name="_Toc184314471"/>
      <w:bookmarkEnd w:id="380"/>
      <w:bookmarkStart w:id="381" w:name="_Toc184308088"/>
      <w:bookmarkEnd w:id="381"/>
      <w:bookmarkStart w:id="382" w:name="_Toc184308060"/>
      <w:bookmarkEnd w:id="382"/>
      <w:bookmarkStart w:id="383" w:name="_Toc184310309"/>
      <w:bookmarkEnd w:id="383"/>
      <w:bookmarkStart w:id="384" w:name="_Toc184310297"/>
      <w:bookmarkEnd w:id="384"/>
      <w:bookmarkStart w:id="385" w:name="_Toc184310310"/>
      <w:bookmarkEnd w:id="385"/>
      <w:bookmarkStart w:id="386" w:name="_Toc184308090"/>
      <w:bookmarkEnd w:id="386"/>
      <w:r>
        <w:rPr>
          <w:rFonts w:hint="eastAsia" w:ascii="宋体" w:hAnsi="宋体" w:eastAsia="宋体" w:cs="宋体"/>
          <w:b/>
          <w:color w:val="auto"/>
          <w:sz w:val="28"/>
          <w:szCs w:val="28"/>
          <w:highlight w:val="none"/>
        </w:rPr>
        <w:t>评标办法</w:t>
      </w:r>
    </w:p>
    <w:p>
      <w:pPr>
        <w:spacing w:line="6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评标办法前附表</w:t>
      </w:r>
    </w:p>
    <w:p>
      <w:pPr>
        <w:pStyle w:val="92"/>
        <w:widowControl w:val="0"/>
        <w:wordWrap/>
        <w:adjustRightInd w:val="0"/>
        <w:snapToGrid w:val="0"/>
        <w:spacing w:before="0" w:line="600" w:lineRule="exact"/>
        <w:ind w:firstLine="0" w:firstLineChars="0"/>
        <w:jc w:val="left"/>
        <w:textAlignment w:val="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一、评标方法</w:t>
      </w:r>
    </w:p>
    <w:tbl>
      <w:tblPr>
        <w:tblStyle w:val="63"/>
        <w:tblW w:w="9358"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7213"/>
        <w:gridCol w:w="1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widowControl w:val="0"/>
              <w:wordWrap/>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213" w:type="dxa"/>
            <w:vAlign w:val="center"/>
          </w:tcPr>
          <w:p>
            <w:pPr>
              <w:widowControl w:val="0"/>
              <w:wordWrap/>
              <w:adjustRightInd w:val="0"/>
              <w:snapToGrid/>
              <w:spacing w:line="4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评分</w:t>
            </w:r>
            <w:r>
              <w:rPr>
                <w:rFonts w:hint="eastAsia" w:ascii="宋体" w:hAnsi="宋体" w:cs="宋体"/>
                <w:color w:val="auto"/>
                <w:sz w:val="24"/>
                <w:szCs w:val="24"/>
                <w:highlight w:val="none"/>
                <w:lang w:eastAsia="zh-CN"/>
              </w:rPr>
              <w:t>标准</w:t>
            </w:r>
          </w:p>
        </w:tc>
        <w:tc>
          <w:tcPr>
            <w:tcW w:w="1293" w:type="dxa"/>
            <w:vAlign w:val="center"/>
          </w:tcPr>
          <w:p>
            <w:pPr>
              <w:widowControl w:val="0"/>
              <w:wordWrap/>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widowControl w:val="0"/>
              <w:wordWrap/>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213"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项目阐述、制度情况:</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针对本项目的全面阐述及对项目需求的理解情况，并进行详细分析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完全符合的得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分，部分符合得1分，不符合不得分</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针对本项目重点、难点分析及采取的相应措施，对本项目充分了解且重难点分析到位合理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完全符合的得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分，部分符合得1分，不符合不得分</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供应商具有完善档案管理制度、公众制度、管理制度及其配套设施权属清册等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完全符合的得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分，部分符合得1分，不符合不得分</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制度体现标准化服务方案，管理服务水平符合国家和行业标准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完全符合的得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 1分，不符合不得分</w:t>
            </w:r>
            <w:r>
              <w:rPr>
                <w:rFonts w:hint="eastAsia" w:ascii="宋体" w:hAnsi="宋体" w:cs="宋体"/>
                <w:color w:val="auto"/>
                <w:sz w:val="24"/>
                <w:szCs w:val="24"/>
                <w:highlight w:val="none"/>
                <w:lang w:eastAsia="zh-CN"/>
              </w:rPr>
              <w:t>；</w:t>
            </w:r>
          </w:p>
        </w:tc>
        <w:tc>
          <w:tcPr>
            <w:tcW w:w="1293" w:type="dxa"/>
            <w:vAlign w:val="center"/>
          </w:tcPr>
          <w:p>
            <w:pPr>
              <w:widowControl w:val="0"/>
              <w:wordWrap/>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widowControl w:val="0"/>
              <w:wordWrap/>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213"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管理与服务方案：</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1)、针对本项目服务管理的具体举措方案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完全符合的得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分，部分符合得1分，不符合不得分</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2)、人力资源储备体系及人员稳定性:有人力资源供给机制(或有长期合作符合要求的人力资源渠道等)</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体现供应商的人力资源储备能力优质、稳定的得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分，人力资源储备不足、人员稳定性不强的得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分，不符合不得分</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3)、服务响应速度(含作业安排和进场计划)及相应的措施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完全符合的得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分，部分符合得1分，不符合不得分</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4)、质量</w:t>
            </w:r>
            <w:r>
              <w:rPr>
                <w:rFonts w:hint="eastAsia" w:ascii="宋体" w:hAnsi="宋体" w:cs="宋体"/>
                <w:color w:val="auto"/>
                <w:sz w:val="24"/>
                <w:szCs w:val="24"/>
                <w:highlight w:val="none"/>
                <w:lang w:val="en-US" w:eastAsia="zh-CN"/>
              </w:rPr>
              <w:t>内控措施（</w:t>
            </w:r>
            <w:r>
              <w:rPr>
                <w:rFonts w:hint="eastAsia" w:ascii="宋体" w:hAnsi="宋体" w:eastAsia="宋体" w:cs="宋体"/>
                <w:color w:val="auto"/>
                <w:sz w:val="24"/>
                <w:szCs w:val="24"/>
                <w:highlight w:val="none"/>
                <w:lang w:val="en-US" w:eastAsia="zh-CN"/>
              </w:rPr>
              <w:t>包限</w:t>
            </w:r>
            <w:r>
              <w:rPr>
                <w:rFonts w:hint="eastAsia" w:ascii="宋体" w:hAnsi="宋体" w:cs="宋体"/>
                <w:color w:val="auto"/>
                <w:sz w:val="24"/>
                <w:szCs w:val="24"/>
                <w:highlight w:val="none"/>
                <w:lang w:val="en-US" w:eastAsia="zh-CN"/>
              </w:rPr>
              <w:t>但不限于</w:t>
            </w:r>
            <w:r>
              <w:rPr>
                <w:rFonts w:hint="eastAsia" w:ascii="宋体" w:hAnsi="宋体" w:eastAsia="宋体" w:cs="宋体"/>
                <w:color w:val="auto"/>
                <w:sz w:val="24"/>
                <w:szCs w:val="24"/>
                <w:highlight w:val="none"/>
                <w:lang w:val="en-US" w:eastAsia="zh-CN"/>
              </w:rPr>
              <w:t>质量查计</w:t>
            </w:r>
            <w:r>
              <w:rPr>
                <w:rFonts w:hint="eastAsia" w:ascii="宋体" w:hAnsi="宋体" w:cs="宋体"/>
                <w:color w:val="auto"/>
                <w:sz w:val="24"/>
                <w:szCs w:val="24"/>
                <w:highlight w:val="none"/>
                <w:lang w:val="en-US" w:eastAsia="zh-CN"/>
              </w:rPr>
              <w:t>、巡查</w:t>
            </w:r>
            <w:r>
              <w:rPr>
                <w:rFonts w:hint="eastAsia" w:ascii="宋体" w:hAnsi="宋体" w:eastAsia="宋体" w:cs="宋体"/>
                <w:color w:val="auto"/>
                <w:sz w:val="24"/>
                <w:szCs w:val="24"/>
                <w:highlight w:val="none"/>
                <w:lang w:val="en-US" w:eastAsia="zh-CN"/>
              </w:rPr>
              <w:t>表和奖罚措施等)完全符合的得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分，部分符合得1分，不符合不得分</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5)、现场应急预案(</w:t>
            </w:r>
            <w:r>
              <w:rPr>
                <w:rFonts w:hint="eastAsia" w:ascii="宋体" w:hAnsi="宋体" w:eastAsia="宋体" w:cs="宋体"/>
                <w:color w:val="auto"/>
                <w:sz w:val="24"/>
                <w:szCs w:val="24"/>
                <w:highlight w:val="none"/>
              </w:rPr>
              <w:t>提供处理突发事件的应急预案的合理性、可行性</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完全符合的得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分，部分符合得1分，不符合不得分</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6)、与项目有关部门或主管部门配合、协调方案；完全符合的得5分，基本符合得3分，部分符合得1分，不符合不得分；</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7)、人员培训方案：针对本项目保安人员的培训方案；有针对性的得5分，措施不够全面，针对性不强的得3分，不符合不得分；</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8)、疫情防控措施和疫情防控时的应急预案评审；有针对性的得5分，措施不够全面，针对性不强的得3分，不符合不得分；</w:t>
            </w:r>
          </w:p>
        </w:tc>
        <w:tc>
          <w:tcPr>
            <w:tcW w:w="1293" w:type="dxa"/>
            <w:vAlign w:val="center"/>
          </w:tcPr>
          <w:p>
            <w:pPr>
              <w:widowControl w:val="0"/>
              <w:wordWrap/>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widowControl w:val="0"/>
              <w:wordWrap/>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213" w:type="dxa"/>
            <w:vAlign w:val="center"/>
          </w:tcPr>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项目拟派人员情况:</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1)、拟派项目负责人情况:拟派项目负责人具有保安管理师(二级保安员)证书的得1分，具有高级保安员管理师(一级保安员)证书的得3分；</w:t>
            </w:r>
            <w:r>
              <w:rPr>
                <w:rFonts w:hint="eastAsia" w:ascii="宋体" w:hAnsi="宋体" w:eastAsia="宋体" w:cs="宋体"/>
                <w:color w:val="auto"/>
                <w:sz w:val="24"/>
                <w:szCs w:val="24"/>
                <w:highlight w:val="none"/>
              </w:rPr>
              <w:t>具有大专及以上学历得</w:t>
            </w:r>
            <w:r>
              <w:rPr>
                <w:rFonts w:hint="eastAsia"/>
                <w:color w:val="auto"/>
                <w:sz w:val="24"/>
                <w:szCs w:val="24"/>
                <w:highlight w:val="none"/>
                <w:lang w:val="en-US" w:eastAsia="zh-CN"/>
              </w:rPr>
              <w:t>1分；具有本科及以上学历的2分；最多得5分；</w:t>
            </w:r>
            <w:bookmarkStart w:id="496" w:name="_GoBack"/>
            <w:r>
              <w:rPr>
                <w:rFonts w:hint="eastAsia"/>
                <w:b/>
                <w:bCs/>
                <w:color w:val="auto"/>
                <w:sz w:val="24"/>
                <w:szCs w:val="24"/>
                <w:highlight w:val="none"/>
                <w:lang w:val="en-US" w:eastAsia="zh-CN"/>
              </w:rPr>
              <w:t>投标文件中提供证书复印件</w:t>
            </w:r>
            <w:r>
              <w:rPr>
                <w:rFonts w:hint="eastAsia" w:ascii="宋体" w:hAnsi="宋体" w:cs="宋体"/>
                <w:b/>
                <w:bCs/>
                <w:color w:val="auto"/>
                <w:sz w:val="24"/>
                <w:szCs w:val="24"/>
                <w:highlight w:val="none"/>
                <w:lang w:eastAsia="zh-CN"/>
              </w:rPr>
              <w:t>或扫描件</w:t>
            </w:r>
            <w:r>
              <w:rPr>
                <w:rFonts w:hint="eastAsia"/>
                <w:b/>
                <w:bCs/>
                <w:color w:val="auto"/>
                <w:sz w:val="24"/>
                <w:szCs w:val="24"/>
                <w:highlight w:val="none"/>
                <w:lang w:val="en-US" w:eastAsia="zh-CN"/>
              </w:rPr>
              <w:t>及人员近3个月的社保缴纳证明复印件</w:t>
            </w:r>
            <w:r>
              <w:rPr>
                <w:rFonts w:hint="eastAsia" w:ascii="宋体" w:hAnsi="宋体" w:cs="宋体"/>
                <w:b/>
                <w:bCs/>
                <w:color w:val="auto"/>
                <w:sz w:val="24"/>
                <w:szCs w:val="24"/>
                <w:highlight w:val="none"/>
                <w:lang w:eastAsia="zh-CN"/>
              </w:rPr>
              <w:t>或扫描件；</w:t>
            </w:r>
            <w:bookmarkEnd w:id="496"/>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拟派项目队长情况:拟派项目队长具有大专及以上学历得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分:具有保安管理师(二级保安员)证书及以上得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bCs/>
                <w:color w:val="auto"/>
                <w:sz w:val="24"/>
                <w:szCs w:val="24"/>
                <w:highlight w:val="none"/>
                <w:lang w:val="en-US" w:eastAsia="zh-CN"/>
              </w:rPr>
              <w:t>；本项目</w:t>
            </w:r>
            <w:r>
              <w:rPr>
                <w:rFonts w:hint="eastAsia" w:ascii="宋体" w:hAnsi="宋体" w:eastAsia="宋体" w:cs="宋体"/>
                <w:color w:val="auto"/>
                <w:sz w:val="24"/>
                <w:szCs w:val="24"/>
                <w:highlight w:val="none"/>
              </w:rPr>
              <w:t>最多</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得分</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rPr>
              <w:t>投标文件中提供证书复印件</w:t>
            </w:r>
            <w:r>
              <w:rPr>
                <w:rFonts w:hint="eastAsia" w:ascii="宋体" w:hAnsi="宋体" w:cs="宋体"/>
                <w:b/>
                <w:bCs/>
                <w:color w:val="auto"/>
                <w:sz w:val="24"/>
                <w:szCs w:val="24"/>
                <w:highlight w:val="none"/>
                <w:lang w:eastAsia="zh-CN"/>
              </w:rPr>
              <w:t>或扫描件</w:t>
            </w:r>
            <w:r>
              <w:rPr>
                <w:rFonts w:hint="eastAsia" w:ascii="宋体" w:hAnsi="宋体" w:eastAsia="宋体" w:cs="宋体"/>
                <w:b/>
                <w:bCs/>
                <w:color w:val="auto"/>
                <w:sz w:val="24"/>
                <w:szCs w:val="24"/>
                <w:highlight w:val="none"/>
              </w:rPr>
              <w:t>及人员近3个月的社保缴纳证明复印件</w:t>
            </w:r>
            <w:r>
              <w:rPr>
                <w:rFonts w:hint="eastAsia" w:ascii="宋体" w:hAnsi="宋体" w:cs="宋体"/>
                <w:b/>
                <w:bCs/>
                <w:color w:val="auto"/>
                <w:sz w:val="24"/>
                <w:szCs w:val="24"/>
                <w:highlight w:val="none"/>
                <w:lang w:eastAsia="zh-CN"/>
              </w:rPr>
              <w:t>或扫描件；</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拟派其他人员:拟投入人员要求</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周岁及以下</w:t>
            </w:r>
            <w:r>
              <w:rPr>
                <w:rFonts w:hint="eastAsia" w:ascii="宋体" w:hAnsi="宋体" w:eastAsia="宋体" w:cs="宋体"/>
                <w:color w:val="auto"/>
                <w:sz w:val="24"/>
                <w:szCs w:val="24"/>
                <w:highlight w:val="none"/>
                <w:lang w:eastAsia="zh-CN"/>
              </w:rPr>
              <w:t>（女性比例不超过</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持有保安员证</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人以上（含</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人）得基本分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分。其中退伍军人有</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人至</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人的加1分、有</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人至</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人的加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分、有</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人及以上的加</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分，最多加</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本项最高得9分，</w:t>
            </w:r>
            <w:r>
              <w:rPr>
                <w:rFonts w:hint="eastAsia" w:ascii="宋体" w:hAnsi="宋体" w:eastAsia="宋体" w:cs="宋体"/>
                <w:b/>
                <w:bCs/>
                <w:color w:val="auto"/>
                <w:sz w:val="24"/>
                <w:szCs w:val="24"/>
                <w:highlight w:val="none"/>
              </w:rPr>
              <w:t>投标文件中同时提供</w:t>
            </w:r>
            <w:r>
              <w:rPr>
                <w:rFonts w:hint="eastAsia" w:ascii="宋体" w:hAnsi="宋体" w:eastAsia="宋体" w:cs="宋体"/>
                <w:b/>
                <w:bCs/>
                <w:color w:val="auto"/>
                <w:sz w:val="24"/>
                <w:szCs w:val="24"/>
                <w:highlight w:val="none"/>
                <w:lang w:eastAsia="zh-CN"/>
              </w:rPr>
              <w:t>保安员证</w:t>
            </w:r>
            <w:r>
              <w:rPr>
                <w:rFonts w:hint="eastAsia" w:ascii="宋体" w:hAnsi="宋体" w:eastAsia="宋体" w:cs="宋体"/>
                <w:b/>
                <w:bCs/>
                <w:color w:val="auto"/>
                <w:sz w:val="24"/>
                <w:szCs w:val="24"/>
                <w:highlight w:val="none"/>
              </w:rPr>
              <w:t>、退伍证、社保证明材料的复印件</w:t>
            </w:r>
            <w:r>
              <w:rPr>
                <w:rFonts w:hint="eastAsia" w:ascii="宋体" w:hAnsi="宋体" w:cs="宋体"/>
                <w:b/>
                <w:bCs/>
                <w:color w:val="auto"/>
                <w:sz w:val="24"/>
                <w:szCs w:val="24"/>
                <w:highlight w:val="none"/>
                <w:lang w:eastAsia="zh-CN"/>
              </w:rPr>
              <w:t>或扫描件</w:t>
            </w:r>
            <w:r>
              <w:rPr>
                <w:rFonts w:hint="eastAsia" w:ascii="宋体" w:hAnsi="宋体" w:eastAsia="宋体" w:cs="宋体"/>
                <w:b/>
                <w:bCs/>
                <w:color w:val="auto"/>
                <w:sz w:val="24"/>
                <w:szCs w:val="24"/>
                <w:highlight w:val="none"/>
              </w:rPr>
              <w:t>，否则不得分；</w:t>
            </w:r>
          </w:p>
        </w:tc>
        <w:tc>
          <w:tcPr>
            <w:tcW w:w="1293" w:type="dxa"/>
            <w:vAlign w:val="center"/>
          </w:tcPr>
          <w:p>
            <w:pPr>
              <w:widowControl w:val="0"/>
              <w:wordWrap/>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852" w:type="dxa"/>
            <w:vAlign w:val="center"/>
          </w:tcPr>
          <w:p>
            <w:pPr>
              <w:widowControl w:val="0"/>
              <w:wordWrap/>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213"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公司</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eastAsia="zh-CN"/>
              </w:rPr>
              <w:t>情况</w:t>
            </w:r>
            <w:r>
              <w:rPr>
                <w:rFonts w:hint="eastAsia" w:ascii="宋体" w:hAnsi="宋体" w:eastAsia="宋体" w:cs="宋体"/>
                <w:color w:val="auto"/>
                <w:sz w:val="24"/>
                <w:szCs w:val="24"/>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投标人具有质量管理体系认证证书的得2分，具有环境管理体系认证证书的得2分、具有职业健康安全管理体系认证证书的得2分，没有不得分</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w:t>
            </w:r>
            <w:r>
              <w:rPr>
                <w:rFonts w:hint="eastAsia" w:ascii="宋体" w:hAnsi="宋体" w:eastAsia="宋体" w:cs="宋体"/>
                <w:color w:val="auto"/>
                <w:kern w:val="2"/>
                <w:sz w:val="24"/>
                <w:szCs w:val="24"/>
                <w:highlight w:val="none"/>
                <w:lang w:val="en-US" w:eastAsia="zh-CN" w:bidi="ar-SA"/>
              </w:rPr>
              <w:t>具有保安服务认证五星级证书的得2分；</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投标文件中提供证书的复印件</w:t>
            </w:r>
            <w:r>
              <w:rPr>
                <w:rFonts w:hint="eastAsia" w:ascii="宋体" w:hAnsi="宋体" w:cs="宋体"/>
                <w:b/>
                <w:bCs/>
                <w:color w:val="auto"/>
                <w:sz w:val="24"/>
                <w:szCs w:val="24"/>
                <w:highlight w:val="none"/>
                <w:lang w:eastAsia="zh-CN"/>
              </w:rPr>
              <w:t>或扫描件，</w:t>
            </w:r>
            <w:r>
              <w:rPr>
                <w:rFonts w:hint="eastAsia" w:ascii="宋体" w:hAnsi="宋体" w:eastAsia="宋体" w:cs="宋体"/>
                <w:b/>
                <w:bCs/>
                <w:color w:val="auto"/>
                <w:sz w:val="24"/>
                <w:szCs w:val="24"/>
                <w:highlight w:val="none"/>
              </w:rPr>
              <w:t>证书需在有效期内</w:t>
            </w:r>
            <w:r>
              <w:rPr>
                <w:rFonts w:hint="eastAsia" w:ascii="宋体" w:hAnsi="宋体" w:cs="宋体"/>
                <w:b/>
                <w:bCs/>
                <w:color w:val="auto"/>
                <w:sz w:val="24"/>
                <w:szCs w:val="24"/>
                <w:highlight w:val="none"/>
                <w:lang w:eastAsia="zh-CN"/>
              </w:rPr>
              <w:t>；</w:t>
            </w:r>
          </w:p>
        </w:tc>
        <w:tc>
          <w:tcPr>
            <w:tcW w:w="1293" w:type="dxa"/>
            <w:vAlign w:val="center"/>
          </w:tcPr>
          <w:p>
            <w:pPr>
              <w:widowControl w:val="0"/>
              <w:wordWrap/>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widowControl w:val="0"/>
              <w:wordWrap/>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213"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类似项目实施业绩一览表:投标人自2019年1月1日(含)以来(时间</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以合同签订时间为准)承担过类似项目成功案例的，每提供一个案例得0.5分，最多得1分</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投标文件中提供合同复印件或验收报告复印件</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 </w:t>
            </w:r>
          </w:p>
        </w:tc>
        <w:tc>
          <w:tcPr>
            <w:tcW w:w="1293" w:type="dxa"/>
            <w:vAlign w:val="center"/>
          </w:tcPr>
          <w:p>
            <w:pPr>
              <w:widowControl w:val="0"/>
              <w:wordWrap/>
              <w:adjustRightInd w:val="0"/>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widowControl w:val="0"/>
              <w:wordWrap/>
              <w:adjustRightInd w:val="0"/>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213"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按[投标报价得分=(评标基准价/投标报价)*10]的计算公式计算。</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因落实政府采购政策需要进行价格调整的，以调后的价格计算评标基准价和投标报价</w:t>
            </w:r>
            <w:r>
              <w:rPr>
                <w:rFonts w:hint="eastAsia" w:ascii="宋体" w:hAnsi="宋体" w:cs="宋体"/>
                <w:color w:val="auto"/>
                <w:sz w:val="24"/>
                <w:szCs w:val="24"/>
                <w:highlight w:val="none"/>
                <w:lang w:eastAsia="zh-CN"/>
              </w:rPr>
              <w:t>。</w:t>
            </w:r>
          </w:p>
        </w:tc>
        <w:tc>
          <w:tcPr>
            <w:tcW w:w="1293" w:type="dxa"/>
            <w:vAlign w:val="center"/>
          </w:tcPr>
          <w:p>
            <w:pPr>
              <w:widowControl w:val="0"/>
              <w:wordWrap/>
              <w:adjustRightInd w:val="0"/>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bl>
    <w:p>
      <w:pPr>
        <w:adjustRightInd/>
        <w:spacing w:line="60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600" w:lineRule="exact"/>
        <w:rPr>
          <w:rFonts w:hint="eastAsia" w:ascii="宋体" w:hAnsi="宋体" w:eastAsia="宋体" w:cs="宋体"/>
          <w:color w:val="auto"/>
          <w:kern w:val="0"/>
          <w:sz w:val="28"/>
          <w:szCs w:val="28"/>
          <w:highlight w:val="none"/>
        </w:rPr>
      </w:pPr>
      <w:r>
        <w:rPr>
          <w:rFonts w:hint="eastAsia" w:ascii="宋体" w:hAnsi="宋体" w:eastAsia="宋体" w:cs="宋体"/>
          <w:b/>
          <w:color w:val="auto"/>
          <w:sz w:val="28"/>
          <w:szCs w:val="28"/>
          <w:highlight w:val="none"/>
        </w:rPr>
        <w:t>二、评标标准</w:t>
      </w:r>
    </w:p>
    <w:p>
      <w:pPr>
        <w:spacing w:line="60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60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三、评标程序</w:t>
      </w:r>
    </w:p>
    <w:p>
      <w:pPr>
        <w:spacing w:line="60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60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60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60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spacing w:line="60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3.4.1投标文件报价出现前后不一致的，按照下列规定修正：</w:t>
      </w:r>
    </w:p>
    <w:p>
      <w:pPr>
        <w:pStyle w:val="92"/>
        <w:spacing w:before="0" w:line="600" w:lineRule="exact"/>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pPr>
        <w:pStyle w:val="92"/>
        <w:spacing w:before="0" w:line="600" w:lineRule="exact"/>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92"/>
        <w:spacing w:before="0" w:line="600" w:lineRule="exact"/>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92"/>
        <w:spacing w:before="0" w:line="60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92"/>
        <w:spacing w:before="0" w:line="60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92"/>
        <w:spacing w:before="0" w:line="60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pPr>
        <w:pStyle w:val="92"/>
        <w:spacing w:before="0" w:line="60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60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600" w:lineRule="exac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60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6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92"/>
        <w:spacing w:before="0" w:line="60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60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600" w:lineRule="exact"/>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60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spacing w:line="60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60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4"/>
        <w:spacing w:line="600" w:lineRule="exact"/>
        <w:ind w:left="0" w:firstLine="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    4.2.13 投标文件不满足招标文件的其它实质性要求的；</w:t>
      </w:r>
    </w:p>
    <w:p>
      <w:pPr>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4.2.14法律、法规、规章（适用本市的）及省级以上规范性文件（适用本市的）规定的其他无效情形。</w:t>
      </w:r>
    </w:p>
    <w:p>
      <w:pPr>
        <w:pStyle w:val="26"/>
        <w:widowControl w:val="0"/>
        <w:wordWrap/>
        <w:adjustRightInd w:val="0"/>
        <w:snapToGrid w:val="0"/>
        <w:spacing w:line="59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widowControl w:val="0"/>
        <w:wordWrap/>
        <w:adjustRightInd w:val="0"/>
        <w:snapToGrid w:val="0"/>
        <w:spacing w:line="59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widowControl w:val="0"/>
        <w:wordWrap/>
        <w:adjustRightInd w:val="0"/>
        <w:snapToGrid w:val="0"/>
        <w:spacing w:line="59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widowControl w:val="0"/>
        <w:wordWrap/>
        <w:adjustRightInd w:val="0"/>
        <w:snapToGrid w:val="0"/>
        <w:spacing w:line="59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widowControl w:val="0"/>
        <w:wordWrap/>
        <w:adjustRightInd w:val="0"/>
        <w:snapToGrid w:val="0"/>
        <w:spacing w:line="59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widowControl w:val="0"/>
        <w:wordWrap/>
        <w:adjustRightInd w:val="0"/>
        <w:snapToGrid w:val="0"/>
        <w:spacing w:line="59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6"/>
        <w:widowControl w:val="0"/>
        <w:wordWrap/>
        <w:adjustRightInd w:val="0"/>
        <w:snapToGrid w:val="0"/>
        <w:spacing w:line="59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widowControl w:val="0"/>
        <w:wordWrap/>
        <w:adjustRightInd w:val="0"/>
        <w:snapToGrid w:val="0"/>
        <w:spacing w:line="59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6"/>
        <w:widowControl w:val="0"/>
        <w:wordWrap/>
        <w:adjustRightInd w:val="0"/>
        <w:snapToGrid w:val="0"/>
        <w:spacing w:line="59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6"/>
        <w:widowControl w:val="0"/>
        <w:wordWrap/>
        <w:adjustRightInd w:val="0"/>
        <w:snapToGrid w:val="0"/>
        <w:spacing w:line="59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widowControl w:val="0"/>
        <w:wordWrap/>
        <w:adjustRightInd w:val="0"/>
        <w:snapToGrid w:val="0"/>
        <w:spacing w:line="59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widowControl w:val="0"/>
        <w:wordWrap/>
        <w:adjustRightInd w:val="0"/>
        <w:snapToGrid w:val="0"/>
        <w:spacing w:line="59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widowControl w:val="0"/>
        <w:wordWrap/>
        <w:adjustRightInd w:val="0"/>
        <w:snapToGrid w:val="0"/>
        <w:spacing w:line="59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bookmarkEnd w:id="21"/>
    <w:p>
      <w:pPr>
        <w:spacing w:line="360" w:lineRule="auto"/>
        <w:ind w:left="720" w:leftChars="343" w:firstLine="1084" w:firstLineChars="300"/>
        <w:outlineLvl w:val="0"/>
        <w:rPr>
          <w:rFonts w:hint="eastAsia" w:ascii="宋体" w:hAnsi="宋体" w:eastAsia="宋体" w:cs="宋体"/>
          <w:b/>
          <w:color w:val="auto"/>
          <w:sz w:val="36"/>
          <w:szCs w:val="36"/>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bookmarkStart w:id="387" w:name="第五部分"/>
      <w:bookmarkStart w:id="388" w:name="_Toc86217003"/>
    </w:p>
    <w:p>
      <w:pPr>
        <w:pStyle w:val="60"/>
        <w:ind w:firstLine="723" w:firstLineChars="2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r>
        <w:rPr>
          <w:rFonts w:hint="eastAsia" w:ascii="宋体" w:hAnsi="宋体" w:cs="宋体"/>
          <w:color w:val="auto"/>
          <w:sz w:val="44"/>
          <w:szCs w:val="44"/>
          <w:highlight w:val="none"/>
        </w:rPr>
        <w:t xml:space="preserve"> </w:t>
      </w:r>
      <w:r>
        <w:rPr>
          <w:rFonts w:hint="eastAsia" w:ascii="宋体" w:hAnsi="宋体" w:eastAsia="宋体" w:cs="宋体"/>
          <w:b/>
          <w:color w:val="auto"/>
          <w:sz w:val="36"/>
          <w:szCs w:val="36"/>
          <w:highlight w:val="none"/>
        </w:rPr>
        <w:t>拟签订的合同文本</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p>
    <w:p>
      <w:pPr>
        <w:pStyle w:val="392"/>
        <w:ind w:left="0" w:leftChars="0" w:firstLine="0" w:firstLineChars="0"/>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p>
    <w:p>
      <w:pPr>
        <w:pStyle w:val="392"/>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第一部分 合同书</w:t>
      </w:r>
    </w:p>
    <w:p>
      <w:pPr>
        <w:spacing w:before="120" w:line="22" w:lineRule="atLeast"/>
        <w:rPr>
          <w:rFonts w:hint="eastAsia" w:ascii="宋体" w:hAnsi="宋体" w:eastAsia="宋体" w:cs="宋体"/>
          <w:color w:val="auto"/>
          <w:sz w:val="24"/>
          <w:szCs w:val="24"/>
          <w:highlight w:val="none"/>
        </w:rPr>
      </w:pP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（同前页项目名称）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（中标供应商名称）</w:t>
      </w:r>
      <w:r>
        <w:rPr>
          <w:rFonts w:hint="eastAsia" w:ascii="宋体" w:hAnsi="宋体" w:eastAsia="宋体" w:cs="宋体"/>
          <w:color w:val="auto"/>
          <w:sz w:val="24"/>
          <w:szCs w:val="24"/>
          <w:highlight w:val="none"/>
        </w:rPr>
        <w:t>为该项目中标供应商。现于中标通知书发出之日起三十日内，按照采购文件确定的事项签订本合同。</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（中标供应商名称）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389" w:name="_Toc24059"/>
      <w:bookmarkStart w:id="390" w:name="_Toc2232"/>
      <w:bookmarkStart w:id="391" w:name="_Toc3029"/>
      <w:r>
        <w:rPr>
          <w:rFonts w:hint="eastAsia" w:ascii="宋体" w:hAnsi="宋体" w:eastAsia="宋体" w:cs="宋体"/>
          <w:b/>
          <w:bCs/>
          <w:color w:val="auto"/>
          <w:sz w:val="24"/>
          <w:szCs w:val="24"/>
          <w:highlight w:val="none"/>
        </w:rPr>
        <w:t>1.1 合同组成部分</w:t>
      </w:r>
      <w:bookmarkEnd w:id="389"/>
      <w:bookmarkEnd w:id="390"/>
      <w:bookmarkEnd w:id="391"/>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中标通知书；</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投标文件（含澄清或者说明文件）；</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招标文件（含澄清或者修改文件）；</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392" w:name="_Toc24300"/>
      <w:bookmarkStart w:id="393" w:name="_Toc21295"/>
      <w:bookmarkStart w:id="394" w:name="_Toc27126"/>
      <w:r>
        <w:rPr>
          <w:rFonts w:hint="eastAsia" w:ascii="宋体" w:hAnsi="宋体" w:eastAsia="宋体" w:cs="宋体"/>
          <w:b/>
          <w:bCs/>
          <w:color w:val="auto"/>
          <w:sz w:val="24"/>
          <w:szCs w:val="24"/>
          <w:highlight w:val="none"/>
        </w:rPr>
        <w:t xml:space="preserve">1.2 </w:t>
      </w:r>
      <w:bookmarkEnd w:id="392"/>
      <w:bookmarkEnd w:id="393"/>
      <w:bookmarkEnd w:id="394"/>
      <w:r>
        <w:rPr>
          <w:rFonts w:hint="eastAsia" w:ascii="宋体" w:hAnsi="宋体" w:eastAsia="宋体" w:cs="宋体"/>
          <w:b/>
          <w:bCs/>
          <w:color w:val="auto"/>
          <w:sz w:val="24"/>
          <w:szCs w:val="24"/>
          <w:highlight w:val="none"/>
        </w:rPr>
        <w:t>服务</w:t>
      </w:r>
    </w:p>
    <w:p>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 服务名称：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 服务数量：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服务质量：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395" w:name="_Toc22618"/>
      <w:bookmarkStart w:id="396" w:name="_Toc10340"/>
      <w:bookmarkStart w:id="397" w:name="_Toc1814"/>
      <w:r>
        <w:rPr>
          <w:rFonts w:hint="eastAsia" w:ascii="宋体" w:hAnsi="宋体" w:eastAsia="宋体" w:cs="宋体"/>
          <w:b/>
          <w:bCs/>
          <w:color w:val="auto"/>
          <w:sz w:val="24"/>
          <w:szCs w:val="24"/>
          <w:highlight w:val="none"/>
        </w:rPr>
        <w:t>1.3 付款</w:t>
      </w:r>
      <w:bookmarkEnd w:id="395"/>
      <w:bookmarkEnd w:id="396"/>
      <w:bookmarkEnd w:id="397"/>
      <w:r>
        <w:rPr>
          <w:rFonts w:hint="eastAsia" w:ascii="宋体" w:hAnsi="宋体" w:eastAsia="宋体" w:cs="宋体"/>
          <w:b/>
          <w:bCs/>
          <w:color w:val="auto"/>
          <w:sz w:val="24"/>
          <w:szCs w:val="24"/>
          <w:highlight w:val="none"/>
        </w:rPr>
        <w:t>方式、时间和条件</w:t>
      </w:r>
    </w:p>
    <w:p>
      <w:pPr>
        <w:pStyle w:val="623"/>
        <w:spacing w:before="0" w:beforeAutospacing="0" w:after="0" w:afterAutospacing="0" w:line="600" w:lineRule="exact"/>
        <w:ind w:firstLine="480"/>
        <w:rPr>
          <w:rFonts w:hint="eastAsia" w:ascii="宋体" w:hAnsi="宋体" w:eastAsia="宋体" w:cs="宋体"/>
          <w:color w:val="auto"/>
          <w:kern w:val="2"/>
          <w:highlight w:val="none"/>
        </w:rPr>
      </w:pPr>
      <w:r>
        <w:rPr>
          <w:rFonts w:hint="eastAsia" w:ascii="宋体" w:hAnsi="宋体" w:eastAsia="宋体" w:cs="宋体"/>
          <w:color w:val="auto"/>
          <w:highlight w:val="none"/>
        </w:rPr>
        <w:t>1.3.1</w:t>
      </w:r>
      <w:r>
        <w:rPr>
          <w:rFonts w:hint="eastAsia" w:ascii="宋体" w:hAnsi="宋体" w:eastAsia="宋体" w:cs="宋体"/>
          <w:color w:val="auto"/>
          <w:kern w:val="2"/>
          <w:highlight w:val="none"/>
        </w:rPr>
        <w:t>对于满足合同约定支付条件的，甲方自收到发票后10个工作日内将资金支付到合同约定的乙方账户，有条件的甲方可以即时支付。甲方不得以机构变动、人员更替、政策调整、单位放假等为由延迟付款。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甲方在政府采购合同中约定预付款，预付款比例为合同金额的40％；项目分年安排预算的，每年预付款比例为项目年度计划支付资金额的40％。采购项目实施以人工投入为主的，可适当降低预付款比例，但不低于10%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1.3.4资金支付的方式、时间和条件详见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6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398" w:name="_Toc32071"/>
      <w:bookmarkStart w:id="399" w:name="_Toc19304"/>
      <w:bookmarkStart w:id="400" w:name="_Toc2846"/>
      <w:r>
        <w:rPr>
          <w:rFonts w:hint="eastAsia" w:ascii="宋体" w:hAnsi="宋体" w:eastAsia="宋体" w:cs="宋体"/>
          <w:b/>
          <w:bCs/>
          <w:color w:val="auto"/>
          <w:sz w:val="24"/>
          <w:szCs w:val="24"/>
          <w:highlight w:val="none"/>
        </w:rPr>
        <w:t>1.4 服务期限、地点和方式</w:t>
      </w:r>
      <w:bookmarkEnd w:id="398"/>
      <w:bookmarkEnd w:id="399"/>
      <w:bookmarkEnd w:id="400"/>
    </w:p>
    <w:p>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 服务期限：详见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服务地点：</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服务方式：</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401" w:name="_Toc27250"/>
      <w:bookmarkStart w:id="402" w:name="_Toc19554"/>
      <w:bookmarkStart w:id="403" w:name="_Toc21423"/>
      <w:r>
        <w:rPr>
          <w:rFonts w:hint="eastAsia" w:ascii="宋体" w:hAnsi="宋体" w:eastAsia="宋体" w:cs="宋体"/>
          <w:b/>
          <w:bCs/>
          <w:color w:val="auto"/>
          <w:sz w:val="24"/>
          <w:szCs w:val="24"/>
          <w:highlight w:val="none"/>
        </w:rPr>
        <w:t>1.5 违约责任</w:t>
      </w:r>
      <w:bookmarkEnd w:id="401"/>
      <w:bookmarkEnd w:id="402"/>
      <w:bookmarkEnd w:id="403"/>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bookmarkStart w:id="404" w:name="_Toc15583"/>
      <w:bookmarkStart w:id="405" w:name="_Toc16021"/>
      <w:bookmarkStart w:id="406" w:name="_Toc28375"/>
      <w:r>
        <w:rPr>
          <w:rFonts w:hint="eastAsia" w:ascii="宋体" w:hAnsi="宋体" w:eastAsia="宋体" w:cs="宋体"/>
          <w:color w:val="auto"/>
          <w:sz w:val="24"/>
          <w:szCs w:val="24"/>
          <w:highlight w:val="none"/>
        </w:rPr>
        <w:t>甲方无正当理由拒收接受服务的，甲方向乙方偿付合同款项百分之五作为违约金。</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1.5.2甲方无故逾期验收和办理款项支付手续的，甲方应按逾期付款总额每日万分之五向乙方支付违约金。</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 合同争议的解决</w:t>
      </w:r>
      <w:bookmarkEnd w:id="404"/>
      <w:bookmarkEnd w:id="405"/>
      <w:bookmarkEnd w:id="406"/>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bCs/>
          <w:i/>
          <w:iCs/>
          <w:color w:val="auto"/>
          <w:sz w:val="24"/>
          <w:szCs w:val="24"/>
          <w:highlight w:val="none"/>
          <w:u w:val="single"/>
        </w:rPr>
        <w:t xml:space="preserve"> 合同专用条款  </w:t>
      </w:r>
      <w:r>
        <w:rPr>
          <w:rFonts w:hint="eastAsia" w:ascii="宋体" w:hAnsi="宋体" w:eastAsia="宋体" w:cs="宋体"/>
          <w:color w:val="auto"/>
          <w:sz w:val="24"/>
          <w:szCs w:val="24"/>
          <w:highlight w:val="none"/>
        </w:rPr>
        <w:t>条款规定的方式解决：</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将争议提交</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仲裁委员会依申请仲裁时其现行有效的仲裁规则裁决；</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向</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人民法院起诉。</w:t>
      </w:r>
      <w:bookmarkStart w:id="407" w:name="_Toc15322"/>
      <w:bookmarkStart w:id="408" w:name="_Toc11173"/>
      <w:bookmarkStart w:id="409" w:name="_Toc7245"/>
    </w:p>
    <w:p>
      <w:pPr>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合同生效</w:t>
      </w:r>
      <w:bookmarkEnd w:id="407"/>
      <w:bookmarkEnd w:id="408"/>
      <w:bookmarkEnd w:id="409"/>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本合同自双方当事人盖章或者签字时生效。</w:t>
      </w:r>
    </w:p>
    <w:p>
      <w:pPr>
        <w:autoSpaceDE w:val="0"/>
        <w:autoSpaceDN w:val="0"/>
        <w:spacing w:line="600" w:lineRule="exact"/>
        <w:rPr>
          <w:rFonts w:hint="eastAsia" w:ascii="宋体" w:hAnsi="宋体" w:eastAsia="宋体" w:cs="宋体"/>
          <w:color w:val="auto"/>
          <w:sz w:val="24"/>
          <w:szCs w:val="24"/>
          <w:highlight w:val="none"/>
          <w:lang w:val="zh-CN"/>
        </w:rPr>
      </w:pPr>
    </w:p>
    <w:p>
      <w:pPr>
        <w:autoSpaceDE w:val="0"/>
        <w:autoSpaceDN w:val="0"/>
        <w:spacing w:line="600" w:lineRule="exac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bCs/>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pPr>
        <w:autoSpaceDE w:val="0"/>
        <w:autoSpaceDN w:val="0"/>
        <w:spacing w:line="6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pPr>
        <w:autoSpaceDE w:val="0"/>
        <w:autoSpaceDN w:val="0"/>
        <w:spacing w:line="600" w:lineRule="exact"/>
        <w:rPr>
          <w:rFonts w:hint="eastAsia" w:ascii="宋体" w:hAnsi="宋体" w:eastAsia="宋体" w:cs="宋体"/>
          <w:color w:val="auto"/>
          <w:sz w:val="24"/>
          <w:szCs w:val="24"/>
          <w:highlight w:val="none"/>
          <w:lang w:val="zh-CN"/>
        </w:rPr>
      </w:pPr>
    </w:p>
    <w:p>
      <w:pPr>
        <w:autoSpaceDE w:val="0"/>
        <w:autoSpaceDN w:val="0"/>
        <w:spacing w:line="6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pPr>
        <w:autoSpaceDE w:val="0"/>
        <w:autoSpaceDN w:val="0"/>
        <w:spacing w:line="6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                             法定代表人</w:t>
      </w:r>
    </w:p>
    <w:p>
      <w:pPr>
        <w:autoSpaceDE w:val="0"/>
        <w:autoSpaceDN w:val="0"/>
        <w:spacing w:line="6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授权代表（签字）：                        或授权代表（签字）：</w:t>
      </w:r>
    </w:p>
    <w:p>
      <w:pPr>
        <w:autoSpaceDE w:val="0"/>
        <w:autoSpaceDN w:val="0"/>
        <w:spacing w:line="6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pPr>
        <w:autoSpaceDE w:val="0"/>
        <w:autoSpaceDN w:val="0"/>
        <w:spacing w:line="6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pPr>
        <w:autoSpaceDE w:val="0"/>
        <w:autoSpaceDN w:val="0"/>
        <w:spacing w:line="6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pPr>
        <w:autoSpaceDE w:val="0"/>
        <w:autoSpaceDN w:val="0"/>
        <w:spacing w:line="6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pPr>
        <w:autoSpaceDE w:val="0"/>
        <w:autoSpaceDN w:val="0"/>
        <w:spacing w:line="6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pPr>
        <w:autoSpaceDE w:val="0"/>
        <w:autoSpaceDN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pPr>
        <w:autoSpaceDE w:val="0"/>
        <w:autoSpaceDN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autoSpaceDE w:val="0"/>
        <w:autoSpaceDN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pPr>
        <w:autoSpaceDE w:val="0"/>
        <w:autoSpaceDN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bookmarkStart w:id="410" w:name="_Toc331685783"/>
    </w:p>
    <w:p>
      <w:pPr>
        <w:pStyle w:val="392"/>
        <w:spacing w:after="0" w:line="600" w:lineRule="exact"/>
        <w:ind w:left="0" w:leftChars="0" w:firstLine="0" w:firstLineChars="0"/>
        <w:rPr>
          <w:rFonts w:hint="eastAsia" w:ascii="宋体" w:hAnsi="宋体" w:eastAsia="宋体" w:cs="宋体"/>
          <w:b/>
          <w:bCs/>
          <w:color w:val="auto"/>
          <w:highlight w:val="none"/>
        </w:rPr>
      </w:pPr>
    </w:p>
    <w:p>
      <w:pPr>
        <w:pStyle w:val="392"/>
        <w:spacing w:after="0" w:line="600" w:lineRule="exact"/>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第二部分 合同一般条款</w:t>
      </w:r>
      <w:bookmarkEnd w:id="410"/>
    </w:p>
    <w:p>
      <w:pPr>
        <w:spacing w:line="600" w:lineRule="exact"/>
        <w:ind w:firstLine="482" w:firstLineChars="200"/>
        <w:outlineLvl w:val="0"/>
        <w:rPr>
          <w:rFonts w:hint="eastAsia" w:ascii="宋体" w:hAnsi="宋体" w:eastAsia="宋体" w:cs="宋体"/>
          <w:b/>
          <w:bCs/>
          <w:color w:val="auto"/>
          <w:sz w:val="24"/>
          <w:szCs w:val="24"/>
          <w:highlight w:val="none"/>
        </w:rPr>
      </w:pPr>
      <w:bookmarkStart w:id="411" w:name="_Ref467378404"/>
      <w:bookmarkStart w:id="412" w:name="_Toc487900349"/>
      <w:bookmarkStart w:id="413" w:name="_Toc259093669"/>
      <w:bookmarkStart w:id="414" w:name="_Toc28763"/>
      <w:bookmarkStart w:id="415" w:name="_Ref467379225"/>
      <w:bookmarkStart w:id="416" w:name="_Ref467379214"/>
      <w:bookmarkStart w:id="417" w:name="_Toc279701240"/>
      <w:bookmarkStart w:id="418" w:name="_Toc16917"/>
      <w:bookmarkStart w:id="419" w:name="_Ref467379195"/>
      <w:bookmarkStart w:id="420" w:name="_Ref467378499"/>
      <w:bookmarkStart w:id="421" w:name="_Ref467379109"/>
      <w:bookmarkStart w:id="422" w:name="_Ref467379205"/>
      <w:bookmarkStart w:id="423" w:name="_Ref467379101"/>
      <w:bookmarkStart w:id="424" w:name="_Ref467379094"/>
      <w:bookmarkStart w:id="425" w:name="_Toc19614"/>
      <w:bookmarkStart w:id="426" w:name="_Ref467378463"/>
      <w:r>
        <w:rPr>
          <w:rFonts w:hint="eastAsia" w:ascii="宋体" w:hAnsi="宋体" w:eastAsia="宋体" w:cs="宋体"/>
          <w:b/>
          <w:bCs/>
          <w:color w:val="auto"/>
          <w:sz w:val="24"/>
          <w:szCs w:val="24"/>
          <w:highlight w:val="none"/>
        </w:rPr>
        <w:t>2.1 定义</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“合同”系指采购人和中标供应商签订的载明双方当事人所达成的协议，并包括所有的附件、附录和构成合同的其他文件。</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“合同价”系指根据合同约定，中标供应商在完全履行合同义务后，采购人应支付给中标供应商的价格。</w:t>
      </w:r>
    </w:p>
    <w:p>
      <w:pPr>
        <w:spacing w:line="600" w:lineRule="exact"/>
        <w:ind w:firstLine="480" w:firstLineChars="200"/>
        <w:rPr>
          <w:rFonts w:hint="eastAsia" w:ascii="宋体" w:hAnsi="宋体" w:eastAsia="宋体" w:cs="宋体"/>
          <w:color w:val="auto"/>
          <w:sz w:val="24"/>
          <w:szCs w:val="24"/>
          <w:highlight w:val="none"/>
        </w:rPr>
      </w:pPr>
      <w:bookmarkStart w:id="427" w:name="_Ref467378840"/>
      <w:r>
        <w:rPr>
          <w:rFonts w:hint="eastAsia" w:ascii="宋体" w:hAnsi="宋体" w:eastAsia="宋体" w:cs="宋体"/>
          <w:color w:val="auto"/>
          <w:sz w:val="24"/>
          <w:szCs w:val="24"/>
          <w:highlight w:val="none"/>
        </w:rPr>
        <w:t>2.1.3 “甲方”系指与中标供应商签署合同的采购人</w:t>
      </w:r>
      <w:bookmarkEnd w:id="427"/>
      <w:r>
        <w:rPr>
          <w:rFonts w:hint="eastAsia" w:ascii="宋体" w:hAnsi="宋体" w:eastAsia="宋体" w:cs="宋体"/>
          <w:color w:val="auto"/>
          <w:sz w:val="24"/>
          <w:szCs w:val="24"/>
          <w:highlight w:val="none"/>
        </w:rPr>
        <w:t>；采购人委托采购代理机构代表其与乙方签订合同的，采购人的授权委托书作为合同附件。</w:t>
      </w:r>
    </w:p>
    <w:p>
      <w:pPr>
        <w:spacing w:line="600" w:lineRule="exact"/>
        <w:ind w:firstLine="480" w:firstLineChars="200"/>
        <w:rPr>
          <w:rFonts w:hint="eastAsia" w:ascii="宋体" w:hAnsi="宋体" w:eastAsia="宋体" w:cs="宋体"/>
          <w:color w:val="auto"/>
          <w:sz w:val="24"/>
          <w:szCs w:val="24"/>
          <w:highlight w:val="none"/>
        </w:rPr>
      </w:pPr>
      <w:bookmarkStart w:id="428" w:name="_Ref467379400"/>
      <w:r>
        <w:rPr>
          <w:rFonts w:hint="eastAsia" w:ascii="宋体" w:hAnsi="宋体" w:eastAsia="宋体" w:cs="宋体"/>
          <w:color w:val="auto"/>
          <w:sz w:val="24"/>
          <w:szCs w:val="24"/>
          <w:highlight w:val="none"/>
        </w:rPr>
        <w:t>2.1.4 “乙方”系指根据合同约定交付货物的中标供应商</w:t>
      </w:r>
      <w:bookmarkEnd w:id="428"/>
      <w:r>
        <w:rPr>
          <w:rFonts w:hint="eastAsia" w:ascii="宋体" w:hAnsi="宋体" w:eastAsia="宋体" w:cs="宋体"/>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hint="eastAsia" w:ascii="宋体" w:hAnsi="宋体" w:eastAsia="宋体" w:cs="宋体"/>
          <w:color w:val="auto"/>
          <w:sz w:val="24"/>
          <w:szCs w:val="24"/>
          <w:highlight w:val="none"/>
        </w:rPr>
      </w:pPr>
      <w:bookmarkStart w:id="429" w:name="_Ref467379436"/>
      <w:r>
        <w:rPr>
          <w:rFonts w:hint="eastAsia" w:ascii="宋体" w:hAnsi="宋体" w:eastAsia="宋体" w:cs="宋体"/>
          <w:color w:val="auto"/>
          <w:sz w:val="24"/>
          <w:szCs w:val="24"/>
          <w:highlight w:val="none"/>
        </w:rPr>
        <w:t>2.1.5 “现场”系指合同约定服务地点。</w:t>
      </w:r>
      <w:bookmarkEnd w:id="429"/>
    </w:p>
    <w:p>
      <w:pPr>
        <w:spacing w:line="600" w:lineRule="exact"/>
        <w:ind w:firstLine="482" w:firstLineChars="200"/>
        <w:outlineLvl w:val="0"/>
        <w:rPr>
          <w:rFonts w:hint="eastAsia" w:ascii="宋体" w:hAnsi="宋体" w:eastAsia="宋体" w:cs="宋体"/>
          <w:b/>
          <w:bCs/>
          <w:color w:val="auto"/>
          <w:sz w:val="24"/>
          <w:szCs w:val="24"/>
          <w:highlight w:val="none"/>
        </w:rPr>
      </w:pPr>
      <w:bookmarkStart w:id="430" w:name="_Toc9829"/>
      <w:bookmarkStart w:id="431" w:name="_Toc279701242"/>
      <w:bookmarkStart w:id="432" w:name="_Toc259093671"/>
      <w:bookmarkStart w:id="433" w:name="_Toc31634"/>
      <w:bookmarkStart w:id="434" w:name="_Toc27853"/>
      <w:bookmarkStart w:id="435" w:name="_Toc487900351"/>
      <w:r>
        <w:rPr>
          <w:rFonts w:hint="eastAsia" w:ascii="宋体" w:hAnsi="宋体" w:eastAsia="宋体" w:cs="宋体"/>
          <w:b/>
          <w:bCs/>
          <w:color w:val="auto"/>
          <w:sz w:val="24"/>
          <w:szCs w:val="24"/>
          <w:highlight w:val="none"/>
        </w:rPr>
        <w:t>2.2 知识产权</w:t>
      </w:r>
      <w:bookmarkEnd w:id="430"/>
      <w:bookmarkEnd w:id="431"/>
      <w:bookmarkEnd w:id="432"/>
      <w:bookmarkEnd w:id="433"/>
      <w:bookmarkEnd w:id="434"/>
      <w:bookmarkEnd w:id="435"/>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乙方应保证提供服务过程中不会侵犯任何第三方的知识产权。</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436" w:name="_Toc7502"/>
      <w:bookmarkStart w:id="437" w:name="_Toc279701254"/>
      <w:bookmarkStart w:id="438" w:name="_Toc259093683"/>
      <w:bookmarkStart w:id="439" w:name="_Ref467378121"/>
      <w:bookmarkStart w:id="440" w:name="_Toc487900364"/>
      <w:r>
        <w:rPr>
          <w:rFonts w:hint="eastAsia" w:ascii="宋体" w:hAnsi="宋体" w:eastAsia="宋体" w:cs="宋体"/>
          <w:b/>
          <w:bCs/>
          <w:color w:val="auto"/>
          <w:sz w:val="24"/>
          <w:szCs w:val="24"/>
          <w:highlight w:val="none"/>
        </w:rPr>
        <w:t>2.3合同变更</w:t>
      </w:r>
      <w:bookmarkEnd w:id="436"/>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41" w:name="_Toc487900369"/>
      <w:bookmarkStart w:id="442" w:name="_Toc259093688"/>
      <w:bookmarkStart w:id="443" w:name="_Toc279701259"/>
    </w:p>
    <w:p>
      <w:pPr>
        <w:spacing w:line="600" w:lineRule="exact"/>
        <w:ind w:firstLine="482" w:firstLineChars="200"/>
        <w:outlineLvl w:val="0"/>
        <w:rPr>
          <w:rFonts w:hint="eastAsia" w:ascii="宋体" w:hAnsi="宋体" w:eastAsia="宋体" w:cs="宋体"/>
          <w:b/>
          <w:bCs/>
          <w:color w:val="auto"/>
          <w:sz w:val="24"/>
          <w:szCs w:val="24"/>
          <w:highlight w:val="none"/>
        </w:rPr>
      </w:pPr>
      <w:bookmarkStart w:id="444" w:name="_Toc15237"/>
      <w:bookmarkStart w:id="445" w:name="_Toc10366"/>
      <w:bookmarkStart w:id="446" w:name="_Toc22955"/>
      <w:r>
        <w:rPr>
          <w:rFonts w:hint="eastAsia" w:ascii="宋体" w:hAnsi="宋体" w:eastAsia="宋体" w:cs="宋体"/>
          <w:b/>
          <w:bCs/>
          <w:color w:val="auto"/>
          <w:sz w:val="24"/>
          <w:szCs w:val="24"/>
          <w:highlight w:val="none"/>
        </w:rPr>
        <w:t>2.4 转让</w:t>
      </w:r>
      <w:bookmarkEnd w:id="441"/>
      <w:bookmarkEnd w:id="442"/>
      <w:bookmarkEnd w:id="443"/>
      <w:r>
        <w:rPr>
          <w:rFonts w:hint="eastAsia" w:ascii="宋体" w:hAnsi="宋体" w:eastAsia="宋体" w:cs="宋体"/>
          <w:b/>
          <w:bCs/>
          <w:color w:val="auto"/>
          <w:sz w:val="24"/>
          <w:szCs w:val="24"/>
          <w:highlight w:val="none"/>
        </w:rPr>
        <w:t>和分包</w:t>
      </w:r>
      <w:bookmarkEnd w:id="444"/>
      <w:bookmarkEnd w:id="445"/>
      <w:bookmarkEnd w:id="446"/>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447" w:name="_Toc14066"/>
      <w:bookmarkStart w:id="448" w:name="_Toc16508"/>
      <w:bookmarkStart w:id="449" w:name="_Toc13566"/>
      <w:r>
        <w:rPr>
          <w:rFonts w:hint="eastAsia" w:ascii="宋体" w:hAnsi="宋体" w:eastAsia="宋体" w:cs="宋体"/>
          <w:b/>
          <w:bCs/>
          <w:color w:val="auto"/>
          <w:sz w:val="24"/>
          <w:szCs w:val="24"/>
          <w:highlight w:val="none"/>
        </w:rPr>
        <w:t>2.5不可抗力</w:t>
      </w:r>
      <w:bookmarkEnd w:id="447"/>
      <w:bookmarkEnd w:id="448"/>
      <w:bookmarkEnd w:id="449"/>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2.5.1如果任何一方遭遇法律规定的不可抗力，致使合同履行受阻时，履行合同的期限应予延长，延长的期限应相当于不可抗力所影响的时间；</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因不可抗力致使不能实现合同目的的，当事人可以解除合同；</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 因不可抗力致使合同有变更必要的，双方当事人应在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2.5.4受不可抗力影响的一方在不可抗力发生后，应在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450" w:name="_Toc689"/>
      <w:bookmarkStart w:id="451" w:name="_Toc30676"/>
      <w:bookmarkStart w:id="452" w:name="_Toc279701255"/>
      <w:bookmarkStart w:id="453" w:name="_Toc487900365"/>
      <w:bookmarkStart w:id="454" w:name="_Toc6969"/>
      <w:bookmarkStart w:id="455" w:name="_Toc259093684"/>
      <w:r>
        <w:rPr>
          <w:rFonts w:hint="eastAsia" w:ascii="宋体" w:hAnsi="宋体" w:eastAsia="宋体" w:cs="宋体"/>
          <w:b/>
          <w:bCs/>
          <w:color w:val="auto"/>
          <w:sz w:val="24"/>
          <w:szCs w:val="24"/>
          <w:highlight w:val="none"/>
        </w:rPr>
        <w:t>2.6 税费</w:t>
      </w:r>
      <w:bookmarkEnd w:id="450"/>
      <w:bookmarkEnd w:id="451"/>
      <w:bookmarkEnd w:id="452"/>
      <w:bookmarkEnd w:id="453"/>
      <w:bookmarkEnd w:id="454"/>
      <w:bookmarkEnd w:id="455"/>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456" w:name="_Toc7102"/>
      <w:bookmarkStart w:id="457" w:name="_Toc259093687"/>
      <w:bookmarkStart w:id="458" w:name="_Toc487900368"/>
      <w:bookmarkStart w:id="459" w:name="_Toc8298"/>
      <w:bookmarkStart w:id="460" w:name="_Toc16959"/>
      <w:bookmarkStart w:id="461" w:name="_Toc279701258"/>
      <w:r>
        <w:rPr>
          <w:rFonts w:hint="eastAsia" w:ascii="宋体" w:hAnsi="宋体" w:eastAsia="宋体" w:cs="宋体"/>
          <w:b/>
          <w:bCs/>
          <w:color w:val="auto"/>
          <w:sz w:val="24"/>
          <w:szCs w:val="24"/>
          <w:highlight w:val="none"/>
        </w:rPr>
        <w:t>2.7乙方破产</w:t>
      </w:r>
      <w:bookmarkEnd w:id="456"/>
      <w:bookmarkEnd w:id="457"/>
      <w:bookmarkEnd w:id="458"/>
      <w:bookmarkEnd w:id="459"/>
      <w:bookmarkEnd w:id="460"/>
      <w:bookmarkEnd w:id="461"/>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462" w:name="_Toc29333"/>
      <w:bookmarkStart w:id="463" w:name="_Toc15387"/>
      <w:bookmarkStart w:id="464" w:name="_Toc6134"/>
      <w:r>
        <w:rPr>
          <w:rFonts w:hint="eastAsia" w:ascii="宋体" w:hAnsi="宋体" w:eastAsia="宋体" w:cs="宋体"/>
          <w:b/>
          <w:bCs/>
          <w:color w:val="auto"/>
          <w:sz w:val="24"/>
          <w:szCs w:val="24"/>
          <w:highlight w:val="none"/>
        </w:rPr>
        <w:t>2.8 合同中止、终止</w:t>
      </w:r>
      <w:bookmarkEnd w:id="462"/>
      <w:bookmarkEnd w:id="463"/>
      <w:bookmarkEnd w:id="464"/>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双方当事人不得擅自中止或者终止合同；</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2.8.2合同继续履行将损害国家利益和社会公共利益的，双方当事人应当中止或者终止合同。有过错的一方应当承担赔偿责任，双方当事人都有过错的，各自承担相应的责任。</w:t>
      </w:r>
    </w:p>
    <w:bookmarkEnd w:id="437"/>
    <w:bookmarkEnd w:id="438"/>
    <w:bookmarkEnd w:id="439"/>
    <w:bookmarkEnd w:id="440"/>
    <w:p>
      <w:pPr>
        <w:spacing w:line="600" w:lineRule="exact"/>
        <w:ind w:firstLine="482" w:firstLineChars="200"/>
        <w:outlineLvl w:val="0"/>
        <w:rPr>
          <w:rFonts w:hint="eastAsia" w:ascii="宋体" w:hAnsi="宋体" w:eastAsia="宋体" w:cs="宋体"/>
          <w:b/>
          <w:bCs/>
          <w:color w:val="auto"/>
          <w:sz w:val="24"/>
          <w:szCs w:val="24"/>
          <w:highlight w:val="none"/>
        </w:rPr>
      </w:pPr>
      <w:bookmarkStart w:id="465" w:name="_Toc487900371"/>
      <w:bookmarkStart w:id="466" w:name="_Toc259093690"/>
      <w:bookmarkStart w:id="467" w:name="_Toc279701261"/>
      <w:bookmarkStart w:id="468" w:name="_Toc25182"/>
      <w:bookmarkStart w:id="469" w:name="_Toc11284"/>
      <w:bookmarkStart w:id="470" w:name="_Toc19604"/>
      <w:r>
        <w:rPr>
          <w:rFonts w:hint="eastAsia" w:ascii="宋体" w:hAnsi="宋体" w:eastAsia="宋体" w:cs="宋体"/>
          <w:b/>
          <w:bCs/>
          <w:color w:val="auto"/>
          <w:sz w:val="24"/>
          <w:szCs w:val="24"/>
          <w:highlight w:val="none"/>
        </w:rPr>
        <w:t>2.9 通知</w:t>
      </w:r>
      <w:bookmarkEnd w:id="465"/>
      <w:bookmarkEnd w:id="466"/>
      <w:bookmarkEnd w:id="467"/>
      <w:r>
        <w:rPr>
          <w:rFonts w:hint="eastAsia" w:ascii="宋体" w:hAnsi="宋体" w:eastAsia="宋体" w:cs="宋体"/>
          <w:b/>
          <w:bCs/>
          <w:color w:val="auto"/>
          <w:sz w:val="24"/>
          <w:szCs w:val="24"/>
          <w:highlight w:val="none"/>
        </w:rPr>
        <w:t>和送达</w:t>
      </w:r>
      <w:bookmarkEnd w:id="468"/>
      <w:bookmarkEnd w:id="469"/>
      <w:bookmarkEnd w:id="470"/>
    </w:p>
    <w:p>
      <w:pPr>
        <w:spacing w:line="600" w:lineRule="exact"/>
        <w:ind w:firstLine="480" w:firstLineChars="200"/>
        <w:rPr>
          <w:rFonts w:hint="eastAsia" w:ascii="宋体" w:hAnsi="宋体" w:eastAsia="宋体" w:cs="宋体"/>
          <w:color w:val="auto"/>
          <w:sz w:val="24"/>
          <w:szCs w:val="24"/>
          <w:highlight w:val="none"/>
        </w:rPr>
      </w:pPr>
      <w:bookmarkStart w:id="471" w:name="_Toc3135"/>
      <w:bookmarkStart w:id="472" w:name="_Toc6698"/>
      <w:bookmarkStart w:id="473" w:name="_Toc279701262"/>
      <w:bookmarkStart w:id="474" w:name="_Toc487900372"/>
      <w:bookmarkStart w:id="475" w:name="_Toc259093691"/>
      <w:r>
        <w:rPr>
          <w:rFonts w:hint="eastAsia" w:ascii="宋体" w:hAnsi="宋体" w:eastAsia="宋体" w:cs="宋体"/>
          <w:color w:val="auto"/>
          <w:sz w:val="24"/>
          <w:szCs w:val="24"/>
          <w:highlight w:val="none"/>
        </w:rPr>
        <w:t xml:space="preserve">2.9.1任何一方因履行合同而以合同第一部分尾部所列明的传真或电子邮件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bookmarkEnd w:id="471"/>
      <w:bookmarkEnd w:id="472"/>
    </w:p>
    <w:p>
      <w:pPr>
        <w:spacing w:line="600" w:lineRule="exact"/>
        <w:ind w:firstLine="480" w:firstLineChars="200"/>
        <w:rPr>
          <w:rFonts w:hint="eastAsia" w:ascii="宋体" w:hAnsi="宋体" w:eastAsia="宋体" w:cs="宋体"/>
          <w:color w:val="auto"/>
          <w:sz w:val="24"/>
          <w:szCs w:val="24"/>
          <w:highlight w:val="none"/>
        </w:rPr>
      </w:pPr>
      <w:bookmarkStart w:id="476" w:name="_Toc23294"/>
      <w:bookmarkStart w:id="477" w:name="_Toc23128"/>
      <w:r>
        <w:rPr>
          <w:rFonts w:hint="eastAsia" w:ascii="宋体" w:hAnsi="宋体" w:eastAsia="宋体" w:cs="宋体"/>
          <w:color w:val="auto"/>
          <w:sz w:val="24"/>
          <w:szCs w:val="24"/>
          <w:highlight w:val="none"/>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3"/>
      <w:bookmarkEnd w:id="474"/>
      <w:bookmarkEnd w:id="475"/>
      <w:bookmarkEnd w:id="476"/>
      <w:bookmarkEnd w:id="477"/>
    </w:p>
    <w:p>
      <w:pPr>
        <w:spacing w:line="600" w:lineRule="exact"/>
        <w:ind w:firstLine="482" w:firstLineChars="200"/>
        <w:outlineLvl w:val="0"/>
        <w:rPr>
          <w:rFonts w:hint="eastAsia" w:ascii="宋体" w:hAnsi="宋体" w:eastAsia="宋体" w:cs="宋体"/>
          <w:b/>
          <w:bCs/>
          <w:color w:val="auto"/>
          <w:sz w:val="24"/>
          <w:szCs w:val="24"/>
          <w:highlight w:val="none"/>
        </w:rPr>
      </w:pPr>
      <w:bookmarkStart w:id="478" w:name="_Toc18567"/>
      <w:bookmarkStart w:id="479" w:name="_Toc487900373"/>
      <w:bookmarkStart w:id="480" w:name="_Toc259093692"/>
      <w:bookmarkStart w:id="481" w:name="_Toc10330"/>
      <w:bookmarkStart w:id="482" w:name="_Toc279701263"/>
      <w:bookmarkStart w:id="483" w:name="_Toc12773"/>
      <w:r>
        <w:rPr>
          <w:rFonts w:hint="eastAsia" w:ascii="宋体" w:hAnsi="宋体" w:eastAsia="宋体" w:cs="宋体"/>
          <w:b/>
          <w:bCs/>
          <w:color w:val="auto"/>
          <w:sz w:val="24"/>
          <w:szCs w:val="24"/>
          <w:highlight w:val="none"/>
        </w:rPr>
        <w:t>2.10 合同使用的文字和适用的法律</w:t>
      </w:r>
      <w:bookmarkEnd w:id="478"/>
      <w:bookmarkEnd w:id="479"/>
      <w:bookmarkEnd w:id="480"/>
      <w:bookmarkEnd w:id="481"/>
      <w:bookmarkEnd w:id="482"/>
      <w:bookmarkEnd w:id="483"/>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2.10.1 合同使用汉语书就、变更和解释；</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2.10.2 合同适用中华人民共和国法律。</w:t>
      </w:r>
    </w:p>
    <w:p>
      <w:pPr>
        <w:spacing w:line="600" w:lineRule="exact"/>
        <w:ind w:firstLine="482" w:firstLineChars="200"/>
        <w:outlineLvl w:val="0"/>
        <w:rPr>
          <w:rFonts w:hint="eastAsia" w:ascii="宋体" w:hAnsi="宋体" w:eastAsia="宋体" w:cs="宋体"/>
          <w:b/>
          <w:bCs/>
          <w:color w:val="auto"/>
          <w:sz w:val="24"/>
          <w:szCs w:val="24"/>
          <w:highlight w:val="none"/>
        </w:rPr>
      </w:pPr>
      <w:bookmarkStart w:id="484" w:name="_Toc12004"/>
      <w:bookmarkStart w:id="485" w:name="_Toc16673"/>
      <w:bookmarkStart w:id="486" w:name="_Toc259093693"/>
      <w:bookmarkStart w:id="487" w:name="_Toc279701264"/>
      <w:bookmarkStart w:id="488" w:name="_Toc3148"/>
      <w:bookmarkStart w:id="489" w:name="_Toc487900374"/>
      <w:r>
        <w:rPr>
          <w:rFonts w:hint="eastAsia" w:ascii="宋体" w:hAnsi="宋体" w:eastAsia="宋体" w:cs="宋体"/>
          <w:b/>
          <w:bCs/>
          <w:color w:val="auto"/>
          <w:sz w:val="24"/>
          <w:szCs w:val="24"/>
          <w:highlight w:val="none"/>
        </w:rPr>
        <w:t>2.11 履约保证金</w:t>
      </w:r>
      <w:bookmarkEnd w:id="484"/>
      <w:bookmarkEnd w:id="485"/>
      <w:bookmarkEnd w:id="486"/>
      <w:bookmarkEnd w:id="487"/>
      <w:bookmarkEnd w:id="488"/>
    </w:p>
    <w:p>
      <w:pPr>
        <w:spacing w:line="6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 采购文件要求乙方提交履约保证金的，乙方应按</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约定的方式，以支票、汇票、本票或者金融机构、担保机构出具的保函等非现金形式，提交不超过合同金额1%的履约保证金；鼓励和支持乙方以银行、保险公司出具的保函形式提供履约保证。</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履约保证金在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约定期间内不予退还。乙方在前述约定期间届满前能履行完合同约定义务事项的，甲方在前述约定期间届满之日起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个工作日内，按</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sz w:val="24"/>
          <w:szCs w:val="24"/>
          <w:highlight w:val="none"/>
          <w:u w:val="single"/>
        </w:rPr>
        <w:t xml:space="preserve">  0.05  </w:t>
      </w:r>
      <w:r>
        <w:rPr>
          <w:rFonts w:hint="eastAsia" w:ascii="宋体" w:hAnsi="宋体" w:eastAsia="宋体" w:cs="宋体"/>
          <w:color w:val="auto"/>
          <w:sz w:val="24"/>
          <w:szCs w:val="24"/>
          <w:highlight w:val="none"/>
        </w:rPr>
        <w:t>%计算，最高限额为本合同履约保证金的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 xml:space="preserve">%； </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2.11.4甲方在乙方履行完合同约定义务事项后及时退还，延迟退还的，应当按照合同约定和法律规定承担相应的赔偿责任。</w:t>
      </w:r>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2.12对于因甲方原因导致变更、中止或者终止政府采购合同的，甲方应当依照合同约定对供应商受到的损失予以赔偿或者补偿。</w:t>
      </w:r>
    </w:p>
    <w:bookmarkEnd w:id="489"/>
    <w:p>
      <w:pPr>
        <w:spacing w:line="600" w:lineRule="exact"/>
        <w:ind w:firstLine="482" w:firstLineChars="200"/>
        <w:outlineLvl w:val="0"/>
        <w:rPr>
          <w:rFonts w:hint="eastAsia" w:ascii="宋体" w:hAnsi="宋体" w:eastAsia="宋体" w:cs="宋体"/>
          <w:b/>
          <w:bCs/>
          <w:color w:val="auto"/>
          <w:sz w:val="24"/>
          <w:szCs w:val="24"/>
          <w:highlight w:val="none"/>
        </w:rPr>
      </w:pPr>
      <w:bookmarkStart w:id="490" w:name="_Toc14001"/>
      <w:bookmarkStart w:id="491" w:name="_Toc19890"/>
      <w:bookmarkStart w:id="492" w:name="_Toc6885"/>
      <w:r>
        <w:rPr>
          <w:rFonts w:hint="eastAsia" w:ascii="宋体" w:hAnsi="宋体" w:eastAsia="宋体" w:cs="宋体"/>
          <w:b/>
          <w:bCs/>
          <w:color w:val="auto"/>
          <w:sz w:val="24"/>
          <w:szCs w:val="24"/>
          <w:highlight w:val="none"/>
        </w:rPr>
        <w:t>2.13合同份数</w:t>
      </w:r>
      <w:bookmarkEnd w:id="490"/>
      <w:bookmarkEnd w:id="491"/>
      <w:bookmarkEnd w:id="492"/>
    </w:p>
    <w:p>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pPr>
        <w:pStyle w:val="392"/>
        <w:spacing w:after="0" w:line="600" w:lineRule="exact"/>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0"/>
          <w:highlight w:val="none"/>
        </w:rPr>
        <w:br w:type="page"/>
      </w:r>
      <w:r>
        <w:rPr>
          <w:rFonts w:hint="eastAsia" w:ascii="宋体" w:hAnsi="宋体" w:eastAsia="宋体" w:cs="宋体"/>
          <w:b/>
          <w:bCs/>
          <w:color w:val="auto"/>
          <w:sz w:val="28"/>
          <w:szCs w:val="28"/>
          <w:highlight w:val="none"/>
        </w:rPr>
        <w:t>第三部分  合同专用条款</w:t>
      </w:r>
    </w:p>
    <w:p>
      <w:pPr>
        <w:spacing w:line="600" w:lineRule="exact"/>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859"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4"/>
        <w:gridCol w:w="80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8035"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035" w:type="dxa"/>
            <w:vAlign w:val="center"/>
          </w:tcPr>
          <w:p>
            <w:pPr>
              <w:ind w:left="-420" w:leftChars="-200" w:right="-420" w:rightChars="-200" w:firstLine="480" w:firstLineChars="20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p>
        </w:tc>
        <w:tc>
          <w:tcPr>
            <w:tcW w:w="8035" w:type="dxa"/>
            <w:vAlign w:val="center"/>
          </w:tcPr>
          <w:p>
            <w:pPr>
              <w:ind w:left="-420" w:leftChars="-200" w:right="-420" w:rightChars="-200" w:firstLine="480" w:firstLineChars="20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2.12.3</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2.12.4</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2.16.3</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2.20.1</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824" w:type="dxa"/>
            <w:tcBorders>
              <w:lef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2.20.2</w:t>
            </w:r>
          </w:p>
        </w:tc>
        <w:tc>
          <w:tcPr>
            <w:tcW w:w="8035" w:type="dxa"/>
            <w:vAlign w:val="center"/>
          </w:tcPr>
          <w:p>
            <w:pPr>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trPr>
        <w:tc>
          <w:tcPr>
            <w:tcW w:w="824" w:type="dxa"/>
            <w:tcBorders>
              <w:left w:val="single" w:color="auto" w:sz="4" w:space="0"/>
            </w:tcBorders>
            <w:vAlign w:val="center"/>
          </w:tcPr>
          <w:p>
            <w:pPr>
              <w:ind w:left="-420" w:leftChars="-200" w:right="-420" w:rightChars="-20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8035" w:type="dxa"/>
            <w:vAlign w:val="center"/>
          </w:tcPr>
          <w:p>
            <w:pPr>
              <w:jc w:val="center"/>
              <w:rPr>
                <w:rFonts w:hint="eastAsia" w:ascii="宋体" w:hAnsi="宋体" w:eastAsia="宋体" w:cs="宋体"/>
                <w:color w:val="auto"/>
                <w:sz w:val="24"/>
                <w:szCs w:val="24"/>
                <w:highlight w:val="none"/>
              </w:rPr>
            </w:pPr>
          </w:p>
        </w:tc>
      </w:tr>
    </w:tbl>
    <w:p>
      <w:pPr>
        <w:pStyle w:val="35"/>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此仅为合同书样本，中标单位需根据实际情况和采购人签订相应的合同！</w:t>
      </w: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both"/>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7"/>
      <w:r>
        <w:rPr>
          <w:rFonts w:hint="eastAsia" w:ascii="宋体" w:hAnsi="宋体" w:eastAsia="宋体" w:cs="宋体"/>
          <w:b/>
          <w:color w:val="auto"/>
          <w:sz w:val="36"/>
          <w:szCs w:val="20"/>
          <w:highlight w:val="none"/>
        </w:rPr>
        <w:t xml:space="preserve"> </w:t>
      </w:r>
      <w:bookmarkEnd w:id="388"/>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28"/>
          <w:szCs w:val="28"/>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28"/>
          <w:szCs w:val="28"/>
          <w:highlight w:val="none"/>
        </w:rPr>
        <w:t>一、 符合参加政府采购活动应当具备的一般条件的承诺函</w:t>
      </w:r>
    </w:p>
    <w:p>
      <w:pPr>
        <w:snapToGrid w:val="0"/>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杭州市余杭区人民政府五常街道办事处、杭州瑞拓工程咨询有限公司：</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五常街道梦溪水乡征迁区块卡口管理项目</w:t>
      </w:r>
      <w:r>
        <w:rPr>
          <w:rFonts w:hint="eastAsia" w:ascii="宋体" w:hAnsi="宋体" w:eastAsia="宋体" w:cs="宋体"/>
          <w:color w:val="auto"/>
          <w:sz w:val="24"/>
          <w:highlight w:val="none"/>
        </w:rPr>
        <w:t>【招标编号：RTZFCG-2022-   】政府采购活动，郑重承诺：</w:t>
      </w:r>
    </w:p>
    <w:p>
      <w:pPr>
        <w:snapToGrid w:val="0"/>
        <w:spacing w:line="6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独立投标：投标人名称(电子签名)：</w:t>
      </w:r>
    </w:p>
    <w:p>
      <w:pPr>
        <w:snapToGrid w:val="0"/>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或</w:t>
      </w:r>
    </w:p>
    <w:p>
      <w:pPr>
        <w:snapToGrid w:val="0"/>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采用联合体投标：联合体牵头人名称(电子签名/盖章)：</w:t>
      </w:r>
    </w:p>
    <w:p>
      <w:pPr>
        <w:snapToGrid w:val="0"/>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联合体成员名称(电子签名/盖章)：</w:t>
      </w:r>
    </w:p>
    <w:p>
      <w:pPr>
        <w:snapToGrid w:val="0"/>
        <w:spacing w:line="600" w:lineRule="exac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28"/>
          <w:szCs w:val="28"/>
          <w:highlight w:val="none"/>
        </w:rPr>
        <w:t>二、落实政府采购政策需满足的资格要求</w:t>
      </w:r>
    </w:p>
    <w:p>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line="600" w:lineRule="exact"/>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600" w:lineRule="exact"/>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28"/>
          <w:szCs w:val="28"/>
          <w:highlight w:val="none"/>
          <w:lang w:val="zh-CN"/>
        </w:rPr>
        <w:t>联合协议</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600" w:lineRule="exact"/>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600" w:lineRule="exact"/>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600" w:lineRule="exact"/>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6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日期：  年  月   日</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before="50" w:after="50" w:line="360" w:lineRule="auto"/>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分包意向协议</w:t>
      </w:r>
    </w:p>
    <w:p>
      <w:pPr>
        <w:widowControl/>
        <w:spacing w:line="600" w:lineRule="exact"/>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spacing w:line="600" w:lineRule="exact"/>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600" w:lineRule="exact"/>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600" w:lineRule="exact"/>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600" w:lineRule="exact"/>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600" w:lineRule="exact"/>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600" w:lineRule="exact"/>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600" w:lineRule="exact"/>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600" w:lineRule="exact"/>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28"/>
          <w:szCs w:val="28"/>
          <w:highlight w:val="none"/>
          <w:lang w:val="zh-CN"/>
        </w:rPr>
        <w:t>三、本项目的特定资格要求</w:t>
      </w:r>
    </w:p>
    <w:p>
      <w:pPr>
        <w:spacing w:line="600" w:lineRule="exact"/>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（根据招标公告本项目的特定资格要求提供相应的材料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jc w:val="center"/>
        <w:rPr>
          <w:rFonts w:hint="eastAsia" w:ascii="宋体" w:hAnsi="宋体" w:eastAsia="宋体" w:cs="宋体"/>
          <w:b/>
          <w:color w:val="auto"/>
          <w:kern w:val="0"/>
          <w:sz w:val="36"/>
          <w:szCs w:val="36"/>
          <w:highlight w:val="none"/>
        </w:rPr>
      </w:pPr>
    </w:p>
    <w:p>
      <w:pPr>
        <w:pStyle w:val="3"/>
        <w:rPr>
          <w:rFonts w:hint="eastAsia" w:ascii="宋体" w:hAnsi="宋体" w:eastAsia="宋体" w:cs="宋体"/>
          <w:color w:val="auto"/>
          <w:kern w:val="0"/>
          <w:sz w:val="36"/>
          <w:szCs w:val="36"/>
          <w:highlight w:val="none"/>
        </w:rPr>
      </w:pPr>
    </w:p>
    <w:p>
      <w:pPr>
        <w:rPr>
          <w:rFonts w:hint="eastAsia" w:ascii="宋体" w:hAnsi="宋体" w:eastAsia="宋体" w:cs="宋体"/>
          <w:b/>
          <w:color w:val="auto"/>
          <w:kern w:val="0"/>
          <w:sz w:val="36"/>
          <w:szCs w:val="36"/>
          <w:highlight w:val="none"/>
        </w:rPr>
      </w:pPr>
    </w:p>
    <w:p>
      <w:pPr>
        <w:pStyle w:val="3"/>
        <w:spacing w:line="240" w:lineRule="auto"/>
        <w:rPr>
          <w:rFonts w:hint="eastAsia" w:ascii="宋体" w:hAnsi="宋体" w:eastAsia="宋体" w:cs="宋体"/>
          <w:color w:val="auto"/>
          <w:highlight w:val="none"/>
        </w:rPr>
      </w:pPr>
    </w:p>
    <w:p>
      <w:pPr>
        <w:spacing w:line="360" w:lineRule="auto"/>
        <w:ind w:right="420"/>
        <w:jc w:val="center"/>
        <w:rPr>
          <w:rFonts w:hint="eastAsia" w:ascii="宋体" w:hAnsi="宋体" w:eastAsia="宋体" w:cs="宋体"/>
          <w:b/>
          <w:color w:val="auto"/>
          <w:kern w:val="0"/>
          <w:sz w:val="36"/>
          <w:szCs w:val="36"/>
          <w:highlight w:val="none"/>
        </w:rPr>
      </w:pP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p>
    <w:p>
      <w:pPr>
        <w:spacing w:line="360" w:lineRule="auto"/>
        <w:ind w:right="420"/>
        <w:jc w:val="center"/>
        <w:rPr>
          <w:rFonts w:hint="eastAsia" w:ascii="宋体" w:hAnsi="宋体" w:eastAsia="宋体" w:cs="宋体"/>
          <w:b/>
          <w:color w:val="auto"/>
          <w:kern w:val="0"/>
          <w:sz w:val="36"/>
          <w:szCs w:val="36"/>
          <w:highlight w:val="none"/>
        </w:rPr>
      </w:pPr>
    </w:p>
    <w:p>
      <w:pPr>
        <w:pStyle w:val="4"/>
        <w:rPr>
          <w:rFonts w:hint="eastAsia" w:ascii="宋体" w:hAnsi="宋体" w:eastAsia="宋体" w:cs="宋体"/>
          <w:color w:val="auto"/>
          <w:highlight w:val="none"/>
        </w:rPr>
      </w:pP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28"/>
          <w:szCs w:val="28"/>
          <w:highlight w:val="none"/>
          <w:lang w:val="zh-CN"/>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ind w:right="42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）采购需求实质性内容响应表</w:t>
      </w:r>
      <w:r>
        <w:rPr>
          <w:rFonts w:hint="eastAsia" w:ascii="宋体" w:hAnsi="宋体" w:eastAsia="宋体" w:cs="宋体"/>
          <w:color w:val="auto"/>
          <w:sz w:val="24"/>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28"/>
          <w:szCs w:val="28"/>
          <w:highlight w:val="none"/>
          <w:lang w:val="zh-CN"/>
        </w:rPr>
        <w:t>一、投标函</w:t>
      </w:r>
    </w:p>
    <w:p>
      <w:pPr>
        <w:snapToGrid w:val="0"/>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杭州市余杭区人民政府五常街道办事处、杭州瑞拓工程咨询有限公司：</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五常街道梦溪水乡征迁区块卡口管理项目</w:t>
      </w:r>
      <w:r>
        <w:rPr>
          <w:rFonts w:hint="eastAsia" w:ascii="宋体" w:hAnsi="宋体" w:eastAsia="宋体" w:cs="宋体"/>
          <w:color w:val="auto"/>
          <w:sz w:val="24"/>
          <w:highlight w:val="none"/>
        </w:rPr>
        <w:t>【招标编号：RTZFCG-2022-   】招标的有关活动，并对此项目进行投标。为此：</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天（不少于90天），本投标文件在投标有效期满之前均具有约束力。</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2.1资格文件：</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60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6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2.2.7商务技术偏离表；</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w:t>
      </w:r>
      <w:r>
        <w:rPr>
          <w:rFonts w:hint="eastAsia" w:ascii="宋体" w:hAnsi="宋体" w:eastAsia="宋体" w:cs="宋体"/>
          <w:color w:val="auto"/>
          <w:sz w:val="24"/>
          <w:highlight w:val="none"/>
          <w:lang w:val="zh-CN"/>
        </w:rPr>
        <w:t>采购需求实质性内容响应表；</w:t>
      </w:r>
    </w:p>
    <w:p>
      <w:pPr>
        <w:snapToGrid w:val="0"/>
        <w:spacing w:line="6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2.2.9</w:t>
      </w:r>
      <w:r>
        <w:rPr>
          <w:rFonts w:hint="eastAsia" w:ascii="宋体" w:hAnsi="宋体" w:eastAsia="宋体" w:cs="宋体"/>
          <w:color w:val="auto"/>
          <w:sz w:val="24"/>
          <w:highlight w:val="none"/>
          <w:lang w:val="zh-CN"/>
        </w:rPr>
        <w:t>政府采购供应商廉洁自律承诺书；</w:t>
      </w:r>
    </w:p>
    <w:p>
      <w:pPr>
        <w:snapToGrid w:val="0"/>
        <w:spacing w:line="6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6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6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6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6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6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60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600" w:lineRule="exact"/>
        <w:ind w:firstLine="3600" w:firstLineChars="15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独立投标：投标人名称(电子签名)：</w:t>
      </w:r>
    </w:p>
    <w:p>
      <w:pPr>
        <w:spacing w:line="600" w:lineRule="exact"/>
        <w:ind w:firstLine="3600" w:firstLineChars="15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或</w:t>
      </w:r>
    </w:p>
    <w:p>
      <w:pPr>
        <w:spacing w:line="600" w:lineRule="exact"/>
        <w:ind w:firstLine="3600" w:firstLineChars="15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采用联合体投标：联合体牵头人名称(电子签名/盖章)：</w:t>
      </w:r>
    </w:p>
    <w:p>
      <w:pPr>
        <w:spacing w:line="6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联合体成员名称(电子签名/盖章)</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28"/>
          <w:szCs w:val="28"/>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28"/>
          <w:szCs w:val="28"/>
          <w:highlight w:val="none"/>
          <w:lang w:val="zh-CN"/>
        </w:rPr>
        <w:t>二、授权委托书或法定代表人（单位负责人、自然人本人）身份证</w:t>
      </w:r>
      <w:r>
        <w:rPr>
          <w:rFonts w:hint="eastAsia" w:ascii="宋体" w:hAnsi="宋体" w:eastAsia="宋体" w:cs="宋体"/>
          <w:b/>
          <w:color w:val="auto"/>
          <w:kern w:val="0"/>
          <w:sz w:val="32"/>
          <w:szCs w:val="32"/>
          <w:highlight w:val="none"/>
          <w:lang w:val="zh-CN"/>
        </w:rPr>
        <w:t>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513" w:firstLineChars="894"/>
        <w:rPr>
          <w:rFonts w:hint="eastAsia" w:ascii="宋体" w:hAnsi="宋体" w:eastAsia="宋体" w:cs="宋体"/>
          <w:color w:val="auto"/>
          <w:highlight w:val="none"/>
        </w:rPr>
      </w:pPr>
      <w:r>
        <w:rPr>
          <w:rFonts w:hint="eastAsia" w:ascii="宋体" w:hAnsi="宋体" w:eastAsia="宋体" w:cs="宋体"/>
          <w:b/>
          <w:color w:val="auto"/>
          <w:kern w:val="0"/>
          <w:sz w:val="28"/>
          <w:szCs w:val="28"/>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600" w:lineRule="exact"/>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6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28"/>
          <w:szCs w:val="28"/>
          <w:highlight w:val="none"/>
          <w:lang w:val="zh-CN"/>
        </w:rPr>
        <w:t xml:space="preserve"> 授权委托书（适用于联合体投标）</w:t>
      </w:r>
    </w:p>
    <w:p>
      <w:pPr>
        <w:snapToGrid w:val="0"/>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600" w:lineRule="exact"/>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600" w:lineRule="exac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600" w:lineRule="exact"/>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600" w:lineRule="exact"/>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600" w:lineRule="exact"/>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600" w:lineRule="exact"/>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28"/>
          <w:szCs w:val="28"/>
          <w:highlight w:val="none"/>
          <w:lang w:val="zh-CN"/>
        </w:rPr>
        <w:t>法定代表人、单位负责人或自然人本人的身份证明（适用于法定代表人、单位负责人或者自然人本人代表投标人参加投标）</w:t>
      </w:r>
    </w:p>
    <w:p>
      <w:pPr>
        <w:pStyle w:val="9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9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28"/>
          <w:szCs w:val="28"/>
          <w:highlight w:val="none"/>
        </w:rPr>
      </w:pPr>
    </w:p>
    <w:p>
      <w:pPr>
        <w:jc w:val="center"/>
        <w:rPr>
          <w:rFonts w:hint="eastAsia" w:ascii="宋体" w:hAnsi="宋体" w:eastAsia="宋体" w:cs="宋体"/>
          <w:b/>
          <w:color w:val="auto"/>
          <w:kern w:val="0"/>
          <w:sz w:val="28"/>
          <w:szCs w:val="28"/>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28"/>
          <w:szCs w:val="28"/>
          <w:highlight w:val="none"/>
        </w:rPr>
        <w:t>三、</w:t>
      </w:r>
      <w:r>
        <w:rPr>
          <w:rFonts w:hint="eastAsia" w:ascii="宋体" w:hAnsi="宋体" w:eastAsia="宋体" w:cs="宋体"/>
          <w:b/>
          <w:color w:val="auto"/>
          <w:kern w:val="0"/>
          <w:sz w:val="28"/>
          <w:szCs w:val="28"/>
          <w:highlight w:val="none"/>
          <w:lang w:val="zh-CN"/>
        </w:rPr>
        <w:t>联合协议</w:t>
      </w:r>
    </w:p>
    <w:p>
      <w:pPr>
        <w:widowControl/>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w:t>
      </w:r>
    </w:p>
    <w:p>
      <w:pPr>
        <w:snapToGrid w:val="0"/>
        <w:spacing w:line="600" w:lineRule="exact"/>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联合体牵头人名称(电子签名/公章)：</w:t>
      </w:r>
    </w:p>
    <w:p>
      <w:pPr>
        <w:snapToGrid w:val="0"/>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6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600" w:lineRule="exact"/>
        <w:ind w:right="480"/>
        <w:rPr>
          <w:rFonts w:hint="eastAsia" w:ascii="宋体" w:hAnsi="宋体" w:eastAsia="宋体" w:cs="宋体"/>
          <w:b/>
          <w:color w:val="auto"/>
          <w:kern w:val="0"/>
          <w:sz w:val="24"/>
          <w:highlight w:val="none"/>
          <w:lang w:val="zh-CN"/>
        </w:rPr>
        <w:sectPr>
          <w:footerReference r:id="rId9"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四、分包意向协议</w:t>
      </w:r>
    </w:p>
    <w:p>
      <w:pPr>
        <w:widowControl/>
        <w:wordWrap/>
        <w:spacing w:line="580" w:lineRule="exact"/>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wordWrap/>
        <w:snapToGrid w:val="0"/>
        <w:spacing w:line="58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wordWrap/>
        <w:snapToGrid w:val="0"/>
        <w:spacing w:line="58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wordWrap/>
        <w:snapToGrid w:val="0"/>
        <w:spacing w:line="58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wordWrap/>
        <w:spacing w:line="580" w:lineRule="exact"/>
        <w:ind w:left="664" w:leftChars="316" w:firstLine="229" w:firstLineChars="95"/>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wordWrap/>
        <w:snapToGrid w:val="0"/>
        <w:spacing w:line="58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wordWrap/>
        <w:snapToGrid w:val="0"/>
        <w:spacing w:line="58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wordWrap/>
        <w:snapToGrid w:val="0"/>
        <w:spacing w:line="58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wordWrap/>
        <w:snapToGrid w:val="0"/>
        <w:spacing w:line="58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wordWrap/>
        <w:snapToGrid w:val="0"/>
        <w:spacing w:line="58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wordWrap/>
        <w:snapToGrid w:val="0"/>
        <w:spacing w:line="58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wordWrap/>
        <w:snapToGrid w:val="0"/>
        <w:spacing w:line="580" w:lineRule="exact"/>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wordWrap/>
        <w:snapToGrid w:val="0"/>
        <w:spacing w:line="58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pPr>
        <w:wordWrap/>
        <w:snapToGrid w:val="0"/>
        <w:spacing w:line="58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wordWrap/>
        <w:snapToGrid w:val="0"/>
        <w:spacing w:line="580" w:lineRule="exact"/>
        <w:jc w:val="right"/>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日期：  年  月   日</w:t>
      </w:r>
    </w:p>
    <w:p>
      <w:pPr>
        <w:rPr>
          <w:rFonts w:hint="eastAsia" w:ascii="宋体" w:hAnsi="宋体" w:eastAsia="宋体" w:cs="宋体"/>
          <w:b/>
          <w:color w:val="auto"/>
          <w:kern w:val="0"/>
          <w:sz w:val="28"/>
          <w:szCs w:val="28"/>
          <w:highlight w:val="none"/>
        </w:rPr>
      </w:pPr>
    </w:p>
    <w:p>
      <w:pPr>
        <w:pStyle w:val="81"/>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28"/>
          <w:szCs w:val="28"/>
          <w:highlight w:val="none"/>
        </w:rPr>
        <w:t>五、符合性审查资料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4"/>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28"/>
          <w:szCs w:val="28"/>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pStyle w:val="81"/>
        <w:ind w:firstLine="643"/>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81"/>
        <w:rPr>
          <w:rFonts w:hint="eastAsia" w:ascii="宋体" w:hAnsi="宋体" w:eastAsia="宋体" w:cs="宋体"/>
          <w:color w:val="auto"/>
          <w:highlight w:val="none"/>
        </w:rPr>
      </w:pPr>
    </w:p>
    <w:p>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pPr>
              <w:jc w:val="center"/>
              <w:rPr>
                <w:rFonts w:hint="eastAsia" w:ascii="宋体" w:hAnsi="宋体" w:eastAsia="宋体" w:cs="宋体"/>
                <w:b/>
                <w:color w:val="auto"/>
                <w:kern w:val="0"/>
                <w:sz w:val="32"/>
                <w:szCs w:val="32"/>
                <w:highlight w:val="none"/>
              </w:rPr>
            </w:pPr>
          </w:p>
        </w:tc>
        <w:tc>
          <w:tcPr>
            <w:tcW w:w="3546" w:type="dxa"/>
            <w:vAlign w:val="center"/>
          </w:tcPr>
          <w:p>
            <w:pPr>
              <w:jc w:val="center"/>
              <w:rPr>
                <w:rFonts w:hint="eastAsia" w:ascii="宋体" w:hAnsi="宋体" w:eastAsia="宋体" w:cs="宋体"/>
                <w:b/>
                <w:color w:val="auto"/>
                <w:kern w:val="0"/>
                <w:sz w:val="32"/>
                <w:szCs w:val="32"/>
                <w:highlight w:val="none"/>
              </w:rPr>
            </w:pPr>
          </w:p>
        </w:tc>
        <w:tc>
          <w:tcPr>
            <w:tcW w:w="1276" w:type="dxa"/>
            <w:vAlign w:val="center"/>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pPr>
              <w:jc w:val="center"/>
              <w:rPr>
                <w:rFonts w:hint="eastAsia" w:ascii="宋体" w:hAnsi="宋体" w:eastAsia="宋体" w:cs="宋体"/>
                <w:b/>
                <w:color w:val="auto"/>
                <w:kern w:val="0"/>
                <w:sz w:val="32"/>
                <w:szCs w:val="32"/>
                <w:highlight w:val="none"/>
              </w:rPr>
            </w:pPr>
          </w:p>
        </w:tc>
        <w:tc>
          <w:tcPr>
            <w:tcW w:w="3546" w:type="dxa"/>
            <w:vAlign w:val="center"/>
          </w:tcPr>
          <w:p>
            <w:pPr>
              <w:jc w:val="center"/>
              <w:rPr>
                <w:rFonts w:hint="eastAsia" w:ascii="宋体" w:hAnsi="宋体" w:eastAsia="宋体" w:cs="宋体"/>
                <w:b/>
                <w:color w:val="auto"/>
                <w:kern w:val="0"/>
                <w:sz w:val="32"/>
                <w:szCs w:val="32"/>
                <w:highlight w:val="none"/>
              </w:rPr>
            </w:pPr>
          </w:p>
        </w:tc>
        <w:tc>
          <w:tcPr>
            <w:tcW w:w="1276" w:type="dxa"/>
            <w:vAlign w:val="center"/>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pPr>
              <w:jc w:val="center"/>
              <w:rPr>
                <w:rFonts w:hint="eastAsia" w:ascii="宋体" w:hAnsi="宋体" w:eastAsia="宋体" w:cs="宋体"/>
                <w:b/>
                <w:color w:val="auto"/>
                <w:kern w:val="0"/>
                <w:sz w:val="32"/>
                <w:szCs w:val="32"/>
                <w:highlight w:val="none"/>
              </w:rPr>
            </w:pPr>
          </w:p>
        </w:tc>
        <w:tc>
          <w:tcPr>
            <w:tcW w:w="3546" w:type="dxa"/>
            <w:vAlign w:val="center"/>
          </w:tcPr>
          <w:p>
            <w:pPr>
              <w:jc w:val="center"/>
              <w:rPr>
                <w:rFonts w:hint="eastAsia" w:ascii="宋体" w:hAnsi="宋体" w:eastAsia="宋体" w:cs="宋体"/>
                <w:b/>
                <w:color w:val="auto"/>
                <w:kern w:val="0"/>
                <w:sz w:val="32"/>
                <w:szCs w:val="32"/>
                <w:highlight w:val="none"/>
              </w:rPr>
            </w:pPr>
          </w:p>
        </w:tc>
        <w:tc>
          <w:tcPr>
            <w:tcW w:w="1276" w:type="dxa"/>
            <w:vAlign w:val="center"/>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45"/>
        <w:rPr>
          <w:rFonts w:hint="eastAsia" w:ascii="宋体" w:hAnsi="宋体" w:eastAsia="宋体" w:cs="宋体"/>
          <w:b/>
          <w:color w:val="auto"/>
          <w:kern w:val="0"/>
          <w:sz w:val="32"/>
          <w:szCs w:val="32"/>
          <w:highlight w:val="none"/>
        </w:rPr>
      </w:pPr>
    </w:p>
    <w:p>
      <w:pPr>
        <w:snapToGrid w:val="0"/>
        <w:spacing w:line="600" w:lineRule="exact"/>
        <w:jc w:val="center"/>
        <w:outlineLvl w:val="2"/>
        <w:rPr>
          <w:rFonts w:hint="eastAsia" w:ascii="宋体" w:hAnsi="宋体" w:eastAsia="宋体" w:cs="宋体"/>
          <w:b/>
          <w:color w:val="auto"/>
          <w:sz w:val="28"/>
          <w:szCs w:val="28"/>
          <w:highlight w:val="none"/>
        </w:rPr>
      </w:pPr>
    </w:p>
    <w:p>
      <w:pPr>
        <w:snapToGrid w:val="0"/>
        <w:spacing w:line="600" w:lineRule="exact"/>
        <w:jc w:val="center"/>
        <w:outlineLvl w:val="2"/>
        <w:rPr>
          <w:rFonts w:hint="eastAsia" w:ascii="宋体" w:hAnsi="宋体" w:eastAsia="宋体" w:cs="宋体"/>
          <w:b/>
          <w:color w:val="auto"/>
          <w:sz w:val="28"/>
          <w:szCs w:val="28"/>
          <w:highlight w:val="none"/>
        </w:rPr>
      </w:pPr>
    </w:p>
    <w:p>
      <w:pPr>
        <w:snapToGrid w:val="0"/>
        <w:spacing w:line="600" w:lineRule="exact"/>
        <w:jc w:val="center"/>
        <w:outlineLvl w:val="2"/>
        <w:rPr>
          <w:rFonts w:hint="eastAsia" w:ascii="宋体" w:hAnsi="宋体" w:eastAsia="宋体" w:cs="宋体"/>
          <w:b/>
          <w:color w:val="auto"/>
          <w:sz w:val="28"/>
          <w:szCs w:val="28"/>
          <w:highlight w:val="none"/>
        </w:rPr>
      </w:pPr>
    </w:p>
    <w:p>
      <w:pPr>
        <w:snapToGrid w:val="0"/>
        <w:spacing w:line="600" w:lineRule="exact"/>
        <w:jc w:val="center"/>
        <w:outlineLvl w:val="2"/>
        <w:rPr>
          <w:rFonts w:hint="eastAsia" w:ascii="宋体" w:hAnsi="宋体" w:eastAsia="宋体" w:cs="宋体"/>
          <w:b/>
          <w:color w:val="auto"/>
          <w:sz w:val="28"/>
          <w:szCs w:val="28"/>
          <w:highlight w:val="none"/>
        </w:rPr>
      </w:pPr>
    </w:p>
    <w:p>
      <w:pPr>
        <w:snapToGrid w:val="0"/>
        <w:spacing w:line="600" w:lineRule="exact"/>
        <w:jc w:val="center"/>
        <w:outlineLvl w:val="2"/>
        <w:rPr>
          <w:rFonts w:hint="eastAsia" w:ascii="宋体" w:hAnsi="宋体" w:eastAsia="宋体" w:cs="宋体"/>
          <w:b/>
          <w:color w:val="auto"/>
          <w:sz w:val="28"/>
          <w:szCs w:val="28"/>
          <w:highlight w:val="none"/>
        </w:rPr>
      </w:pPr>
    </w:p>
    <w:p>
      <w:pPr>
        <w:snapToGrid w:val="0"/>
        <w:spacing w:line="600" w:lineRule="exact"/>
        <w:jc w:val="center"/>
        <w:outlineLvl w:val="2"/>
        <w:rPr>
          <w:rFonts w:hint="eastAsia" w:ascii="宋体" w:hAnsi="宋体" w:eastAsia="宋体" w:cs="宋体"/>
          <w:b/>
          <w:color w:val="auto"/>
          <w:sz w:val="28"/>
          <w:szCs w:val="28"/>
          <w:highlight w:val="none"/>
        </w:rPr>
      </w:pPr>
    </w:p>
    <w:p>
      <w:pPr>
        <w:snapToGrid w:val="0"/>
        <w:spacing w:line="600" w:lineRule="exact"/>
        <w:jc w:val="center"/>
        <w:outlineLvl w:val="2"/>
        <w:rPr>
          <w:rFonts w:hint="eastAsia" w:ascii="宋体" w:hAnsi="宋体" w:eastAsia="宋体" w:cs="宋体"/>
          <w:b/>
          <w:color w:val="auto"/>
          <w:sz w:val="28"/>
          <w:szCs w:val="28"/>
          <w:highlight w:val="none"/>
        </w:rPr>
      </w:pPr>
    </w:p>
    <w:p>
      <w:pPr>
        <w:snapToGrid w:val="0"/>
        <w:spacing w:line="600" w:lineRule="exact"/>
        <w:jc w:val="center"/>
        <w:outlineLvl w:val="2"/>
        <w:rPr>
          <w:rFonts w:hint="eastAsia" w:ascii="宋体" w:hAnsi="宋体" w:eastAsia="宋体" w:cs="宋体"/>
          <w:b/>
          <w:color w:val="auto"/>
          <w:sz w:val="28"/>
          <w:szCs w:val="28"/>
          <w:highlight w:val="none"/>
        </w:rPr>
      </w:pPr>
    </w:p>
    <w:p>
      <w:pPr>
        <w:snapToGrid w:val="0"/>
        <w:spacing w:line="600" w:lineRule="exact"/>
        <w:jc w:val="center"/>
        <w:outlineLvl w:val="2"/>
        <w:rPr>
          <w:rFonts w:hint="eastAsia" w:ascii="宋体" w:hAnsi="宋体" w:eastAsia="宋体" w:cs="宋体"/>
          <w:b/>
          <w:color w:val="auto"/>
          <w:sz w:val="28"/>
          <w:szCs w:val="28"/>
          <w:highlight w:val="none"/>
        </w:rPr>
      </w:pPr>
    </w:p>
    <w:p>
      <w:pPr>
        <w:snapToGrid w:val="0"/>
        <w:spacing w:line="600" w:lineRule="exact"/>
        <w:outlineLvl w:val="2"/>
        <w:rPr>
          <w:rFonts w:hint="eastAsia" w:ascii="宋体" w:hAnsi="宋体" w:eastAsia="宋体" w:cs="宋体"/>
          <w:b/>
          <w:color w:val="auto"/>
          <w:sz w:val="28"/>
          <w:szCs w:val="28"/>
          <w:highlight w:val="none"/>
        </w:rPr>
      </w:pPr>
    </w:p>
    <w:p>
      <w:pPr>
        <w:pStyle w:val="81"/>
        <w:ind w:firstLine="562"/>
        <w:rPr>
          <w:rFonts w:hint="eastAsia" w:ascii="宋体" w:hAnsi="宋体" w:eastAsia="宋体" w:cs="宋体"/>
          <w:b/>
          <w:color w:val="auto"/>
          <w:sz w:val="28"/>
          <w:szCs w:val="28"/>
          <w:highlight w:val="none"/>
        </w:rPr>
      </w:pPr>
    </w:p>
    <w:p>
      <w:pPr>
        <w:pStyle w:val="81"/>
        <w:ind w:firstLine="562"/>
        <w:rPr>
          <w:rFonts w:hint="eastAsia" w:ascii="宋体" w:hAnsi="宋体" w:eastAsia="宋体" w:cs="宋体"/>
          <w:b/>
          <w:color w:val="auto"/>
          <w:sz w:val="28"/>
          <w:szCs w:val="28"/>
          <w:highlight w:val="none"/>
        </w:rPr>
      </w:pPr>
    </w:p>
    <w:p>
      <w:pPr>
        <w:pStyle w:val="81"/>
        <w:ind w:firstLine="562"/>
        <w:rPr>
          <w:rFonts w:hint="eastAsia" w:ascii="宋体" w:hAnsi="宋体" w:eastAsia="宋体" w:cs="宋体"/>
          <w:b/>
          <w:color w:val="auto"/>
          <w:sz w:val="28"/>
          <w:szCs w:val="28"/>
          <w:highlight w:val="none"/>
        </w:rPr>
      </w:pPr>
    </w:p>
    <w:p>
      <w:pPr>
        <w:pStyle w:val="81"/>
        <w:ind w:left="0" w:leftChars="0" w:firstLine="0" w:firstLineChars="0"/>
        <w:rPr>
          <w:rFonts w:hint="eastAsia" w:ascii="宋体" w:hAnsi="宋体" w:eastAsia="宋体" w:cs="宋体"/>
          <w:b/>
          <w:color w:val="auto"/>
          <w:sz w:val="28"/>
          <w:szCs w:val="28"/>
          <w:highlight w:val="none"/>
        </w:rPr>
      </w:pPr>
    </w:p>
    <w:p>
      <w:pPr>
        <w:pStyle w:val="81"/>
        <w:ind w:left="0" w:leftChars="0" w:firstLine="0" w:firstLineChars="0"/>
        <w:rPr>
          <w:rFonts w:hint="eastAsia" w:ascii="宋体" w:hAnsi="宋体" w:eastAsia="宋体" w:cs="宋体"/>
          <w:b/>
          <w:color w:val="auto"/>
          <w:sz w:val="28"/>
          <w:szCs w:val="28"/>
          <w:highlight w:val="none"/>
        </w:rPr>
      </w:pPr>
    </w:p>
    <w:p>
      <w:pPr>
        <w:pStyle w:val="81"/>
        <w:ind w:left="0" w:leftChars="0" w:firstLine="0" w:firstLineChars="0"/>
        <w:rPr>
          <w:rFonts w:hint="eastAsia" w:ascii="宋体" w:hAnsi="宋体" w:eastAsia="宋体" w:cs="宋体"/>
          <w:b/>
          <w:color w:val="auto"/>
          <w:sz w:val="28"/>
          <w:szCs w:val="28"/>
          <w:highlight w:val="none"/>
        </w:rPr>
      </w:pPr>
    </w:p>
    <w:p>
      <w:pPr>
        <w:snapToGrid w:val="0"/>
        <w:spacing w:line="600" w:lineRule="exact"/>
        <w:jc w:val="center"/>
        <w:outlineLvl w:val="2"/>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八、采购需求实质性内容响应表</w:t>
      </w:r>
    </w:p>
    <w:p>
      <w:pPr>
        <w:autoSpaceDE w:val="0"/>
        <w:autoSpaceDN w:val="0"/>
        <w:spacing w:line="360" w:lineRule="auto"/>
        <w:rPr>
          <w:rFonts w:hint="eastAsia" w:ascii="宋体" w:hAnsi="宋体" w:eastAsia="宋体" w:cs="宋体"/>
          <w:b/>
          <w:color w:val="auto"/>
          <w:kern w:val="0"/>
          <w:sz w:val="24"/>
          <w:highlight w:val="none"/>
        </w:rPr>
      </w:pPr>
    </w:p>
    <w:p>
      <w:pPr>
        <w:autoSpaceDE w:val="0"/>
        <w:autoSpaceDN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项目编号：RTZFCG-2022- </w:t>
      </w:r>
    </w:p>
    <w:tbl>
      <w:tblPr>
        <w:tblStyle w:val="6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32"/>
        <w:gridCol w:w="2038"/>
        <w:gridCol w:w="251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bottom w:val="single" w:color="auto" w:sz="4" w:space="0"/>
            </w:tcBorders>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32" w:type="dxa"/>
            <w:tcBorders>
              <w:bottom w:val="single" w:color="auto" w:sz="4" w:space="0"/>
            </w:tcBorders>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实质性条款</w:t>
            </w:r>
          </w:p>
        </w:tc>
        <w:tc>
          <w:tcPr>
            <w:tcW w:w="2038" w:type="dxa"/>
            <w:tcBorders>
              <w:bottom w:val="single" w:color="auto" w:sz="4" w:space="0"/>
            </w:tcBorders>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招标文件要求</w:t>
            </w:r>
          </w:p>
        </w:tc>
        <w:tc>
          <w:tcPr>
            <w:tcW w:w="2514" w:type="dxa"/>
            <w:tcBorders>
              <w:bottom w:val="single" w:color="auto" w:sz="4" w:space="0"/>
            </w:tcBorders>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投标承诺或说明</w:t>
            </w:r>
          </w:p>
        </w:tc>
        <w:tc>
          <w:tcPr>
            <w:tcW w:w="1802" w:type="dxa"/>
            <w:tcBorders>
              <w:bottom w:val="single" w:color="auto" w:sz="4" w:space="0"/>
            </w:tcBorders>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32" w:type="dxa"/>
            <w:vAlign w:val="center"/>
          </w:tcPr>
          <w:p>
            <w:pPr>
              <w:jc w:val="center"/>
              <w:rPr>
                <w:rFonts w:hint="eastAsia" w:ascii="宋体" w:hAnsi="宋体" w:eastAsia="宋体" w:cs="宋体"/>
                <w:color w:val="auto"/>
                <w:sz w:val="24"/>
                <w:highlight w:val="none"/>
              </w:rPr>
            </w:pPr>
          </w:p>
        </w:tc>
        <w:tc>
          <w:tcPr>
            <w:tcW w:w="2038" w:type="dxa"/>
            <w:vAlign w:val="center"/>
          </w:tcPr>
          <w:p>
            <w:pPr>
              <w:jc w:val="center"/>
              <w:rPr>
                <w:rFonts w:hint="eastAsia" w:ascii="宋体" w:hAnsi="宋体" w:eastAsia="宋体" w:cs="宋体"/>
                <w:color w:val="auto"/>
                <w:sz w:val="24"/>
                <w:highlight w:val="none"/>
              </w:rPr>
            </w:pPr>
          </w:p>
        </w:tc>
        <w:tc>
          <w:tcPr>
            <w:tcW w:w="2514" w:type="dxa"/>
            <w:vAlign w:val="center"/>
          </w:tcPr>
          <w:p>
            <w:pPr>
              <w:jc w:val="center"/>
              <w:rPr>
                <w:rFonts w:hint="eastAsia" w:ascii="宋体" w:hAnsi="宋体" w:eastAsia="宋体" w:cs="宋体"/>
                <w:color w:val="auto"/>
                <w:sz w:val="24"/>
                <w:highlight w:val="none"/>
              </w:rPr>
            </w:pPr>
          </w:p>
        </w:tc>
        <w:tc>
          <w:tcPr>
            <w:tcW w:w="1802"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32" w:type="dxa"/>
            <w:vAlign w:val="center"/>
          </w:tcPr>
          <w:p>
            <w:pPr>
              <w:jc w:val="center"/>
              <w:rPr>
                <w:rFonts w:hint="eastAsia" w:ascii="宋体" w:hAnsi="宋体" w:eastAsia="宋体" w:cs="宋体"/>
                <w:color w:val="auto"/>
                <w:sz w:val="24"/>
                <w:highlight w:val="none"/>
              </w:rPr>
            </w:pPr>
          </w:p>
        </w:tc>
        <w:tc>
          <w:tcPr>
            <w:tcW w:w="2038" w:type="dxa"/>
            <w:vAlign w:val="center"/>
          </w:tcPr>
          <w:p>
            <w:pPr>
              <w:jc w:val="center"/>
              <w:rPr>
                <w:rFonts w:hint="eastAsia" w:ascii="宋体" w:hAnsi="宋体" w:eastAsia="宋体" w:cs="宋体"/>
                <w:color w:val="auto"/>
                <w:sz w:val="24"/>
                <w:highlight w:val="none"/>
              </w:rPr>
            </w:pPr>
          </w:p>
        </w:tc>
        <w:tc>
          <w:tcPr>
            <w:tcW w:w="2514" w:type="dxa"/>
            <w:vAlign w:val="center"/>
          </w:tcPr>
          <w:p>
            <w:pPr>
              <w:jc w:val="center"/>
              <w:rPr>
                <w:rFonts w:hint="eastAsia" w:ascii="宋体" w:hAnsi="宋体" w:eastAsia="宋体" w:cs="宋体"/>
                <w:color w:val="auto"/>
                <w:sz w:val="24"/>
                <w:highlight w:val="none"/>
              </w:rPr>
            </w:pPr>
          </w:p>
        </w:tc>
        <w:tc>
          <w:tcPr>
            <w:tcW w:w="1802"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32" w:type="dxa"/>
            <w:vAlign w:val="center"/>
          </w:tcPr>
          <w:p>
            <w:pPr>
              <w:jc w:val="center"/>
              <w:rPr>
                <w:rFonts w:hint="eastAsia" w:ascii="宋体" w:hAnsi="宋体" w:eastAsia="宋体" w:cs="宋体"/>
                <w:color w:val="auto"/>
                <w:sz w:val="24"/>
                <w:highlight w:val="none"/>
              </w:rPr>
            </w:pPr>
          </w:p>
        </w:tc>
        <w:tc>
          <w:tcPr>
            <w:tcW w:w="2038" w:type="dxa"/>
            <w:vAlign w:val="center"/>
          </w:tcPr>
          <w:p>
            <w:pPr>
              <w:jc w:val="center"/>
              <w:rPr>
                <w:rFonts w:hint="eastAsia" w:ascii="宋体" w:hAnsi="宋体" w:eastAsia="宋体" w:cs="宋体"/>
                <w:color w:val="auto"/>
                <w:sz w:val="24"/>
                <w:highlight w:val="none"/>
              </w:rPr>
            </w:pPr>
          </w:p>
        </w:tc>
        <w:tc>
          <w:tcPr>
            <w:tcW w:w="2514" w:type="dxa"/>
            <w:vAlign w:val="center"/>
          </w:tcPr>
          <w:p>
            <w:pPr>
              <w:jc w:val="center"/>
              <w:rPr>
                <w:rFonts w:hint="eastAsia" w:ascii="宋体" w:hAnsi="宋体" w:eastAsia="宋体" w:cs="宋体"/>
                <w:color w:val="auto"/>
                <w:sz w:val="24"/>
                <w:highlight w:val="none"/>
              </w:rPr>
            </w:pPr>
          </w:p>
        </w:tc>
        <w:tc>
          <w:tcPr>
            <w:tcW w:w="1802"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32" w:type="dxa"/>
            <w:vAlign w:val="center"/>
          </w:tcPr>
          <w:p>
            <w:pPr>
              <w:jc w:val="center"/>
              <w:rPr>
                <w:rFonts w:hint="eastAsia" w:ascii="宋体" w:hAnsi="宋体" w:eastAsia="宋体" w:cs="宋体"/>
                <w:color w:val="auto"/>
                <w:sz w:val="24"/>
                <w:highlight w:val="none"/>
              </w:rPr>
            </w:pPr>
          </w:p>
        </w:tc>
        <w:tc>
          <w:tcPr>
            <w:tcW w:w="2038" w:type="dxa"/>
            <w:vAlign w:val="center"/>
          </w:tcPr>
          <w:p>
            <w:pPr>
              <w:jc w:val="center"/>
              <w:rPr>
                <w:rFonts w:hint="eastAsia" w:ascii="宋体" w:hAnsi="宋体" w:eastAsia="宋体" w:cs="宋体"/>
                <w:color w:val="auto"/>
                <w:sz w:val="24"/>
                <w:highlight w:val="none"/>
              </w:rPr>
            </w:pPr>
          </w:p>
        </w:tc>
        <w:tc>
          <w:tcPr>
            <w:tcW w:w="2514" w:type="dxa"/>
            <w:vAlign w:val="center"/>
          </w:tcPr>
          <w:p>
            <w:pPr>
              <w:jc w:val="center"/>
              <w:rPr>
                <w:rFonts w:hint="eastAsia" w:ascii="宋体" w:hAnsi="宋体" w:eastAsia="宋体" w:cs="宋体"/>
                <w:color w:val="auto"/>
                <w:sz w:val="24"/>
                <w:highlight w:val="none"/>
              </w:rPr>
            </w:pPr>
          </w:p>
        </w:tc>
        <w:tc>
          <w:tcPr>
            <w:tcW w:w="1802"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32" w:type="dxa"/>
            <w:vAlign w:val="center"/>
          </w:tcPr>
          <w:p>
            <w:pPr>
              <w:jc w:val="center"/>
              <w:rPr>
                <w:rFonts w:hint="eastAsia" w:ascii="宋体" w:hAnsi="宋体" w:eastAsia="宋体" w:cs="宋体"/>
                <w:color w:val="auto"/>
                <w:sz w:val="24"/>
                <w:highlight w:val="none"/>
              </w:rPr>
            </w:pPr>
          </w:p>
        </w:tc>
        <w:tc>
          <w:tcPr>
            <w:tcW w:w="2038" w:type="dxa"/>
            <w:vAlign w:val="center"/>
          </w:tcPr>
          <w:p>
            <w:pPr>
              <w:jc w:val="center"/>
              <w:rPr>
                <w:rFonts w:hint="eastAsia" w:ascii="宋体" w:hAnsi="宋体" w:eastAsia="宋体" w:cs="宋体"/>
                <w:color w:val="auto"/>
                <w:sz w:val="24"/>
                <w:highlight w:val="none"/>
              </w:rPr>
            </w:pPr>
          </w:p>
        </w:tc>
        <w:tc>
          <w:tcPr>
            <w:tcW w:w="2514" w:type="dxa"/>
            <w:vAlign w:val="center"/>
          </w:tcPr>
          <w:p>
            <w:pPr>
              <w:jc w:val="center"/>
              <w:rPr>
                <w:rFonts w:hint="eastAsia" w:ascii="宋体" w:hAnsi="宋体" w:eastAsia="宋体" w:cs="宋体"/>
                <w:color w:val="auto"/>
                <w:sz w:val="24"/>
                <w:highlight w:val="none"/>
              </w:rPr>
            </w:pPr>
          </w:p>
        </w:tc>
        <w:tc>
          <w:tcPr>
            <w:tcW w:w="1802"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32" w:type="dxa"/>
            <w:vAlign w:val="center"/>
          </w:tcPr>
          <w:p>
            <w:pPr>
              <w:jc w:val="center"/>
              <w:rPr>
                <w:rFonts w:hint="eastAsia" w:ascii="宋体" w:hAnsi="宋体" w:eastAsia="宋体" w:cs="宋体"/>
                <w:color w:val="auto"/>
                <w:sz w:val="24"/>
                <w:highlight w:val="none"/>
              </w:rPr>
            </w:pPr>
          </w:p>
        </w:tc>
        <w:tc>
          <w:tcPr>
            <w:tcW w:w="2038" w:type="dxa"/>
            <w:vAlign w:val="center"/>
          </w:tcPr>
          <w:p>
            <w:pPr>
              <w:jc w:val="center"/>
              <w:rPr>
                <w:rFonts w:hint="eastAsia" w:ascii="宋体" w:hAnsi="宋体" w:eastAsia="宋体" w:cs="宋体"/>
                <w:color w:val="auto"/>
                <w:sz w:val="24"/>
                <w:highlight w:val="none"/>
              </w:rPr>
            </w:pPr>
          </w:p>
        </w:tc>
        <w:tc>
          <w:tcPr>
            <w:tcW w:w="2514" w:type="dxa"/>
            <w:vAlign w:val="center"/>
          </w:tcPr>
          <w:p>
            <w:pPr>
              <w:jc w:val="center"/>
              <w:rPr>
                <w:rFonts w:hint="eastAsia" w:ascii="宋体" w:hAnsi="宋体" w:eastAsia="宋体" w:cs="宋体"/>
                <w:color w:val="auto"/>
                <w:sz w:val="24"/>
                <w:highlight w:val="none"/>
              </w:rPr>
            </w:pPr>
          </w:p>
        </w:tc>
        <w:tc>
          <w:tcPr>
            <w:tcW w:w="1802"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32" w:type="dxa"/>
            <w:vAlign w:val="center"/>
          </w:tcPr>
          <w:p>
            <w:pPr>
              <w:jc w:val="center"/>
              <w:rPr>
                <w:rFonts w:hint="eastAsia" w:ascii="宋体" w:hAnsi="宋体" w:eastAsia="宋体" w:cs="宋体"/>
                <w:color w:val="auto"/>
                <w:sz w:val="24"/>
                <w:highlight w:val="none"/>
              </w:rPr>
            </w:pPr>
          </w:p>
        </w:tc>
        <w:tc>
          <w:tcPr>
            <w:tcW w:w="2038" w:type="dxa"/>
            <w:vAlign w:val="center"/>
          </w:tcPr>
          <w:p>
            <w:pPr>
              <w:jc w:val="center"/>
              <w:rPr>
                <w:rFonts w:hint="eastAsia" w:ascii="宋体" w:hAnsi="宋体" w:eastAsia="宋体" w:cs="宋体"/>
                <w:color w:val="auto"/>
                <w:sz w:val="24"/>
                <w:highlight w:val="none"/>
              </w:rPr>
            </w:pPr>
          </w:p>
        </w:tc>
        <w:tc>
          <w:tcPr>
            <w:tcW w:w="2514" w:type="dxa"/>
            <w:vAlign w:val="center"/>
          </w:tcPr>
          <w:p>
            <w:pPr>
              <w:jc w:val="center"/>
              <w:rPr>
                <w:rFonts w:hint="eastAsia" w:ascii="宋体" w:hAnsi="宋体" w:eastAsia="宋体" w:cs="宋体"/>
                <w:color w:val="auto"/>
                <w:sz w:val="24"/>
                <w:highlight w:val="none"/>
              </w:rPr>
            </w:pPr>
          </w:p>
        </w:tc>
        <w:tc>
          <w:tcPr>
            <w:tcW w:w="1802"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32" w:type="dxa"/>
            <w:vAlign w:val="center"/>
          </w:tcPr>
          <w:p>
            <w:pPr>
              <w:jc w:val="center"/>
              <w:rPr>
                <w:rFonts w:hint="eastAsia" w:ascii="宋体" w:hAnsi="宋体" w:eastAsia="宋体" w:cs="宋体"/>
                <w:color w:val="auto"/>
                <w:sz w:val="24"/>
                <w:highlight w:val="none"/>
              </w:rPr>
            </w:pPr>
          </w:p>
        </w:tc>
        <w:tc>
          <w:tcPr>
            <w:tcW w:w="2038" w:type="dxa"/>
            <w:vAlign w:val="center"/>
          </w:tcPr>
          <w:p>
            <w:pPr>
              <w:jc w:val="center"/>
              <w:rPr>
                <w:rFonts w:hint="eastAsia" w:ascii="宋体" w:hAnsi="宋体" w:eastAsia="宋体" w:cs="宋体"/>
                <w:color w:val="auto"/>
                <w:sz w:val="24"/>
                <w:highlight w:val="none"/>
              </w:rPr>
            </w:pPr>
          </w:p>
        </w:tc>
        <w:tc>
          <w:tcPr>
            <w:tcW w:w="2514" w:type="dxa"/>
            <w:vAlign w:val="center"/>
          </w:tcPr>
          <w:p>
            <w:pPr>
              <w:jc w:val="center"/>
              <w:rPr>
                <w:rFonts w:hint="eastAsia" w:ascii="宋体" w:hAnsi="宋体" w:eastAsia="宋体" w:cs="宋体"/>
                <w:color w:val="auto"/>
                <w:sz w:val="24"/>
                <w:highlight w:val="none"/>
              </w:rPr>
            </w:pPr>
          </w:p>
        </w:tc>
        <w:tc>
          <w:tcPr>
            <w:tcW w:w="1802"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auto"/>
                <w:sz w:val="24"/>
                <w:highlight w:val="none"/>
              </w:rPr>
            </w:pPr>
          </w:p>
        </w:tc>
        <w:tc>
          <w:tcPr>
            <w:tcW w:w="1932" w:type="dxa"/>
            <w:vAlign w:val="center"/>
          </w:tcPr>
          <w:p>
            <w:pPr>
              <w:jc w:val="center"/>
              <w:rPr>
                <w:rFonts w:hint="eastAsia" w:ascii="宋体" w:hAnsi="宋体" w:eastAsia="宋体" w:cs="宋体"/>
                <w:color w:val="auto"/>
                <w:sz w:val="24"/>
                <w:highlight w:val="none"/>
              </w:rPr>
            </w:pPr>
          </w:p>
        </w:tc>
        <w:tc>
          <w:tcPr>
            <w:tcW w:w="2038" w:type="dxa"/>
            <w:vAlign w:val="center"/>
          </w:tcPr>
          <w:p>
            <w:pPr>
              <w:jc w:val="center"/>
              <w:rPr>
                <w:rFonts w:hint="eastAsia" w:ascii="宋体" w:hAnsi="宋体" w:eastAsia="宋体" w:cs="宋体"/>
                <w:color w:val="auto"/>
                <w:sz w:val="24"/>
                <w:highlight w:val="none"/>
              </w:rPr>
            </w:pPr>
          </w:p>
        </w:tc>
        <w:tc>
          <w:tcPr>
            <w:tcW w:w="2514" w:type="dxa"/>
            <w:vAlign w:val="center"/>
          </w:tcPr>
          <w:p>
            <w:pPr>
              <w:jc w:val="center"/>
              <w:rPr>
                <w:rFonts w:hint="eastAsia" w:ascii="宋体" w:hAnsi="宋体" w:eastAsia="宋体" w:cs="宋体"/>
                <w:color w:val="auto"/>
                <w:sz w:val="24"/>
                <w:highlight w:val="none"/>
              </w:rPr>
            </w:pPr>
          </w:p>
        </w:tc>
        <w:tc>
          <w:tcPr>
            <w:tcW w:w="1802" w:type="dxa"/>
            <w:vAlign w:val="center"/>
          </w:tcPr>
          <w:p>
            <w:pPr>
              <w:jc w:val="center"/>
              <w:rPr>
                <w:rFonts w:hint="eastAsia" w:ascii="宋体" w:hAnsi="宋体" w:eastAsia="宋体" w:cs="宋体"/>
                <w:color w:val="auto"/>
                <w:sz w:val="24"/>
                <w:highlight w:val="none"/>
              </w:rPr>
            </w:pPr>
          </w:p>
        </w:tc>
      </w:tr>
    </w:tbl>
    <w:p>
      <w:pPr>
        <w:snapToGrid w:val="0"/>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填表说明：</w:t>
      </w:r>
    </w:p>
    <w:p>
      <w:pPr>
        <w:snapToGrid w:val="0"/>
        <w:spacing w:line="5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“实质性内容”详见“第三部分 采购需求”中带“●”条款，本表中所列条款仅供参考；</w:t>
      </w:r>
    </w:p>
    <w:p>
      <w:pPr>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rPr>
        <w:t>投标人应根据投标承诺或说明，对照招标文件要求在“满足情况”栏注明“满足”或“不满足”；</w:t>
      </w:r>
    </w:p>
    <w:p>
      <w:pPr>
        <w:snapToGrid w:val="0"/>
        <w:spacing w:line="5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本项目“第三部分 采购需求”中所有带“●”条款，投标人必须作出实质性响应，如有任意一条未响应或不满足，将被视为无效。</w:t>
      </w:r>
    </w:p>
    <w:p>
      <w:pPr>
        <w:autoSpaceDE w:val="0"/>
        <w:autoSpaceDN w:val="0"/>
        <w:spacing w:line="360" w:lineRule="auto"/>
        <w:rPr>
          <w:rFonts w:hint="eastAsia" w:ascii="宋体" w:hAnsi="宋体" w:eastAsia="宋体" w:cs="宋体"/>
          <w:color w:val="auto"/>
          <w:kern w:val="0"/>
          <w:sz w:val="24"/>
          <w:highlight w:val="none"/>
          <w:lang w:val="zh-CN"/>
        </w:rPr>
      </w:pPr>
    </w:p>
    <w:p>
      <w:pPr>
        <w:autoSpaceDE w:val="0"/>
        <w:autoSpaceDN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投标人（公章）：     </w:t>
      </w:r>
    </w:p>
    <w:p>
      <w:pPr>
        <w:autoSpaceDE w:val="0"/>
        <w:autoSpaceDN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法定代表人或授权代表（签字）：     </w:t>
      </w:r>
    </w:p>
    <w:p>
      <w:pPr>
        <w:adjustRightInd/>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日期：20  年  月  日 </w:t>
      </w:r>
    </w:p>
    <w:p>
      <w:pPr>
        <w:adjustRightInd/>
        <w:spacing w:line="600" w:lineRule="exact"/>
        <w:jc w:val="right"/>
        <w:rPr>
          <w:rFonts w:hint="eastAsia" w:ascii="宋体" w:hAnsi="宋体" w:eastAsia="宋体" w:cs="宋体"/>
          <w:color w:val="auto"/>
          <w:kern w:val="0"/>
          <w:sz w:val="24"/>
          <w:highlight w:val="none"/>
          <w:lang w:val="zh-CN"/>
        </w:rPr>
      </w:pPr>
    </w:p>
    <w:p>
      <w:pPr>
        <w:ind w:firstLine="2232" w:firstLineChars="794"/>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28"/>
          <w:szCs w:val="28"/>
          <w:highlight w:val="none"/>
        </w:rPr>
        <w:t>九、</w:t>
      </w:r>
      <w:r>
        <w:rPr>
          <w:rFonts w:hint="eastAsia" w:ascii="宋体" w:hAnsi="宋体" w:eastAsia="宋体" w:cs="宋体"/>
          <w:b/>
          <w:color w:val="auto"/>
          <w:kern w:val="0"/>
          <w:sz w:val="28"/>
          <w:szCs w:val="28"/>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杭州市余杭区人民政府五常街道办事处、杭州瑞拓工程咨询有限公司：</w:t>
      </w:r>
    </w:p>
    <w:p>
      <w:pPr>
        <w:autoSpaceDE w:val="0"/>
        <w:autoSpaceDN w:val="0"/>
        <w:spacing w:line="600" w:lineRule="exact"/>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600" w:lineRule="exact"/>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600" w:lineRule="exact"/>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600" w:lineRule="exact"/>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600" w:lineRule="exact"/>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600" w:lineRule="exact"/>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600" w:lineRule="exact"/>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600" w:lineRule="exact"/>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600" w:lineRule="exact"/>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6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600" w:lineRule="exact"/>
        <w:ind w:left="2" w:leftChars="1" w:right="1120" w:firstLine="4560" w:firstLineChars="19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独立投标：投标人名称(电子签名)：</w:t>
      </w:r>
    </w:p>
    <w:p>
      <w:pPr>
        <w:autoSpaceDE w:val="0"/>
        <w:autoSpaceDN w:val="0"/>
        <w:spacing w:line="600" w:lineRule="exact"/>
        <w:ind w:left="2" w:leftChars="1" w:right="1120" w:firstLine="4560" w:firstLineChars="19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或</w:t>
      </w:r>
    </w:p>
    <w:p>
      <w:pPr>
        <w:autoSpaceDE w:val="0"/>
        <w:autoSpaceDN w:val="0"/>
        <w:spacing w:line="600" w:lineRule="exact"/>
        <w:ind w:right="112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采用联合体投标：联合体牵头人名称(电子签名/盖章)：</w:t>
      </w:r>
    </w:p>
    <w:p>
      <w:pPr>
        <w:autoSpaceDE w:val="0"/>
        <w:autoSpaceDN w:val="0"/>
        <w:spacing w:line="600" w:lineRule="exact"/>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联合体成员名称(电子签名/盖章)：                                                                                                                                                                                                               </w:t>
      </w:r>
    </w:p>
    <w:p>
      <w:pPr>
        <w:spacing w:line="600" w:lineRule="exact"/>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2）报价明细清单………………………………………………………………（页码）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383"/>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83"/>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28"/>
          <w:szCs w:val="28"/>
          <w:highlight w:val="none"/>
        </w:rPr>
        <w:t>一、开标一览表（报价表）</w:t>
      </w:r>
    </w:p>
    <w:p>
      <w:pPr>
        <w:widowControl w:val="0"/>
        <w:wordWrap/>
        <w:adjustRightInd w:val="0"/>
        <w:snapToGrid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widowControl w:val="0"/>
        <w:wordWrap/>
        <w:adjustRightInd w:val="0"/>
        <w:snapToGrid w:val="0"/>
        <w:spacing w:line="400" w:lineRule="exact"/>
        <w:ind w:firstLine="482"/>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widowControl w:val="0"/>
        <w:shd w:val="clear" w:color="auto" w:fill="FFFFFF"/>
        <w:wordWrap/>
        <w:adjustRightInd w:val="0"/>
        <w:snapToGrid w:val="0"/>
        <w:spacing w:line="400" w:lineRule="exact"/>
        <w:ind w:firstLine="482" w:firstLineChars="200"/>
        <w:jc w:val="center"/>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094"/>
        <w:gridCol w:w="2094"/>
        <w:gridCol w:w="2094"/>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trPr>
        <w:tc>
          <w:tcPr>
            <w:tcW w:w="1319" w:type="dxa"/>
            <w:vAlign w:val="center"/>
          </w:tcPr>
          <w:p>
            <w:pPr>
              <w:widowControl w:val="0"/>
              <w:wordWrap/>
              <w:adjustRightIn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2094" w:type="dxa"/>
            <w:vAlign w:val="center"/>
          </w:tcPr>
          <w:p>
            <w:pPr>
              <w:widowControl w:val="0"/>
              <w:wordWrap/>
              <w:adjustRightIn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2094" w:type="dxa"/>
            <w:vAlign w:val="center"/>
          </w:tcPr>
          <w:p>
            <w:pPr>
              <w:widowControl w:val="0"/>
              <w:wordWrap/>
              <w:adjustRightInd w:val="0"/>
              <w:spacing w:line="400" w:lineRule="exact"/>
              <w:jc w:val="center"/>
              <w:textAlignment w:val="auto"/>
              <w:rPr>
                <w:rFonts w:hint="eastAsia" w:ascii="仿宋_GB2312" w:hAnsi="仿宋" w:eastAsia="仿宋_GB2312" w:cs="仿宋_GB2312"/>
                <w:b/>
                <w:color w:val="auto"/>
                <w:sz w:val="24"/>
                <w:highlight w:val="none"/>
                <w:lang w:eastAsia="zh-CN"/>
              </w:rPr>
            </w:pPr>
            <w:r>
              <w:rPr>
                <w:rFonts w:hint="eastAsia" w:ascii="仿宋_GB2312" w:hAnsi="仿宋" w:eastAsia="仿宋_GB2312" w:cs="仿宋_GB2312"/>
                <w:b/>
                <w:color w:val="auto"/>
                <w:sz w:val="24"/>
                <w:highlight w:val="none"/>
                <w:lang w:eastAsia="zh-CN"/>
              </w:rPr>
              <w:t>单价（每年）</w:t>
            </w:r>
          </w:p>
        </w:tc>
        <w:tc>
          <w:tcPr>
            <w:tcW w:w="2094" w:type="dxa"/>
            <w:vAlign w:val="center"/>
          </w:tcPr>
          <w:p>
            <w:pPr>
              <w:widowControl w:val="0"/>
              <w:wordWrap/>
              <w:adjustRightInd w:val="0"/>
              <w:spacing w:line="400" w:lineRule="exact"/>
              <w:jc w:val="center"/>
              <w:textAlignment w:val="auto"/>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rPr>
              <w:t>服务要求（年限）</w:t>
            </w:r>
          </w:p>
        </w:tc>
        <w:tc>
          <w:tcPr>
            <w:tcW w:w="2095" w:type="dxa"/>
            <w:vAlign w:val="center"/>
          </w:tcPr>
          <w:p>
            <w:pPr>
              <w:widowControl w:val="0"/>
              <w:wordWrap/>
              <w:adjustRightInd w:val="0"/>
              <w:spacing w:line="400" w:lineRule="exact"/>
              <w:jc w:val="center"/>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19" w:type="dxa"/>
            <w:vAlign w:val="center"/>
          </w:tcPr>
          <w:p>
            <w:pPr>
              <w:widowControl w:val="0"/>
              <w:wordWrap/>
              <w:adjustRightInd w:val="0"/>
              <w:spacing w:line="400" w:lineRule="exact"/>
              <w:jc w:val="center"/>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2094" w:type="dxa"/>
            <w:vAlign w:val="center"/>
          </w:tcPr>
          <w:p>
            <w:pPr>
              <w:widowControl w:val="0"/>
              <w:wordWrap/>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2094" w:type="dxa"/>
            <w:vAlign w:val="center"/>
          </w:tcPr>
          <w:p>
            <w:pPr>
              <w:widowControl w:val="0"/>
              <w:wordWrap/>
              <w:adjustRightInd w:val="0"/>
              <w:spacing w:line="400" w:lineRule="exact"/>
              <w:jc w:val="center"/>
              <w:textAlignment w:val="auto"/>
              <w:rPr>
                <w:rFonts w:hint="eastAsia" w:ascii="仿宋_GB2312" w:hAnsi="仿宋" w:eastAsia="仿宋_GB2312" w:cs="仿宋_GB2312"/>
                <w:color w:val="auto"/>
                <w:sz w:val="24"/>
                <w:highlight w:val="none"/>
                <w:lang w:val="en-US" w:eastAsia="zh-CN"/>
              </w:rPr>
            </w:pPr>
          </w:p>
        </w:tc>
        <w:tc>
          <w:tcPr>
            <w:tcW w:w="2094" w:type="dxa"/>
            <w:vAlign w:val="center"/>
          </w:tcPr>
          <w:p>
            <w:pPr>
              <w:widowControl w:val="0"/>
              <w:wordWrap/>
              <w:adjustRightInd w:val="0"/>
              <w:spacing w:line="400" w:lineRule="exact"/>
              <w:jc w:val="center"/>
              <w:textAlignment w:val="auto"/>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3年</w:t>
            </w:r>
          </w:p>
        </w:tc>
        <w:tc>
          <w:tcPr>
            <w:tcW w:w="2095" w:type="dxa"/>
            <w:vAlign w:val="center"/>
          </w:tcPr>
          <w:p>
            <w:pPr>
              <w:widowControl w:val="0"/>
              <w:wordWrap/>
              <w:adjustRightInd w:val="0"/>
              <w:spacing w:line="400" w:lineRule="exact"/>
              <w:jc w:val="center"/>
              <w:textAlignment w:val="auto"/>
              <w:rPr>
                <w:rFonts w:hint="default"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413" w:type="dxa"/>
            <w:gridSpan w:val="2"/>
            <w:vAlign w:val="center"/>
          </w:tcPr>
          <w:p>
            <w:pPr>
              <w:widowControl w:val="0"/>
              <w:wordWrap/>
              <w:adjustRightIn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6283" w:type="dxa"/>
            <w:gridSpan w:val="3"/>
            <w:vAlign w:val="center"/>
          </w:tcPr>
          <w:p>
            <w:pPr>
              <w:widowControl w:val="0"/>
              <w:wordWrap/>
              <w:adjustRightIn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413" w:type="dxa"/>
            <w:gridSpan w:val="2"/>
            <w:vAlign w:val="center"/>
          </w:tcPr>
          <w:p>
            <w:pPr>
              <w:widowControl w:val="0"/>
              <w:wordWrap/>
              <w:adjustRightIn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6283" w:type="dxa"/>
            <w:gridSpan w:val="3"/>
            <w:vAlign w:val="center"/>
          </w:tcPr>
          <w:p>
            <w:pPr>
              <w:widowControl w:val="0"/>
              <w:wordWrap/>
              <w:adjustRightInd w:val="0"/>
              <w:spacing w:line="400" w:lineRule="exact"/>
              <w:jc w:val="center"/>
              <w:textAlignment w:val="auto"/>
              <w:rPr>
                <w:rFonts w:ascii="仿宋_GB2312" w:hAnsi="仿宋" w:eastAsia="仿宋_GB2312" w:cs="仿宋_GB2312"/>
                <w:color w:val="auto"/>
                <w:sz w:val="24"/>
                <w:highlight w:val="none"/>
              </w:rPr>
            </w:pPr>
          </w:p>
        </w:tc>
      </w:tr>
    </w:tbl>
    <w:p>
      <w:pPr>
        <w:widowControl w:val="0"/>
        <w:shd w:val="clear" w:color="auto" w:fill="FFFFFF"/>
        <w:wordWrap/>
        <w:adjustRightInd w:val="0"/>
        <w:snapToGrid w:val="0"/>
        <w:spacing w:line="400" w:lineRule="exact"/>
        <w:ind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w:t>
      </w:r>
    </w:p>
    <w:p>
      <w:pPr>
        <w:widowControl w:val="0"/>
        <w:shd w:val="clear" w:color="auto" w:fill="FFFFFF"/>
        <w:wordWrap/>
        <w:adjustRightInd w:val="0"/>
        <w:snapToGrid w:val="0"/>
        <w:spacing w:line="400" w:lineRule="exact"/>
        <w:ind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1、投标人需按本表格式填写，不得自行更改。</w:t>
      </w:r>
    </w:p>
    <w:p>
      <w:pPr>
        <w:widowControl w:val="0"/>
        <w:shd w:val="clear" w:color="auto" w:fill="FFFFFF"/>
        <w:wordWrap/>
        <w:adjustRightInd w:val="0"/>
        <w:snapToGrid w:val="0"/>
        <w:spacing w:line="400" w:lineRule="exact"/>
        <w:ind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color w:val="auto"/>
          <w:sz w:val="24"/>
          <w:highlight w:val="none"/>
        </w:rPr>
        <w:t>否则视为投标文件含有采购人不能接受的附加条件的，投标无效</w:t>
      </w:r>
      <w:r>
        <w:rPr>
          <w:rFonts w:hint="eastAsia" w:ascii="宋体" w:hAnsi="宋体" w:eastAsia="宋体" w:cs="宋体"/>
          <w:color w:val="auto"/>
          <w:sz w:val="24"/>
          <w:highlight w:val="none"/>
          <w:lang w:val="zh-CN"/>
        </w:rPr>
        <w:t>。</w:t>
      </w:r>
    </w:p>
    <w:p>
      <w:pPr>
        <w:widowControl w:val="0"/>
        <w:shd w:val="clear" w:color="auto" w:fill="FFFFFF"/>
        <w:wordWrap/>
        <w:adjustRightInd w:val="0"/>
        <w:snapToGrid w:val="0"/>
        <w:spacing w:line="400" w:lineRule="exact"/>
        <w:ind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3、以上表格要求细分项目及报价，在“规格型号（或具体服务）”一栏中，货物类项目填写规格型号，服务类项目填写具体服务。</w:t>
      </w:r>
    </w:p>
    <w:p>
      <w:pPr>
        <w:widowControl w:val="0"/>
        <w:shd w:val="clear" w:color="auto" w:fill="FFFFFF"/>
        <w:wordWrap/>
        <w:adjustRightInd w:val="0"/>
        <w:snapToGrid w:val="0"/>
        <w:spacing w:line="400" w:lineRule="exact"/>
        <w:ind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4、特别提示：采购机构将对项目名称和项目编号，中标供应商名称、地址和中标金额，主要中标标的的名称、规格型号、数量、单价、服务要求等予以公示。</w:t>
      </w:r>
    </w:p>
    <w:p>
      <w:pPr>
        <w:widowControl w:val="0"/>
        <w:shd w:val="clear" w:color="auto" w:fill="FFFFFF"/>
        <w:wordWrap/>
        <w:adjustRightInd w:val="0"/>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rPr>
      </w:pP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zh-CN"/>
        </w:rPr>
        <w:t>法定（授权）代表人（</w:t>
      </w:r>
      <w:r>
        <w:rPr>
          <w:rFonts w:hint="eastAsia" w:ascii="宋体" w:hAnsi="宋体" w:eastAsia="宋体" w:cs="宋体"/>
          <w:color w:val="auto"/>
          <w:kern w:val="0"/>
          <w:sz w:val="24"/>
          <w:highlight w:val="none"/>
        </w:rPr>
        <w:t>盖</w:t>
      </w:r>
      <w:r>
        <w:rPr>
          <w:rFonts w:hint="eastAsia" w:ascii="宋体" w:hAnsi="宋体" w:eastAsia="宋体" w:cs="宋体"/>
          <w:color w:val="auto"/>
          <w:sz w:val="24"/>
          <w:highlight w:val="none"/>
        </w:rPr>
        <w:t>章或签字</w:t>
      </w:r>
      <w:r>
        <w:rPr>
          <w:rFonts w:hint="eastAsia" w:ascii="宋体" w:hAnsi="宋体" w:eastAsia="宋体" w:cs="宋体"/>
          <w:color w:val="auto"/>
          <w:sz w:val="24"/>
          <w:highlight w:val="none"/>
          <w:lang w:val="zh-CN"/>
        </w:rPr>
        <w:t>）：</w:t>
      </w:r>
    </w:p>
    <w:p>
      <w:pPr>
        <w:pStyle w:val="4"/>
        <w:jc w:val="right"/>
        <w:rPr>
          <w:rFonts w:hint="eastAsia" w:ascii="宋体" w:hAnsi="宋体" w:eastAsia="宋体" w:cs="宋体"/>
          <w:b w:val="0"/>
          <w:bCs w:val="0"/>
          <w:color w:val="auto"/>
          <w:highlight w:val="none"/>
        </w:rPr>
      </w:pPr>
      <w:r>
        <w:rPr>
          <w:rFonts w:hint="eastAsia" w:ascii="宋体" w:hAnsi="宋体" w:eastAsia="宋体" w:cs="宋体"/>
          <w:b w:val="0"/>
          <w:bCs w:val="0"/>
          <w:color w:val="auto"/>
          <w:sz w:val="24"/>
          <w:highlight w:val="none"/>
        </w:rPr>
        <w:t>日期：    年   月   日</w:t>
      </w:r>
    </w:p>
    <w:p>
      <w:pPr>
        <w:pStyle w:val="383"/>
        <w:tabs>
          <w:tab w:val="clear" w:pos="720"/>
        </w:tabs>
        <w:snapToGrid w:val="0"/>
        <w:spacing w:before="120" w:after="120" w:line="600" w:lineRule="exact"/>
        <w:ind w:firstLine="643"/>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二、报价明细清单-分项报价表</w:t>
      </w:r>
    </w:p>
    <w:p>
      <w:pPr>
        <w:spacing w:line="600" w:lineRule="exact"/>
        <w:ind w:firstLine="241" w:firstLineChars="1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项目编号：</w:t>
      </w:r>
    </w:p>
    <w:tbl>
      <w:tblPr>
        <w:tblStyle w:val="63"/>
        <w:tblW w:w="976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162"/>
        <w:gridCol w:w="2082"/>
        <w:gridCol w:w="1686"/>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jc w:val="center"/>
        </w:trPr>
        <w:tc>
          <w:tcPr>
            <w:tcW w:w="902" w:type="dxa"/>
            <w:tcBorders>
              <w:top w:val="single" w:color="auto" w:sz="8" w:space="0"/>
              <w:left w:val="single" w:color="auto" w:sz="8" w:space="0"/>
              <w:bottom w:val="single" w:color="auto" w:sz="2"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序号</w:t>
            </w:r>
          </w:p>
        </w:tc>
        <w:tc>
          <w:tcPr>
            <w:tcW w:w="3413" w:type="dxa"/>
            <w:gridSpan w:val="3"/>
            <w:tcBorders>
              <w:top w:val="single" w:color="auto" w:sz="8"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采购内容</w:t>
            </w:r>
          </w:p>
        </w:tc>
        <w:tc>
          <w:tcPr>
            <w:tcW w:w="2082"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单位数量</w:t>
            </w:r>
          </w:p>
        </w:tc>
        <w:tc>
          <w:tcPr>
            <w:tcW w:w="1686" w:type="dxa"/>
            <w:tcBorders>
              <w:top w:val="single" w:color="auto" w:sz="8" w:space="0"/>
              <w:left w:val="single" w:color="auto" w:sz="4" w:space="0"/>
              <w:bottom w:val="single" w:color="auto" w:sz="2"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单价（元）</w:t>
            </w:r>
          </w:p>
        </w:tc>
        <w:tc>
          <w:tcPr>
            <w:tcW w:w="1686" w:type="dxa"/>
            <w:tcBorders>
              <w:top w:val="single" w:color="auto" w:sz="8" w:space="0"/>
              <w:left w:val="single" w:color="auto" w:sz="4" w:space="0"/>
              <w:bottom w:val="single" w:color="auto" w:sz="2"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小计（元）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1</w:t>
            </w:r>
          </w:p>
        </w:tc>
        <w:tc>
          <w:tcPr>
            <w:tcW w:w="3413" w:type="dxa"/>
            <w:gridSpan w:val="3"/>
            <w:tcBorders>
              <w:top w:val="single" w:color="auto" w:sz="2" w:space="0"/>
              <w:left w:val="single" w:color="auto" w:sz="2" w:space="0"/>
              <w:bottom w:val="single" w:color="auto" w:sz="4" w:space="0"/>
              <w:right w:val="single" w:color="auto" w:sz="2" w:space="0"/>
            </w:tcBorders>
            <w:vAlign w:val="center"/>
          </w:tcPr>
          <w:p>
            <w:pPr>
              <w:adjustRightInd w:val="0"/>
              <w:spacing w:line="360" w:lineRule="auto"/>
              <w:jc w:val="center"/>
              <w:rPr>
                <w:rFonts w:hint="default" w:ascii="宋体" w:hAnsi="宋体" w:eastAsia="宋体" w:cs="宋体-18030"/>
                <w:color w:val="auto"/>
                <w:kern w:val="0"/>
                <w:sz w:val="24"/>
                <w:highlight w:val="none"/>
                <w:lang w:val="en-US" w:eastAsia="zh-CN"/>
              </w:rPr>
            </w:pPr>
            <w:r>
              <w:rPr>
                <w:rFonts w:hint="eastAsia" w:ascii="宋体" w:hAnsi="宋体" w:cs="宋体-18030"/>
                <w:color w:val="auto"/>
                <w:kern w:val="0"/>
                <w:sz w:val="24"/>
                <w:highlight w:val="none"/>
                <w:lang w:val="en-US" w:eastAsia="zh-CN"/>
              </w:rPr>
              <w:t>服务人员</w:t>
            </w:r>
          </w:p>
        </w:tc>
        <w:tc>
          <w:tcPr>
            <w:tcW w:w="2082" w:type="dxa"/>
            <w:tcBorders>
              <w:top w:val="single" w:color="auto" w:sz="2" w:space="0"/>
              <w:left w:val="single" w:color="auto" w:sz="2" w:space="0"/>
              <w:bottom w:val="single" w:color="auto" w:sz="4" w:space="0"/>
              <w:right w:val="single" w:color="auto" w:sz="4" w:space="0"/>
            </w:tcBorders>
            <w:vAlign w:val="center"/>
          </w:tcPr>
          <w:p>
            <w:pPr>
              <w:adjustRightInd w:val="0"/>
              <w:spacing w:line="360" w:lineRule="auto"/>
              <w:jc w:val="center"/>
              <w:rPr>
                <w:rFonts w:hint="eastAsia" w:ascii="宋体" w:hAnsi="宋体" w:cs="宋体-18030"/>
                <w:color w:val="auto"/>
                <w:kern w:val="0"/>
                <w:sz w:val="24"/>
                <w:highlight w:val="none"/>
              </w:rPr>
            </w:pPr>
            <w:r>
              <w:rPr>
                <w:rFonts w:hint="eastAsia" w:ascii="宋体" w:hAnsi="宋体" w:cs="宋体-18030"/>
                <w:color w:val="auto"/>
                <w:kern w:val="0"/>
                <w:sz w:val="24"/>
                <w:highlight w:val="none"/>
                <w:lang w:val="en-US" w:eastAsia="zh-CN"/>
              </w:rPr>
              <w:t xml:space="preserve">  </w:t>
            </w:r>
            <w:r>
              <w:rPr>
                <w:rFonts w:hint="eastAsia" w:ascii="宋体" w:hAnsi="宋体" w:cs="宋体-18030"/>
                <w:color w:val="auto"/>
                <w:kern w:val="0"/>
                <w:sz w:val="24"/>
                <w:highlight w:val="none"/>
              </w:rPr>
              <w:t>人</w:t>
            </w:r>
          </w:p>
        </w:tc>
        <w:tc>
          <w:tcPr>
            <w:tcW w:w="1686" w:type="dxa"/>
            <w:tcBorders>
              <w:top w:val="single" w:color="auto" w:sz="2"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2"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2</w:t>
            </w:r>
          </w:p>
        </w:tc>
        <w:tc>
          <w:tcPr>
            <w:tcW w:w="3413" w:type="dxa"/>
            <w:gridSpan w:val="3"/>
            <w:tcBorders>
              <w:top w:val="single" w:color="auto" w:sz="4" w:space="0"/>
              <w:left w:val="single" w:color="auto" w:sz="2" w:space="0"/>
              <w:bottom w:val="single" w:color="auto" w:sz="4" w:space="0"/>
              <w:right w:val="single" w:color="auto" w:sz="2" w:space="0"/>
            </w:tcBorders>
            <w:vAlign w:val="center"/>
          </w:tcPr>
          <w:p>
            <w:pPr>
              <w:adjustRightInd w:val="0"/>
              <w:spacing w:line="360" w:lineRule="auto"/>
              <w:jc w:val="center"/>
              <w:rPr>
                <w:rFonts w:hint="eastAsia" w:ascii="宋体" w:hAnsi="宋体" w:cs="宋体-18030"/>
                <w:color w:val="auto"/>
                <w:kern w:val="0"/>
                <w:sz w:val="24"/>
                <w:highlight w:val="none"/>
              </w:rPr>
            </w:pPr>
            <w:r>
              <w:rPr>
                <w:rFonts w:hint="eastAsia" w:ascii="宋体" w:hAnsi="宋体" w:cs="宋体-18030"/>
                <w:color w:val="auto"/>
                <w:kern w:val="0"/>
                <w:sz w:val="24"/>
                <w:highlight w:val="none"/>
              </w:rPr>
              <w:t>中标人巡逻装备配置</w:t>
            </w:r>
          </w:p>
        </w:tc>
        <w:tc>
          <w:tcPr>
            <w:tcW w:w="2082" w:type="dxa"/>
            <w:tcBorders>
              <w:top w:val="single" w:color="auto" w:sz="4" w:space="0"/>
              <w:left w:val="single" w:color="auto" w:sz="2" w:space="0"/>
              <w:bottom w:val="single" w:color="auto" w:sz="4" w:space="0"/>
              <w:right w:val="single" w:color="auto" w:sz="4" w:space="0"/>
            </w:tcBorders>
            <w:vAlign w:val="center"/>
          </w:tcPr>
          <w:p>
            <w:pPr>
              <w:adjustRightInd w:val="0"/>
              <w:spacing w:line="360" w:lineRule="auto"/>
              <w:rPr>
                <w:rFonts w:hint="eastAsia" w:ascii="宋体" w:hAnsi="宋体" w:cs="宋体-18030"/>
                <w:color w:val="auto"/>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3</w:t>
            </w:r>
          </w:p>
        </w:tc>
        <w:tc>
          <w:tcPr>
            <w:tcW w:w="3413" w:type="dxa"/>
            <w:gridSpan w:val="3"/>
            <w:tcBorders>
              <w:top w:val="single" w:color="auto" w:sz="4" w:space="0"/>
              <w:left w:val="single" w:color="auto" w:sz="2" w:space="0"/>
              <w:bottom w:val="single" w:color="auto" w:sz="4" w:space="0"/>
              <w:right w:val="single" w:color="auto" w:sz="2" w:space="0"/>
            </w:tcBorders>
            <w:vAlign w:val="center"/>
          </w:tcPr>
          <w:p>
            <w:pPr>
              <w:adjustRightInd w:val="0"/>
              <w:spacing w:line="360" w:lineRule="auto"/>
              <w:rPr>
                <w:rFonts w:hint="eastAsia" w:ascii="宋体" w:hAnsi="宋体" w:cs="宋体-18030"/>
                <w:color w:val="auto"/>
                <w:kern w:val="0"/>
                <w:sz w:val="24"/>
                <w:highlight w:val="none"/>
              </w:rPr>
            </w:pPr>
          </w:p>
        </w:tc>
        <w:tc>
          <w:tcPr>
            <w:tcW w:w="2082" w:type="dxa"/>
            <w:tcBorders>
              <w:top w:val="single" w:color="auto" w:sz="4" w:space="0"/>
              <w:left w:val="single" w:color="auto" w:sz="2" w:space="0"/>
              <w:bottom w:val="single" w:color="auto" w:sz="4" w:space="0"/>
              <w:right w:val="single" w:color="auto" w:sz="4" w:space="0"/>
            </w:tcBorders>
            <w:vAlign w:val="center"/>
          </w:tcPr>
          <w:p>
            <w:pPr>
              <w:adjustRightInd w:val="0"/>
              <w:spacing w:line="360" w:lineRule="auto"/>
              <w:rPr>
                <w:rFonts w:hint="eastAsia" w:ascii="宋体" w:hAnsi="宋体" w:cs="宋体-18030"/>
                <w:color w:val="auto"/>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4</w:t>
            </w:r>
          </w:p>
        </w:tc>
        <w:tc>
          <w:tcPr>
            <w:tcW w:w="3413" w:type="dxa"/>
            <w:gridSpan w:val="3"/>
            <w:tcBorders>
              <w:top w:val="single" w:color="auto" w:sz="4" w:space="0"/>
              <w:left w:val="single" w:color="auto" w:sz="2" w:space="0"/>
              <w:bottom w:val="single" w:color="auto" w:sz="4" w:space="0"/>
              <w:right w:val="single" w:color="auto" w:sz="2" w:space="0"/>
            </w:tcBorders>
            <w:vAlign w:val="center"/>
          </w:tcPr>
          <w:p>
            <w:pPr>
              <w:adjustRightInd w:val="0"/>
              <w:spacing w:line="360" w:lineRule="auto"/>
              <w:rPr>
                <w:rFonts w:hint="eastAsia" w:ascii="宋体" w:hAnsi="宋体" w:cs="宋体-18030"/>
                <w:color w:val="auto"/>
                <w:kern w:val="0"/>
                <w:sz w:val="24"/>
                <w:highlight w:val="none"/>
              </w:rPr>
            </w:pPr>
          </w:p>
        </w:tc>
        <w:tc>
          <w:tcPr>
            <w:tcW w:w="2082" w:type="dxa"/>
            <w:tcBorders>
              <w:top w:val="single" w:color="auto" w:sz="4" w:space="0"/>
              <w:left w:val="single" w:color="auto" w:sz="2" w:space="0"/>
              <w:bottom w:val="single" w:color="auto" w:sz="4" w:space="0"/>
              <w:right w:val="single" w:color="auto" w:sz="4" w:space="0"/>
            </w:tcBorders>
            <w:vAlign w:val="center"/>
          </w:tcPr>
          <w:p>
            <w:pPr>
              <w:adjustRightInd w:val="0"/>
              <w:spacing w:line="360" w:lineRule="auto"/>
              <w:rPr>
                <w:rFonts w:hint="eastAsia" w:ascii="宋体" w:hAnsi="宋体" w:cs="宋体-18030"/>
                <w:color w:val="auto"/>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5</w:t>
            </w:r>
          </w:p>
        </w:tc>
        <w:tc>
          <w:tcPr>
            <w:tcW w:w="3413" w:type="dxa"/>
            <w:gridSpan w:val="3"/>
            <w:tcBorders>
              <w:top w:val="single" w:color="auto" w:sz="4" w:space="0"/>
              <w:left w:val="single" w:color="auto" w:sz="2" w:space="0"/>
              <w:bottom w:val="single" w:color="auto" w:sz="4" w:space="0"/>
              <w:right w:val="single" w:color="auto" w:sz="2" w:space="0"/>
            </w:tcBorders>
            <w:vAlign w:val="top"/>
          </w:tcPr>
          <w:p>
            <w:pPr>
              <w:snapToGrid w:val="0"/>
              <w:spacing w:line="360" w:lineRule="auto"/>
              <w:rPr>
                <w:rFonts w:hint="eastAsia" w:ascii="宋体" w:hAnsi="宋体" w:cs="宋体"/>
                <w:color w:val="auto"/>
                <w:sz w:val="24"/>
                <w:szCs w:val="21"/>
                <w:highlight w:val="none"/>
              </w:rPr>
            </w:pPr>
          </w:p>
        </w:tc>
        <w:tc>
          <w:tcPr>
            <w:tcW w:w="2082"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180" w:hRule="atLeast"/>
          <w:jc w:val="center"/>
        </w:trPr>
        <w:tc>
          <w:tcPr>
            <w:tcW w:w="902" w:type="dxa"/>
            <w:tcBorders>
              <w:top w:val="single" w:color="auto" w:sz="4" w:space="0"/>
              <w:left w:val="single" w:color="auto" w:sz="8"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p>
        </w:tc>
        <w:tc>
          <w:tcPr>
            <w:tcW w:w="3413" w:type="dxa"/>
            <w:gridSpan w:val="3"/>
            <w:tcBorders>
              <w:top w:val="single" w:color="auto" w:sz="4" w:space="0"/>
              <w:left w:val="single" w:color="auto" w:sz="2" w:space="0"/>
              <w:bottom w:val="single" w:color="auto" w:sz="4" w:space="0"/>
              <w:right w:val="single" w:color="auto" w:sz="2" w:space="0"/>
            </w:tcBorders>
            <w:vAlign w:val="center"/>
          </w:tcPr>
          <w:p>
            <w:pPr>
              <w:tabs>
                <w:tab w:val="left" w:pos="6135"/>
              </w:tabs>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w:t>
            </w:r>
          </w:p>
        </w:tc>
        <w:tc>
          <w:tcPr>
            <w:tcW w:w="2082"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jc w:val="center"/>
        </w:trPr>
        <w:tc>
          <w:tcPr>
            <w:tcW w:w="1717" w:type="dxa"/>
            <w:gridSpan w:val="2"/>
            <w:vMerge w:val="restart"/>
            <w:tcBorders>
              <w:top w:val="single" w:color="auto" w:sz="2" w:space="0"/>
              <w:left w:val="single" w:color="auto" w:sz="8" w:space="0"/>
              <w:bottom w:val="single" w:color="auto" w:sz="8" w:space="0"/>
              <w:right w:val="single" w:color="auto" w:sz="4"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总计</w:t>
            </w:r>
          </w:p>
        </w:tc>
        <w:tc>
          <w:tcPr>
            <w:tcW w:w="1436" w:type="dxa"/>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大写</w:t>
            </w:r>
          </w:p>
        </w:tc>
        <w:tc>
          <w:tcPr>
            <w:tcW w:w="4930" w:type="dxa"/>
            <w:gridSpan w:val="3"/>
            <w:tcBorders>
              <w:top w:val="single" w:color="auto" w:sz="2" w:space="0"/>
              <w:left w:val="single" w:color="auto" w:sz="4" w:space="0"/>
              <w:bottom w:val="single" w:color="auto" w:sz="2"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2" w:space="0"/>
              <w:left w:val="single" w:color="auto" w:sz="4" w:space="0"/>
              <w:bottom w:val="single" w:color="auto" w:sz="2"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jc w:val="center"/>
        </w:trPr>
        <w:tc>
          <w:tcPr>
            <w:tcW w:w="1717" w:type="dxa"/>
            <w:gridSpan w:val="2"/>
            <w:vMerge w:val="continue"/>
            <w:tcBorders>
              <w:top w:val="single" w:color="auto" w:sz="2" w:space="0"/>
              <w:left w:val="single" w:color="auto" w:sz="8" w:space="0"/>
              <w:bottom w:val="single" w:color="auto" w:sz="8" w:space="0"/>
              <w:right w:val="single" w:color="auto" w:sz="4" w:space="0"/>
            </w:tcBorders>
            <w:vAlign w:val="center"/>
          </w:tcPr>
          <w:p>
            <w:pPr>
              <w:widowControl/>
              <w:snapToGrid w:val="0"/>
              <w:spacing w:line="360" w:lineRule="auto"/>
              <w:jc w:val="center"/>
              <w:rPr>
                <w:rFonts w:hint="eastAsia" w:ascii="宋体" w:hAnsi="宋体" w:cs="宋体"/>
                <w:color w:val="auto"/>
                <w:sz w:val="24"/>
                <w:szCs w:val="21"/>
                <w:highlight w:val="none"/>
              </w:rPr>
            </w:pPr>
          </w:p>
        </w:tc>
        <w:tc>
          <w:tcPr>
            <w:tcW w:w="1436" w:type="dxa"/>
            <w:tcBorders>
              <w:top w:val="single" w:color="auto" w:sz="2" w:space="0"/>
              <w:left w:val="single" w:color="auto" w:sz="4" w:space="0"/>
              <w:bottom w:val="single" w:color="auto" w:sz="8"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小写</w:t>
            </w:r>
          </w:p>
        </w:tc>
        <w:tc>
          <w:tcPr>
            <w:tcW w:w="4930" w:type="dxa"/>
            <w:gridSpan w:val="3"/>
            <w:tcBorders>
              <w:top w:val="single" w:color="auto" w:sz="2" w:space="0"/>
              <w:left w:val="single" w:color="auto" w:sz="4" w:space="0"/>
              <w:bottom w:val="single" w:color="auto" w:sz="8"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2" w:space="0"/>
              <w:left w:val="single" w:color="auto" w:sz="4" w:space="0"/>
              <w:bottom w:val="single" w:color="auto" w:sz="8" w:space="0"/>
              <w:right w:val="single" w:color="auto" w:sz="8" w:space="0"/>
            </w:tcBorders>
            <w:vAlign w:val="center"/>
          </w:tcPr>
          <w:p>
            <w:pPr>
              <w:snapToGrid w:val="0"/>
              <w:spacing w:line="360" w:lineRule="auto"/>
              <w:jc w:val="center"/>
              <w:rPr>
                <w:rFonts w:hint="eastAsia" w:ascii="宋体" w:hAnsi="宋体" w:cs="宋体"/>
                <w:color w:val="auto"/>
                <w:sz w:val="24"/>
                <w:szCs w:val="21"/>
                <w:highlight w:val="none"/>
              </w:rPr>
            </w:pPr>
          </w:p>
        </w:tc>
      </w:tr>
    </w:tbl>
    <w:p>
      <w:pPr>
        <w:pStyle w:val="35"/>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注：</w:t>
      </w:r>
      <w:r>
        <w:rPr>
          <w:rFonts w:hint="eastAsia" w:ascii="宋体" w:hAnsi="宋体" w:eastAsia="宋体" w:cs="宋体"/>
          <w:color w:val="auto"/>
          <w:sz w:val="24"/>
          <w:highlight w:val="none"/>
        </w:rPr>
        <w:t>可根据具体情况调整报价明细清单格式，但应包括项目涉及的一切相关税、费等费用。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zh-CN"/>
        </w:rPr>
        <w:t>法定（授权）代表人（</w:t>
      </w:r>
      <w:r>
        <w:rPr>
          <w:rFonts w:hint="eastAsia" w:ascii="宋体" w:hAnsi="宋体" w:eastAsia="宋体" w:cs="宋体"/>
          <w:color w:val="auto"/>
          <w:kern w:val="0"/>
          <w:sz w:val="24"/>
          <w:highlight w:val="none"/>
        </w:rPr>
        <w:t>盖</w:t>
      </w:r>
      <w:r>
        <w:rPr>
          <w:rFonts w:hint="eastAsia" w:ascii="宋体" w:hAnsi="宋体" w:eastAsia="宋体" w:cs="宋体"/>
          <w:color w:val="auto"/>
          <w:sz w:val="24"/>
          <w:highlight w:val="none"/>
        </w:rPr>
        <w:t>章或签字</w:t>
      </w:r>
      <w:r>
        <w:rPr>
          <w:rFonts w:hint="eastAsia" w:ascii="宋体" w:hAnsi="宋体" w:eastAsia="宋体" w:cs="宋体"/>
          <w:color w:val="auto"/>
          <w:sz w:val="24"/>
          <w:highlight w:val="none"/>
          <w:lang w:val="zh-CN"/>
        </w:rPr>
        <w:t>）：</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日期：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w:t>
      </w:r>
    </w:p>
    <w:p>
      <w:pPr>
        <w:pStyle w:val="383"/>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28"/>
          <w:szCs w:val="28"/>
          <w:highlight w:val="none"/>
        </w:rPr>
        <w:t>三、</w:t>
      </w:r>
      <w:r>
        <w:rPr>
          <w:rFonts w:hint="eastAsia" w:ascii="宋体" w:hAnsi="宋体" w:eastAsia="宋体" w:cs="宋体"/>
          <w:color w:val="auto"/>
          <w:sz w:val="28"/>
          <w:szCs w:val="28"/>
          <w:highlight w:val="none"/>
        </w:rPr>
        <w:t>中小企业声明函</w:t>
      </w:r>
    </w:p>
    <w:p>
      <w:pPr>
        <w:widowControl/>
        <w:spacing w:line="600" w:lineRule="exact"/>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宋体" w:hAnsi="宋体" w:eastAsia="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6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6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6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6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6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60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4"/>
        <w:spacing w:line="600" w:lineRule="exact"/>
        <w:ind w:left="0"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4"/>
        <w:spacing w:line="600" w:lineRule="exact"/>
        <w:ind w:left="0"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6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93" w:name="_Toc465665161"/>
      <w:r>
        <w:rPr>
          <w:rFonts w:hint="eastAsia" w:ascii="宋体" w:hAnsi="宋体" w:eastAsia="宋体" w:cs="宋体"/>
          <w:color w:val="auto"/>
          <w:highlight w:val="none"/>
        </w:rPr>
        <w:t>附件</w:t>
      </w:r>
      <w:bookmarkEnd w:id="493"/>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94" w:name="OLE_LINK13"/>
      <w:bookmarkStart w:id="495" w:name="OLE_LINK14"/>
      <w:r>
        <w:rPr>
          <w:rFonts w:hint="eastAsia" w:ascii="宋体" w:hAnsi="宋体" w:eastAsia="宋体" w:cs="宋体"/>
          <w:b/>
          <w:color w:val="auto"/>
          <w:spacing w:val="6"/>
          <w:sz w:val="32"/>
          <w:szCs w:val="32"/>
          <w:highlight w:val="none"/>
        </w:rPr>
        <w:t>残疾人福利性单位声明函</w:t>
      </w:r>
    </w:p>
    <w:bookmarkEnd w:id="494"/>
    <w:bookmarkEnd w:id="495"/>
    <w:p>
      <w:pPr>
        <w:spacing w:line="600" w:lineRule="exact"/>
        <w:rPr>
          <w:rFonts w:hint="eastAsia" w:ascii="宋体" w:hAnsi="宋体" w:eastAsia="宋体" w:cs="宋体"/>
          <w:b/>
          <w:color w:val="auto"/>
          <w:spacing w:val="6"/>
          <w:sz w:val="30"/>
          <w:szCs w:val="30"/>
          <w:highlight w:val="none"/>
        </w:rPr>
      </w:pP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600" w:lineRule="exact"/>
        <w:ind w:firstLine="480" w:firstLineChars="200"/>
        <w:rPr>
          <w:rFonts w:hint="eastAsia" w:ascii="宋体" w:hAnsi="宋体" w:eastAsia="宋体" w:cs="宋体"/>
          <w:color w:val="auto"/>
          <w:sz w:val="24"/>
          <w:highlight w:val="none"/>
        </w:rPr>
      </w:pPr>
    </w:p>
    <w:p>
      <w:pPr>
        <w:tabs>
          <w:tab w:val="left" w:pos="4860"/>
        </w:tabs>
        <w:spacing w:line="600" w:lineRule="exact"/>
        <w:ind w:right="1560" w:firstLine="480" w:firstLineChars="200"/>
        <w:jc w:val="center"/>
        <w:rPr>
          <w:rFonts w:hint="eastAsia" w:ascii="宋体" w:hAnsi="宋体" w:eastAsia="宋体" w:cs="宋体"/>
          <w:color w:val="auto"/>
          <w:sz w:val="24"/>
          <w:highlight w:val="none"/>
        </w:rPr>
      </w:pPr>
    </w:p>
    <w:p>
      <w:pPr>
        <w:tabs>
          <w:tab w:val="left" w:pos="4860"/>
        </w:tabs>
        <w:spacing w:line="600" w:lineRule="exact"/>
        <w:ind w:right="1560"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独立投标：投标人名称(电子签名)：</w:t>
      </w:r>
    </w:p>
    <w:p>
      <w:pPr>
        <w:tabs>
          <w:tab w:val="left" w:pos="4860"/>
        </w:tabs>
        <w:spacing w:line="600" w:lineRule="exact"/>
        <w:ind w:right="1560"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或</w:t>
      </w:r>
    </w:p>
    <w:p>
      <w:pPr>
        <w:tabs>
          <w:tab w:val="left" w:pos="4860"/>
        </w:tabs>
        <w:spacing w:line="600" w:lineRule="exact"/>
        <w:ind w:right="1560"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采用联合体投标：联合体中符合要求的单位名称(电子签名/盖章)：</w:t>
      </w:r>
    </w:p>
    <w:p>
      <w:pPr>
        <w:tabs>
          <w:tab w:val="left" w:pos="4860"/>
        </w:tabs>
        <w:spacing w:line="600" w:lineRule="exact"/>
        <w:ind w:right="1560" w:firstLine="480" w:firstLineChars="200"/>
        <w:jc w:val="center"/>
        <w:rPr>
          <w:rFonts w:hint="eastAsia" w:ascii="宋体" w:hAnsi="宋体" w:eastAsia="宋体" w:cs="宋体"/>
          <w:color w:val="auto"/>
          <w:sz w:val="24"/>
          <w:highlight w:val="none"/>
        </w:rPr>
      </w:pPr>
    </w:p>
    <w:p>
      <w:pPr>
        <w:tabs>
          <w:tab w:val="left" w:pos="4860"/>
        </w:tabs>
        <w:spacing w:line="600" w:lineRule="exact"/>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600" w:lineRule="exact"/>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3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3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rPr>
          <w:rFonts w:hint="eastAsia" w:ascii="宋体" w:hAnsi="宋体" w:eastAsia="宋体" w:cs="宋体"/>
          <w:b/>
          <w:color w:val="auto"/>
          <w:spacing w:val="6"/>
          <w:sz w:val="32"/>
          <w:szCs w:val="32"/>
          <w:highlight w:val="none"/>
        </w:rPr>
      </w:pPr>
    </w:p>
    <w:p>
      <w:pPr>
        <w:autoSpaceDE w:val="0"/>
        <w:autoSpaceDN w:val="0"/>
        <w:jc w:val="both"/>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0"/>
        <w:rPr>
          <w:rFonts w:hint="eastAsia" w:ascii="宋体" w:hAnsi="宋体" w:eastAsia="宋体" w:cs="宋体"/>
          <w:color w:val="auto"/>
          <w:sz w:val="24"/>
          <w:highlight w:val="none"/>
          <w:lang w:val="en-US" w:eastAsia="zh-CN"/>
        </w:rPr>
      </w:pPr>
    </w:p>
    <w:sectPr>
      <w:headerReference r:id="rId19" w:type="first"/>
      <w:footerReference r:id="rId22" w:type="first"/>
      <w:headerReference r:id="rId18" w:type="default"/>
      <w:footerReference r:id="rId20" w:type="default"/>
      <w:footerReference r:id="rId21" w:type="even"/>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3" o:spid="_x0000_s205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10" o:spid="_x0000_s2057" o:spt="202" type="#_x0000_t202"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4" o:spid="_x0000_s2049"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宋体" w:cs="Times New Roman"/>
        <w:kern w:val="2"/>
        <w:sz w:val="18"/>
        <w:szCs w:val="18"/>
        <w:lang w:val="en-US" w:eastAsia="zh-CN" w:bidi="ar-SA"/>
      </w:rPr>
      <w:pict>
        <v:shape id="文本框 8" o:spid="_x0000_s2051"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30</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Style w:val="73"/>
        <w:b/>
      </w:rPr>
    </w:pPr>
    <w:r>
      <w:rPr>
        <w:rFonts w:ascii="Times New Roman" w:hAnsi="Times New Roman" w:eastAsia="宋体" w:cs="Times New Roman"/>
        <w:kern w:val="2"/>
        <w:sz w:val="24"/>
        <w:szCs w:val="18"/>
        <w:lang w:val="en-US" w:eastAsia="zh-CN" w:bidi="ar-SA"/>
      </w:rPr>
      <w:pict>
        <v:shape id="文本框 9" o:spid="_x0000_s2052"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pStyle w:val="42"/>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5" o:spid="_x0000_s2054"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6" o:spid="_x0000_s2053"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7" o:spid="_x0000_s2056" o:spt="202" type="#_x0000_t202"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8" o:spid="_x0000_s2055" o:spt="202" type="#_x0000_t202"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ascii="Times New Roman" w:hAnsi="Times New Roman" w:eastAsia="宋体" w:cs="Times New Roman"/>
        <w:kern w:val="2"/>
        <w:sz w:val="18"/>
        <w:szCs w:val="18"/>
        <w:lang w:val="en-US" w:eastAsia="zh-CN" w:bidi="ar-SA"/>
      </w:rPr>
      <w:pict>
        <v:shape id="Quad Arrow 9" o:spid="_x0000_s2058" o:spt="202" type="#_x0000_t202"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C10A4"/>
    <w:multiLevelType w:val="singleLevel"/>
    <w:tmpl w:val="BADC10A4"/>
    <w:lvl w:ilvl="0" w:tentative="0">
      <w:start w:val="1"/>
      <w:numFmt w:val="decimal"/>
      <w:suff w:val="nothing"/>
      <w:lvlText w:val="%1、"/>
      <w:lvlJc w:val="left"/>
    </w:lvl>
  </w:abstractNum>
  <w:abstractNum w:abstractNumId="1">
    <w:nsid w:val="58D8BCD3"/>
    <w:multiLevelType w:val="singleLevel"/>
    <w:tmpl w:val="58D8BC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Q5ZTQ5YTIzMWFmNzczOGY2ZTY5N2JhZGJlZWNmZ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19B"/>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3AA2"/>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1FF"/>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969"/>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76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EA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25F"/>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47"/>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425"/>
    <w:rsid w:val="00651C4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3EA"/>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E5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B4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59B"/>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9C"/>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59"/>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C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D02"/>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3B1"/>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B"/>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53"/>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C7"/>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7C"/>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6F9"/>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D5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916"/>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9E7"/>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1B5E"/>
    <w:rsid w:val="010651D9"/>
    <w:rsid w:val="011F6449"/>
    <w:rsid w:val="01236AFB"/>
    <w:rsid w:val="015D2A36"/>
    <w:rsid w:val="019F7441"/>
    <w:rsid w:val="01B37585"/>
    <w:rsid w:val="01BA1319"/>
    <w:rsid w:val="01CF66E6"/>
    <w:rsid w:val="01D2062D"/>
    <w:rsid w:val="01D55165"/>
    <w:rsid w:val="01DF6BF8"/>
    <w:rsid w:val="01EC2C57"/>
    <w:rsid w:val="026B2E25"/>
    <w:rsid w:val="02824D4D"/>
    <w:rsid w:val="02B01236"/>
    <w:rsid w:val="02DC4B10"/>
    <w:rsid w:val="02DD76CE"/>
    <w:rsid w:val="02F36323"/>
    <w:rsid w:val="02F5619C"/>
    <w:rsid w:val="030F7798"/>
    <w:rsid w:val="0326446A"/>
    <w:rsid w:val="032D5555"/>
    <w:rsid w:val="036634D2"/>
    <w:rsid w:val="03DD35E4"/>
    <w:rsid w:val="04076900"/>
    <w:rsid w:val="040A6BF1"/>
    <w:rsid w:val="041A5A3B"/>
    <w:rsid w:val="042311BA"/>
    <w:rsid w:val="042B157A"/>
    <w:rsid w:val="042D4FAE"/>
    <w:rsid w:val="048E4EE6"/>
    <w:rsid w:val="048F763B"/>
    <w:rsid w:val="04905C77"/>
    <w:rsid w:val="04932CE9"/>
    <w:rsid w:val="04947FA3"/>
    <w:rsid w:val="049F330E"/>
    <w:rsid w:val="04AA775C"/>
    <w:rsid w:val="04AF1889"/>
    <w:rsid w:val="04D01A99"/>
    <w:rsid w:val="04F66F48"/>
    <w:rsid w:val="05251E14"/>
    <w:rsid w:val="057F6590"/>
    <w:rsid w:val="058A551D"/>
    <w:rsid w:val="05A16594"/>
    <w:rsid w:val="05A7762D"/>
    <w:rsid w:val="060E5941"/>
    <w:rsid w:val="06110FAF"/>
    <w:rsid w:val="06493CA7"/>
    <w:rsid w:val="065A6178"/>
    <w:rsid w:val="066F1CF3"/>
    <w:rsid w:val="06930BB8"/>
    <w:rsid w:val="06B80DC1"/>
    <w:rsid w:val="07245D42"/>
    <w:rsid w:val="07264C62"/>
    <w:rsid w:val="076874D4"/>
    <w:rsid w:val="0779354C"/>
    <w:rsid w:val="08061376"/>
    <w:rsid w:val="08452D77"/>
    <w:rsid w:val="086401F8"/>
    <w:rsid w:val="08751CAA"/>
    <w:rsid w:val="087E4C40"/>
    <w:rsid w:val="08AB5F49"/>
    <w:rsid w:val="08D66AD6"/>
    <w:rsid w:val="08DA33A3"/>
    <w:rsid w:val="08E80F13"/>
    <w:rsid w:val="09335624"/>
    <w:rsid w:val="0944690F"/>
    <w:rsid w:val="09464C79"/>
    <w:rsid w:val="09535675"/>
    <w:rsid w:val="095F057D"/>
    <w:rsid w:val="09642282"/>
    <w:rsid w:val="09733572"/>
    <w:rsid w:val="09772C16"/>
    <w:rsid w:val="098353B5"/>
    <w:rsid w:val="09A92330"/>
    <w:rsid w:val="09B06B87"/>
    <w:rsid w:val="09C13146"/>
    <w:rsid w:val="09E04166"/>
    <w:rsid w:val="09E64666"/>
    <w:rsid w:val="0A1C0718"/>
    <w:rsid w:val="0A3E7710"/>
    <w:rsid w:val="0A5B7E63"/>
    <w:rsid w:val="0AA374A5"/>
    <w:rsid w:val="0AAB7649"/>
    <w:rsid w:val="0ABC5606"/>
    <w:rsid w:val="0AE810EB"/>
    <w:rsid w:val="0B30404E"/>
    <w:rsid w:val="0B4C6C14"/>
    <w:rsid w:val="0B631A88"/>
    <w:rsid w:val="0B683D45"/>
    <w:rsid w:val="0B7F3F11"/>
    <w:rsid w:val="0B884417"/>
    <w:rsid w:val="0BA333B3"/>
    <w:rsid w:val="0BDC3980"/>
    <w:rsid w:val="0BE95D52"/>
    <w:rsid w:val="0BF6188C"/>
    <w:rsid w:val="0BF73C91"/>
    <w:rsid w:val="0C136C39"/>
    <w:rsid w:val="0C170175"/>
    <w:rsid w:val="0C1901D3"/>
    <w:rsid w:val="0C571A41"/>
    <w:rsid w:val="0C5C1171"/>
    <w:rsid w:val="0C5E1CBC"/>
    <w:rsid w:val="0C615B50"/>
    <w:rsid w:val="0C8445DA"/>
    <w:rsid w:val="0C87121B"/>
    <w:rsid w:val="0CC007F7"/>
    <w:rsid w:val="0CF21C90"/>
    <w:rsid w:val="0CFE707A"/>
    <w:rsid w:val="0D063BDA"/>
    <w:rsid w:val="0D08375F"/>
    <w:rsid w:val="0D184CFB"/>
    <w:rsid w:val="0D4A7419"/>
    <w:rsid w:val="0D6771E5"/>
    <w:rsid w:val="0D827401"/>
    <w:rsid w:val="0D84094E"/>
    <w:rsid w:val="0D8A00E9"/>
    <w:rsid w:val="0D8D589E"/>
    <w:rsid w:val="0DA01C73"/>
    <w:rsid w:val="0DD63300"/>
    <w:rsid w:val="0DF50604"/>
    <w:rsid w:val="0DF702FE"/>
    <w:rsid w:val="0DFB0003"/>
    <w:rsid w:val="0E060E51"/>
    <w:rsid w:val="0E3A5F83"/>
    <w:rsid w:val="0E5604B2"/>
    <w:rsid w:val="0E6D5D79"/>
    <w:rsid w:val="0E832BBA"/>
    <w:rsid w:val="0E9D0089"/>
    <w:rsid w:val="0EA448B4"/>
    <w:rsid w:val="0EB803EE"/>
    <w:rsid w:val="0EF94D4B"/>
    <w:rsid w:val="0F2F5983"/>
    <w:rsid w:val="0F361DC2"/>
    <w:rsid w:val="0F4958DC"/>
    <w:rsid w:val="0F515DF7"/>
    <w:rsid w:val="0F596BA8"/>
    <w:rsid w:val="0F6248D2"/>
    <w:rsid w:val="0F693536"/>
    <w:rsid w:val="0F7B0511"/>
    <w:rsid w:val="0F7B76D9"/>
    <w:rsid w:val="0F816ACD"/>
    <w:rsid w:val="0F8B0E7B"/>
    <w:rsid w:val="0F9832DB"/>
    <w:rsid w:val="0FBF3FD2"/>
    <w:rsid w:val="0FBF7FF3"/>
    <w:rsid w:val="0FE4264A"/>
    <w:rsid w:val="10646583"/>
    <w:rsid w:val="107D4B15"/>
    <w:rsid w:val="107F6B40"/>
    <w:rsid w:val="108A3C80"/>
    <w:rsid w:val="1097230C"/>
    <w:rsid w:val="10C26171"/>
    <w:rsid w:val="10F33360"/>
    <w:rsid w:val="10FC16EA"/>
    <w:rsid w:val="110F1D40"/>
    <w:rsid w:val="11266F33"/>
    <w:rsid w:val="116A3642"/>
    <w:rsid w:val="118963A1"/>
    <w:rsid w:val="11B820A1"/>
    <w:rsid w:val="11C6522A"/>
    <w:rsid w:val="11E104CC"/>
    <w:rsid w:val="11E20309"/>
    <w:rsid w:val="11E21816"/>
    <w:rsid w:val="120641C3"/>
    <w:rsid w:val="12255233"/>
    <w:rsid w:val="12530213"/>
    <w:rsid w:val="12541D09"/>
    <w:rsid w:val="127723A9"/>
    <w:rsid w:val="12862074"/>
    <w:rsid w:val="12883966"/>
    <w:rsid w:val="129E45B4"/>
    <w:rsid w:val="12D81596"/>
    <w:rsid w:val="12F92B39"/>
    <w:rsid w:val="13072A44"/>
    <w:rsid w:val="135F4BE2"/>
    <w:rsid w:val="13992F30"/>
    <w:rsid w:val="139B1A0A"/>
    <w:rsid w:val="139D25C7"/>
    <w:rsid w:val="13BF3CE4"/>
    <w:rsid w:val="13D40C0B"/>
    <w:rsid w:val="141008D8"/>
    <w:rsid w:val="14125FE6"/>
    <w:rsid w:val="141B1ED2"/>
    <w:rsid w:val="141E5095"/>
    <w:rsid w:val="146D271E"/>
    <w:rsid w:val="14982588"/>
    <w:rsid w:val="149A5AD9"/>
    <w:rsid w:val="14A7619D"/>
    <w:rsid w:val="150536C3"/>
    <w:rsid w:val="150C1963"/>
    <w:rsid w:val="151447A0"/>
    <w:rsid w:val="151930B4"/>
    <w:rsid w:val="154A6454"/>
    <w:rsid w:val="15762120"/>
    <w:rsid w:val="15F76B65"/>
    <w:rsid w:val="16390F1E"/>
    <w:rsid w:val="16A8729C"/>
    <w:rsid w:val="16B33777"/>
    <w:rsid w:val="16BC70A7"/>
    <w:rsid w:val="16C6339E"/>
    <w:rsid w:val="172F2D79"/>
    <w:rsid w:val="17557BEF"/>
    <w:rsid w:val="178533B6"/>
    <w:rsid w:val="17BF5F86"/>
    <w:rsid w:val="17D349C1"/>
    <w:rsid w:val="18140BEB"/>
    <w:rsid w:val="1830729E"/>
    <w:rsid w:val="1870062C"/>
    <w:rsid w:val="18817102"/>
    <w:rsid w:val="18830A15"/>
    <w:rsid w:val="18852B28"/>
    <w:rsid w:val="188B5321"/>
    <w:rsid w:val="18AA3145"/>
    <w:rsid w:val="1925540E"/>
    <w:rsid w:val="19932372"/>
    <w:rsid w:val="19A20DD5"/>
    <w:rsid w:val="19AE03F1"/>
    <w:rsid w:val="19F83EC4"/>
    <w:rsid w:val="1A071A03"/>
    <w:rsid w:val="1A1F16AE"/>
    <w:rsid w:val="1A3B5C77"/>
    <w:rsid w:val="1A984BAD"/>
    <w:rsid w:val="1AB8220E"/>
    <w:rsid w:val="1ABF0FF7"/>
    <w:rsid w:val="1AE4166C"/>
    <w:rsid w:val="1AF06CFB"/>
    <w:rsid w:val="1AF11B8D"/>
    <w:rsid w:val="1B11359C"/>
    <w:rsid w:val="1B2A271F"/>
    <w:rsid w:val="1B2F50C2"/>
    <w:rsid w:val="1B4A50D0"/>
    <w:rsid w:val="1B530544"/>
    <w:rsid w:val="1B713184"/>
    <w:rsid w:val="1BA209CF"/>
    <w:rsid w:val="1BB4777D"/>
    <w:rsid w:val="1BD75AB8"/>
    <w:rsid w:val="1BF87504"/>
    <w:rsid w:val="1C0459C2"/>
    <w:rsid w:val="1C1B3B4A"/>
    <w:rsid w:val="1C7C32E1"/>
    <w:rsid w:val="1C8452AC"/>
    <w:rsid w:val="1C88086E"/>
    <w:rsid w:val="1D266CE1"/>
    <w:rsid w:val="1D3963AF"/>
    <w:rsid w:val="1D6A673C"/>
    <w:rsid w:val="1D9247AE"/>
    <w:rsid w:val="1DB567EC"/>
    <w:rsid w:val="1DF51A98"/>
    <w:rsid w:val="1DF66EBC"/>
    <w:rsid w:val="1DFE521F"/>
    <w:rsid w:val="1E3D060F"/>
    <w:rsid w:val="1E3F7D2E"/>
    <w:rsid w:val="1E4134E4"/>
    <w:rsid w:val="1E5062B3"/>
    <w:rsid w:val="1E523514"/>
    <w:rsid w:val="1E714A66"/>
    <w:rsid w:val="1E802593"/>
    <w:rsid w:val="1EA703CC"/>
    <w:rsid w:val="1EB7330C"/>
    <w:rsid w:val="1F0A0FF3"/>
    <w:rsid w:val="1F2E04E2"/>
    <w:rsid w:val="1F3A14DE"/>
    <w:rsid w:val="1F5771FF"/>
    <w:rsid w:val="1FE868A9"/>
    <w:rsid w:val="20034907"/>
    <w:rsid w:val="20173E4B"/>
    <w:rsid w:val="204131A1"/>
    <w:rsid w:val="204E48BC"/>
    <w:rsid w:val="208921B3"/>
    <w:rsid w:val="20973DEB"/>
    <w:rsid w:val="20B26522"/>
    <w:rsid w:val="20B44310"/>
    <w:rsid w:val="20C476CA"/>
    <w:rsid w:val="211116EB"/>
    <w:rsid w:val="216133FC"/>
    <w:rsid w:val="21A968FE"/>
    <w:rsid w:val="21D56769"/>
    <w:rsid w:val="21E52EF3"/>
    <w:rsid w:val="21FB5D7B"/>
    <w:rsid w:val="21FF35A6"/>
    <w:rsid w:val="220B1C3D"/>
    <w:rsid w:val="221D1D20"/>
    <w:rsid w:val="22334A87"/>
    <w:rsid w:val="22BE6801"/>
    <w:rsid w:val="22C424D8"/>
    <w:rsid w:val="233500BF"/>
    <w:rsid w:val="23377FF7"/>
    <w:rsid w:val="236B425F"/>
    <w:rsid w:val="23836192"/>
    <w:rsid w:val="23901F29"/>
    <w:rsid w:val="23992CC8"/>
    <w:rsid w:val="239C0061"/>
    <w:rsid w:val="23B908A4"/>
    <w:rsid w:val="23E95BEF"/>
    <w:rsid w:val="23FD0064"/>
    <w:rsid w:val="245375B0"/>
    <w:rsid w:val="245423E3"/>
    <w:rsid w:val="24642C0A"/>
    <w:rsid w:val="24B22173"/>
    <w:rsid w:val="24B95AD9"/>
    <w:rsid w:val="24BE24DA"/>
    <w:rsid w:val="24CF5825"/>
    <w:rsid w:val="24D663E6"/>
    <w:rsid w:val="24D77F2B"/>
    <w:rsid w:val="257E10E5"/>
    <w:rsid w:val="258B00E2"/>
    <w:rsid w:val="2590446B"/>
    <w:rsid w:val="25A917A6"/>
    <w:rsid w:val="25BE27CC"/>
    <w:rsid w:val="25F74A5C"/>
    <w:rsid w:val="2628662C"/>
    <w:rsid w:val="262D45DE"/>
    <w:rsid w:val="265672BA"/>
    <w:rsid w:val="26864BE7"/>
    <w:rsid w:val="26A53EF9"/>
    <w:rsid w:val="26A94201"/>
    <w:rsid w:val="26AC274F"/>
    <w:rsid w:val="26B90404"/>
    <w:rsid w:val="26FE6F5F"/>
    <w:rsid w:val="27044A29"/>
    <w:rsid w:val="271D34C8"/>
    <w:rsid w:val="276142BF"/>
    <w:rsid w:val="27783712"/>
    <w:rsid w:val="27907362"/>
    <w:rsid w:val="281B6ECB"/>
    <w:rsid w:val="28333E1D"/>
    <w:rsid w:val="28454BD6"/>
    <w:rsid w:val="28455253"/>
    <w:rsid w:val="28551971"/>
    <w:rsid w:val="285B1C53"/>
    <w:rsid w:val="289F7086"/>
    <w:rsid w:val="28C32028"/>
    <w:rsid w:val="28C500B0"/>
    <w:rsid w:val="28CC490F"/>
    <w:rsid w:val="28DE40AA"/>
    <w:rsid w:val="28E7410D"/>
    <w:rsid w:val="29006DF6"/>
    <w:rsid w:val="292D3A45"/>
    <w:rsid w:val="29345E77"/>
    <w:rsid w:val="294C65AD"/>
    <w:rsid w:val="29806583"/>
    <w:rsid w:val="298B3C4C"/>
    <w:rsid w:val="29F26D24"/>
    <w:rsid w:val="2A15033F"/>
    <w:rsid w:val="2A1662C1"/>
    <w:rsid w:val="2A1C7367"/>
    <w:rsid w:val="2A2815FA"/>
    <w:rsid w:val="2A6D6092"/>
    <w:rsid w:val="2A7D76B4"/>
    <w:rsid w:val="2A892148"/>
    <w:rsid w:val="2AE5579D"/>
    <w:rsid w:val="2B437463"/>
    <w:rsid w:val="2B5B5EB8"/>
    <w:rsid w:val="2B7807EE"/>
    <w:rsid w:val="2B8D547D"/>
    <w:rsid w:val="2BBF00EC"/>
    <w:rsid w:val="2BC37CFD"/>
    <w:rsid w:val="2BD5237F"/>
    <w:rsid w:val="2BE536CE"/>
    <w:rsid w:val="2BE758D9"/>
    <w:rsid w:val="2C09049E"/>
    <w:rsid w:val="2C0A653C"/>
    <w:rsid w:val="2C191F85"/>
    <w:rsid w:val="2C3C32FA"/>
    <w:rsid w:val="2C5F228C"/>
    <w:rsid w:val="2CC03D06"/>
    <w:rsid w:val="2CE82D6F"/>
    <w:rsid w:val="2D325F3C"/>
    <w:rsid w:val="2D343236"/>
    <w:rsid w:val="2DD15014"/>
    <w:rsid w:val="2DDB511E"/>
    <w:rsid w:val="2DE927D1"/>
    <w:rsid w:val="2DF72DE4"/>
    <w:rsid w:val="2E0220AF"/>
    <w:rsid w:val="2E4B082A"/>
    <w:rsid w:val="2E5D4E86"/>
    <w:rsid w:val="2E5D790B"/>
    <w:rsid w:val="2E9A3C18"/>
    <w:rsid w:val="2E9E5573"/>
    <w:rsid w:val="2EBB0FEE"/>
    <w:rsid w:val="2EC63002"/>
    <w:rsid w:val="2ED50B14"/>
    <w:rsid w:val="2F0A6B38"/>
    <w:rsid w:val="2F5E229A"/>
    <w:rsid w:val="2F946CCB"/>
    <w:rsid w:val="2FD25781"/>
    <w:rsid w:val="2FFD7934"/>
    <w:rsid w:val="303E3EB8"/>
    <w:rsid w:val="30733ACD"/>
    <w:rsid w:val="308C3862"/>
    <w:rsid w:val="309379D8"/>
    <w:rsid w:val="30A270F7"/>
    <w:rsid w:val="30B55C11"/>
    <w:rsid w:val="30DF1478"/>
    <w:rsid w:val="30EC586F"/>
    <w:rsid w:val="319C6071"/>
    <w:rsid w:val="31AC537E"/>
    <w:rsid w:val="31E3679B"/>
    <w:rsid w:val="31E732FD"/>
    <w:rsid w:val="32191D80"/>
    <w:rsid w:val="32517576"/>
    <w:rsid w:val="32527C83"/>
    <w:rsid w:val="32BE5C2C"/>
    <w:rsid w:val="32FB6478"/>
    <w:rsid w:val="330B29FB"/>
    <w:rsid w:val="33263B3F"/>
    <w:rsid w:val="3340363E"/>
    <w:rsid w:val="335A7E4E"/>
    <w:rsid w:val="336963EB"/>
    <w:rsid w:val="33816EEB"/>
    <w:rsid w:val="33EB55CD"/>
    <w:rsid w:val="33EC4C02"/>
    <w:rsid w:val="340D2360"/>
    <w:rsid w:val="3410665D"/>
    <w:rsid w:val="34211214"/>
    <w:rsid w:val="342E63AB"/>
    <w:rsid w:val="34950E68"/>
    <w:rsid w:val="34986E94"/>
    <w:rsid w:val="34A60E8C"/>
    <w:rsid w:val="34AF62C9"/>
    <w:rsid w:val="34CB4388"/>
    <w:rsid w:val="34FA64DC"/>
    <w:rsid w:val="34FA6E12"/>
    <w:rsid w:val="358D5588"/>
    <w:rsid w:val="35B132B3"/>
    <w:rsid w:val="363A3B40"/>
    <w:rsid w:val="365302AE"/>
    <w:rsid w:val="36607A0A"/>
    <w:rsid w:val="366E227C"/>
    <w:rsid w:val="366F2E0D"/>
    <w:rsid w:val="366F7C87"/>
    <w:rsid w:val="367B6A5C"/>
    <w:rsid w:val="36A74ADA"/>
    <w:rsid w:val="36AD60D5"/>
    <w:rsid w:val="36B224F9"/>
    <w:rsid w:val="36EC0CC9"/>
    <w:rsid w:val="373F410B"/>
    <w:rsid w:val="37571160"/>
    <w:rsid w:val="37905D43"/>
    <w:rsid w:val="37B26A07"/>
    <w:rsid w:val="37D8417A"/>
    <w:rsid w:val="37EE7094"/>
    <w:rsid w:val="38257BF2"/>
    <w:rsid w:val="38296C89"/>
    <w:rsid w:val="383002EB"/>
    <w:rsid w:val="38586797"/>
    <w:rsid w:val="38965357"/>
    <w:rsid w:val="38BC0149"/>
    <w:rsid w:val="38D87D1C"/>
    <w:rsid w:val="39636459"/>
    <w:rsid w:val="396B7F6C"/>
    <w:rsid w:val="39B417A9"/>
    <w:rsid w:val="39FC5695"/>
    <w:rsid w:val="3A006D8E"/>
    <w:rsid w:val="3A3651E5"/>
    <w:rsid w:val="3A634D1A"/>
    <w:rsid w:val="3A744481"/>
    <w:rsid w:val="3A8C7BEF"/>
    <w:rsid w:val="3A906246"/>
    <w:rsid w:val="3B2349B7"/>
    <w:rsid w:val="3B616CFF"/>
    <w:rsid w:val="3B6259F6"/>
    <w:rsid w:val="3B6B726D"/>
    <w:rsid w:val="3B712735"/>
    <w:rsid w:val="3B976654"/>
    <w:rsid w:val="3BC01EFC"/>
    <w:rsid w:val="3BCA786A"/>
    <w:rsid w:val="3BD31E2F"/>
    <w:rsid w:val="3BF15831"/>
    <w:rsid w:val="3C105946"/>
    <w:rsid w:val="3C1D2D30"/>
    <w:rsid w:val="3C471448"/>
    <w:rsid w:val="3C5F759A"/>
    <w:rsid w:val="3C6C525A"/>
    <w:rsid w:val="3CBA5508"/>
    <w:rsid w:val="3CCE23CB"/>
    <w:rsid w:val="3CD17D17"/>
    <w:rsid w:val="3D3C7F39"/>
    <w:rsid w:val="3D440F09"/>
    <w:rsid w:val="3D4504A0"/>
    <w:rsid w:val="3D8734BB"/>
    <w:rsid w:val="3D9A11D4"/>
    <w:rsid w:val="3DA16D89"/>
    <w:rsid w:val="3DA364BE"/>
    <w:rsid w:val="3DE041CB"/>
    <w:rsid w:val="3DE77818"/>
    <w:rsid w:val="3E065A2B"/>
    <w:rsid w:val="3E0D48F6"/>
    <w:rsid w:val="3E1868B4"/>
    <w:rsid w:val="3E377251"/>
    <w:rsid w:val="3E42664B"/>
    <w:rsid w:val="3E5A7334"/>
    <w:rsid w:val="3E5C4FE6"/>
    <w:rsid w:val="3E7B5D6B"/>
    <w:rsid w:val="3E843E66"/>
    <w:rsid w:val="3E8F51FE"/>
    <w:rsid w:val="3E926F87"/>
    <w:rsid w:val="3E9A59DE"/>
    <w:rsid w:val="3EAA2D30"/>
    <w:rsid w:val="3EAF4836"/>
    <w:rsid w:val="3EC33DFA"/>
    <w:rsid w:val="3F060E16"/>
    <w:rsid w:val="3F1D1096"/>
    <w:rsid w:val="3F2F0234"/>
    <w:rsid w:val="3F6363FE"/>
    <w:rsid w:val="3F756B8F"/>
    <w:rsid w:val="3F95482B"/>
    <w:rsid w:val="3FC217B1"/>
    <w:rsid w:val="4019356B"/>
    <w:rsid w:val="40241FAA"/>
    <w:rsid w:val="40592157"/>
    <w:rsid w:val="40624AE6"/>
    <w:rsid w:val="406E1CAE"/>
    <w:rsid w:val="40A0133A"/>
    <w:rsid w:val="40B732E0"/>
    <w:rsid w:val="40C31A53"/>
    <w:rsid w:val="40FF545D"/>
    <w:rsid w:val="410067C8"/>
    <w:rsid w:val="413B6C9C"/>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67472"/>
    <w:rsid w:val="44002FAD"/>
    <w:rsid w:val="44450924"/>
    <w:rsid w:val="449101DD"/>
    <w:rsid w:val="44DE1391"/>
    <w:rsid w:val="45157F3F"/>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25145"/>
    <w:rsid w:val="474209B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A4083"/>
    <w:rsid w:val="49A10605"/>
    <w:rsid w:val="49B64211"/>
    <w:rsid w:val="49C70D9C"/>
    <w:rsid w:val="49F6167F"/>
    <w:rsid w:val="4A064FA0"/>
    <w:rsid w:val="4A16615C"/>
    <w:rsid w:val="4A4424D7"/>
    <w:rsid w:val="4AB82D0F"/>
    <w:rsid w:val="4AEB7664"/>
    <w:rsid w:val="4AFD7C19"/>
    <w:rsid w:val="4B0567D1"/>
    <w:rsid w:val="4B236AAE"/>
    <w:rsid w:val="4B275D32"/>
    <w:rsid w:val="4B506042"/>
    <w:rsid w:val="4B6D5F6B"/>
    <w:rsid w:val="4B707271"/>
    <w:rsid w:val="4B9739F7"/>
    <w:rsid w:val="4BEE2503"/>
    <w:rsid w:val="4BFC7E16"/>
    <w:rsid w:val="4C245A30"/>
    <w:rsid w:val="4C2C6081"/>
    <w:rsid w:val="4C87000A"/>
    <w:rsid w:val="4CB6685F"/>
    <w:rsid w:val="4CC367FE"/>
    <w:rsid w:val="4D077F3C"/>
    <w:rsid w:val="4D123355"/>
    <w:rsid w:val="4D1A664D"/>
    <w:rsid w:val="4D22443C"/>
    <w:rsid w:val="4D2A3B31"/>
    <w:rsid w:val="4D312C52"/>
    <w:rsid w:val="4D5D4CEF"/>
    <w:rsid w:val="4D905305"/>
    <w:rsid w:val="4D964A72"/>
    <w:rsid w:val="4D9C1254"/>
    <w:rsid w:val="4DCB28D4"/>
    <w:rsid w:val="4E793892"/>
    <w:rsid w:val="4E800872"/>
    <w:rsid w:val="4EC569ED"/>
    <w:rsid w:val="4ED50EA1"/>
    <w:rsid w:val="4EEC050C"/>
    <w:rsid w:val="4EEC52F0"/>
    <w:rsid w:val="4F104EC3"/>
    <w:rsid w:val="4F19269F"/>
    <w:rsid w:val="4F47354A"/>
    <w:rsid w:val="4F475357"/>
    <w:rsid w:val="4F911C54"/>
    <w:rsid w:val="4FE625E0"/>
    <w:rsid w:val="5021480F"/>
    <w:rsid w:val="50750E8F"/>
    <w:rsid w:val="50962ECB"/>
    <w:rsid w:val="50A42E38"/>
    <w:rsid w:val="50A4577F"/>
    <w:rsid w:val="50B73D1F"/>
    <w:rsid w:val="50BD5BC9"/>
    <w:rsid w:val="50C11EEE"/>
    <w:rsid w:val="50C13FAD"/>
    <w:rsid w:val="50C23EA6"/>
    <w:rsid w:val="50E97CFC"/>
    <w:rsid w:val="50FA4028"/>
    <w:rsid w:val="510D65B7"/>
    <w:rsid w:val="511157AB"/>
    <w:rsid w:val="51116F4A"/>
    <w:rsid w:val="511D0F3D"/>
    <w:rsid w:val="5142540C"/>
    <w:rsid w:val="518832C8"/>
    <w:rsid w:val="51933AEE"/>
    <w:rsid w:val="51A0432A"/>
    <w:rsid w:val="51A86090"/>
    <w:rsid w:val="51B7396D"/>
    <w:rsid w:val="522E4CC3"/>
    <w:rsid w:val="524160EE"/>
    <w:rsid w:val="5244713B"/>
    <w:rsid w:val="52490CAE"/>
    <w:rsid w:val="52554957"/>
    <w:rsid w:val="52615633"/>
    <w:rsid w:val="52692F5D"/>
    <w:rsid w:val="52977FD4"/>
    <w:rsid w:val="52A25790"/>
    <w:rsid w:val="52A96B6F"/>
    <w:rsid w:val="52B45975"/>
    <w:rsid w:val="52D94AA4"/>
    <w:rsid w:val="52EA3A62"/>
    <w:rsid w:val="52F50BB8"/>
    <w:rsid w:val="53087B23"/>
    <w:rsid w:val="53097272"/>
    <w:rsid w:val="53544462"/>
    <w:rsid w:val="53764934"/>
    <w:rsid w:val="5397158E"/>
    <w:rsid w:val="539E4EE8"/>
    <w:rsid w:val="54013861"/>
    <w:rsid w:val="54487265"/>
    <w:rsid w:val="544D6070"/>
    <w:rsid w:val="54605E1E"/>
    <w:rsid w:val="54B3506A"/>
    <w:rsid w:val="54CA0D16"/>
    <w:rsid w:val="54D40874"/>
    <w:rsid w:val="54DD4057"/>
    <w:rsid w:val="54E7490F"/>
    <w:rsid w:val="550764A4"/>
    <w:rsid w:val="550B2BF6"/>
    <w:rsid w:val="55214EB5"/>
    <w:rsid w:val="55364EFD"/>
    <w:rsid w:val="555D4828"/>
    <w:rsid w:val="557A4C8B"/>
    <w:rsid w:val="558931E1"/>
    <w:rsid w:val="55923347"/>
    <w:rsid w:val="55925180"/>
    <w:rsid w:val="55983B1B"/>
    <w:rsid w:val="559F570C"/>
    <w:rsid w:val="55A8376B"/>
    <w:rsid w:val="55DC29B6"/>
    <w:rsid w:val="55DD4241"/>
    <w:rsid w:val="566B6D1E"/>
    <w:rsid w:val="5685289D"/>
    <w:rsid w:val="57032A2C"/>
    <w:rsid w:val="570F5219"/>
    <w:rsid w:val="575D12B5"/>
    <w:rsid w:val="57610A87"/>
    <w:rsid w:val="57742ADF"/>
    <w:rsid w:val="577B1140"/>
    <w:rsid w:val="577B7F21"/>
    <w:rsid w:val="577F181B"/>
    <w:rsid w:val="578B20D5"/>
    <w:rsid w:val="57921984"/>
    <w:rsid w:val="579737F0"/>
    <w:rsid w:val="57AB7B30"/>
    <w:rsid w:val="57AF5251"/>
    <w:rsid w:val="57B26373"/>
    <w:rsid w:val="57B63F04"/>
    <w:rsid w:val="57CD20C2"/>
    <w:rsid w:val="57D675AB"/>
    <w:rsid w:val="57D95FDD"/>
    <w:rsid w:val="58917D2F"/>
    <w:rsid w:val="5894085C"/>
    <w:rsid w:val="589C2E0A"/>
    <w:rsid w:val="58AE4F0C"/>
    <w:rsid w:val="58B85899"/>
    <w:rsid w:val="58E363A9"/>
    <w:rsid w:val="58F702C5"/>
    <w:rsid w:val="595E1678"/>
    <w:rsid w:val="596D5BD4"/>
    <w:rsid w:val="597E3DD8"/>
    <w:rsid w:val="597F7E2F"/>
    <w:rsid w:val="598A2E50"/>
    <w:rsid w:val="599C0E6D"/>
    <w:rsid w:val="59F80043"/>
    <w:rsid w:val="5A09252F"/>
    <w:rsid w:val="5A0B2778"/>
    <w:rsid w:val="5A114A1E"/>
    <w:rsid w:val="5A2A7C7B"/>
    <w:rsid w:val="5A3E2560"/>
    <w:rsid w:val="5A412ED2"/>
    <w:rsid w:val="5A5D3B6E"/>
    <w:rsid w:val="5A637A76"/>
    <w:rsid w:val="5A6D33BA"/>
    <w:rsid w:val="5A792B1F"/>
    <w:rsid w:val="5A874767"/>
    <w:rsid w:val="5AAD6F28"/>
    <w:rsid w:val="5AD50114"/>
    <w:rsid w:val="5AD63A24"/>
    <w:rsid w:val="5AFF77BE"/>
    <w:rsid w:val="5B2E1A1D"/>
    <w:rsid w:val="5B843A1C"/>
    <w:rsid w:val="5B873E3F"/>
    <w:rsid w:val="5B953DC6"/>
    <w:rsid w:val="5BDF04A3"/>
    <w:rsid w:val="5BF433A7"/>
    <w:rsid w:val="5C02690E"/>
    <w:rsid w:val="5C196DA7"/>
    <w:rsid w:val="5C2A048C"/>
    <w:rsid w:val="5C67128D"/>
    <w:rsid w:val="5C80234E"/>
    <w:rsid w:val="5C8A680C"/>
    <w:rsid w:val="5CAB0919"/>
    <w:rsid w:val="5CFA38A9"/>
    <w:rsid w:val="5D0C4701"/>
    <w:rsid w:val="5D0F0395"/>
    <w:rsid w:val="5D221076"/>
    <w:rsid w:val="5D397964"/>
    <w:rsid w:val="5D5A391C"/>
    <w:rsid w:val="5D5F10C0"/>
    <w:rsid w:val="5D8518DD"/>
    <w:rsid w:val="5D891B7B"/>
    <w:rsid w:val="5DAD38EE"/>
    <w:rsid w:val="5E006862"/>
    <w:rsid w:val="5E0207B9"/>
    <w:rsid w:val="5E1834A1"/>
    <w:rsid w:val="5E261785"/>
    <w:rsid w:val="5E4A7017"/>
    <w:rsid w:val="5E552BBA"/>
    <w:rsid w:val="5E611C10"/>
    <w:rsid w:val="5EFC7377"/>
    <w:rsid w:val="5F06174D"/>
    <w:rsid w:val="5F221E14"/>
    <w:rsid w:val="5F3A3602"/>
    <w:rsid w:val="5F5A641C"/>
    <w:rsid w:val="5F6277C6"/>
    <w:rsid w:val="5F6D0B1D"/>
    <w:rsid w:val="5F7B68D8"/>
    <w:rsid w:val="5F845902"/>
    <w:rsid w:val="5F8D0B82"/>
    <w:rsid w:val="5FCC5339"/>
    <w:rsid w:val="5FE34A5B"/>
    <w:rsid w:val="5FFE1E36"/>
    <w:rsid w:val="60232584"/>
    <w:rsid w:val="607330CE"/>
    <w:rsid w:val="60825176"/>
    <w:rsid w:val="609F2AC4"/>
    <w:rsid w:val="60FA2EE8"/>
    <w:rsid w:val="61054A27"/>
    <w:rsid w:val="610A52BC"/>
    <w:rsid w:val="611D2366"/>
    <w:rsid w:val="61421856"/>
    <w:rsid w:val="614C4F26"/>
    <w:rsid w:val="615227C4"/>
    <w:rsid w:val="61654E3F"/>
    <w:rsid w:val="6182292A"/>
    <w:rsid w:val="619F7F92"/>
    <w:rsid w:val="61DA2708"/>
    <w:rsid w:val="61F45747"/>
    <w:rsid w:val="61F94C26"/>
    <w:rsid w:val="62000E56"/>
    <w:rsid w:val="620152D8"/>
    <w:rsid w:val="6210589A"/>
    <w:rsid w:val="624F3E49"/>
    <w:rsid w:val="62632286"/>
    <w:rsid w:val="62885958"/>
    <w:rsid w:val="62F40B65"/>
    <w:rsid w:val="62FC2CFE"/>
    <w:rsid w:val="63024505"/>
    <w:rsid w:val="635B1DB5"/>
    <w:rsid w:val="63711FED"/>
    <w:rsid w:val="63880DDC"/>
    <w:rsid w:val="638D750D"/>
    <w:rsid w:val="63991151"/>
    <w:rsid w:val="63AC6CC0"/>
    <w:rsid w:val="63F60CF6"/>
    <w:rsid w:val="64055776"/>
    <w:rsid w:val="64240056"/>
    <w:rsid w:val="643E143A"/>
    <w:rsid w:val="648B6EEF"/>
    <w:rsid w:val="64C158BF"/>
    <w:rsid w:val="64C7757B"/>
    <w:rsid w:val="64CE2EAA"/>
    <w:rsid w:val="653C3090"/>
    <w:rsid w:val="65854376"/>
    <w:rsid w:val="658767BE"/>
    <w:rsid w:val="65892531"/>
    <w:rsid w:val="66195831"/>
    <w:rsid w:val="662E75B1"/>
    <w:rsid w:val="66342C2E"/>
    <w:rsid w:val="663E784C"/>
    <w:rsid w:val="668B6A45"/>
    <w:rsid w:val="66D32B9C"/>
    <w:rsid w:val="672F3F24"/>
    <w:rsid w:val="673E055F"/>
    <w:rsid w:val="67551CE3"/>
    <w:rsid w:val="67A22552"/>
    <w:rsid w:val="67B22DCC"/>
    <w:rsid w:val="67BE71AA"/>
    <w:rsid w:val="67D90273"/>
    <w:rsid w:val="67DA0516"/>
    <w:rsid w:val="67DE5875"/>
    <w:rsid w:val="67E55852"/>
    <w:rsid w:val="67EB1AB4"/>
    <w:rsid w:val="67FA1285"/>
    <w:rsid w:val="68551F4F"/>
    <w:rsid w:val="68554D7F"/>
    <w:rsid w:val="687C10C9"/>
    <w:rsid w:val="68840C16"/>
    <w:rsid w:val="68876EFB"/>
    <w:rsid w:val="68884654"/>
    <w:rsid w:val="689F444F"/>
    <w:rsid w:val="68B96DBB"/>
    <w:rsid w:val="68CA2805"/>
    <w:rsid w:val="68E937A3"/>
    <w:rsid w:val="692708DB"/>
    <w:rsid w:val="693764BC"/>
    <w:rsid w:val="693E15D3"/>
    <w:rsid w:val="69627681"/>
    <w:rsid w:val="6977531D"/>
    <w:rsid w:val="69CC2BFF"/>
    <w:rsid w:val="69FD55B8"/>
    <w:rsid w:val="6A0B1C62"/>
    <w:rsid w:val="6A2406C8"/>
    <w:rsid w:val="6A3B6FCF"/>
    <w:rsid w:val="6A7662FF"/>
    <w:rsid w:val="6ADA106D"/>
    <w:rsid w:val="6ADE0BD1"/>
    <w:rsid w:val="6ADE3959"/>
    <w:rsid w:val="6AE96859"/>
    <w:rsid w:val="6B147746"/>
    <w:rsid w:val="6B24787C"/>
    <w:rsid w:val="6B2E3B24"/>
    <w:rsid w:val="6B2F2C83"/>
    <w:rsid w:val="6B370E10"/>
    <w:rsid w:val="6B573233"/>
    <w:rsid w:val="6B5B6274"/>
    <w:rsid w:val="6B7C573E"/>
    <w:rsid w:val="6B935D53"/>
    <w:rsid w:val="6BE22256"/>
    <w:rsid w:val="6BF72A98"/>
    <w:rsid w:val="6C196F71"/>
    <w:rsid w:val="6C226FCB"/>
    <w:rsid w:val="6C31226F"/>
    <w:rsid w:val="6C425CE0"/>
    <w:rsid w:val="6C552F0B"/>
    <w:rsid w:val="6C8C67B7"/>
    <w:rsid w:val="6C9D744C"/>
    <w:rsid w:val="6CC6214E"/>
    <w:rsid w:val="6D167928"/>
    <w:rsid w:val="6D26299B"/>
    <w:rsid w:val="6D4772EC"/>
    <w:rsid w:val="6D9078AF"/>
    <w:rsid w:val="6DAA3FEF"/>
    <w:rsid w:val="6DC0172B"/>
    <w:rsid w:val="6DCB690C"/>
    <w:rsid w:val="6DD41A5B"/>
    <w:rsid w:val="6DED7228"/>
    <w:rsid w:val="6DF43C2E"/>
    <w:rsid w:val="6DF51CA3"/>
    <w:rsid w:val="6E8335BD"/>
    <w:rsid w:val="6E8D70BB"/>
    <w:rsid w:val="6E8E12EF"/>
    <w:rsid w:val="6E901ECA"/>
    <w:rsid w:val="6E972936"/>
    <w:rsid w:val="6EAB2C19"/>
    <w:rsid w:val="6ED446C5"/>
    <w:rsid w:val="6F1060C3"/>
    <w:rsid w:val="6F2A7D94"/>
    <w:rsid w:val="6F8331F1"/>
    <w:rsid w:val="6F854425"/>
    <w:rsid w:val="6FAE1A09"/>
    <w:rsid w:val="6FD75BF8"/>
    <w:rsid w:val="707723D0"/>
    <w:rsid w:val="70AD3F08"/>
    <w:rsid w:val="70ED4BFF"/>
    <w:rsid w:val="70F5661B"/>
    <w:rsid w:val="71360107"/>
    <w:rsid w:val="713B688E"/>
    <w:rsid w:val="714840D2"/>
    <w:rsid w:val="71494FDF"/>
    <w:rsid w:val="71CF7F01"/>
    <w:rsid w:val="71D43752"/>
    <w:rsid w:val="71F1796A"/>
    <w:rsid w:val="72027D72"/>
    <w:rsid w:val="72154626"/>
    <w:rsid w:val="72262B5D"/>
    <w:rsid w:val="72283FF7"/>
    <w:rsid w:val="722E7212"/>
    <w:rsid w:val="723A0474"/>
    <w:rsid w:val="725923E4"/>
    <w:rsid w:val="72864BF7"/>
    <w:rsid w:val="729023FC"/>
    <w:rsid w:val="72B37F7D"/>
    <w:rsid w:val="72F62730"/>
    <w:rsid w:val="73B83B1F"/>
    <w:rsid w:val="73C0646E"/>
    <w:rsid w:val="73E350CB"/>
    <w:rsid w:val="73FA1330"/>
    <w:rsid w:val="74093F75"/>
    <w:rsid w:val="742222F5"/>
    <w:rsid w:val="74353187"/>
    <w:rsid w:val="74382F6B"/>
    <w:rsid w:val="74476126"/>
    <w:rsid w:val="74706664"/>
    <w:rsid w:val="747F3682"/>
    <w:rsid w:val="747F4E5B"/>
    <w:rsid w:val="749C4185"/>
    <w:rsid w:val="75067759"/>
    <w:rsid w:val="752E6DCD"/>
    <w:rsid w:val="7551380D"/>
    <w:rsid w:val="75600BE5"/>
    <w:rsid w:val="7564475C"/>
    <w:rsid w:val="756701D2"/>
    <w:rsid w:val="7583797F"/>
    <w:rsid w:val="75D20F1D"/>
    <w:rsid w:val="75DA2C18"/>
    <w:rsid w:val="75F24756"/>
    <w:rsid w:val="75F54412"/>
    <w:rsid w:val="761D08E0"/>
    <w:rsid w:val="765D347C"/>
    <w:rsid w:val="76826699"/>
    <w:rsid w:val="76C87133"/>
    <w:rsid w:val="76CD08D5"/>
    <w:rsid w:val="76DB4B92"/>
    <w:rsid w:val="76F60A60"/>
    <w:rsid w:val="77052AA4"/>
    <w:rsid w:val="7709597E"/>
    <w:rsid w:val="77136511"/>
    <w:rsid w:val="77340A39"/>
    <w:rsid w:val="77351FD0"/>
    <w:rsid w:val="77472422"/>
    <w:rsid w:val="777A2161"/>
    <w:rsid w:val="777F31F2"/>
    <w:rsid w:val="77D1700D"/>
    <w:rsid w:val="77EC04CC"/>
    <w:rsid w:val="784309DA"/>
    <w:rsid w:val="784D7F55"/>
    <w:rsid w:val="78775729"/>
    <w:rsid w:val="78A42DB0"/>
    <w:rsid w:val="78A656AB"/>
    <w:rsid w:val="78B2245C"/>
    <w:rsid w:val="78CB02FE"/>
    <w:rsid w:val="78E172CC"/>
    <w:rsid w:val="78EA1D1F"/>
    <w:rsid w:val="7904172F"/>
    <w:rsid w:val="790F7E27"/>
    <w:rsid w:val="792A231A"/>
    <w:rsid w:val="79316829"/>
    <w:rsid w:val="793A687A"/>
    <w:rsid w:val="79570BE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A6ADE"/>
    <w:rsid w:val="7C0A0FE4"/>
    <w:rsid w:val="7C254906"/>
    <w:rsid w:val="7C2D5C29"/>
    <w:rsid w:val="7C590818"/>
    <w:rsid w:val="7C7C10F6"/>
    <w:rsid w:val="7C853BEA"/>
    <w:rsid w:val="7C881368"/>
    <w:rsid w:val="7CE27788"/>
    <w:rsid w:val="7D0C32F1"/>
    <w:rsid w:val="7D0F408D"/>
    <w:rsid w:val="7D491C6C"/>
    <w:rsid w:val="7D5429C0"/>
    <w:rsid w:val="7D6E6D43"/>
    <w:rsid w:val="7DB57A34"/>
    <w:rsid w:val="7DBA3020"/>
    <w:rsid w:val="7DE60973"/>
    <w:rsid w:val="7DEF0916"/>
    <w:rsid w:val="7E1E5218"/>
    <w:rsid w:val="7E836BED"/>
    <w:rsid w:val="7E9A4E1F"/>
    <w:rsid w:val="7EA7723A"/>
    <w:rsid w:val="7EA96017"/>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9"/>
    <w:qFormat/>
    <w:uiPriority w:val="0"/>
    <w:pPr>
      <w:shd w:val="clear" w:color="auto" w:fill="000080"/>
    </w:pPr>
  </w:style>
  <w:style w:type="paragraph" w:styleId="19">
    <w:name w:val="annotation text"/>
    <w:basedOn w:val="1"/>
    <w:link w:val="867"/>
    <w:qFormat/>
    <w:uiPriority w:val="99"/>
    <w:pPr>
      <w:jc w:val="left"/>
    </w:pPr>
  </w:style>
  <w:style w:type="paragraph" w:styleId="20">
    <w:name w:val="Salutation"/>
    <w:basedOn w:val="1"/>
    <w:next w:val="1"/>
    <w:link w:val="827"/>
    <w:qFormat/>
    <w:uiPriority w:val="0"/>
    <w:rPr>
      <w:rFonts w:ascii="仿宋_GB2312" w:eastAsia="仿宋_GB2312"/>
      <w:sz w:val="28"/>
      <w:szCs w:val="20"/>
    </w:rPr>
  </w:style>
  <w:style w:type="paragraph" w:styleId="21">
    <w:name w:val="Body Text 3"/>
    <w:basedOn w:val="1"/>
    <w:link w:val="85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6"/>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5"/>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7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1"/>
    <w:qFormat/>
    <w:uiPriority w:val="0"/>
    <w:pPr>
      <w:ind w:left="100" w:leftChars="2500"/>
    </w:pPr>
    <w:rPr>
      <w:rFonts w:ascii="宋体"/>
      <w:sz w:val="24"/>
      <w:szCs w:val="21"/>
      <w:lang w:val="zh-CN"/>
    </w:rPr>
  </w:style>
  <w:style w:type="paragraph" w:styleId="39">
    <w:name w:val="Body Text Indent 2"/>
    <w:basedOn w:val="1"/>
    <w:link w:val="835"/>
    <w:qFormat/>
    <w:uiPriority w:val="0"/>
    <w:pPr>
      <w:spacing w:line="360" w:lineRule="auto"/>
      <w:ind w:firstLine="601"/>
      <w:textAlignment w:val="baseline"/>
    </w:pPr>
    <w:rPr>
      <w:rFonts w:ascii="宋体"/>
      <w:kern w:val="0"/>
      <w:sz w:val="28"/>
      <w:szCs w:val="20"/>
    </w:rPr>
  </w:style>
  <w:style w:type="paragraph" w:styleId="40">
    <w:name w:val="endnote text"/>
    <w:basedOn w:val="1"/>
    <w:link w:val="952"/>
    <w:qFormat/>
    <w:uiPriority w:val="0"/>
    <w:rPr>
      <w:lang w:val="zh-CN"/>
    </w:rPr>
  </w:style>
  <w:style w:type="paragraph" w:styleId="41">
    <w:name w:val="Balloon Text"/>
    <w:basedOn w:val="1"/>
    <w:link w:val="728"/>
    <w:qFormat/>
    <w:uiPriority w:val="0"/>
    <w:rPr>
      <w:sz w:val="18"/>
      <w:szCs w:val="18"/>
    </w:rPr>
  </w:style>
  <w:style w:type="paragraph" w:styleId="42">
    <w:name w:val="footer"/>
    <w:basedOn w:val="1"/>
    <w:link w:val="903"/>
    <w:qFormat/>
    <w:uiPriority w:val="99"/>
    <w:pPr>
      <w:tabs>
        <w:tab w:val="center" w:pos="4153"/>
        <w:tab w:val="right" w:pos="8306"/>
      </w:tabs>
      <w:snapToGrid w:val="0"/>
      <w:jc w:val="left"/>
    </w:pPr>
    <w:rPr>
      <w:sz w:val="18"/>
      <w:szCs w:val="18"/>
    </w:rPr>
  </w:style>
  <w:style w:type="paragraph" w:styleId="43">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837"/>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1"/>
    <w:qFormat/>
    <w:uiPriority w:val="0"/>
    <w:pPr>
      <w:spacing w:after="120" w:line="480" w:lineRule="auto"/>
    </w:pPr>
  </w:style>
  <w:style w:type="paragraph" w:styleId="58">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4"/>
    <w:qFormat/>
    <w:uiPriority w:val="0"/>
    <w:rPr>
      <w:b/>
      <w:bCs/>
    </w:rPr>
  </w:style>
  <w:style w:type="paragraph" w:styleId="62">
    <w:name w:val="Body Text First Indent 2"/>
    <w:basedOn w:val="26"/>
    <w:link w:val="66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1">
    <w:name w:val="BodyText1I2"/>
    <w:basedOn w:val="82"/>
    <w:qFormat/>
    <w:uiPriority w:val="0"/>
    <w:pPr>
      <w:spacing w:after="120" w:line="240" w:lineRule="auto"/>
      <w:ind w:left="420" w:leftChars="200" w:firstLine="420" w:firstLineChars="200"/>
    </w:pPr>
    <w:rPr>
      <w:sz w:val="21"/>
    </w:rPr>
  </w:style>
  <w:style w:type="paragraph" w:customStyle="1" w:styleId="82">
    <w:name w:val="BodyTextIndent"/>
    <w:basedOn w:val="1"/>
    <w:next w:val="83"/>
    <w:qFormat/>
    <w:uiPriority w:val="0"/>
    <w:pPr>
      <w:spacing w:line="480" w:lineRule="auto"/>
      <w:ind w:firstLine="600"/>
      <w:textAlignment w:val="baseline"/>
    </w:pPr>
    <w:rPr>
      <w:sz w:val="28"/>
    </w:rPr>
  </w:style>
  <w:style w:type="paragraph" w:customStyle="1" w:styleId="83">
    <w:name w:val="UserStyle_460"/>
    <w:basedOn w:val="82"/>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84">
    <w:name w:val="正文文本首行缩进 21"/>
    <w:basedOn w:val="26"/>
    <w:qFormat/>
    <w:uiPriority w:val="99"/>
    <w:pPr>
      <w:spacing w:line="200" w:lineRule="atLeast"/>
      <w:ind w:firstLine="420"/>
    </w:pPr>
    <w:rPr>
      <w:rFonts w:hAnsi="Courier New"/>
      <w:spacing w:val="-4"/>
      <w:sz w:val="18"/>
    </w:rPr>
  </w:style>
  <w:style w:type="paragraph" w:customStyle="1" w:styleId="85">
    <w:name w:val="正文首行缩进 21"/>
    <w:basedOn w:val="86"/>
    <w:qFormat/>
    <w:uiPriority w:val="0"/>
    <w:pPr>
      <w:ind w:firstLine="420"/>
    </w:pPr>
  </w:style>
  <w:style w:type="paragraph" w:customStyle="1" w:styleId="86">
    <w:name w:val="Body Text Indent1"/>
    <w:basedOn w:val="1"/>
    <w:next w:val="1"/>
    <w:qFormat/>
    <w:uiPriority w:val="0"/>
    <w:pPr>
      <w:spacing w:after="120"/>
      <w:ind w:left="420" w:leftChars="200"/>
    </w:pPr>
    <w:rPr>
      <w:color w:val="000000"/>
      <w:szCs w:val="21"/>
    </w:rPr>
  </w:style>
  <w:style w:type="paragraph" w:customStyle="1" w:styleId="87">
    <w:name w:val="表格非标题文字"/>
    <w:link w:val="63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34"/>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42"/>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9"/>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6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76"/>
    <w:qFormat/>
    <w:uiPriority w:val="0"/>
    <w:pPr>
      <w:spacing w:before="156" w:line="360" w:lineRule="auto"/>
      <w:ind w:firstLine="510" w:firstLineChars="200"/>
    </w:pPr>
    <w:rPr>
      <w:sz w:val="24"/>
      <w:szCs w:val="20"/>
    </w:rPr>
  </w:style>
  <w:style w:type="paragraph" w:customStyle="1" w:styleId="93">
    <w:name w:val="无间隔1"/>
    <w:link w:val="684"/>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92"/>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702"/>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4"/>
    <w:link w:val="71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7"/>
    <w:qFormat/>
    <w:uiPriority w:val="0"/>
    <w:pPr>
      <w:ind w:left="0" w:right="466" w:firstLine="288"/>
    </w:pPr>
    <w:rPr>
      <w:rFonts w:hAnsi="宋体"/>
    </w:rPr>
  </w:style>
  <w:style w:type="paragraph" w:customStyle="1" w:styleId="100">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9"/>
    <w:qFormat/>
    <w:uiPriority w:val="0"/>
    <w:pPr>
      <w:adjustRightInd/>
      <w:spacing w:line="360" w:lineRule="auto"/>
      <w:ind w:firstLine="480" w:firstLineChars="200"/>
    </w:pPr>
    <w:rPr>
      <w:kern w:val="0"/>
      <w:sz w:val="24"/>
    </w:rPr>
  </w:style>
  <w:style w:type="paragraph" w:customStyle="1" w:styleId="105">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列出段落1"/>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10"/>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32"/>
    <w:qFormat/>
    <w:uiPriority w:val="0"/>
    <w:pPr>
      <w:tabs>
        <w:tab w:val="left" w:pos="2356"/>
      </w:tabs>
    </w:pPr>
  </w:style>
  <w:style w:type="paragraph" w:customStyle="1" w:styleId="110">
    <w:name w:val="样式 标题 4h4H4Fab-4T5Ref Heading 1rh1Heading sqlsect 1.2.3...."/>
    <w:basedOn w:val="6"/>
    <w:link w:val="9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5"/>
    <w:qFormat/>
    <w:uiPriority w:val="0"/>
    <w:pPr>
      <w:adjustRightInd/>
    </w:pPr>
    <w:rPr>
      <w:rFonts w:ascii="宋体" w:hAnsi="Courier New"/>
      <w:kern w:val="0"/>
      <w:sz w:val="20"/>
      <w:szCs w:val="20"/>
    </w:rPr>
  </w:style>
  <w:style w:type="paragraph" w:customStyle="1" w:styleId="113">
    <w:name w:val="正文说明"/>
    <w:basedOn w:val="1"/>
    <w:link w:val="857"/>
    <w:qFormat/>
    <w:uiPriority w:val="0"/>
    <w:pPr>
      <w:adjustRightInd/>
      <w:spacing w:line="360" w:lineRule="auto"/>
    </w:pPr>
    <w:rPr>
      <w:kern w:val="0"/>
      <w:sz w:val="24"/>
    </w:rPr>
  </w:style>
  <w:style w:type="paragraph" w:customStyle="1" w:styleId="114">
    <w:name w:val="Table Text"/>
    <w:basedOn w:val="1"/>
    <w:link w:val="863"/>
    <w:qFormat/>
    <w:uiPriority w:val="0"/>
    <w:pPr>
      <w:widowControl/>
      <w:spacing w:before="60" w:after="60"/>
      <w:jc w:val="left"/>
    </w:pPr>
    <w:rPr>
      <w:kern w:val="0"/>
      <w:sz w:val="24"/>
    </w:rPr>
  </w:style>
  <w:style w:type="paragraph" w:customStyle="1" w:styleId="115">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5"/>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2"/>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6"/>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无间隔2"/>
    <w:basedOn w:val="1"/>
    <w:link w:val="953"/>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5"/>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7"/>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5"/>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6"/>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7"/>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6"/>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9"/>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5"/>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3"/>
    <w:qFormat/>
    <w:uiPriority w:val="0"/>
    <w:pPr>
      <w:snapToGrid w:val="0"/>
      <w:ind w:firstLine="480" w:firstLineChars="200"/>
    </w:pPr>
    <w:rPr>
      <w:rFonts w:ascii="Times New Roman"/>
      <w:szCs w:val="24"/>
      <w:lang w:val="en-US"/>
    </w:rPr>
  </w:style>
  <w:style w:type="paragraph" w:customStyle="1" w:styleId="46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0"/>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next w:val="23"/>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4"/>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18"/>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2"/>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8"/>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7"/>
    <w:next w:val="1"/>
    <w:qFormat/>
    <w:uiPriority w:val="0"/>
    <w:pPr>
      <w:tabs>
        <w:tab w:val="left" w:pos="1080"/>
        <w:tab w:val="clear" w:pos="1008"/>
      </w:tabs>
      <w:ind w:left="1080" w:hanging="1080"/>
    </w:pPr>
  </w:style>
  <w:style w:type="paragraph" w:customStyle="1" w:styleId="586">
    <w:name w:val="数字标题1"/>
    <w:basedOn w:val="3"/>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3"/>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2"/>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12">
    <w:name w:val="_Style 947"/>
    <w:basedOn w:val="1"/>
    <w:next w:val="107"/>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列表段落2"/>
    <w:basedOn w:val="1"/>
    <w:qFormat/>
    <w:uiPriority w:val="1"/>
    <w:pPr>
      <w:ind w:firstLine="420" w:firstLineChars="200"/>
    </w:pPr>
    <w:rPr>
      <w:szCs w:val="20"/>
    </w:rPr>
  </w:style>
  <w:style w:type="paragraph" w:customStyle="1" w:styleId="62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发文机关标识"/>
    <w:basedOn w:val="1"/>
    <w:qFormat/>
    <w:uiPriority w:val="0"/>
    <w:pPr>
      <w:jc w:val="center"/>
    </w:pPr>
    <w:rPr>
      <w:b/>
      <w:bCs/>
      <w:color w:val="FF0000"/>
      <w:sz w:val="72"/>
      <w:szCs w:val="72"/>
    </w:rPr>
  </w:style>
  <w:style w:type="paragraph" w:customStyle="1" w:styleId="628">
    <w:name w:val="分隔线"/>
    <w:basedOn w:val="1"/>
    <w:qFormat/>
    <w:uiPriority w:val="0"/>
    <w:pPr>
      <w:pBdr>
        <w:bottom w:val="single" w:color="FF0000" w:sz="24" w:space="1"/>
      </w:pBdr>
      <w:spacing w:line="227" w:lineRule="exact"/>
    </w:pPr>
    <w:rPr>
      <w:rFonts w:eastAsia="仿宋_GB2312"/>
      <w:szCs w:val="21"/>
    </w:rPr>
  </w:style>
  <w:style w:type="paragraph" w:customStyle="1" w:styleId="629">
    <w:name w:val="Body Text First Indent 2"/>
    <w:basedOn w:val="63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30">
    <w:name w:val="Body Text Indent"/>
    <w:basedOn w:val="1"/>
    <w:next w:val="1"/>
    <w:qFormat/>
    <w:uiPriority w:val="0"/>
    <w:pPr>
      <w:spacing w:after="120" w:afterLines="0"/>
      <w:ind w:left="420" w:leftChars="200"/>
    </w:pPr>
    <w:rPr>
      <w:color w:val="000000"/>
      <w:sz w:val="21"/>
      <w:szCs w:val="21"/>
    </w:rPr>
  </w:style>
  <w:style w:type="paragraph" w:customStyle="1" w:styleId="631">
    <w:name w:val="List Paragraph"/>
    <w:basedOn w:val="1"/>
    <w:qFormat/>
    <w:uiPriority w:val="0"/>
    <w:pPr>
      <w:ind w:firstLine="420" w:firstLineChars="200"/>
    </w:pPr>
    <w:rPr>
      <w:szCs w:val="20"/>
    </w:rPr>
  </w:style>
  <w:style w:type="paragraph" w:customStyle="1" w:styleId="632">
    <w:name w:val="Other|1"/>
    <w:basedOn w:val="1"/>
    <w:qFormat/>
    <w:uiPriority w:val="0"/>
    <w:pPr>
      <w:widowControl w:val="0"/>
      <w:shd w:val="clear" w:color="auto" w:fill="auto"/>
      <w:spacing w:line="463" w:lineRule="exact"/>
    </w:pPr>
    <w:rPr>
      <w:rFonts w:ascii="宋体" w:hAnsi="宋体" w:eastAsia="宋体" w:cs="宋体"/>
      <w:sz w:val="22"/>
      <w:szCs w:val="22"/>
      <w:u w:val="none"/>
      <w:shd w:val="clear" w:color="auto" w:fill="auto"/>
      <w:lang w:val="zh-TW" w:eastAsia="zh-TW" w:bidi="zh-TW"/>
    </w:rPr>
  </w:style>
  <w:style w:type="character" w:customStyle="1" w:styleId="633">
    <w:name w:val="表格非标题文字 Char"/>
    <w:link w:val="87"/>
    <w:qFormat/>
    <w:uiPriority w:val="0"/>
    <w:rPr>
      <w:rFonts w:ascii="Futura Bk" w:hAnsi="Futura Bk"/>
      <w:kern w:val="2"/>
      <w:sz w:val="18"/>
      <w:szCs w:val="21"/>
      <w:lang w:val="en-US" w:eastAsia="zh-CN" w:bidi="ar-SA"/>
    </w:rPr>
  </w:style>
  <w:style w:type="character" w:customStyle="1" w:styleId="634">
    <w:name w:val="*正文 Char"/>
    <w:link w:val="88"/>
    <w:qFormat/>
    <w:locked/>
    <w:uiPriority w:val="0"/>
    <w:rPr>
      <w:rFonts w:ascii="宋体" w:hAnsi="宋体"/>
      <w:sz w:val="24"/>
    </w:rPr>
  </w:style>
  <w:style w:type="character" w:customStyle="1" w:styleId="635">
    <w:name w:val="Char Char71"/>
    <w:semiHidden/>
    <w:qFormat/>
    <w:uiPriority w:val="0"/>
    <w:rPr>
      <w:rFonts w:eastAsia="宋体"/>
      <w:kern w:val="2"/>
      <w:sz w:val="21"/>
      <w:szCs w:val="24"/>
      <w:lang w:val="en-US" w:eastAsia="zh-CN" w:bidi="ar-SA"/>
    </w:rPr>
  </w:style>
  <w:style w:type="character" w:customStyle="1" w:styleId="636">
    <w:name w:val="Char Char6"/>
    <w:qFormat/>
    <w:uiPriority w:val="0"/>
    <w:rPr>
      <w:rFonts w:eastAsia="宋体"/>
      <w:kern w:val="2"/>
      <w:sz w:val="21"/>
      <w:szCs w:val="24"/>
      <w:lang w:val="en-US" w:eastAsia="zh-CN" w:bidi="ar-SA"/>
    </w:rPr>
  </w:style>
  <w:style w:type="character" w:customStyle="1" w:styleId="637">
    <w:name w:val="正文缩进 Char"/>
    <w:qFormat/>
    <w:uiPriority w:val="0"/>
    <w:rPr>
      <w:rFonts w:eastAsia="宋体"/>
      <w:kern w:val="2"/>
      <w:sz w:val="21"/>
      <w:lang w:val="en-US" w:eastAsia="zh-CN"/>
    </w:rPr>
  </w:style>
  <w:style w:type="character" w:customStyle="1" w:styleId="638">
    <w:name w:val="正文首行缩进 Char1"/>
    <w:qFormat/>
    <w:uiPriority w:val="0"/>
    <w:rPr>
      <w:rFonts w:ascii="宋体" w:hAnsi="Times New Roman" w:eastAsia="宋体" w:cs="Times New Roman"/>
      <w:snapToGrid w:val="0"/>
      <w:kern w:val="2"/>
      <w:sz w:val="24"/>
      <w:szCs w:val="21"/>
      <w:lang w:val="zh-CN"/>
    </w:rPr>
  </w:style>
  <w:style w:type="character" w:customStyle="1" w:styleId="639">
    <w:name w:val="Char Char28"/>
    <w:qFormat/>
    <w:uiPriority w:val="6"/>
    <w:rPr>
      <w:rFonts w:ascii="仿宋_GB2312" w:hAnsi="仿宋_GB2312" w:eastAsia="仿宋_GB2312"/>
      <w:kern w:val="1"/>
      <w:sz w:val="28"/>
    </w:rPr>
  </w:style>
  <w:style w:type="character" w:customStyle="1" w:styleId="64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1">
    <w:name w:val="Heading 1 Char"/>
    <w:qFormat/>
    <w:uiPriority w:val="6"/>
    <w:rPr>
      <w:rFonts w:ascii="Times New Roman" w:hAnsi="Times New Roman" w:eastAsia="黑体" w:cs="Times New Roman"/>
      <w:b/>
      <w:kern w:val="0"/>
      <w:sz w:val="24"/>
      <w:szCs w:val="24"/>
    </w:rPr>
  </w:style>
  <w:style w:type="character" w:customStyle="1" w:styleId="642">
    <w:name w:val="U_正文 Char"/>
    <w:link w:val="89"/>
    <w:qFormat/>
    <w:uiPriority w:val="0"/>
    <w:rPr>
      <w:sz w:val="24"/>
      <w:szCs w:val="24"/>
    </w:rPr>
  </w:style>
  <w:style w:type="character" w:customStyle="1" w:styleId="643">
    <w:name w:val="HTML 地址 Char1"/>
    <w:qFormat/>
    <w:uiPriority w:val="0"/>
    <w:rPr>
      <w:rFonts w:ascii="Times New Roman" w:hAnsi="Times New Roman" w:eastAsia="宋体" w:cs="Times New Roman"/>
      <w:i/>
      <w:iCs/>
      <w:szCs w:val="24"/>
    </w:rPr>
  </w:style>
  <w:style w:type="character" w:customStyle="1" w:styleId="644">
    <w:name w:val="批注主题 字符"/>
    <w:link w:val="61"/>
    <w:qFormat/>
    <w:uiPriority w:val="0"/>
    <w:rPr>
      <w:b/>
      <w:bCs/>
      <w:kern w:val="2"/>
      <w:sz w:val="21"/>
      <w:szCs w:val="24"/>
    </w:rPr>
  </w:style>
  <w:style w:type="character" w:customStyle="1" w:styleId="645">
    <w:name w:val="Char Char51"/>
    <w:qFormat/>
    <w:uiPriority w:val="0"/>
    <w:rPr>
      <w:rFonts w:ascii="宋体" w:hAnsi="Courier New" w:eastAsia="宋体"/>
      <w:kern w:val="2"/>
      <w:sz w:val="21"/>
      <w:lang w:val="en-US" w:eastAsia="zh-CN"/>
    </w:rPr>
  </w:style>
  <w:style w:type="character" w:customStyle="1" w:styleId="646">
    <w:name w:val="表正文 Char"/>
    <w:qFormat/>
    <w:uiPriority w:val="0"/>
    <w:rPr>
      <w:rFonts w:ascii="宋体" w:eastAsia="宋体"/>
      <w:snapToGrid w:val="0"/>
      <w:color w:val="000000"/>
      <w:kern w:val="28"/>
      <w:sz w:val="28"/>
      <w:lang w:val="en-US" w:eastAsia="zh-CN" w:bidi="ar-SA"/>
    </w:rPr>
  </w:style>
  <w:style w:type="character" w:customStyle="1" w:styleId="647">
    <w:name w:val="Char Char34"/>
    <w:qFormat/>
    <w:uiPriority w:val="6"/>
    <w:rPr>
      <w:b/>
      <w:kern w:val="1"/>
      <w:sz w:val="28"/>
      <w:szCs w:val="28"/>
    </w:rPr>
  </w:style>
  <w:style w:type="character" w:customStyle="1" w:styleId="64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9">
    <w:name w:val="哈哈正文 Char"/>
    <w:link w:val="90"/>
    <w:qFormat/>
    <w:uiPriority w:val="0"/>
    <w:rPr>
      <w:rFonts w:ascii="宋体" w:hAnsi="宋体" w:eastAsia="宋体"/>
      <w:kern w:val="2"/>
      <w:sz w:val="24"/>
      <w:lang w:bidi="ar-SA"/>
    </w:rPr>
  </w:style>
  <w:style w:type="character" w:customStyle="1" w:styleId="650">
    <w:name w:val="未处理的提及1"/>
    <w:qFormat/>
    <w:uiPriority w:val="0"/>
    <w:rPr>
      <w:color w:val="808080"/>
      <w:shd w:val="clear" w:color="auto" w:fill="E6E6E6"/>
    </w:rPr>
  </w:style>
  <w:style w:type="character" w:customStyle="1" w:styleId="651">
    <w:name w:val="txt"/>
    <w:qFormat/>
    <w:uiPriority w:val="0"/>
    <w:rPr>
      <w:rFonts w:ascii="仿宋_GB2312" w:eastAsia="微软雅黑"/>
      <w:b/>
      <w:kern w:val="2"/>
      <w:sz w:val="32"/>
      <w:szCs w:val="32"/>
      <w:lang w:val="en-US" w:eastAsia="zh-CN" w:bidi="ar-SA"/>
    </w:rPr>
  </w:style>
  <w:style w:type="character" w:customStyle="1" w:styleId="652">
    <w:name w:val="二级标题 Char Char"/>
    <w:qFormat/>
    <w:uiPriority w:val="0"/>
    <w:rPr>
      <w:rFonts w:ascii="宋体" w:hAnsi="宋体" w:eastAsia="宋体"/>
      <w:b/>
      <w:snapToGrid w:val="0"/>
      <w:kern w:val="2"/>
      <w:sz w:val="24"/>
      <w:szCs w:val="24"/>
      <w:lang w:val="en-US" w:eastAsia="zh-CN" w:bidi="ar-SA"/>
    </w:rPr>
  </w:style>
  <w:style w:type="character" w:customStyle="1" w:styleId="653">
    <w:name w:val="Char Char32"/>
    <w:qFormat/>
    <w:uiPriority w:val="6"/>
    <w:rPr>
      <w:b/>
      <w:kern w:val="1"/>
      <w:sz w:val="24"/>
      <w:szCs w:val="24"/>
    </w:rPr>
  </w:style>
  <w:style w:type="character" w:customStyle="1" w:styleId="654">
    <w:name w:val="PI Char1"/>
    <w:qFormat/>
    <w:uiPriority w:val="0"/>
    <w:rPr>
      <w:rFonts w:ascii="宋体" w:hAnsi="宋体"/>
      <w:kern w:val="2"/>
      <w:sz w:val="24"/>
      <w:szCs w:val="24"/>
    </w:rPr>
  </w:style>
  <w:style w:type="character" w:customStyle="1" w:styleId="655">
    <w:name w:val="tw4winTerm"/>
    <w:qFormat/>
    <w:uiPriority w:val="0"/>
    <w:rPr>
      <w:color w:val="0000FF"/>
    </w:rPr>
  </w:style>
  <w:style w:type="character" w:customStyle="1" w:styleId="656">
    <w:name w:val="Footer Char"/>
    <w:qFormat/>
    <w:locked/>
    <w:uiPriority w:val="0"/>
    <w:rPr>
      <w:rFonts w:eastAsia="宋体"/>
      <w:kern w:val="2"/>
      <w:sz w:val="18"/>
      <w:lang w:val="en-US" w:eastAsia="zh-CN" w:bidi="ar-SA"/>
    </w:rPr>
  </w:style>
  <w:style w:type="character" w:customStyle="1" w:styleId="657">
    <w:name w:val="普通文字 Char Char1"/>
    <w:qFormat/>
    <w:uiPriority w:val="0"/>
    <w:rPr>
      <w:rFonts w:ascii="宋体" w:hAnsi="Courier New"/>
      <w:kern w:val="2"/>
      <w:sz w:val="21"/>
    </w:rPr>
  </w:style>
  <w:style w:type="character" w:customStyle="1" w:styleId="658">
    <w:name w:val="Char Char101"/>
    <w:qFormat/>
    <w:uiPriority w:val="6"/>
    <w:rPr>
      <w:rFonts w:ascii="宋体" w:hAnsi="宋体"/>
      <w:kern w:val="2"/>
      <w:sz w:val="21"/>
      <w:szCs w:val="24"/>
      <w:lang w:val="en-US" w:eastAsia="zh-CN"/>
    </w:rPr>
  </w:style>
  <w:style w:type="character" w:customStyle="1" w:styleId="659">
    <w:name w:val="标题 4 Char"/>
    <w:qFormat/>
    <w:uiPriority w:val="0"/>
    <w:rPr>
      <w:rFonts w:ascii="Arial" w:hAnsi="Arial" w:eastAsia="黑体"/>
      <w:b/>
      <w:kern w:val="2"/>
      <w:sz w:val="28"/>
    </w:rPr>
  </w:style>
  <w:style w:type="character" w:customStyle="1" w:styleId="660">
    <w:name w:val="链接"/>
    <w:qFormat/>
    <w:uiPriority w:val="0"/>
    <w:rPr>
      <w:color w:val="0000FF"/>
      <w:sz w:val="21"/>
      <w:szCs w:val="21"/>
      <w:u w:val="single"/>
    </w:rPr>
  </w:style>
  <w:style w:type="character" w:customStyle="1" w:styleId="661">
    <w:name w:val="h4 Char"/>
    <w:qFormat/>
    <w:uiPriority w:val="0"/>
    <w:rPr>
      <w:rFonts w:ascii="Arial" w:hAnsi="Arial" w:eastAsia="黑体"/>
      <w:b/>
      <w:bCs/>
      <w:kern w:val="2"/>
      <w:sz w:val="28"/>
      <w:szCs w:val="28"/>
      <w:lang w:val="zh-CN" w:eastAsia="zh-CN" w:bidi="ar-SA"/>
    </w:rPr>
  </w:style>
  <w:style w:type="character" w:customStyle="1" w:styleId="662">
    <w:name w:val="5正文 Char"/>
    <w:link w:val="91"/>
    <w:qFormat/>
    <w:uiPriority w:val="0"/>
    <w:rPr>
      <w:rFonts w:ascii="仿宋_GB2312" w:hAnsi="微软雅黑" w:eastAsia="仿宋_GB2312"/>
      <w:sz w:val="28"/>
      <w:szCs w:val="21"/>
    </w:rPr>
  </w:style>
  <w:style w:type="character" w:customStyle="1" w:styleId="663">
    <w:name w:val="标题 3 字符"/>
    <w:qFormat/>
    <w:uiPriority w:val="9"/>
    <w:rPr>
      <w:b/>
      <w:bCs/>
      <w:kern w:val="2"/>
      <w:sz w:val="32"/>
      <w:szCs w:val="32"/>
    </w:rPr>
  </w:style>
  <w:style w:type="character" w:customStyle="1" w:styleId="664">
    <w:name w:val="样式6 Char"/>
    <w:qFormat/>
    <w:uiPriority w:val="0"/>
    <w:rPr>
      <w:rFonts w:ascii="仿宋_GB2312" w:hAnsi="宋体" w:eastAsia="仿宋_GB2312"/>
      <w:b/>
      <w:bCs/>
      <w:kern w:val="2"/>
      <w:sz w:val="24"/>
      <w:szCs w:val="24"/>
      <w:lang w:val="en-US" w:eastAsia="zh-CN" w:bidi="ar-SA"/>
    </w:rPr>
  </w:style>
  <w:style w:type="character" w:customStyle="1" w:styleId="665">
    <w:name w:val="Char Char14"/>
    <w:qFormat/>
    <w:uiPriority w:val="6"/>
    <w:rPr>
      <w:rFonts w:ascii="黑体" w:hAnsi="黑体" w:eastAsia="黑体"/>
    </w:rPr>
  </w:style>
  <w:style w:type="character" w:customStyle="1" w:styleId="666">
    <w:name w:val="Heading 2 Hidden Char"/>
    <w:qFormat/>
    <w:uiPriority w:val="0"/>
    <w:rPr>
      <w:rFonts w:ascii="仿宋_GB2312" w:eastAsia="仿宋_GB2312"/>
      <w:b/>
      <w:bCs/>
      <w:kern w:val="2"/>
      <w:sz w:val="24"/>
      <w:szCs w:val="24"/>
      <w:lang w:val="zh-CN" w:eastAsia="zh-CN" w:bidi="ar-SA"/>
    </w:rPr>
  </w:style>
  <w:style w:type="character" w:customStyle="1" w:styleId="667">
    <w:name w:val="正文文本首行缩进 2 字符"/>
    <w:link w:val="62"/>
    <w:qFormat/>
    <w:uiPriority w:val="0"/>
    <w:rPr>
      <w:rFonts w:ascii="宋体" w:hAnsi="宋体"/>
      <w:kern w:val="2"/>
      <w:sz w:val="21"/>
      <w:szCs w:val="24"/>
    </w:rPr>
  </w:style>
  <w:style w:type="character" w:customStyle="1" w:styleId="668">
    <w:name w:val="font11"/>
    <w:qFormat/>
    <w:uiPriority w:val="0"/>
    <w:rPr>
      <w:rFonts w:hint="default" w:ascii="Times New Roman" w:hAnsi="Times New Roman" w:cs="Times New Roman"/>
      <w:color w:val="000000"/>
      <w:sz w:val="22"/>
      <w:szCs w:val="22"/>
      <w:u w:val="none"/>
    </w:rPr>
  </w:style>
  <w:style w:type="character" w:customStyle="1" w:styleId="669">
    <w:name w:val="表正文 Char1"/>
    <w:qFormat/>
    <w:uiPriority w:val="0"/>
    <w:rPr>
      <w:rFonts w:ascii="宋体" w:eastAsia="宋体"/>
      <w:snapToGrid w:val="0"/>
      <w:color w:val="000000"/>
      <w:kern w:val="28"/>
      <w:sz w:val="28"/>
    </w:rPr>
  </w:style>
  <w:style w:type="character" w:customStyle="1" w:styleId="670">
    <w:name w:val="blue1"/>
    <w:basedOn w:val="70"/>
    <w:qFormat/>
    <w:uiPriority w:val="0"/>
    <w:rPr>
      <w:rFonts w:ascii="Arial" w:hAnsi="Arial" w:eastAsia="黑体" w:cs="Arial"/>
      <w:snapToGrid w:val="0"/>
      <w:kern w:val="0"/>
      <w:szCs w:val="21"/>
    </w:rPr>
  </w:style>
  <w:style w:type="character" w:customStyle="1" w:styleId="671">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2">
    <w:name w:val="标书1 Char"/>
    <w:qFormat/>
    <w:uiPriority w:val="0"/>
    <w:rPr>
      <w:rFonts w:eastAsia="宋体"/>
      <w:b/>
      <w:bCs/>
      <w:kern w:val="44"/>
      <w:sz w:val="44"/>
      <w:szCs w:val="44"/>
      <w:lang w:val="en-US" w:eastAsia="zh-CN" w:bidi="ar-SA"/>
    </w:rPr>
  </w:style>
  <w:style w:type="character" w:customStyle="1" w:styleId="673">
    <w:name w:val="样式5 Char"/>
    <w:qFormat/>
    <w:uiPriority w:val="0"/>
    <w:rPr>
      <w:rFonts w:ascii="仿宋_GB2312" w:hAnsi="仿宋" w:eastAsia="仿宋_GB2312"/>
      <w:kern w:val="2"/>
      <w:sz w:val="24"/>
      <w:szCs w:val="24"/>
    </w:rPr>
  </w:style>
  <w:style w:type="character" w:customStyle="1" w:styleId="674">
    <w:name w:val="样式4 Char"/>
    <w:qFormat/>
    <w:uiPriority w:val="0"/>
    <w:rPr>
      <w:rFonts w:ascii="仿宋_GB2312" w:hAnsi="仿宋" w:eastAsia="仿宋_GB2312"/>
      <w:b/>
      <w:kern w:val="2"/>
      <w:sz w:val="32"/>
      <w:szCs w:val="32"/>
      <w:lang w:bidi="ar-SA"/>
    </w:rPr>
  </w:style>
  <w:style w:type="character" w:customStyle="1" w:styleId="675">
    <w:name w:val="插图说明 Char"/>
    <w:qFormat/>
    <w:uiPriority w:val="0"/>
    <w:rPr>
      <w:rFonts w:eastAsia="黑体"/>
      <w:sz w:val="24"/>
      <w:lang w:val="en-US" w:eastAsia="zh-CN"/>
    </w:rPr>
  </w:style>
  <w:style w:type="character" w:customStyle="1" w:styleId="676">
    <w:name w:val="正文2 Char Char"/>
    <w:link w:val="92"/>
    <w:qFormat/>
    <w:uiPriority w:val="0"/>
    <w:rPr>
      <w:rFonts w:eastAsia="宋体"/>
      <w:kern w:val="2"/>
      <w:sz w:val="24"/>
      <w:lang w:val="en-US" w:eastAsia="zh-CN" w:bidi="ar-SA"/>
    </w:rPr>
  </w:style>
  <w:style w:type="character" w:customStyle="1" w:styleId="677">
    <w:name w:val="Char Char24"/>
    <w:qFormat/>
    <w:uiPriority w:val="6"/>
    <w:rPr>
      <w:kern w:val="1"/>
      <w:sz w:val="21"/>
    </w:rPr>
  </w:style>
  <w:style w:type="character" w:customStyle="1" w:styleId="678">
    <w:name w:val="副标题 字符"/>
    <w:link w:val="49"/>
    <w:qFormat/>
    <w:uiPriority w:val="0"/>
    <w:rPr>
      <w:rFonts w:ascii="Arial" w:hAnsi="Arial" w:eastAsia="隶书"/>
      <w:b/>
      <w:bCs/>
      <w:kern w:val="28"/>
      <w:sz w:val="44"/>
      <w:szCs w:val="32"/>
      <w:lang w:val="en-US" w:eastAsia="zh-CN" w:bidi="ar-SA"/>
    </w:rPr>
  </w:style>
  <w:style w:type="character" w:customStyle="1" w:styleId="679">
    <w:name w:val="普通文字 Char1 Char"/>
    <w:qFormat/>
    <w:uiPriority w:val="0"/>
    <w:rPr>
      <w:rFonts w:ascii="宋体" w:hAnsi="Courier New" w:eastAsia="宋体"/>
      <w:kern w:val="2"/>
      <w:sz w:val="21"/>
      <w:szCs w:val="24"/>
      <w:lang w:val="en-US" w:eastAsia="zh-CN" w:bidi="ar-SA"/>
    </w:rPr>
  </w:style>
  <w:style w:type="character" w:customStyle="1" w:styleId="680">
    <w:name w:val="h3 Char1"/>
    <w:qFormat/>
    <w:uiPriority w:val="0"/>
    <w:rPr>
      <w:rFonts w:eastAsia="宋体"/>
      <w:b/>
      <w:bCs/>
      <w:kern w:val="2"/>
      <w:sz w:val="32"/>
      <w:szCs w:val="32"/>
      <w:lang w:bidi="ar-SA"/>
    </w:rPr>
  </w:style>
  <w:style w:type="character" w:customStyle="1" w:styleId="681">
    <w:name w:val="标题 Char1"/>
    <w:qFormat/>
    <w:uiPriority w:val="0"/>
    <w:rPr>
      <w:rFonts w:ascii="Cambria" w:hAnsi="Cambria" w:eastAsia="宋体" w:cs="Times New Roman"/>
      <w:b/>
      <w:bCs/>
      <w:sz w:val="32"/>
      <w:szCs w:val="32"/>
      <w:lang w:bidi="ar-SA"/>
    </w:rPr>
  </w:style>
  <w:style w:type="character" w:customStyle="1" w:styleId="682">
    <w:name w:val="gf正文1 Char"/>
    <w:qFormat/>
    <w:uiPriority w:val="0"/>
    <w:rPr>
      <w:rFonts w:ascii="宋体" w:hAnsi="宋体" w:eastAsia="宋体" w:cs="宋体"/>
      <w:kern w:val="2"/>
      <w:sz w:val="24"/>
      <w:szCs w:val="24"/>
      <w:lang w:val="en-US" w:eastAsia="zh-CN" w:bidi="ar-SA"/>
    </w:rPr>
  </w:style>
  <w:style w:type="character" w:customStyle="1" w:styleId="683">
    <w:name w:val="正文文本缩进 Char1"/>
    <w:qFormat/>
    <w:uiPriority w:val="0"/>
    <w:rPr>
      <w:rFonts w:ascii="Calibri" w:hAnsi="Calibri"/>
      <w:sz w:val="28"/>
    </w:rPr>
  </w:style>
  <w:style w:type="character" w:customStyle="1" w:styleId="684">
    <w:name w:val="No Spacing Char"/>
    <w:link w:val="93"/>
    <w:qFormat/>
    <w:uiPriority w:val="1"/>
    <w:rPr>
      <w:sz w:val="22"/>
      <w:szCs w:val="22"/>
      <w:lang w:val="en-US" w:eastAsia="zh-CN" w:bidi="ar-SA"/>
    </w:rPr>
  </w:style>
  <w:style w:type="character" w:customStyle="1" w:styleId="685">
    <w:name w:val="样式7 Char"/>
    <w:qFormat/>
    <w:uiPriority w:val="0"/>
    <w:rPr>
      <w:rFonts w:ascii="仿宋_GB2312" w:hAnsi="仿宋" w:eastAsia="仿宋_GB2312"/>
      <w:b/>
      <w:kern w:val="2"/>
      <w:sz w:val="24"/>
      <w:szCs w:val="24"/>
    </w:rPr>
  </w:style>
  <w:style w:type="character" w:customStyle="1" w:styleId="686">
    <w:name w:val="font12gray1"/>
    <w:qFormat/>
    <w:uiPriority w:val="0"/>
    <w:rPr>
      <w:rFonts w:ascii="仿宋_GB2312" w:eastAsia="微软雅黑"/>
      <w:b/>
      <w:spacing w:val="300"/>
      <w:kern w:val="2"/>
      <w:sz w:val="18"/>
      <w:szCs w:val="18"/>
      <w:lang w:val="en-US" w:eastAsia="zh-CN" w:bidi="ar-SA"/>
    </w:rPr>
  </w:style>
  <w:style w:type="character" w:customStyle="1" w:styleId="687">
    <w:name w:val="Char Char7"/>
    <w:semiHidden/>
    <w:qFormat/>
    <w:uiPriority w:val="0"/>
    <w:rPr>
      <w:rFonts w:eastAsia="宋体"/>
      <w:kern w:val="2"/>
      <w:sz w:val="21"/>
      <w:szCs w:val="24"/>
      <w:lang w:val="en-US" w:eastAsia="zh-CN" w:bidi="ar-SA"/>
    </w:rPr>
  </w:style>
  <w:style w:type="character" w:customStyle="1" w:styleId="688">
    <w:name w:val="表名 Char"/>
    <w:qFormat/>
    <w:uiPriority w:val="0"/>
    <w:rPr>
      <w:rFonts w:eastAsia="宋体"/>
      <w:b/>
      <w:bCs/>
      <w:kern w:val="2"/>
      <w:sz w:val="24"/>
      <w:szCs w:val="24"/>
      <w:lang w:val="en-US" w:eastAsia="zh-CN" w:bidi="ar-SA"/>
    </w:rPr>
  </w:style>
  <w:style w:type="character" w:customStyle="1" w:styleId="689">
    <w:name w:val="Document Map Char"/>
    <w:qFormat/>
    <w:locked/>
    <w:uiPriority w:val="0"/>
    <w:rPr>
      <w:rFonts w:eastAsia="宋体"/>
      <w:kern w:val="2"/>
      <w:sz w:val="21"/>
      <w:szCs w:val="24"/>
      <w:lang w:val="en-US" w:eastAsia="zh-CN" w:bidi="ar-SA"/>
    </w:rPr>
  </w:style>
  <w:style w:type="character" w:customStyle="1" w:styleId="690">
    <w:name w:val="font41"/>
    <w:qFormat/>
    <w:uiPriority w:val="0"/>
    <w:rPr>
      <w:rFonts w:hint="eastAsia" w:ascii="仿宋_GB2312" w:eastAsia="仿宋_GB2312" w:cs="仿宋_GB2312"/>
      <w:color w:val="000000"/>
      <w:sz w:val="22"/>
      <w:szCs w:val="22"/>
      <w:u w:val="none"/>
    </w:rPr>
  </w:style>
  <w:style w:type="character" w:customStyle="1" w:styleId="691">
    <w:name w:val="标题 6 字符"/>
    <w:link w:val="8"/>
    <w:qFormat/>
    <w:uiPriority w:val="0"/>
    <w:rPr>
      <w:rFonts w:ascii="Arial" w:hAnsi="Arial" w:eastAsia="黑体"/>
      <w:b/>
      <w:bCs/>
      <w:kern w:val="2"/>
      <w:sz w:val="24"/>
      <w:szCs w:val="24"/>
    </w:rPr>
  </w:style>
  <w:style w:type="character" w:customStyle="1" w:styleId="692">
    <w:name w:val="纯文本 Char_0"/>
    <w:link w:val="94"/>
    <w:qFormat/>
    <w:uiPriority w:val="0"/>
    <w:rPr>
      <w:rFonts w:ascii="宋体" w:hAnsi="Courier New"/>
      <w:kern w:val="2"/>
      <w:sz w:val="21"/>
      <w:szCs w:val="21"/>
      <w:lang w:val="en-US" w:eastAsia="zh-CN"/>
    </w:rPr>
  </w:style>
  <w:style w:type="character" w:customStyle="1" w:styleId="693">
    <w:name w:val="Balloon Text Char"/>
    <w:qFormat/>
    <w:locked/>
    <w:uiPriority w:val="0"/>
    <w:rPr>
      <w:rFonts w:eastAsia="宋体"/>
      <w:kern w:val="2"/>
      <w:sz w:val="18"/>
      <w:szCs w:val="18"/>
      <w:lang w:val="en-US" w:eastAsia="zh-CN" w:bidi="ar-SA"/>
    </w:rPr>
  </w:style>
  <w:style w:type="character" w:customStyle="1" w:styleId="694">
    <w:name w:val="正文 项目2 Char"/>
    <w:basedOn w:val="695"/>
    <w:qFormat/>
    <w:uiPriority w:val="0"/>
    <w:rPr>
      <w:rFonts w:ascii="仿宋_GB2312" w:hAnsi="仿宋_GB2312" w:eastAsia="仿宋_GB2312"/>
      <w:kern w:val="2"/>
      <w:sz w:val="24"/>
      <w:lang w:bidi="ar-SA"/>
    </w:rPr>
  </w:style>
  <w:style w:type="character" w:customStyle="1" w:styleId="695">
    <w:name w:val="正文 项目 Char"/>
    <w:qFormat/>
    <w:uiPriority w:val="0"/>
    <w:rPr>
      <w:rFonts w:ascii="仿宋_GB2312" w:hAnsi="仿宋_GB2312" w:eastAsia="仿宋_GB2312"/>
      <w:kern w:val="2"/>
      <w:sz w:val="24"/>
      <w:lang w:bidi="ar-SA"/>
    </w:rPr>
  </w:style>
  <w:style w:type="character" w:customStyle="1" w:styleId="696">
    <w:name w:val="h Char Char1"/>
    <w:qFormat/>
    <w:uiPriority w:val="0"/>
    <w:rPr>
      <w:rFonts w:eastAsia="宋体"/>
      <w:kern w:val="2"/>
      <w:sz w:val="18"/>
      <w:szCs w:val="18"/>
      <w:lang w:val="en-US" w:eastAsia="zh-CN" w:bidi="ar-SA"/>
    </w:rPr>
  </w:style>
  <w:style w:type="character" w:customStyle="1" w:styleId="697">
    <w:name w:val="Char Char27"/>
    <w:qFormat/>
    <w:uiPriority w:val="6"/>
    <w:rPr>
      <w:rFonts w:ascii="宋体" w:hAnsi="宋体" w:eastAsia="宋体"/>
      <w:color w:val="000000"/>
      <w:kern w:val="1"/>
      <w:sz w:val="28"/>
      <w:lang w:val="en-US" w:eastAsia="zh-CN" w:bidi="ar-SA"/>
    </w:rPr>
  </w:style>
  <w:style w:type="character" w:customStyle="1" w:styleId="698">
    <w:name w:val="px14"/>
    <w:qFormat/>
    <w:uiPriority w:val="0"/>
    <w:rPr>
      <w:rFonts w:ascii="仿宋_GB2312" w:eastAsia="微软雅黑" w:cs="Times New Roman"/>
      <w:b/>
      <w:kern w:val="2"/>
      <w:sz w:val="32"/>
      <w:szCs w:val="32"/>
      <w:lang w:val="en-US" w:eastAsia="zh-CN" w:bidi="ar-SA"/>
    </w:rPr>
  </w:style>
  <w:style w:type="character" w:customStyle="1" w:styleId="699">
    <w:name w:val="HTML 预设格式 Char1"/>
    <w:qFormat/>
    <w:uiPriority w:val="0"/>
    <w:rPr>
      <w:rFonts w:ascii="Courier New" w:hAnsi="Courier New" w:eastAsia="宋体" w:cs="Courier New"/>
      <w:sz w:val="20"/>
      <w:szCs w:val="20"/>
    </w:rPr>
  </w:style>
  <w:style w:type="character" w:customStyle="1" w:styleId="700">
    <w:name w:val="普通文字 Char1"/>
    <w:qFormat/>
    <w:uiPriority w:val="0"/>
    <w:rPr>
      <w:rFonts w:ascii="宋体" w:hAnsi="Courier New" w:eastAsia="宋体"/>
      <w:kern w:val="2"/>
      <w:sz w:val="21"/>
      <w:lang w:val="en-US" w:eastAsia="zh-CN"/>
    </w:rPr>
  </w:style>
  <w:style w:type="character" w:customStyle="1" w:styleId="701">
    <w:name w:val="hei16b1"/>
    <w:qFormat/>
    <w:uiPriority w:val="0"/>
    <w:rPr>
      <w:rFonts w:hint="default" w:ascii="Arial" w:hAnsi="Arial" w:cs="Arial"/>
      <w:b/>
      <w:bCs/>
      <w:color w:val="000000"/>
      <w:sz w:val="24"/>
      <w:szCs w:val="24"/>
    </w:rPr>
  </w:style>
  <w:style w:type="character" w:customStyle="1" w:styleId="702">
    <w:name w:val="正文（绿盟科技） Char"/>
    <w:link w:val="96"/>
    <w:qFormat/>
    <w:uiPriority w:val="0"/>
    <w:rPr>
      <w:rFonts w:ascii="Arial" w:hAnsi="Arial"/>
      <w:sz w:val="21"/>
      <w:szCs w:val="21"/>
    </w:rPr>
  </w:style>
  <w:style w:type="character" w:customStyle="1" w:styleId="703">
    <w:name w:val="Char Char19"/>
    <w:qFormat/>
    <w:uiPriority w:val="6"/>
    <w:rPr>
      <w:rFonts w:ascii="宋体" w:hAnsi="宋体"/>
      <w:i/>
      <w:sz w:val="24"/>
      <w:szCs w:val="24"/>
    </w:rPr>
  </w:style>
  <w:style w:type="character" w:customStyle="1" w:styleId="704">
    <w:name w:val="页脚 Char"/>
    <w:qFormat/>
    <w:uiPriority w:val="0"/>
    <w:rPr>
      <w:rFonts w:eastAsia="仿宋_GB2312"/>
      <w:kern w:val="2"/>
      <w:sz w:val="18"/>
      <w:lang w:val="en-US" w:eastAsia="zh-CN"/>
    </w:rPr>
  </w:style>
  <w:style w:type="character" w:customStyle="1" w:styleId="705">
    <w:name w:val="批注主题 Char"/>
    <w:qFormat/>
    <w:uiPriority w:val="0"/>
    <w:rPr>
      <w:rFonts w:eastAsia="宋体"/>
      <w:b/>
      <w:bCs/>
      <w:kern w:val="2"/>
      <w:sz w:val="21"/>
      <w:szCs w:val="24"/>
      <w:lang w:val="en-US" w:eastAsia="zh-CN" w:bidi="ar-SA"/>
    </w:rPr>
  </w:style>
  <w:style w:type="character" w:customStyle="1" w:styleId="706">
    <w:name w:val="Comment Text Char"/>
    <w:qFormat/>
    <w:locked/>
    <w:uiPriority w:val="0"/>
    <w:rPr>
      <w:rFonts w:ascii="宋体" w:hAnsi="宋体" w:eastAsia="宋体"/>
      <w:kern w:val="2"/>
      <w:sz w:val="24"/>
      <w:lang w:val="en-US" w:eastAsia="zh-CN" w:bidi="ar-SA"/>
    </w:rPr>
  </w:style>
  <w:style w:type="character" w:customStyle="1" w:styleId="707">
    <w:name w:val="标题 2 字符"/>
    <w:qFormat/>
    <w:uiPriority w:val="1"/>
    <w:rPr>
      <w:rFonts w:ascii="仿宋_GB2312" w:hAnsi="Times New Roman" w:eastAsia="仿宋_GB2312" w:cs="Times New Roman"/>
      <w:b/>
      <w:kern w:val="2"/>
      <w:sz w:val="24"/>
      <w:lang w:val="zh-CN"/>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97"/>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semiHidden/>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semiHidden/>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字符"/>
    <w:link w:val="38"/>
    <w:qFormat/>
    <w:uiPriority w:val="0"/>
    <w:rPr>
      <w:rFonts w:ascii="宋体"/>
      <w:kern w:val="2"/>
      <w:sz w:val="24"/>
      <w:szCs w:val="21"/>
      <w:lang w:val="zh-CN"/>
    </w:rPr>
  </w:style>
  <w:style w:type="character" w:customStyle="1" w:styleId="722">
    <w:name w:val="标题 9 字符"/>
    <w:link w:val="11"/>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semiHidden/>
    <w:qFormat/>
    <w:uiPriority w:val="99"/>
    <w:rPr>
      <w:rFonts w:ascii="Times New Roman" w:hAnsi="Times New Roman" w:eastAsia="宋体" w:cs="Times New Roman"/>
      <w:szCs w:val="24"/>
    </w:rPr>
  </w:style>
  <w:style w:type="character" w:customStyle="1" w:styleId="728">
    <w:name w:val="批注框文本 字符1"/>
    <w:link w:val="41"/>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98"/>
    <w:qFormat/>
    <w:locked/>
    <w:uiPriority w:val="0"/>
    <w:rPr>
      <w:rFonts w:ascii="Tahoma" w:hAnsi="Tahoma"/>
      <w:sz w:val="24"/>
      <w:szCs w:val="24"/>
    </w:rPr>
  </w:style>
  <w:style w:type="character" w:customStyle="1" w:styleId="732">
    <w:name w:val="正文缩进 字符2"/>
    <w:link w:val="2"/>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99"/>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字符"/>
    <w:link w:val="18"/>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0"/>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字符"/>
    <w:link w:val="32"/>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01"/>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02"/>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字符"/>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103"/>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04"/>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05"/>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06"/>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字符1"/>
    <w:link w:val="26"/>
    <w:qFormat/>
    <w:uiPriority w:val="0"/>
    <w:rPr>
      <w:rFonts w:ascii="宋体" w:hAnsi="宋体"/>
      <w:kern w:val="2"/>
      <w:sz w:val="24"/>
      <w:szCs w:val="24"/>
    </w:rPr>
  </w:style>
  <w:style w:type="character" w:customStyle="1" w:styleId="796">
    <w:name w:val="font01"/>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08"/>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字符1"/>
    <w:link w:val="3"/>
    <w:qFormat/>
    <w:uiPriority w:val="9"/>
    <w:rPr>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字符"/>
    <w:link w:val="60"/>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字符"/>
    <w:link w:val="7"/>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字符"/>
    <w:link w:val="20"/>
    <w:qFormat/>
    <w:uiPriority w:val="0"/>
    <w:rPr>
      <w:rFonts w:ascii="仿宋_GB2312" w:eastAsia="仿宋_GB2312"/>
      <w:kern w:val="2"/>
      <w:sz w:val="28"/>
    </w:rPr>
  </w:style>
  <w:style w:type="character" w:customStyle="1" w:styleId="828">
    <w:name w:val="文本正文 Char Char"/>
    <w:qFormat/>
    <w:locked/>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字符"/>
    <w:link w:val="58"/>
    <w:qFormat/>
    <w:uiPriority w:val="0"/>
    <w:rPr>
      <w:rFonts w:ascii="黑体" w:hAnsi="Courier New" w:eastAsia="黑体"/>
    </w:rPr>
  </w:style>
  <w:style w:type="character" w:customStyle="1" w:styleId="831">
    <w:name w:val="正文文本 2 字符1"/>
    <w:link w:val="57"/>
    <w:qFormat/>
    <w:uiPriority w:val="0"/>
    <w:rPr>
      <w:kern w:val="2"/>
      <w:sz w:val="21"/>
      <w:szCs w:val="24"/>
    </w:rPr>
  </w:style>
  <w:style w:type="character" w:customStyle="1" w:styleId="832">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字符"/>
    <w:link w:val="9"/>
    <w:qFormat/>
    <w:uiPriority w:val="0"/>
    <w:rPr>
      <w:b/>
      <w:bCs/>
      <w:kern w:val="2"/>
      <w:sz w:val="24"/>
      <w:szCs w:val="24"/>
    </w:rPr>
  </w:style>
  <w:style w:type="character" w:customStyle="1" w:styleId="835">
    <w:name w:val="正文文本缩进 2 字符"/>
    <w:link w:val="39"/>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字符"/>
    <w:link w:val="52"/>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1"/>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12"/>
    <w:qFormat/>
    <w:uiPriority w:val="0"/>
    <w:rPr>
      <w:rFonts w:ascii="宋体" w:hAnsi="Courier New"/>
    </w:rPr>
  </w:style>
  <w:style w:type="character" w:customStyle="1" w:styleId="846">
    <w:name w:val="正文文本首行缩进 字符"/>
    <w:link w:val="24"/>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字符1"/>
    <w:link w:val="6"/>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字符"/>
    <w:link w:val="21"/>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13"/>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14"/>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19"/>
    <w:qFormat/>
    <w:uiPriority w:val="0"/>
    <w:rPr>
      <w:kern w:val="2"/>
      <w:sz w:val="21"/>
      <w:szCs w:val="24"/>
    </w:rPr>
  </w:style>
  <w:style w:type="character" w:customStyle="1" w:styleId="868">
    <w:name w:val="签名 字符"/>
    <w:link w:val="44"/>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公文正文 Char Char"/>
    <w:link w:val="115"/>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16"/>
    <w:qFormat/>
    <w:uiPriority w:val="0"/>
    <w:rPr>
      <w:rFonts w:ascii="宋体"/>
    </w:rPr>
  </w:style>
  <w:style w:type="character" w:customStyle="1" w:styleId="879">
    <w:name w:val="标题 8 字符"/>
    <w:link w:val="10"/>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字符"/>
    <w:link w:val="54"/>
    <w:qFormat/>
    <w:uiPriority w:val="0"/>
    <w:rPr>
      <w:kern w:val="2"/>
      <w:sz w:val="24"/>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17"/>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字符2"/>
    <w:link w:val="42"/>
    <w:qFormat/>
    <w:locked/>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18"/>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字符2"/>
    <w:link w:val="43"/>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19"/>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20"/>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1"/>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22"/>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70"/>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23"/>
    <w:qFormat/>
    <w:uiPriority w:val="0"/>
    <w:rPr>
      <w:rFonts w:cs="宋体"/>
      <w:kern w:val="2"/>
      <w:sz w:val="24"/>
    </w:rPr>
  </w:style>
  <w:style w:type="character" w:customStyle="1" w:styleId="94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5">
    <w:name w:val="gray6"/>
    <w:basedOn w:val="70"/>
    <w:qFormat/>
    <w:uiPriority w:val="0"/>
    <w:rPr>
      <w:rFonts w:ascii="Arial" w:hAnsi="Arial" w:eastAsia="黑体" w:cs="Arial"/>
      <w:snapToGrid w:val="0"/>
      <w:kern w:val="0"/>
      <w:szCs w:val="21"/>
    </w:rPr>
  </w:style>
  <w:style w:type="character" w:customStyle="1" w:styleId="946">
    <w:name w:val="hui"/>
    <w:basedOn w:val="70"/>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字符"/>
    <w:link w:val="40"/>
    <w:qFormat/>
    <w:uiPriority w:val="0"/>
    <w:rPr>
      <w:kern w:val="2"/>
      <w:sz w:val="21"/>
      <w:szCs w:val="24"/>
      <w:lang w:val="zh-CN"/>
    </w:rPr>
  </w:style>
  <w:style w:type="character" w:customStyle="1" w:styleId="953">
    <w:name w:val="无间隔 Char"/>
    <w:link w:val="173"/>
    <w:qFormat/>
    <w:uiPriority w:val="99"/>
    <w:rPr>
      <w:kern w:val="2"/>
      <w:sz w:val="21"/>
      <w:szCs w:val="22"/>
    </w:rPr>
  </w:style>
  <w:style w:type="character" w:customStyle="1" w:styleId="954">
    <w:name w:val="标准文本 Char Char"/>
    <w:link w:val="611"/>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70"/>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7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textRotate="1"/>
    <customShpInfo spid="_x0000_s2049" textRotate="1"/>
    <customShpInfo spid="_x0000_s2051"/>
    <customShpInfo spid="_x0000_s2052"/>
    <customShpInfo spid="_x0000_s2054" textRotate="1"/>
    <customShpInfo spid="_x0000_s2053" textRotate="1"/>
    <customShpInfo spid="_x0000_s2056" textRotate="1"/>
    <customShpInfo spid="_x0000_s2055" textRotate="1"/>
    <customShpInfo spid="_x0000_s2058" textRotate="1"/>
    <customShpInfo spid="_x0000_s2057" textRotate="1"/>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32827</Words>
  <Characters>34676</Characters>
  <Lines>401</Lines>
  <Paragraphs>112</Paragraphs>
  <TotalTime>6</TotalTime>
  <ScaleCrop>false</ScaleCrop>
  <LinksUpToDate>false</LinksUpToDate>
  <CharactersWithSpaces>39873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2022-01-14T08:22:00Z</dcterms:created>
  <dc:creator>玥</dc:creator>
  <cp:lastModifiedBy>杭州瑞拓工程咨询有限公司</cp:lastModifiedBy>
  <cp:lastPrinted>2022-02-28T07:13:00Z</cp:lastPrinted>
  <dcterms:modified xsi:type="dcterms:W3CDTF">2022-10-10T12:47:16Z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C3C93B690A6D49A698D271D7D54B89FF</vt:lpwstr>
  </property>
</Properties>
</file>