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line="360" w:lineRule="auto"/>
        <w:jc w:val="center"/>
        <w:rPr>
          <w:rFonts w:hint="default" w:ascii="黑体" w:eastAsia="黑体"/>
          <w:b/>
          <w:color w:val="auto"/>
          <w:sz w:val="48"/>
          <w:szCs w:val="48"/>
          <w:highlight w:val="none"/>
          <w:lang w:val="zh-CN"/>
        </w:rPr>
      </w:pPr>
      <w:r>
        <w:rPr>
          <w:rFonts w:hint="eastAsia" w:ascii="黑体" w:eastAsia="黑体"/>
          <w:b/>
          <w:color w:val="auto"/>
          <w:sz w:val="48"/>
          <w:szCs w:val="48"/>
          <w:highlight w:val="none"/>
          <w:lang w:val="zh-CN"/>
        </w:rPr>
        <w:t>长兴县卫生健康局县域医共体信息化示范提升及基层补偿机制改革二期项目</w:t>
      </w:r>
      <w:r>
        <w:rPr>
          <w:rFonts w:ascii="黑体" w:eastAsia="黑体"/>
          <w:b/>
          <w:color w:val="auto"/>
          <w:sz w:val="48"/>
          <w:szCs w:val="48"/>
          <w:highlight w:val="none"/>
          <w:lang w:val="zh-CN"/>
        </w:rPr>
        <w:t xml:space="preserve">   </w:t>
      </w:r>
    </w:p>
    <w:p>
      <w:pPr>
        <w:rPr>
          <w:rFonts w:hint="default"/>
          <w:color w:val="auto"/>
          <w:highlight w:val="none"/>
        </w:rPr>
      </w:pPr>
    </w:p>
    <w:p>
      <w:pPr>
        <w:rPr>
          <w:rFonts w:hint="default"/>
          <w:color w:val="auto"/>
          <w:highlight w:val="none"/>
        </w:rPr>
      </w:pPr>
    </w:p>
    <w:p>
      <w:pPr>
        <w:rPr>
          <w:rFonts w:hint="default"/>
          <w:color w:val="auto"/>
          <w:highlight w:val="none"/>
        </w:rPr>
      </w:pPr>
    </w:p>
    <w:p>
      <w:pPr>
        <w:pStyle w:val="8"/>
        <w:rPr>
          <w:rFonts w:hint="default"/>
          <w:color w:val="auto"/>
          <w:highlight w:val="none"/>
        </w:rPr>
      </w:pPr>
    </w:p>
    <w:p>
      <w:pPr>
        <w:rPr>
          <w:rFonts w:hint="default"/>
          <w:color w:val="auto"/>
          <w:highlight w:val="none"/>
        </w:rPr>
      </w:pPr>
    </w:p>
    <w:p>
      <w:pPr>
        <w:rPr>
          <w:rFonts w:hint="default"/>
          <w:color w:val="auto"/>
          <w:highlight w:val="none"/>
        </w:rPr>
      </w:pPr>
    </w:p>
    <w:p>
      <w:pPr>
        <w:autoSpaceDE w:val="0"/>
        <w:autoSpaceDN w:val="0"/>
        <w:spacing w:before="120" w:line="360" w:lineRule="auto"/>
        <w:jc w:val="center"/>
        <w:rPr>
          <w:rFonts w:hint="default" w:ascii="黑体" w:eastAsia="黑体"/>
          <w:color w:val="auto"/>
          <w:sz w:val="84"/>
          <w:szCs w:val="84"/>
          <w:highlight w:val="none"/>
          <w:lang w:val="zh-CN"/>
        </w:rPr>
      </w:pPr>
      <w:r>
        <w:rPr>
          <w:rFonts w:ascii="黑体" w:eastAsia="黑体"/>
          <w:color w:val="auto"/>
          <w:sz w:val="84"/>
          <w:szCs w:val="84"/>
          <w:highlight w:val="none"/>
          <w:lang w:val="zh-CN"/>
        </w:rPr>
        <w:t>招</w:t>
      </w:r>
      <w:r>
        <w:rPr>
          <w:rFonts w:ascii="黑体" w:eastAsia="黑体"/>
          <w:color w:val="auto"/>
          <w:sz w:val="84"/>
          <w:szCs w:val="84"/>
          <w:highlight w:val="none"/>
        </w:rPr>
        <w:t xml:space="preserve"> </w:t>
      </w:r>
      <w:r>
        <w:rPr>
          <w:rFonts w:ascii="黑体" w:eastAsia="黑体"/>
          <w:color w:val="auto"/>
          <w:sz w:val="84"/>
          <w:szCs w:val="84"/>
          <w:highlight w:val="none"/>
          <w:lang w:val="zh-CN"/>
        </w:rPr>
        <w:t>标</w:t>
      </w:r>
      <w:r>
        <w:rPr>
          <w:rFonts w:ascii="黑体" w:eastAsia="黑体"/>
          <w:color w:val="auto"/>
          <w:sz w:val="84"/>
          <w:szCs w:val="84"/>
          <w:highlight w:val="none"/>
        </w:rPr>
        <w:t xml:space="preserve"> </w:t>
      </w:r>
      <w:r>
        <w:rPr>
          <w:rFonts w:ascii="黑体" w:eastAsia="黑体"/>
          <w:color w:val="auto"/>
          <w:sz w:val="84"/>
          <w:szCs w:val="84"/>
          <w:highlight w:val="none"/>
          <w:lang w:val="zh-CN"/>
        </w:rPr>
        <w:t>文</w:t>
      </w:r>
      <w:r>
        <w:rPr>
          <w:rFonts w:ascii="黑体" w:eastAsia="黑体"/>
          <w:color w:val="auto"/>
          <w:sz w:val="84"/>
          <w:szCs w:val="84"/>
          <w:highlight w:val="none"/>
        </w:rPr>
        <w:t xml:space="preserve"> </w:t>
      </w:r>
      <w:r>
        <w:rPr>
          <w:rFonts w:ascii="黑体" w:eastAsia="黑体"/>
          <w:color w:val="auto"/>
          <w:sz w:val="84"/>
          <w:szCs w:val="84"/>
          <w:highlight w:val="none"/>
          <w:lang w:val="zh-CN"/>
        </w:rPr>
        <w:t>件</w:t>
      </w:r>
    </w:p>
    <w:p>
      <w:pPr>
        <w:spacing w:line="360" w:lineRule="auto"/>
        <w:jc w:val="center"/>
        <w:rPr>
          <w:rFonts w:hint="default" w:ascii="宋体" w:hAnsi="宋体"/>
          <w:b/>
          <w:color w:val="auto"/>
          <w:sz w:val="36"/>
          <w:szCs w:val="36"/>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pStyle w:val="9"/>
        <w:ind w:firstLine="210"/>
        <w:rPr>
          <w:rFonts w:hint="default"/>
          <w:color w:val="auto"/>
          <w:highlight w:val="none"/>
        </w:rPr>
      </w:pPr>
    </w:p>
    <w:p>
      <w:pPr>
        <w:adjustRightInd w:val="0"/>
        <w:snapToGrid w:val="0"/>
        <w:spacing w:line="600" w:lineRule="exact"/>
        <w:ind w:firstLine="298" w:firstLineChars="99"/>
        <w:rPr>
          <w:rFonts w:hint="default" w:ascii="宋体" w:hAnsi="宋体"/>
          <w:b/>
          <w:snapToGrid w:val="0"/>
          <w:color w:val="auto"/>
          <w:sz w:val="30"/>
          <w:szCs w:val="30"/>
          <w:highlight w:val="none"/>
        </w:rPr>
      </w:pPr>
      <w:r>
        <w:rPr>
          <w:rFonts w:ascii="宋体" w:hAnsi="宋体"/>
          <w:b/>
          <w:snapToGrid w:val="0"/>
          <w:color w:val="auto"/>
          <w:sz w:val="30"/>
          <w:szCs w:val="30"/>
          <w:highlight w:val="none"/>
        </w:rPr>
        <w:t xml:space="preserve">    </w:t>
      </w:r>
    </w:p>
    <w:p>
      <w:pPr>
        <w:pStyle w:val="11"/>
        <w:spacing w:before="120" w:after="120" w:line="360" w:lineRule="auto"/>
        <w:ind w:firstLine="596" w:firstLineChars="198"/>
        <w:rPr>
          <w:rFonts w:hint="eastAsia" w:hAnsi="宋体" w:eastAsia="宋体"/>
          <w:b/>
          <w:bCs/>
          <w:color w:val="auto"/>
          <w:sz w:val="30"/>
          <w:szCs w:val="30"/>
          <w:highlight w:val="none"/>
          <w:lang w:eastAsia="zh-CN"/>
        </w:rPr>
      </w:pPr>
      <w:r>
        <w:rPr>
          <w:rFonts w:hint="eastAsia" w:hAnsi="宋体"/>
          <w:b/>
          <w:bCs/>
          <w:color w:val="auto"/>
          <w:sz w:val="30"/>
          <w:szCs w:val="30"/>
          <w:highlight w:val="none"/>
        </w:rPr>
        <w:t xml:space="preserve"> 项目编号：</w:t>
      </w:r>
      <w:r>
        <w:rPr>
          <w:rFonts w:hint="eastAsia" w:hAnsi="宋体"/>
          <w:b/>
          <w:bCs/>
          <w:color w:val="auto"/>
          <w:sz w:val="30"/>
          <w:szCs w:val="30"/>
          <w:highlight w:val="none"/>
          <w:lang w:eastAsia="zh-CN"/>
        </w:rPr>
        <w:t>ZJJWCG-2020-070</w:t>
      </w:r>
    </w:p>
    <w:p>
      <w:pPr>
        <w:pStyle w:val="11"/>
        <w:spacing w:before="120" w:after="120" w:line="360" w:lineRule="auto"/>
        <w:ind w:firstLine="596" w:firstLineChars="198"/>
        <w:rPr>
          <w:rFonts w:hint="eastAsia" w:hAnsi="宋体"/>
          <w:b/>
          <w:bCs/>
          <w:color w:val="auto"/>
          <w:sz w:val="30"/>
          <w:szCs w:val="30"/>
          <w:highlight w:val="none"/>
        </w:rPr>
      </w:pPr>
      <w:r>
        <w:rPr>
          <w:rFonts w:hint="eastAsia" w:hAnsi="宋体"/>
          <w:b/>
          <w:bCs/>
          <w:color w:val="auto"/>
          <w:sz w:val="30"/>
          <w:szCs w:val="30"/>
          <w:highlight w:val="none"/>
        </w:rPr>
        <w:t xml:space="preserve"> 项目名称：长兴县卫生健康局县域医共体信息化示范提升</w:t>
      </w:r>
    </w:p>
    <w:p>
      <w:pPr>
        <w:pStyle w:val="11"/>
        <w:spacing w:before="120" w:after="120" w:line="360" w:lineRule="auto"/>
        <w:ind w:firstLine="2403" w:firstLineChars="798"/>
        <w:rPr>
          <w:rFonts w:hAnsi="宋体"/>
          <w:b/>
          <w:bCs/>
          <w:color w:val="auto"/>
          <w:sz w:val="30"/>
          <w:szCs w:val="30"/>
          <w:highlight w:val="none"/>
        </w:rPr>
      </w:pPr>
      <w:r>
        <w:rPr>
          <w:rFonts w:hint="eastAsia" w:hAnsi="宋体"/>
          <w:b/>
          <w:bCs/>
          <w:color w:val="auto"/>
          <w:sz w:val="30"/>
          <w:szCs w:val="30"/>
          <w:highlight w:val="none"/>
        </w:rPr>
        <w:t>及基层补偿机制改革二期项目</w:t>
      </w:r>
    </w:p>
    <w:p>
      <w:pPr>
        <w:pStyle w:val="11"/>
        <w:spacing w:before="120" w:after="120" w:line="360" w:lineRule="auto"/>
        <w:ind w:firstLine="596" w:firstLineChars="198"/>
        <w:rPr>
          <w:rFonts w:hAnsi="宋体"/>
          <w:b/>
          <w:bCs/>
          <w:color w:val="auto"/>
          <w:sz w:val="30"/>
          <w:szCs w:val="30"/>
          <w:highlight w:val="none"/>
        </w:rPr>
      </w:pPr>
      <w:r>
        <w:rPr>
          <w:rFonts w:hint="eastAsia" w:hAnsi="宋体"/>
          <w:b/>
          <w:bCs/>
          <w:color w:val="auto"/>
          <w:sz w:val="30"/>
          <w:szCs w:val="30"/>
          <w:highlight w:val="none"/>
        </w:rPr>
        <w:t xml:space="preserve"> 采 购 人：长兴县卫生健康局</w:t>
      </w:r>
    </w:p>
    <w:p>
      <w:pPr>
        <w:pStyle w:val="11"/>
        <w:spacing w:before="120" w:after="120" w:line="360" w:lineRule="auto"/>
        <w:ind w:firstLine="596" w:firstLineChars="198"/>
        <w:rPr>
          <w:rFonts w:hAnsi="宋体"/>
          <w:b/>
          <w:bCs/>
          <w:color w:val="auto"/>
          <w:sz w:val="30"/>
          <w:szCs w:val="30"/>
          <w:highlight w:val="none"/>
        </w:rPr>
      </w:pPr>
      <w:r>
        <w:rPr>
          <w:rFonts w:hint="eastAsia" w:hAnsi="宋体"/>
          <w:b/>
          <w:bCs/>
          <w:color w:val="auto"/>
          <w:sz w:val="30"/>
          <w:szCs w:val="30"/>
          <w:highlight w:val="none"/>
        </w:rPr>
        <w:t xml:space="preserve"> </w:t>
      </w:r>
      <w:r>
        <w:rPr>
          <w:rFonts w:hAnsi="宋体"/>
          <w:b/>
          <w:bCs/>
          <w:color w:val="auto"/>
          <w:sz w:val="30"/>
          <w:szCs w:val="30"/>
          <w:highlight w:val="none"/>
        </w:rPr>
        <w:t>代理机构：</w:t>
      </w:r>
      <w:r>
        <w:rPr>
          <w:rFonts w:hint="eastAsia" w:hAnsi="宋体"/>
          <w:b/>
          <w:bCs/>
          <w:color w:val="auto"/>
          <w:sz w:val="30"/>
          <w:szCs w:val="30"/>
          <w:highlight w:val="none"/>
        </w:rPr>
        <w:t xml:space="preserve">浙江经纬工程项目管理有限公司 </w:t>
      </w:r>
    </w:p>
    <w:p>
      <w:pPr>
        <w:autoSpaceDE w:val="0"/>
        <w:autoSpaceDN w:val="0"/>
        <w:spacing w:before="120"/>
        <w:jc w:val="center"/>
        <w:rPr>
          <w:rFonts w:hint="default" w:ascii="黑体" w:eastAsia="黑体"/>
          <w:color w:val="auto"/>
          <w:sz w:val="30"/>
          <w:highlight w:val="none"/>
          <w:lang w:val="zh-CN"/>
        </w:rPr>
      </w:pPr>
      <w:r>
        <w:rPr>
          <w:rFonts w:ascii="黑体" w:eastAsia="黑体"/>
          <w:color w:val="auto"/>
          <w:sz w:val="30"/>
          <w:highlight w:val="none"/>
          <w:lang w:val="zh-CN"/>
        </w:rPr>
        <w:t xml:space="preserve"> </w:t>
      </w:r>
      <w:bookmarkStart w:id="0" w:name="OLE_LINK23"/>
      <w:r>
        <w:rPr>
          <w:rFonts w:ascii="黑体" w:eastAsia="黑体"/>
          <w:color w:val="auto"/>
          <w:sz w:val="30"/>
          <w:highlight w:val="none"/>
          <w:lang w:val="zh-CN"/>
        </w:rPr>
        <w:t xml:space="preserve"> </w:t>
      </w:r>
    </w:p>
    <w:p>
      <w:pPr>
        <w:autoSpaceDE w:val="0"/>
        <w:autoSpaceDN w:val="0"/>
        <w:spacing w:before="120"/>
        <w:jc w:val="center"/>
        <w:rPr>
          <w:rFonts w:hint="default" w:ascii="宋体" w:hAnsi="宋体"/>
          <w:b/>
          <w:snapToGrid w:val="0"/>
          <w:color w:val="auto"/>
          <w:spacing w:val="20"/>
          <w:kern w:val="0"/>
          <w:sz w:val="30"/>
          <w:szCs w:val="30"/>
          <w:highlight w:val="none"/>
        </w:rPr>
      </w:pPr>
      <w:r>
        <w:rPr>
          <w:rFonts w:ascii="宋体" w:hAnsi="宋体"/>
          <w:b/>
          <w:snapToGrid w:val="0"/>
          <w:color w:val="auto"/>
          <w:kern w:val="0"/>
          <w:sz w:val="30"/>
          <w:szCs w:val="30"/>
          <w:highlight w:val="none"/>
        </w:rPr>
        <w:t>日    期：</w:t>
      </w:r>
      <w:r>
        <w:rPr>
          <w:rFonts w:ascii="宋体" w:hAnsi="宋体"/>
          <w:b/>
          <w:snapToGrid w:val="0"/>
          <w:color w:val="auto"/>
          <w:spacing w:val="20"/>
          <w:kern w:val="0"/>
          <w:sz w:val="30"/>
          <w:szCs w:val="30"/>
          <w:highlight w:val="none"/>
        </w:rPr>
        <w:t xml:space="preserve">二○二○ 年 </w:t>
      </w:r>
      <w:r>
        <w:rPr>
          <w:rFonts w:hint="eastAsia" w:ascii="宋体" w:hAnsi="宋体"/>
          <w:b/>
          <w:snapToGrid w:val="0"/>
          <w:color w:val="auto"/>
          <w:spacing w:val="20"/>
          <w:kern w:val="0"/>
          <w:sz w:val="30"/>
          <w:szCs w:val="30"/>
          <w:highlight w:val="none"/>
          <w:lang w:eastAsia="zh-CN"/>
        </w:rPr>
        <w:t>十一</w:t>
      </w:r>
      <w:r>
        <w:rPr>
          <w:rFonts w:ascii="宋体" w:hAnsi="宋体"/>
          <w:b/>
          <w:snapToGrid w:val="0"/>
          <w:color w:val="auto"/>
          <w:spacing w:val="20"/>
          <w:kern w:val="0"/>
          <w:sz w:val="30"/>
          <w:szCs w:val="30"/>
          <w:highlight w:val="none"/>
        </w:rPr>
        <w:t xml:space="preserve"> 月</w:t>
      </w:r>
      <w:bookmarkEnd w:id="0"/>
    </w:p>
    <w:p>
      <w:pPr>
        <w:autoSpaceDE w:val="0"/>
        <w:autoSpaceDN w:val="0"/>
        <w:spacing w:before="120"/>
        <w:rPr>
          <w:rFonts w:hint="default" w:ascii="宋体" w:hAnsi="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p>
    <w:p>
      <w:pPr>
        <w:rPr>
          <w:rFonts w:hint="default"/>
          <w:color w:val="auto"/>
          <w:highlight w:val="none"/>
        </w:rPr>
      </w:pPr>
    </w:p>
    <w:p>
      <w:pPr>
        <w:autoSpaceDE w:val="0"/>
        <w:autoSpaceDN w:val="0"/>
        <w:spacing w:before="120" w:after="120" w:line="400" w:lineRule="exact"/>
        <w:jc w:val="center"/>
        <w:rPr>
          <w:rFonts w:hint="default" w:ascii="黑体" w:hAnsi="黑体" w:eastAsia="黑体" w:cs="黑体"/>
          <w:b/>
          <w:bCs/>
          <w:color w:val="auto"/>
          <w:sz w:val="36"/>
          <w:szCs w:val="36"/>
          <w:highlight w:val="none"/>
          <w:lang w:val="zh-CN"/>
        </w:rPr>
      </w:pPr>
      <w:r>
        <w:rPr>
          <w:rFonts w:ascii="黑体" w:hAnsi="黑体" w:eastAsia="黑体" w:cs="黑体"/>
          <w:b/>
          <w:bCs/>
          <w:color w:val="auto"/>
          <w:sz w:val="36"/>
          <w:szCs w:val="36"/>
          <w:highlight w:val="none"/>
          <w:lang w:val="zh-CN"/>
        </w:rPr>
        <w:t>目    录</w:t>
      </w:r>
    </w:p>
    <w:p>
      <w:pPr>
        <w:autoSpaceDE w:val="0"/>
        <w:autoSpaceDN w:val="0"/>
        <w:spacing w:before="120" w:after="120" w:line="400" w:lineRule="exact"/>
        <w:jc w:val="center"/>
        <w:rPr>
          <w:rFonts w:hint="default" w:ascii="黑体" w:hAnsi="黑体" w:eastAsia="黑体" w:cs="黑体"/>
          <w:color w:val="auto"/>
          <w:sz w:val="32"/>
          <w:szCs w:val="32"/>
          <w:highlight w:val="none"/>
          <w:lang w:val="zh-CN"/>
        </w:rPr>
      </w:pPr>
    </w:p>
    <w:p>
      <w:pPr>
        <w:autoSpaceDE w:val="0"/>
        <w:autoSpaceDN w:val="0"/>
        <w:spacing w:before="120" w:after="120" w:line="400" w:lineRule="exact"/>
        <w:jc w:val="center"/>
        <w:rPr>
          <w:rFonts w:hint="default" w:ascii="黑体" w:hAnsi="黑体" w:eastAsia="黑体" w:cs="黑体"/>
          <w:color w:val="auto"/>
          <w:sz w:val="32"/>
          <w:szCs w:val="32"/>
          <w:highlight w:val="none"/>
          <w:lang w:val="zh-CN"/>
        </w:rPr>
      </w:pPr>
    </w:p>
    <w:p>
      <w:pPr>
        <w:rPr>
          <w:rFonts w:hint="default"/>
          <w:color w:val="auto"/>
          <w:highlight w:val="none"/>
        </w:rPr>
      </w:pP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4"/>
          <w:rFonts w:hint="eastAsia" w:cs="宋体"/>
          <w:color w:val="auto"/>
          <w:sz w:val="24"/>
          <w:szCs w:val="24"/>
          <w:highlight w:val="none"/>
        </w:rPr>
        <w:t>第一章  招标公告</w:t>
      </w:r>
      <w:r>
        <w:rPr>
          <w:rFonts w:cs="宋体"/>
          <w:color w:val="auto"/>
          <w:sz w:val="24"/>
          <w:szCs w:val="24"/>
          <w:highlight w:val="none"/>
        </w:rPr>
        <w:tab/>
      </w:r>
      <w:r>
        <w:rPr>
          <w:rFonts w:cs="宋体"/>
          <w:color w:val="auto"/>
          <w:sz w:val="24"/>
          <w:szCs w:val="24"/>
          <w:highlight w:val="none"/>
        </w:rPr>
        <w:t>2</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4"/>
          <w:rFonts w:hint="eastAsia" w:cs="宋体"/>
          <w:color w:val="auto"/>
          <w:sz w:val="24"/>
          <w:szCs w:val="24"/>
          <w:highlight w:val="none"/>
        </w:rPr>
        <w:t>第二章  采购需求</w:t>
      </w:r>
      <w:r>
        <w:rPr>
          <w:rFonts w:cs="宋体"/>
          <w:color w:val="auto"/>
          <w:sz w:val="24"/>
          <w:szCs w:val="24"/>
          <w:highlight w:val="none"/>
        </w:rPr>
        <w:tab/>
      </w:r>
      <w:r>
        <w:rPr>
          <w:rFonts w:cs="宋体"/>
          <w:color w:val="auto"/>
          <w:sz w:val="24"/>
          <w:szCs w:val="24"/>
          <w:highlight w:val="none"/>
        </w:rPr>
        <w:t>5</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4"/>
          <w:rFonts w:hint="eastAsia" w:cs="宋体"/>
          <w:color w:val="auto"/>
          <w:sz w:val="24"/>
          <w:szCs w:val="24"/>
          <w:highlight w:val="none"/>
        </w:rPr>
        <w:t>第三章  投标人须知</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32</w:t>
      </w:r>
    </w:p>
    <w:p>
      <w:pPr>
        <w:pStyle w:val="16"/>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4"/>
          <w:rFonts w:hint="eastAsia" w:cs="宋体"/>
          <w:color w:val="auto"/>
          <w:sz w:val="24"/>
          <w:szCs w:val="24"/>
          <w:highlight w:val="none"/>
        </w:rPr>
        <w:t>第四章  评标方法及评分标准</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4</w:t>
      </w:r>
      <w:r>
        <w:rPr>
          <w:rFonts w:hint="eastAsia" w:cs="宋体"/>
          <w:color w:val="auto"/>
          <w:sz w:val="24"/>
          <w:szCs w:val="24"/>
          <w:highlight w:val="none"/>
          <w:lang w:val="en-US" w:eastAsia="zh-CN"/>
        </w:rPr>
        <w:t>4</w:t>
      </w:r>
    </w:p>
    <w:p>
      <w:pPr>
        <w:pStyle w:val="16"/>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4"/>
          <w:rFonts w:hint="eastAsia" w:cs="宋体"/>
          <w:color w:val="auto"/>
          <w:sz w:val="24"/>
          <w:szCs w:val="24"/>
          <w:highlight w:val="none"/>
        </w:rPr>
        <w:t>第五章  合同主要条款</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4</w:t>
      </w:r>
      <w:r>
        <w:rPr>
          <w:rFonts w:hint="eastAsia" w:cs="宋体"/>
          <w:color w:val="auto"/>
          <w:sz w:val="24"/>
          <w:szCs w:val="24"/>
          <w:highlight w:val="none"/>
          <w:lang w:val="en-US" w:eastAsia="zh-CN"/>
        </w:rPr>
        <w:t>8</w:t>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4"/>
          <w:rFonts w:hint="eastAsia" w:cs="宋体"/>
          <w:color w:val="auto"/>
          <w:sz w:val="24"/>
          <w:szCs w:val="24"/>
          <w:highlight w:val="none"/>
        </w:rPr>
        <w:t>第六章　投标文件格式</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51</w:t>
      </w:r>
    </w:p>
    <w:p>
      <w:pPr>
        <w:spacing w:line="480" w:lineRule="auto"/>
        <w:rPr>
          <w:rFonts w:hint="default"/>
          <w:color w:val="auto"/>
          <w:highlight w:val="none"/>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rFonts w:ascii="宋体" w:hAnsi="宋体" w:cs="宋体"/>
          <w:color w:val="auto"/>
          <w:sz w:val="24"/>
          <w:szCs w:val="24"/>
          <w:highlight w:val="none"/>
          <w:lang w:val="zh-CN"/>
        </w:rPr>
        <w:fldChar w:fldCharType="end"/>
      </w:r>
    </w:p>
    <w:p>
      <w:pPr>
        <w:pStyle w:val="2"/>
        <w:numPr>
          <w:ilvl w:val="0"/>
          <w:numId w:val="2"/>
        </w:numPr>
        <w:spacing w:before="0" w:after="0"/>
        <w:rPr>
          <w:color w:val="auto"/>
          <w:sz w:val="30"/>
          <w:szCs w:val="30"/>
          <w:highlight w:val="none"/>
        </w:rPr>
      </w:pPr>
      <w:bookmarkStart w:id="1" w:name="_Toc423016462"/>
      <w:r>
        <w:rPr>
          <w:color w:val="auto"/>
          <w:sz w:val="30"/>
          <w:szCs w:val="30"/>
          <w:highlight w:val="none"/>
        </w:rPr>
        <w:t xml:space="preserve"> 招标公告</w:t>
      </w:r>
      <w:bookmarkEnd w:id="1"/>
    </w:p>
    <w:p>
      <w:pPr>
        <w:pStyle w:val="8"/>
        <w:rPr>
          <w:rFonts w:hint="default"/>
          <w:color w:val="auto"/>
          <w:sz w:val="21"/>
          <w:szCs w:val="21"/>
          <w:highlight w:val="none"/>
        </w:rPr>
      </w:pPr>
      <w:r>
        <w:rPr>
          <w:color w:val="auto"/>
          <w:sz w:val="21"/>
          <w:highlight w:val="none"/>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1" name="文本框 2"/>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default" w:ascii="宋体" w:hAnsi="宋体" w:cs="宋体"/>
                                <w:color w:val="auto"/>
                              </w:rPr>
                            </w:pPr>
                            <w:r>
                              <w:rPr>
                                <w:rFonts w:ascii="宋体" w:hAnsi="宋体" w:cs="宋体"/>
                              </w:rPr>
                              <w:t>项目概况</w:t>
                            </w:r>
                          </w:p>
                          <w:p>
                            <w:pPr>
                              <w:jc w:val="left"/>
                              <w:rPr>
                                <w:rFonts w:hint="default" w:ascii="宋体" w:hAnsi="宋体" w:cs="宋体"/>
                                <w:color w:val="auto"/>
                              </w:rPr>
                            </w:pPr>
                            <w:r>
                              <w:rPr>
                                <w:rFonts w:ascii="宋体" w:hAnsi="宋体" w:cs="宋体"/>
                                <w:color w:val="auto"/>
                              </w:rPr>
                              <w:t xml:space="preserve">    </w:t>
                            </w:r>
                            <w:r>
                              <w:rPr>
                                <w:rFonts w:hint="eastAsia" w:ascii="宋体" w:hAnsi="宋体" w:cs="宋体"/>
                                <w:color w:val="auto"/>
                                <w:lang w:eastAsia="zh-CN"/>
                              </w:rPr>
                              <w:t>长兴县卫生健康局县域医共体信息化示范提升及基层补偿机制改革二期项目</w:t>
                            </w:r>
                            <w:r>
                              <w:rPr>
                                <w:rFonts w:ascii="宋体" w:hAnsi="宋体" w:cs="宋体"/>
                                <w:color w:val="auto"/>
                              </w:rPr>
                              <w:t>招标项目的潜在投标人应在政府采购云平台（www.zcygov.cn）获取（下载）招标文件，并于2020年1</w:t>
                            </w:r>
                            <w:r>
                              <w:rPr>
                                <w:rFonts w:hint="eastAsia" w:ascii="宋体" w:hAnsi="宋体" w:cs="宋体"/>
                                <w:color w:val="auto"/>
                                <w:lang w:val="en-US" w:eastAsia="zh-CN"/>
                              </w:rPr>
                              <w:t>2</w:t>
                            </w:r>
                            <w:r>
                              <w:rPr>
                                <w:rFonts w:ascii="宋体" w:hAnsi="宋体" w:cs="宋体"/>
                                <w:color w:val="auto"/>
                              </w:rPr>
                              <w:t>月</w:t>
                            </w:r>
                            <w:r>
                              <w:rPr>
                                <w:rFonts w:hint="eastAsia" w:ascii="宋体" w:hAnsi="宋体" w:cs="宋体"/>
                                <w:color w:val="auto"/>
                                <w:lang w:val="en-US" w:eastAsia="zh-CN"/>
                              </w:rPr>
                              <w:t>07</w:t>
                            </w:r>
                            <w:r>
                              <w:rPr>
                                <w:rFonts w:ascii="宋体" w:hAnsi="宋体" w:cs="宋体"/>
                                <w:color w:val="auto"/>
                              </w:rPr>
                              <w:t>日</w:t>
                            </w:r>
                            <w:r>
                              <w:rPr>
                                <w:rFonts w:ascii="宋体" w:hAnsi="宋体" w:cs="宋体"/>
                                <w:color w:val="auto"/>
                              </w:rPr>
                              <w:t>09：00（北京时间）前递交（上传）投标文件。</w:t>
                            </w:r>
                          </w:p>
                        </w:txbxContent>
                      </wps:txbx>
                      <wps:bodyPr upright="1"/>
                    </wps:wsp>
                  </a:graphicData>
                </a:graphic>
              </wp:anchor>
            </w:drawing>
          </mc:Choice>
          <mc:Fallback>
            <w:pict>
              <v:shape id="文本框 2" o:spid="_x0000_s1026" o:spt="202" type="#_x0000_t202" style="position:absolute;left:0pt;margin-left:2.35pt;margin-top:0.95pt;height:68.2pt;width:461.25pt;z-index:251658240;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DWPdHVAAAABwEAAA8AAAAAAAAAAQAgAAAAIgAA&#10;AGRycy9kb3ducmV2LnhtbFBLAQIUABQAAAAIAIdO4kDCGRAFCwIAADYEAAAOAAAAAAAAAAEAIAAA&#10;ACQBAABkcnMvZTJvRG9jLnhtbFBLBQYAAAAABgAGAFkBAAChBQAAAAA=&#10;">
                <v:fill on="t" focussize="0,0"/>
                <v:stroke color="#000000" joinstyle="miter"/>
                <v:imagedata o:title=""/>
                <o:lock v:ext="edit" aspectratio="f"/>
                <v:textbox>
                  <w:txbxContent>
                    <w:p>
                      <w:pPr>
                        <w:ind w:firstLine="420" w:firstLineChars="200"/>
                        <w:rPr>
                          <w:rFonts w:hint="default" w:ascii="宋体" w:hAnsi="宋体" w:cs="宋体"/>
                          <w:color w:val="auto"/>
                        </w:rPr>
                      </w:pPr>
                      <w:r>
                        <w:rPr>
                          <w:rFonts w:ascii="宋体" w:hAnsi="宋体" w:cs="宋体"/>
                        </w:rPr>
                        <w:t>项目概况</w:t>
                      </w:r>
                    </w:p>
                    <w:p>
                      <w:pPr>
                        <w:jc w:val="left"/>
                        <w:rPr>
                          <w:rFonts w:hint="default" w:ascii="宋体" w:hAnsi="宋体" w:cs="宋体"/>
                          <w:color w:val="auto"/>
                        </w:rPr>
                      </w:pPr>
                      <w:r>
                        <w:rPr>
                          <w:rFonts w:ascii="宋体" w:hAnsi="宋体" w:cs="宋体"/>
                          <w:color w:val="auto"/>
                        </w:rPr>
                        <w:t xml:space="preserve">    </w:t>
                      </w:r>
                      <w:r>
                        <w:rPr>
                          <w:rFonts w:hint="eastAsia" w:ascii="宋体" w:hAnsi="宋体" w:cs="宋体"/>
                          <w:color w:val="auto"/>
                          <w:lang w:eastAsia="zh-CN"/>
                        </w:rPr>
                        <w:t>长兴县卫生健康局县域医共体信息化示范提升及基层补偿机制改革二期项目</w:t>
                      </w:r>
                      <w:r>
                        <w:rPr>
                          <w:rFonts w:ascii="宋体" w:hAnsi="宋体" w:cs="宋体"/>
                          <w:color w:val="auto"/>
                        </w:rPr>
                        <w:t>招标项目的潜在投标人应在政府采购云平台（www.zcygov.cn）获取（下载）招标文件，并于2020年1</w:t>
                      </w:r>
                      <w:r>
                        <w:rPr>
                          <w:rFonts w:hint="eastAsia" w:ascii="宋体" w:hAnsi="宋体" w:cs="宋体"/>
                          <w:color w:val="auto"/>
                          <w:lang w:val="en-US" w:eastAsia="zh-CN"/>
                        </w:rPr>
                        <w:t>2</w:t>
                      </w:r>
                      <w:r>
                        <w:rPr>
                          <w:rFonts w:ascii="宋体" w:hAnsi="宋体" w:cs="宋体"/>
                          <w:color w:val="auto"/>
                        </w:rPr>
                        <w:t>月</w:t>
                      </w:r>
                      <w:r>
                        <w:rPr>
                          <w:rFonts w:hint="eastAsia" w:ascii="宋体" w:hAnsi="宋体" w:cs="宋体"/>
                          <w:color w:val="auto"/>
                          <w:lang w:val="en-US" w:eastAsia="zh-CN"/>
                        </w:rPr>
                        <w:t>07</w:t>
                      </w:r>
                      <w:r>
                        <w:rPr>
                          <w:rFonts w:ascii="宋体" w:hAnsi="宋体" w:cs="宋体"/>
                          <w:color w:val="auto"/>
                        </w:rPr>
                        <w:t>日</w:t>
                      </w:r>
                      <w:r>
                        <w:rPr>
                          <w:rFonts w:ascii="宋体" w:hAnsi="宋体" w:cs="宋体"/>
                          <w:color w:val="auto"/>
                        </w:rPr>
                        <w:t>09：00（北京时间）前递交（上传）投标文件。</w:t>
                      </w:r>
                    </w:p>
                  </w:txbxContent>
                </v:textbox>
              </v:shape>
            </w:pict>
          </mc:Fallback>
        </mc:AlternateContent>
      </w:r>
    </w:p>
    <w:p>
      <w:pPr>
        <w:pStyle w:val="8"/>
        <w:rPr>
          <w:rFonts w:hint="default"/>
          <w:color w:val="auto"/>
          <w:sz w:val="52"/>
          <w:szCs w:val="52"/>
          <w:highlight w:val="none"/>
        </w:rPr>
      </w:pPr>
    </w:p>
    <w:p>
      <w:pPr>
        <w:widowControl/>
        <w:spacing w:line="360" w:lineRule="exact"/>
        <w:ind w:firstLine="422" w:firstLineChars="200"/>
        <w:rPr>
          <w:rFonts w:hint="default"/>
          <w:b/>
          <w:bCs/>
          <w:color w:val="auto"/>
          <w:kern w:val="0"/>
          <w:szCs w:val="21"/>
          <w:highlight w:val="none"/>
        </w:rPr>
      </w:pPr>
      <w:r>
        <w:rPr>
          <w:b/>
          <w:bCs/>
          <w:color w:val="auto"/>
          <w:kern w:val="0"/>
          <w:szCs w:val="21"/>
          <w:highlight w:val="none"/>
        </w:rPr>
        <w:t>一、项目基本情况</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ZJJWCG-2020-070</w:t>
      </w:r>
      <w:bookmarkStart w:id="44" w:name="_GoBack"/>
      <w:bookmarkEnd w:id="44"/>
    </w:p>
    <w:p>
      <w:pPr>
        <w:widowControl/>
        <w:spacing w:line="360" w:lineRule="exact"/>
        <w:ind w:firstLine="420" w:firstLineChars="200"/>
        <w:rPr>
          <w:rFonts w:hint="eastAsia" w:eastAsia="宋体"/>
          <w:color w:val="auto"/>
          <w:kern w:val="0"/>
          <w:szCs w:val="21"/>
          <w:highlight w:val="none"/>
          <w:lang w:eastAsia="zh-CN"/>
        </w:rPr>
      </w:pPr>
      <w:r>
        <w:rPr>
          <w:color w:val="auto"/>
          <w:kern w:val="0"/>
          <w:szCs w:val="21"/>
          <w:highlight w:val="none"/>
        </w:rPr>
        <w:t>项目名称：</w:t>
      </w:r>
      <w:r>
        <w:rPr>
          <w:rFonts w:hint="eastAsia"/>
          <w:color w:val="auto"/>
          <w:highlight w:val="none"/>
          <w:lang w:eastAsia="zh-CN"/>
        </w:rPr>
        <w:t>长兴县卫生健康局县域医共体信息化示范提升及基层补偿机制改革二期项目</w:t>
      </w:r>
    </w:p>
    <w:p>
      <w:pPr>
        <w:widowControl/>
        <w:spacing w:line="360" w:lineRule="exact"/>
        <w:ind w:firstLine="420" w:firstLineChars="200"/>
        <w:rPr>
          <w:rFonts w:hint="default"/>
          <w:color w:val="auto"/>
          <w:kern w:val="0"/>
          <w:szCs w:val="21"/>
          <w:highlight w:val="none"/>
        </w:rPr>
      </w:pPr>
      <w:r>
        <w:rPr>
          <w:color w:val="auto"/>
          <w:kern w:val="0"/>
          <w:szCs w:val="21"/>
          <w:highlight w:val="none"/>
        </w:rPr>
        <w:t>采购方式：公开招标</w:t>
      </w:r>
    </w:p>
    <w:p>
      <w:pPr>
        <w:widowControl/>
        <w:spacing w:line="360" w:lineRule="exact"/>
        <w:ind w:firstLine="420" w:firstLineChars="200"/>
        <w:rPr>
          <w:rFonts w:hint="eastAsia" w:eastAsia="宋体"/>
          <w:color w:val="auto"/>
          <w:kern w:val="0"/>
          <w:szCs w:val="21"/>
          <w:highlight w:val="none"/>
          <w:lang w:eastAsia="zh-CN"/>
        </w:rPr>
      </w:pPr>
      <w:r>
        <w:rPr>
          <w:color w:val="auto"/>
          <w:kern w:val="0"/>
          <w:szCs w:val="21"/>
          <w:highlight w:val="none"/>
        </w:rPr>
        <w:t>预算金额（元）：</w:t>
      </w:r>
      <w:r>
        <w:rPr>
          <w:rFonts w:hint="eastAsia"/>
          <w:color w:val="auto"/>
          <w:kern w:val="0"/>
          <w:szCs w:val="21"/>
          <w:highlight w:val="none"/>
          <w:lang w:eastAsia="zh-CN"/>
        </w:rPr>
        <w:t>5300000</w:t>
      </w:r>
    </w:p>
    <w:p>
      <w:pPr>
        <w:widowControl/>
        <w:spacing w:line="360" w:lineRule="exact"/>
        <w:ind w:firstLine="420" w:firstLineChars="200"/>
        <w:rPr>
          <w:rFonts w:hint="eastAsia" w:eastAsia="宋体"/>
          <w:color w:val="auto"/>
          <w:kern w:val="0"/>
          <w:szCs w:val="21"/>
          <w:highlight w:val="none"/>
          <w:lang w:eastAsia="zh-CN"/>
        </w:rPr>
      </w:pPr>
      <w:r>
        <w:rPr>
          <w:color w:val="auto"/>
          <w:kern w:val="0"/>
          <w:szCs w:val="21"/>
          <w:highlight w:val="none"/>
        </w:rPr>
        <w:t>最高限价（元）：</w:t>
      </w:r>
      <w:r>
        <w:rPr>
          <w:rFonts w:hint="eastAsia"/>
          <w:color w:val="auto"/>
          <w:kern w:val="0"/>
          <w:szCs w:val="21"/>
          <w:highlight w:val="none"/>
          <w:lang w:eastAsia="zh-CN"/>
        </w:rPr>
        <w:t>5300000</w:t>
      </w:r>
    </w:p>
    <w:p>
      <w:pPr>
        <w:widowControl/>
        <w:spacing w:line="360" w:lineRule="exact"/>
        <w:ind w:firstLine="420" w:firstLineChars="200"/>
        <w:jc w:val="left"/>
        <w:rPr>
          <w:rFonts w:hint="default"/>
          <w:color w:val="auto"/>
          <w:kern w:val="0"/>
          <w:szCs w:val="21"/>
          <w:highlight w:val="none"/>
        </w:rPr>
      </w:pPr>
      <w:r>
        <w:rPr>
          <w:color w:val="auto"/>
          <w:kern w:val="0"/>
          <w:szCs w:val="21"/>
          <w:highlight w:val="none"/>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15"/>
        <w:gridCol w:w="945"/>
        <w:gridCol w:w="792"/>
        <w:gridCol w:w="1155"/>
        <w:gridCol w:w="304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标项序号</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标项名称</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数量</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预算金额</w:t>
            </w:r>
          </w:p>
          <w:p>
            <w:pPr>
              <w:widowControl/>
              <w:spacing w:line="360" w:lineRule="exact"/>
              <w:jc w:val="center"/>
              <w:rPr>
                <w:rFonts w:hint="default"/>
                <w:color w:val="auto"/>
                <w:kern w:val="0"/>
                <w:szCs w:val="21"/>
                <w:highlight w:val="none"/>
              </w:rPr>
            </w:pPr>
            <w:r>
              <w:rPr>
                <w:color w:val="auto"/>
                <w:kern w:val="0"/>
                <w:szCs w:val="21"/>
                <w:highlight w:val="none"/>
              </w:rPr>
              <w:t>（元）</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简要技术需求或服务要求</w:t>
            </w: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color w:val="auto"/>
                <w:kern w:val="0"/>
                <w:szCs w:val="21"/>
                <w:highlight w:val="none"/>
              </w:rPr>
            </w:pPr>
            <w:r>
              <w:rPr>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auto"/>
                <w:szCs w:val="21"/>
                <w:highlight w:val="none"/>
              </w:rPr>
            </w:pPr>
            <w:r>
              <w:rPr>
                <w:color w:val="auto"/>
                <w:szCs w:val="21"/>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eastAsia="宋体"/>
                <w:color w:val="auto"/>
                <w:szCs w:val="21"/>
                <w:highlight w:val="none"/>
                <w:lang w:eastAsia="zh-CN"/>
              </w:rPr>
            </w:pPr>
            <w:r>
              <w:rPr>
                <w:rFonts w:hint="eastAsia"/>
                <w:color w:val="auto"/>
                <w:kern w:val="0"/>
                <w:szCs w:val="21"/>
                <w:highlight w:val="none"/>
                <w:lang w:eastAsia="zh-CN"/>
              </w:rPr>
              <w:t>长兴县卫生健康局县域医共体信息化示范提升及基层补偿机制改革二期项目</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auto"/>
                <w:kern w:val="0"/>
                <w:szCs w:val="21"/>
                <w:highlight w:val="none"/>
              </w:rPr>
            </w:pPr>
            <w:r>
              <w:rPr>
                <w:color w:val="auto"/>
                <w:szCs w:val="21"/>
                <w:highlight w:val="none"/>
              </w:rPr>
              <w:t>1</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auto"/>
                <w:kern w:val="0"/>
                <w:szCs w:val="21"/>
                <w:highlight w:val="none"/>
              </w:rPr>
            </w:pPr>
            <w:r>
              <w:rPr>
                <w:color w:val="auto"/>
                <w:szCs w:val="21"/>
                <w:highlight w:val="none"/>
              </w:rPr>
              <w:t>项</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color w:val="auto"/>
                <w:kern w:val="0"/>
                <w:szCs w:val="21"/>
                <w:highlight w:val="none"/>
                <w:lang w:eastAsia="zh-CN"/>
              </w:rPr>
            </w:pPr>
            <w:r>
              <w:rPr>
                <w:rFonts w:hint="eastAsia"/>
                <w:color w:val="auto"/>
                <w:kern w:val="0"/>
                <w:szCs w:val="21"/>
                <w:highlight w:val="none"/>
                <w:lang w:eastAsia="zh-CN"/>
              </w:rPr>
              <w:t>5300000</w:t>
            </w:r>
          </w:p>
        </w:tc>
        <w:tc>
          <w:tcPr>
            <w:tcW w:w="304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color w:val="auto"/>
                <w:kern w:val="0"/>
                <w:szCs w:val="21"/>
                <w:highlight w:val="none"/>
              </w:rPr>
            </w:pPr>
            <w:r>
              <w:rPr>
                <w:rFonts w:hint="eastAsia"/>
                <w:color w:val="auto"/>
                <w:kern w:val="0"/>
                <w:szCs w:val="21"/>
                <w:highlight w:val="none"/>
              </w:rPr>
              <w:t>完成县域医共体信息化示范提升及基层补偿机制改革二期项目建设工作</w:t>
            </w:r>
            <w:r>
              <w:rPr>
                <w:color w:val="auto"/>
                <w:kern w:val="0"/>
                <w:szCs w:val="21"/>
                <w:highlight w:val="none"/>
              </w:rPr>
              <w:t>。具体服务清单、详细技术参数及要求、商务要求等详见招标文件第二章《采购需求》。</w:t>
            </w:r>
          </w:p>
        </w:tc>
        <w:tc>
          <w:tcPr>
            <w:tcW w:w="692" w:type="dxa"/>
            <w:vAlign w:val="center"/>
          </w:tcPr>
          <w:p>
            <w:pPr>
              <w:spacing w:line="360" w:lineRule="exact"/>
              <w:jc w:val="center"/>
              <w:rPr>
                <w:rFonts w:hint="default"/>
                <w:color w:val="auto"/>
                <w:kern w:val="0"/>
                <w:szCs w:val="21"/>
                <w:highlight w:val="none"/>
              </w:rPr>
            </w:pPr>
          </w:p>
        </w:tc>
      </w:tr>
    </w:tbl>
    <w:p>
      <w:pPr>
        <w:widowControl/>
        <w:spacing w:line="360" w:lineRule="exact"/>
        <w:ind w:firstLine="420" w:firstLineChars="200"/>
        <w:rPr>
          <w:rFonts w:hint="default"/>
          <w:color w:val="auto"/>
          <w:kern w:val="0"/>
          <w:szCs w:val="21"/>
          <w:highlight w:val="none"/>
        </w:rPr>
      </w:pPr>
      <w:r>
        <w:rPr>
          <w:color w:val="auto"/>
          <w:kern w:val="0"/>
          <w:szCs w:val="21"/>
          <w:highlight w:val="none"/>
        </w:rPr>
        <w:t>合同履约期限：详见招标文件。</w:t>
      </w:r>
    </w:p>
    <w:p>
      <w:pPr>
        <w:widowControl/>
        <w:spacing w:line="360" w:lineRule="exact"/>
        <w:ind w:firstLine="420" w:firstLineChars="200"/>
        <w:rPr>
          <w:rFonts w:hint="default"/>
          <w:color w:val="auto"/>
          <w:kern w:val="0"/>
          <w:szCs w:val="21"/>
          <w:highlight w:val="none"/>
        </w:rPr>
      </w:pPr>
      <w:r>
        <w:rPr>
          <w:color w:val="auto"/>
          <w:kern w:val="0"/>
          <w:szCs w:val="21"/>
          <w:highlight w:val="none"/>
        </w:rPr>
        <w:t>本项目（否）接受联合体投标。</w:t>
      </w:r>
    </w:p>
    <w:p>
      <w:pPr>
        <w:widowControl/>
        <w:spacing w:line="360" w:lineRule="exact"/>
        <w:ind w:firstLine="422" w:firstLineChars="200"/>
        <w:rPr>
          <w:rFonts w:hint="default" w:ascii="宋体" w:hAnsi="宋体" w:cs="宋体"/>
          <w:b/>
          <w:bCs/>
          <w:color w:val="auto"/>
          <w:kern w:val="0"/>
          <w:szCs w:val="21"/>
          <w:highlight w:val="none"/>
        </w:rPr>
      </w:pPr>
      <w:bookmarkStart w:id="2" w:name="_Toc28359003"/>
      <w:bookmarkStart w:id="3" w:name="_Toc35393791"/>
      <w:bookmarkStart w:id="4" w:name="_Toc28359080"/>
      <w:bookmarkStart w:id="5" w:name="_Toc35393622"/>
      <w:r>
        <w:rPr>
          <w:rFonts w:ascii="宋体" w:hAnsi="宋体" w:cs="宋体"/>
          <w:b/>
          <w:bCs/>
          <w:color w:val="auto"/>
          <w:kern w:val="0"/>
          <w:szCs w:val="21"/>
          <w:highlight w:val="none"/>
        </w:rPr>
        <w:t>二、申请人的资格要求：</w:t>
      </w:r>
      <w:bookmarkEnd w:id="2"/>
      <w:bookmarkEnd w:id="3"/>
      <w:bookmarkEnd w:id="4"/>
      <w:bookmarkEnd w:id="5"/>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w:t>
      </w:r>
      <w:bookmarkStart w:id="6" w:name="_Toc28359004"/>
      <w:bookmarkStart w:id="7" w:name="_Toc28359081"/>
      <w:r>
        <w:rPr>
          <w:rFonts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exact"/>
        <w:ind w:firstLine="420" w:firstLineChars="200"/>
        <w:rPr>
          <w:rFonts w:hint="default" w:ascii="宋体" w:hAnsi="宋体" w:cs="宋体"/>
          <w:color w:val="auto"/>
          <w:kern w:val="0"/>
          <w:szCs w:val="21"/>
          <w:highlight w:val="none"/>
        </w:rPr>
      </w:pPr>
      <w:bookmarkStart w:id="8" w:name="_Toc35393623"/>
      <w:bookmarkStart w:id="9" w:name="_Toc35393792"/>
      <w:r>
        <w:rPr>
          <w:rFonts w:ascii="宋体" w:hAnsi="宋体" w:cs="宋体"/>
          <w:color w:val="auto"/>
          <w:kern w:val="0"/>
          <w:szCs w:val="21"/>
          <w:highlight w:val="none"/>
        </w:rPr>
        <w:t>2.落实政府采购政策需满足的资格要求：无。</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3.本项目的特定资格要求：无。</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三、获取招标文件</w:t>
      </w:r>
      <w:bookmarkEnd w:id="6"/>
      <w:bookmarkEnd w:id="7"/>
      <w:bookmarkEnd w:id="8"/>
      <w:bookmarkEnd w:id="9"/>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0"/>
          <w:rFonts w:ascii="宋体" w:hAnsi="宋体" w:cs="宋体"/>
          <w:color w:val="auto"/>
          <w:szCs w:val="21"/>
          <w:highlight w:val="none"/>
        </w:rPr>
        <w:t>政府采购云平台（www.zcygov.cn）</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纸质版招标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4.售价：0。</w:t>
      </w:r>
    </w:p>
    <w:p>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widowControl/>
        <w:spacing w:line="360" w:lineRule="exact"/>
        <w:ind w:firstLine="420" w:firstLineChars="200"/>
        <w:rPr>
          <w:rFonts w:hint="default" w:ascii="宋体" w:hAnsi="宋体" w:cs="宋体"/>
          <w:color w:val="auto"/>
          <w:kern w:val="0"/>
          <w:szCs w:val="21"/>
          <w:highlight w:val="none"/>
        </w:rPr>
      </w:pPr>
      <w:bookmarkStart w:id="10" w:name="_Toc28359005"/>
      <w:bookmarkStart w:id="11" w:name="_Toc28359082"/>
      <w:bookmarkStart w:id="12" w:name="_Toc35393624"/>
      <w:bookmarkStart w:id="13" w:name="_Toc35393793"/>
      <w:r>
        <w:rPr>
          <w:rFonts w:ascii="宋体" w:hAnsi="宋体" w:cs="宋体"/>
          <w:color w:val="auto"/>
          <w:kern w:val="0"/>
          <w:szCs w:val="21"/>
          <w:highlight w:val="none"/>
        </w:rPr>
        <w:t>6.采购项目信息发布网址：“浙江省政府采购网”（http://zfcg.czt.zj.gov.cn/）、“长兴县公共资源交易中心网 ”（http://ggzy.zjcx.gov.cn:8081/cxweb/）</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1.提交投标文件截止时间：</w:t>
      </w:r>
      <w:r>
        <w:rPr>
          <w:rFonts w:hint="eastAsia" w:ascii="宋体" w:hAnsi="宋体" w:cs="宋体"/>
          <w:color w:val="auto"/>
          <w:kern w:val="0"/>
          <w:szCs w:val="21"/>
          <w:highlight w:val="none"/>
          <w:lang w:eastAsia="zh-CN"/>
        </w:rPr>
        <w:t>2020年1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日</w:t>
      </w:r>
      <w:r>
        <w:rPr>
          <w:rFonts w:ascii="宋体" w:hAnsi="宋体" w:cs="宋体"/>
          <w:color w:val="auto"/>
          <w:kern w:val="0"/>
          <w:szCs w:val="21"/>
          <w:highlight w:val="none"/>
        </w:rPr>
        <w:t>09：00（北京时间）。</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2.投标地点（网址）：</w:t>
      </w:r>
      <w:r>
        <w:rPr>
          <w:rFonts w:ascii="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color w:val="auto"/>
          <w:szCs w:val="21"/>
          <w:highlight w:val="none"/>
          <w:lang w:val="zh-CN"/>
        </w:rPr>
        <w:t>（</w:t>
      </w:r>
      <w:r>
        <w:rPr>
          <w:rFonts w:ascii="宋体"/>
          <w:color w:val="auto"/>
          <w:szCs w:val="21"/>
          <w:highlight w:val="none"/>
        </w:rPr>
        <w:t>网址：通过“政府采购云平台（www.zcygov.cn）”实行在线投标响应。 ）</w:t>
      </w:r>
    </w:p>
    <w:p>
      <w:pPr>
        <w:widowControl/>
        <w:spacing w:line="360" w:lineRule="exact"/>
        <w:ind w:firstLine="420" w:firstLineChars="200"/>
        <w:jc w:val="left"/>
        <w:rPr>
          <w:rFonts w:hint="default" w:ascii="宋体" w:hAnsi="宋体" w:cs="宋体"/>
          <w:color w:val="auto"/>
          <w:kern w:val="0"/>
          <w:szCs w:val="21"/>
          <w:highlight w:val="none"/>
        </w:rPr>
      </w:pPr>
      <w:bookmarkStart w:id="14" w:name="_Toc35393625"/>
      <w:bookmarkStart w:id="15" w:name="_Toc35393794"/>
      <w:bookmarkStart w:id="16" w:name="_Toc28359084"/>
      <w:bookmarkStart w:id="17" w:name="_Toc28359007"/>
      <w:r>
        <w:rPr>
          <w:rFonts w:ascii="宋体" w:hAnsi="宋体" w:cs="宋体"/>
          <w:color w:val="auto"/>
          <w:kern w:val="0"/>
          <w:szCs w:val="21"/>
          <w:highlight w:val="none"/>
        </w:rPr>
        <w:t>3.开标时间：</w:t>
      </w:r>
      <w:r>
        <w:rPr>
          <w:rFonts w:hint="eastAsia" w:ascii="宋体" w:hAnsi="宋体" w:cs="宋体"/>
          <w:color w:val="auto"/>
          <w:kern w:val="0"/>
          <w:szCs w:val="21"/>
          <w:highlight w:val="none"/>
          <w:lang w:eastAsia="zh-CN"/>
        </w:rPr>
        <w:t>2020年1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07</w:t>
      </w:r>
      <w:r>
        <w:rPr>
          <w:rFonts w:ascii="宋体" w:hAnsi="宋体" w:cs="宋体"/>
          <w:color w:val="auto"/>
          <w:kern w:val="0"/>
          <w:szCs w:val="21"/>
          <w:highlight w:val="none"/>
        </w:rPr>
        <w:t>日</w:t>
      </w:r>
      <w:r>
        <w:rPr>
          <w:rFonts w:ascii="宋体" w:hAnsi="宋体" w:cs="宋体"/>
          <w:color w:val="auto"/>
          <w:kern w:val="0"/>
          <w:szCs w:val="21"/>
          <w:highlight w:val="none"/>
        </w:rPr>
        <w:t>09：00（北京时间）。</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4.开标地点（网址）：</w:t>
      </w:r>
      <w:r>
        <w:rPr>
          <w:rFonts w:ascii="宋体"/>
          <w:color w:val="auto"/>
          <w:szCs w:val="21"/>
          <w:highlight w:val="none"/>
          <w:lang w:val="zh-CN"/>
        </w:rPr>
        <w:t>长兴县市民服务中心四楼（长兴县锦绣路8号）公共资源交易中心开标室（届时详见四楼大屏公告栏）。（</w:t>
      </w:r>
      <w:r>
        <w:rPr>
          <w:rFonts w:ascii="宋体"/>
          <w:color w:val="auto"/>
          <w:szCs w:val="21"/>
          <w:highlight w:val="none"/>
        </w:rPr>
        <w:t>网址：通过“政府采购云平台（www.zcygov.cn）”实行在线投标响应。 ）</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五、公告期限</w:t>
      </w:r>
      <w:bookmarkEnd w:id="14"/>
      <w:bookmarkEnd w:id="15"/>
      <w:bookmarkEnd w:id="16"/>
      <w:bookmarkEnd w:id="17"/>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自本公告发布之日起5个工作日。</w:t>
      </w:r>
    </w:p>
    <w:p>
      <w:pPr>
        <w:widowControl/>
        <w:spacing w:line="360" w:lineRule="exact"/>
        <w:ind w:firstLine="422" w:firstLineChars="200"/>
        <w:rPr>
          <w:rFonts w:hint="default" w:ascii="宋体" w:hAnsi="宋体" w:cs="宋体"/>
          <w:b/>
          <w:bCs/>
          <w:color w:val="auto"/>
          <w:kern w:val="0"/>
          <w:szCs w:val="21"/>
          <w:highlight w:val="none"/>
        </w:rPr>
      </w:pPr>
      <w:bookmarkStart w:id="18" w:name="_Toc35393795"/>
      <w:bookmarkStart w:id="19" w:name="_Toc35393626"/>
      <w:r>
        <w:rPr>
          <w:rFonts w:ascii="宋体" w:hAnsi="宋体" w:cs="宋体"/>
          <w:b/>
          <w:bCs/>
          <w:color w:val="auto"/>
          <w:kern w:val="0"/>
          <w:szCs w:val="21"/>
          <w:highlight w:val="none"/>
        </w:rPr>
        <w:t>六、其他补充事宜</w:t>
      </w:r>
      <w:bookmarkEnd w:id="18"/>
      <w:bookmarkEnd w:id="19"/>
    </w:p>
    <w:p>
      <w:pPr>
        <w:pStyle w:val="9"/>
        <w:spacing w:after="0"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1.投标保证金：无。</w:t>
      </w:r>
    </w:p>
    <w:p>
      <w:pPr>
        <w:pStyle w:val="9"/>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ascii="宋体" w:hAnsi="宋体" w:cs="宋体"/>
          <w:b/>
          <w:bCs/>
          <w:color w:val="auto"/>
          <w:kern w:val="0"/>
          <w:szCs w:val="21"/>
          <w:highlight w:val="none"/>
          <w:lang w:val="zh-CN"/>
        </w:rPr>
        <w:t>投标说明</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ascii="宋体" w:hAnsi="宋体" w:cs="宋体"/>
          <w:color w:val="auto"/>
          <w:szCs w:val="21"/>
          <w:highlight w:val="none"/>
          <w:lang w:val="zh-CN"/>
        </w:rPr>
        <w:t>http://www.zjzfcg.gov.cn/bidClientTemplate/2019-05-27/12945.html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）。完成CA数字证书办理预计一周左右，建议各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pPr>
        <w:pStyle w:val="9"/>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（3）潜在投标人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ascii="宋体" w:hAnsi="宋体" w:cs="宋体"/>
          <w:color w:val="auto"/>
          <w:szCs w:val="21"/>
          <w:highlight w:val="none"/>
          <w:lang w:val="zh-CN"/>
        </w:rPr>
        <w:t>http://zfcg.czt.zj.gov.cn/bidClientTemplate/2019-09-24/12975.html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），电子投标制作具体流程详见“政采云供应商项目采购-电子招投标操作指南”（请</w:t>
      </w:r>
      <w:r>
        <w:rPr>
          <w:rFonts w:ascii="宋体" w:hAnsi="宋体" w:cs="宋体"/>
          <w:color w:val="auto"/>
          <w:szCs w:val="21"/>
          <w:highlight w:val="none"/>
        </w:rPr>
        <w:t>潜在投标人</w:t>
      </w:r>
      <w:r>
        <w:rPr>
          <w:rFonts w:ascii="宋体" w:hAnsi="宋体" w:cs="宋体"/>
          <w:color w:val="auto"/>
          <w:szCs w:val="21"/>
          <w:highlight w:val="none"/>
          <w:lang w:val="zh-CN"/>
        </w:rPr>
        <w:t>点击链接https://help.zcygov.cn/web/site_2/2018/12-28/2573.html）以获取最新操作指南。</w:t>
      </w:r>
    </w:p>
    <w:p>
      <w:pPr>
        <w:autoSpaceDE w:val="0"/>
        <w:autoSpaceDN w:val="0"/>
        <w:spacing w:line="360" w:lineRule="exact"/>
        <w:ind w:firstLine="420" w:firstLineChars="200"/>
        <w:jc w:val="left"/>
        <w:rPr>
          <w:rFonts w:hint="default" w:ascii="宋体" w:hAnsi="宋体" w:cs="宋体"/>
          <w:bCs/>
          <w:color w:val="auto"/>
          <w:szCs w:val="21"/>
          <w:highlight w:val="none"/>
        </w:rPr>
      </w:pPr>
      <w:r>
        <w:rPr>
          <w:rFonts w:ascii="宋体" w:hAnsi="宋体" w:cs="宋体"/>
          <w:bCs/>
          <w:color w:val="auto"/>
          <w:szCs w:val="21"/>
          <w:highlight w:val="none"/>
        </w:rPr>
        <w:t>（4）在发出电子加密投标文件【开始解密】通知后30分钟内，投标人可以登录“政采云”平台，用“项目采购-开标评标”功能进行解密投标文件。若投标人在规定时间内无法解密或解密失败，视为投标人放弃投标。</w:t>
      </w:r>
    </w:p>
    <w:p>
      <w:pPr>
        <w:pStyle w:val="9"/>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递交（上传）投标文件说明</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w:t>
      </w:r>
      <w:r>
        <w:rPr>
          <w:rFonts w:ascii="宋体" w:cs="宋体"/>
          <w:color w:val="auto"/>
          <w:szCs w:val="21"/>
          <w:highlight w:val="none"/>
        </w:rPr>
        <w:t>1</w:t>
      </w:r>
      <w:r>
        <w:rPr>
          <w:rFonts w:asci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w:t>
      </w:r>
      <w:r>
        <w:rPr>
          <w:rFonts w:ascii="宋体" w:cs="宋体"/>
          <w:color w:val="auto"/>
          <w:szCs w:val="21"/>
          <w:highlight w:val="none"/>
        </w:rPr>
        <w:t>2</w:t>
      </w:r>
      <w:r>
        <w:rPr>
          <w:rFonts w:asci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cs="宋体"/>
          <w:color w:val="auto"/>
          <w:szCs w:val="21"/>
          <w:highlight w:val="none"/>
          <w:lang w:val="zh-CN"/>
        </w:rPr>
        <w:t>前，除政采云上传的电子投标文件外，还应</w:t>
      </w:r>
      <w:r>
        <w:rPr>
          <w:rFonts w:ascii="宋体" w:hAnsi="宋体" w:cs="宋体"/>
          <w:color w:val="auto"/>
          <w:szCs w:val="21"/>
          <w:highlight w:val="none"/>
          <w:lang w:val="zh-CN"/>
        </w:rPr>
        <w:t>提交</w:t>
      </w:r>
      <w:r>
        <w:rPr>
          <w:rFonts w:ascii="宋体" w:cs="宋体"/>
          <w:color w:val="auto"/>
          <w:szCs w:val="21"/>
          <w:highlight w:val="none"/>
          <w:lang w:val="zh-CN"/>
        </w:rPr>
        <w:t>以介质存储的数据电文形式的U盘备份投标文件一份和制作纸质备份投标文件一份。考虑疫情情况，U盘备份投标文件和纸质备份投标文件建议采用顺丰快递邮寄方式</w:t>
      </w:r>
      <w:r>
        <w:rPr>
          <w:rFonts w:ascii="宋体" w:hAnsi="宋体" w:cs="宋体"/>
          <w:color w:val="auto"/>
          <w:szCs w:val="21"/>
          <w:highlight w:val="none"/>
          <w:lang w:val="zh-CN"/>
        </w:rPr>
        <w:t>提交</w:t>
      </w:r>
      <w:r>
        <w:rPr>
          <w:rFonts w:ascii="宋体" w:cs="宋体"/>
          <w:color w:val="auto"/>
          <w:szCs w:val="21"/>
          <w:highlight w:val="none"/>
          <w:lang w:val="zh-CN"/>
        </w:rPr>
        <w:t>，地址：浙江经纬工程项目管理有限公司（长兴县金荣大厦19楼1916室），收件人：邱工，联系电话：0572-6038878/13587907418 ，由采购代理机构统一负责接收，接收截止时间（以签收时间为准）：</w:t>
      </w:r>
      <w:r>
        <w:rPr>
          <w:rFonts w:ascii="宋体" w:hAnsi="宋体" w:cs="宋体"/>
          <w:color w:val="auto"/>
          <w:kern w:val="0"/>
          <w:szCs w:val="21"/>
          <w:highlight w:val="none"/>
        </w:rPr>
        <w:t>投标截止时间</w:t>
      </w:r>
      <w:r>
        <w:rPr>
          <w:rFonts w:ascii="宋体" w:cs="宋体"/>
          <w:color w:val="auto"/>
          <w:szCs w:val="21"/>
          <w:highlight w:val="none"/>
          <w:lang w:val="zh-CN"/>
        </w:rPr>
        <w:t>前一天。</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w:t>
      </w:r>
      <w:r>
        <w:rPr>
          <w:rFonts w:ascii="宋体" w:cs="宋体"/>
          <w:color w:val="auto"/>
          <w:szCs w:val="21"/>
          <w:highlight w:val="none"/>
        </w:rPr>
        <w:t>3</w:t>
      </w:r>
      <w:r>
        <w:rPr>
          <w:rFonts w:asci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spacing w:line="360" w:lineRule="exact"/>
        <w:ind w:firstLine="422" w:firstLineChars="200"/>
        <w:rPr>
          <w:rFonts w:hint="default" w:ascii="宋体" w:cs="宋体"/>
          <w:b/>
          <w:bCs/>
          <w:color w:val="auto"/>
          <w:szCs w:val="21"/>
          <w:highlight w:val="none"/>
          <w:lang w:val="zh-CN"/>
        </w:rPr>
      </w:pPr>
      <w:r>
        <w:rPr>
          <w:rFonts w:ascii="宋体" w:cs="宋体"/>
          <w:b/>
          <w:bCs/>
          <w:color w:val="auto"/>
          <w:szCs w:val="21"/>
          <w:highlight w:val="none"/>
        </w:rPr>
        <w:t>4.</w:t>
      </w:r>
      <w:r>
        <w:rPr>
          <w:rFonts w:ascii="宋体" w:cs="宋体"/>
          <w:b/>
          <w:bCs/>
          <w:color w:val="auto"/>
          <w:szCs w:val="21"/>
          <w:highlight w:val="none"/>
          <w:lang w:val="zh-CN"/>
        </w:rPr>
        <w:t>质疑</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E w:val="0"/>
        <w:autoSpaceDN w:val="0"/>
        <w:spacing w:line="360" w:lineRule="exact"/>
        <w:ind w:firstLine="422" w:firstLineChars="200"/>
        <w:jc w:val="left"/>
        <w:rPr>
          <w:rFonts w:hint="default" w:ascii="宋体" w:cs="宋体"/>
          <w:b/>
          <w:bCs/>
          <w:color w:val="auto"/>
          <w:szCs w:val="21"/>
          <w:highlight w:val="none"/>
          <w:lang w:val="zh-CN"/>
        </w:rPr>
      </w:pPr>
      <w:r>
        <w:rPr>
          <w:rFonts w:ascii="宋体" w:cs="宋体"/>
          <w:b/>
          <w:bCs/>
          <w:color w:val="auto"/>
          <w:szCs w:val="21"/>
          <w:highlight w:val="none"/>
        </w:rPr>
        <w:t>5.</w:t>
      </w:r>
      <w:r>
        <w:rPr>
          <w:rFonts w:ascii="宋体" w:cs="宋体"/>
          <w:b/>
          <w:bCs/>
          <w:color w:val="auto"/>
          <w:szCs w:val="21"/>
          <w:highlight w:val="none"/>
          <w:lang w:val="zh-CN"/>
        </w:rPr>
        <w:t>需要落实的政府采购政策</w:t>
      </w:r>
    </w:p>
    <w:p>
      <w:pPr>
        <w:autoSpaceDE w:val="0"/>
        <w:autoSpaceDN w:val="0"/>
        <w:spacing w:line="360" w:lineRule="exact"/>
        <w:ind w:firstLine="420" w:firstLineChars="200"/>
        <w:jc w:val="left"/>
        <w:rPr>
          <w:rFonts w:hint="default" w:ascii="宋体" w:cs="宋体"/>
          <w:color w:val="auto"/>
          <w:szCs w:val="21"/>
          <w:highlight w:val="none"/>
        </w:rPr>
      </w:pPr>
      <w:r>
        <w:rPr>
          <w:rFonts w:ascii="宋体" w:cs="宋体"/>
          <w:color w:val="auto"/>
          <w:szCs w:val="21"/>
          <w:highlight w:val="none"/>
        </w:rPr>
        <w:t>本项目执行促进中小企业发展（监狱企业、残疾人福利性单位视同小型、微型企业）政策。</w:t>
      </w:r>
    </w:p>
    <w:p>
      <w:pPr>
        <w:widowControl/>
        <w:spacing w:line="360" w:lineRule="exact"/>
        <w:ind w:firstLine="422" w:firstLineChars="200"/>
        <w:rPr>
          <w:rFonts w:hint="default" w:ascii="宋体" w:hAnsi="宋体" w:cs="宋体"/>
          <w:b/>
          <w:bCs/>
          <w:color w:val="auto"/>
          <w:kern w:val="0"/>
          <w:szCs w:val="21"/>
          <w:highlight w:val="none"/>
        </w:rPr>
      </w:pPr>
      <w:bookmarkStart w:id="20" w:name="_Toc28359008"/>
      <w:bookmarkStart w:id="21" w:name="_Toc28359085"/>
      <w:bookmarkStart w:id="22" w:name="_Toc35393627"/>
      <w:bookmarkStart w:id="23" w:name="_Toc35393796"/>
      <w:r>
        <w:rPr>
          <w:rFonts w:ascii="宋体" w:hAnsi="宋体" w:cs="宋体"/>
          <w:b/>
          <w:bCs/>
          <w:color w:val="auto"/>
          <w:kern w:val="0"/>
          <w:szCs w:val="21"/>
          <w:highlight w:val="none"/>
        </w:rPr>
        <w:t>七、</w:t>
      </w:r>
      <w:bookmarkEnd w:id="20"/>
      <w:bookmarkEnd w:id="21"/>
      <w:bookmarkEnd w:id="22"/>
      <w:bookmarkEnd w:id="23"/>
      <w:r>
        <w:rPr>
          <w:rFonts w:ascii="宋体" w:hAnsi="宋体" w:cs="宋体"/>
          <w:b/>
          <w:bCs/>
          <w:color w:val="auto"/>
          <w:kern w:val="0"/>
          <w:szCs w:val="21"/>
          <w:highlight w:val="none"/>
        </w:rPr>
        <w:t>对本次采购提出询问、质疑、投诉，请按以下方式联系</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w:t>
      </w:r>
      <w:r>
        <w:rPr>
          <w:rFonts w:ascii="宋体" w:hAnsi="宋体" w:cs="宋体"/>
          <w:color w:val="auto"/>
          <w:szCs w:val="21"/>
          <w:highlight w:val="none"/>
          <w:lang w:val="zh-CN"/>
        </w:rPr>
        <w:t>长兴县卫生健康局</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ascii="宋体" w:hAnsi="宋体" w:cs="宋体"/>
          <w:color w:val="auto"/>
          <w:szCs w:val="21"/>
          <w:highlight w:val="none"/>
          <w:lang w:val="zh-CN"/>
        </w:rPr>
        <w:t>长兴县龙山街道广场路1号</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ascii="宋体" w:hAnsi="宋体" w:cs="宋体"/>
          <w:color w:val="auto"/>
          <w:szCs w:val="21"/>
          <w:highlight w:val="none"/>
          <w:lang w:val="zh-CN"/>
        </w:rPr>
        <w:t>俞科</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项目联系方式（询问）：</w:t>
      </w:r>
      <w:r>
        <w:rPr>
          <w:rFonts w:ascii="宋体" w:hAnsi="宋体" w:cs="宋体"/>
          <w:color w:val="auto"/>
          <w:szCs w:val="21"/>
          <w:highlight w:val="none"/>
          <w:lang w:val="zh-CN"/>
        </w:rPr>
        <w:t xml:space="preserve">0572-6042366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俞科</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ascii="宋体" w:hAnsi="宋体" w:cs="宋体"/>
          <w:color w:val="auto"/>
          <w:szCs w:val="21"/>
          <w:highlight w:val="none"/>
          <w:lang w:val="zh-CN"/>
        </w:rPr>
        <w:t xml:space="preserve">0572-6042366  </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名称：浙江经纬工程项目管理有限公司</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地址：长兴县金荣大厦19楼1916室</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传真：0572-6038878</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ascii="宋体" w:hAnsi="宋体" w:cs="宋体"/>
          <w:color w:val="auto"/>
          <w:szCs w:val="21"/>
          <w:highlight w:val="none"/>
          <w:lang w:val="zh-CN"/>
        </w:rPr>
        <w:t>黄工、邱工</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项目联系方式（询问）：0572-6038878/13587907418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李工</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质疑联系方式：0572-6038878</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地址：长兴县太湖街道建设商务楼</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pPr>
        <w:widowControl/>
        <w:spacing w:line="360" w:lineRule="exact"/>
        <w:ind w:firstLine="420" w:firstLineChars="200"/>
        <w:jc w:val="left"/>
        <w:rPr>
          <w:rFonts w:hint="default" w:ascii="宋体" w:hAnsi="宋体" w:cs="宋体"/>
          <w:color w:val="auto"/>
          <w:kern w:val="0"/>
          <w:szCs w:val="21"/>
          <w:highlight w:val="none"/>
        </w:rPr>
      </w:pPr>
    </w:p>
    <w:p>
      <w:pPr>
        <w:widowControl/>
        <w:spacing w:line="360" w:lineRule="exact"/>
        <w:ind w:firstLine="420" w:firstLineChars="200"/>
        <w:jc w:val="left"/>
        <w:rPr>
          <w:rFonts w:hint="default" w:ascii="宋体" w:hAnsi="宋体" w:cs="宋体"/>
          <w:color w:val="auto"/>
          <w:kern w:val="0"/>
          <w:szCs w:val="21"/>
          <w:highlight w:val="none"/>
        </w:rPr>
      </w:pPr>
    </w:p>
    <w:p>
      <w:pPr>
        <w:widowControl/>
        <w:spacing w:line="360" w:lineRule="exact"/>
        <w:jc w:val="left"/>
        <w:rPr>
          <w:rFonts w:hint="default"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jc w:val="left"/>
        <w:rPr>
          <w:rFonts w:hint="default" w:ascii="宋体" w:hAnsi="宋体" w:cs="宋体"/>
          <w:color w:val="auto"/>
          <w:kern w:val="0"/>
          <w:szCs w:val="21"/>
          <w:highlight w:val="none"/>
        </w:rPr>
      </w:pPr>
    </w:p>
    <w:p>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pPr>
        <w:pStyle w:val="9"/>
        <w:rPr>
          <w:rFonts w:hint="default"/>
          <w:color w:val="auto"/>
          <w:highlight w:val="none"/>
        </w:rPr>
      </w:pPr>
    </w:p>
    <w:p>
      <w:pPr>
        <w:autoSpaceDE w:val="0"/>
        <w:autoSpaceDN w:val="0"/>
        <w:spacing w:line="320" w:lineRule="exact"/>
        <w:ind w:firstLine="420" w:firstLineChars="200"/>
        <w:rPr>
          <w:rFonts w:hint="default" w:ascii="宋体" w:hAnsi="宋体" w:cs="宋体"/>
          <w:color w:val="auto"/>
          <w:kern w:val="0"/>
          <w:szCs w:val="21"/>
          <w:highlight w:val="none"/>
          <w:lang w:val="zh-CN"/>
        </w:rPr>
      </w:pPr>
    </w:p>
    <w:p>
      <w:pPr>
        <w:autoSpaceDE w:val="0"/>
        <w:autoSpaceDN w:val="0"/>
        <w:spacing w:line="320" w:lineRule="exact"/>
        <w:ind w:firstLine="420" w:firstLineChars="200"/>
        <w:rPr>
          <w:rFonts w:hint="default" w:ascii="宋体"/>
          <w:color w:val="auto"/>
          <w:kern w:val="0"/>
          <w:szCs w:val="21"/>
          <w:highlight w:val="none"/>
          <w:lang w:val="zh-CN"/>
        </w:rPr>
      </w:pPr>
    </w:p>
    <w:p>
      <w:pPr>
        <w:pStyle w:val="2"/>
        <w:numPr>
          <w:ilvl w:val="0"/>
          <w:numId w:val="2"/>
        </w:numPr>
        <w:spacing w:before="0" w:after="0"/>
        <w:rPr>
          <w:color w:val="auto"/>
          <w:sz w:val="30"/>
          <w:szCs w:val="30"/>
          <w:highlight w:val="none"/>
        </w:rPr>
      </w:pPr>
      <w:bookmarkStart w:id="24" w:name="_Toc423016463"/>
      <w:r>
        <w:rPr>
          <w:color w:val="auto"/>
          <w:sz w:val="30"/>
          <w:szCs w:val="30"/>
          <w:highlight w:val="none"/>
        </w:rPr>
        <w:t xml:space="preserve"> 采购需求</w:t>
      </w:r>
      <w:bookmarkEnd w:id="24"/>
    </w:p>
    <w:p>
      <w:pPr>
        <w:autoSpaceDE w:val="0"/>
        <w:autoSpaceDN w:val="0"/>
        <w:spacing w:line="340" w:lineRule="exact"/>
        <w:ind w:firstLine="422" w:firstLineChars="200"/>
        <w:outlineLvl w:val="0"/>
        <w:rPr>
          <w:rFonts w:hint="default" w:ascii="宋体" w:hAnsi="宋体"/>
          <w:b/>
          <w:color w:val="auto"/>
          <w:szCs w:val="21"/>
          <w:highlight w:val="none"/>
        </w:rPr>
      </w:pPr>
      <w:r>
        <w:rPr>
          <w:rFonts w:ascii="宋体" w:hAnsi="宋体"/>
          <w:b/>
          <w:color w:val="auto"/>
          <w:szCs w:val="21"/>
          <w:highlight w:val="none"/>
        </w:rPr>
        <w:t>一、总则</w:t>
      </w:r>
    </w:p>
    <w:p>
      <w:pPr>
        <w:pStyle w:val="11"/>
        <w:spacing w:line="340" w:lineRule="exact"/>
        <w:ind w:firstLine="482"/>
        <w:rPr>
          <w:rFonts w:hAnsi="宋体"/>
          <w:color w:val="auto"/>
          <w:highlight w:val="none"/>
        </w:rPr>
      </w:pPr>
      <w:bookmarkStart w:id="25" w:name="_Toc423016464"/>
      <w:r>
        <w:rPr>
          <w:rFonts w:hint="eastAsia" w:hAnsi="宋体"/>
          <w:color w:val="auto"/>
          <w:highlight w:val="none"/>
        </w:rPr>
        <w:t>1.本技术规范要求提出的是最低限度的基本技术要求，并未对所有技术细节作出规定，投标人应提供符合本技术要求和国家标准、行业标准的优质产品及服务。</w:t>
      </w:r>
    </w:p>
    <w:p>
      <w:pPr>
        <w:pStyle w:val="11"/>
        <w:spacing w:line="340" w:lineRule="exact"/>
        <w:ind w:firstLine="482"/>
        <w:rPr>
          <w:rFonts w:hAnsi="宋体"/>
          <w:color w:val="auto"/>
          <w:highlight w:val="none"/>
        </w:rPr>
      </w:pPr>
      <w:r>
        <w:rPr>
          <w:rFonts w:hint="eastAsia" w:hAnsi="宋体"/>
          <w:color w:val="auto"/>
          <w:highlight w:val="none"/>
        </w:rPr>
        <w:t>2.投标人产品及服务与本技术要求不一致时，投标人应在投标文件中予以说明，并由评标委员会鉴定投标人产品及服务能否达到要求。如投标人没有在投标文件中提出异议，则视为投标人提供的产品及服务完全按照本招标文件要求。</w:t>
      </w:r>
    </w:p>
    <w:p>
      <w:pPr>
        <w:pStyle w:val="11"/>
        <w:spacing w:line="340" w:lineRule="exact"/>
        <w:ind w:firstLine="482"/>
        <w:rPr>
          <w:rFonts w:hAnsi="宋体"/>
          <w:color w:val="auto"/>
          <w:highlight w:val="none"/>
        </w:rPr>
      </w:pPr>
      <w:r>
        <w:rPr>
          <w:rFonts w:hint="eastAsia" w:hAnsi="宋体"/>
          <w:color w:val="auto"/>
          <w:highlight w:val="none"/>
        </w:rPr>
        <w:t>3.技术要求及标准的执行</w:t>
      </w:r>
    </w:p>
    <w:p>
      <w:pPr>
        <w:pStyle w:val="11"/>
        <w:spacing w:line="340" w:lineRule="exact"/>
        <w:ind w:firstLine="482"/>
        <w:rPr>
          <w:rFonts w:hAnsi="宋体"/>
          <w:color w:val="auto"/>
          <w:highlight w:val="none"/>
        </w:rPr>
      </w:pPr>
      <w:r>
        <w:rPr>
          <w:rFonts w:hint="eastAsia" w:hAnsi="宋体"/>
          <w:color w:val="auto"/>
          <w:highlight w:val="none"/>
        </w:rPr>
        <w:t>投标人提供的产品或服务若需执行相关质量标准，应标明所执行的质量标准，若同一标准已颁发新标准，则按最新标准执行。若同一服务同时有几个标准（国际标准、国家标准、行业标准、企业标准等），则按最高层次的标准执行。</w:t>
      </w:r>
    </w:p>
    <w:p>
      <w:pPr>
        <w:pStyle w:val="11"/>
        <w:spacing w:line="340" w:lineRule="exact"/>
        <w:ind w:firstLine="482"/>
        <w:rPr>
          <w:rFonts w:hAnsi="宋体"/>
          <w:color w:val="auto"/>
          <w:highlight w:val="none"/>
        </w:rPr>
      </w:pPr>
      <w:r>
        <w:rPr>
          <w:rFonts w:hint="eastAsia" w:hAnsi="宋体"/>
          <w:color w:val="auto"/>
          <w:highlight w:val="none"/>
        </w:rPr>
        <w:t>投标人须按国家有关规定及标准完成本项目所需做的所有工作。</w:t>
      </w:r>
    </w:p>
    <w:p>
      <w:pPr>
        <w:autoSpaceDE w:val="0"/>
        <w:autoSpaceDN w:val="0"/>
        <w:spacing w:line="340" w:lineRule="exact"/>
        <w:ind w:firstLine="422" w:firstLineChars="200"/>
        <w:outlineLvl w:val="0"/>
        <w:rPr>
          <w:rFonts w:hint="default" w:ascii="宋体" w:hAnsi="宋体"/>
          <w:b/>
          <w:color w:val="auto"/>
          <w:szCs w:val="21"/>
          <w:highlight w:val="none"/>
        </w:rPr>
      </w:pPr>
      <w:r>
        <w:rPr>
          <w:rFonts w:ascii="宋体" w:hAnsi="宋体"/>
          <w:b/>
          <w:color w:val="auto"/>
          <w:szCs w:val="21"/>
          <w:highlight w:val="none"/>
        </w:rPr>
        <w:t>二、服务内容及数量</w:t>
      </w:r>
    </w:p>
    <w:tbl>
      <w:tblPr>
        <w:tblStyle w:val="21"/>
        <w:tblW w:w="93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1"/>
        <w:gridCol w:w="4779"/>
        <w:gridCol w:w="1835"/>
        <w:gridCol w:w="1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序号</w:t>
            </w:r>
          </w:p>
        </w:tc>
        <w:tc>
          <w:tcPr>
            <w:tcW w:w="4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b/>
                <w:color w:val="auto"/>
                <w:szCs w:val="21"/>
                <w:highlight w:val="none"/>
              </w:rPr>
            </w:pPr>
            <w:r>
              <w:rPr>
                <w:rFonts w:ascii="宋体" w:hAnsi="宋体" w:cs="宋体"/>
                <w:b/>
                <w:color w:val="auto"/>
                <w:szCs w:val="21"/>
                <w:highlight w:val="none"/>
              </w:rPr>
              <w:t>服务内容</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单位及数量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（一）</w:t>
            </w:r>
          </w:p>
        </w:tc>
        <w:tc>
          <w:tcPr>
            <w:tcW w:w="4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基于医共体的全民健康信息平台提升改造</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eastAsia="zh-CN"/>
              </w:rPr>
              <w:t>项</w:t>
            </w:r>
          </w:p>
        </w:tc>
        <w:tc>
          <w:tcPr>
            <w:tcW w:w="1547"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530</w:t>
            </w:r>
            <w:r>
              <w:rPr>
                <w:rFonts w:ascii="宋体" w:hAnsi="宋体" w:cs="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（二）</w:t>
            </w:r>
          </w:p>
        </w:tc>
        <w:tc>
          <w:tcPr>
            <w:tcW w:w="4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基层医疗机构补偿机制改革绩效考核二期建设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项</w:t>
            </w:r>
          </w:p>
        </w:tc>
        <w:tc>
          <w:tcPr>
            <w:tcW w:w="1547" w:type="dxa"/>
            <w:vMerge w:val="continue"/>
            <w:tcBorders>
              <w:left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（三）</w:t>
            </w:r>
          </w:p>
        </w:tc>
        <w:tc>
          <w:tcPr>
            <w:tcW w:w="4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县域医共体信息化示范创新应用</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项</w:t>
            </w:r>
          </w:p>
        </w:tc>
        <w:tc>
          <w:tcPr>
            <w:tcW w:w="1547" w:type="dxa"/>
            <w:vMerge w:val="continue"/>
            <w:tcBorders>
              <w:left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（四）</w:t>
            </w:r>
          </w:p>
        </w:tc>
        <w:tc>
          <w:tcPr>
            <w:tcW w:w="4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全民健康信息化平台硬件系统的更新及优化</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项</w:t>
            </w:r>
          </w:p>
        </w:tc>
        <w:tc>
          <w:tcPr>
            <w:tcW w:w="1547" w:type="dxa"/>
            <w:vMerge w:val="continue"/>
            <w:tcBorders>
              <w:left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p>
        </w:tc>
      </w:tr>
    </w:tbl>
    <w:p>
      <w:pPr>
        <w:autoSpaceDE w:val="0"/>
        <w:autoSpaceDN w:val="0"/>
        <w:spacing w:line="320" w:lineRule="exact"/>
        <w:ind w:firstLine="422" w:firstLineChars="200"/>
        <w:outlineLvl w:val="0"/>
        <w:rPr>
          <w:rFonts w:hint="default" w:ascii="宋体" w:hAnsi="宋体"/>
          <w:b/>
          <w:color w:val="auto"/>
          <w:szCs w:val="21"/>
          <w:highlight w:val="none"/>
        </w:rPr>
      </w:pPr>
      <w:r>
        <w:rPr>
          <w:rFonts w:ascii="宋体" w:hAnsi="宋体"/>
          <w:b/>
          <w:color w:val="auto"/>
          <w:szCs w:val="21"/>
          <w:highlight w:val="none"/>
        </w:rPr>
        <w:t>三、服务清单一览表</w:t>
      </w:r>
    </w:p>
    <w:tbl>
      <w:tblPr>
        <w:tblStyle w:val="2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0"/>
        <w:gridCol w:w="3795"/>
        <w:gridCol w:w="138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caps/>
                <w:color w:val="auto"/>
                <w:sz w:val="21"/>
                <w:szCs w:val="21"/>
                <w:highlight w:val="none"/>
              </w:rPr>
              <w:t>序号</w:t>
            </w:r>
          </w:p>
        </w:tc>
        <w:tc>
          <w:tcPr>
            <w:tcW w:w="12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caps/>
                <w:color w:val="auto"/>
                <w:sz w:val="21"/>
                <w:szCs w:val="21"/>
                <w:highlight w:val="none"/>
              </w:rPr>
              <w:t>服务内容</w:t>
            </w:r>
          </w:p>
        </w:tc>
        <w:tc>
          <w:tcPr>
            <w:tcW w:w="3795"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caps/>
                <w:color w:val="auto"/>
                <w:sz w:val="21"/>
                <w:szCs w:val="21"/>
                <w:highlight w:val="none"/>
              </w:rPr>
              <w:t>具体工作内容</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caps/>
                <w:color w:val="auto"/>
                <w:sz w:val="21"/>
                <w:szCs w:val="21"/>
                <w:highlight w:val="none"/>
              </w:rPr>
              <w:t>单位及数量</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caps/>
                <w:color w:val="auto"/>
                <w:sz w:val="21"/>
                <w:szCs w:val="21"/>
                <w:highlight w:val="none"/>
              </w:rPr>
              <w:t>详细技术参数及要求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0" w:type="dxa"/>
            <w:vMerge w:val="restart"/>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基于医共体的全民健康信息平台提升改造</w:t>
            </w: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全民健康信息平台与医保局信息平台对接升级</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区域全民健康信息平台医共体架构标准化改造</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基于医共体总体框架的区域业务协同管理系统改造升级</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医共体运行监测和综合监管系统</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医共体集团及其他医疗机构两码融合升级改造</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医共体牵头医院及成员单位业务接口系统</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80" w:type="dxa"/>
            <w:vMerge w:val="restart"/>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基层医疗机构补偿机制改革绩效考核二期建设</w:t>
            </w: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区域卫生人事管理信息系统</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社区健康管理一体化移动工作平台升级改造</w:t>
            </w:r>
          </w:p>
        </w:tc>
        <w:tc>
          <w:tcPr>
            <w:tcW w:w="1380" w:type="dxa"/>
            <w:vAlign w:val="center"/>
          </w:tcPr>
          <w:p>
            <w:pPr>
              <w:spacing w:line="300" w:lineRule="exact"/>
              <w:jc w:val="center"/>
              <w:rPr>
                <w:rFonts w:hint="eastAsia" w:ascii="宋体" w:hAnsi="宋体" w:eastAsia="宋体" w:cs="宋体"/>
                <w:caps/>
                <w:color w:val="auto"/>
                <w:kern w:val="2"/>
                <w:sz w:val="21"/>
                <w:szCs w:val="21"/>
                <w:highlight w:val="none"/>
                <w:lang w:val="en-US" w:eastAsia="zh-CN" w:bidi="ar-SA"/>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aps/>
                <w:color w:val="auto"/>
                <w:kern w:val="2"/>
                <w:sz w:val="21"/>
                <w:szCs w:val="21"/>
                <w:highlight w:val="none"/>
                <w:lang w:val="en-US" w:eastAsia="zh-CN" w:bidi="ar-SA"/>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基层补偿机制改革绩效系统数据质控</w:t>
            </w:r>
          </w:p>
        </w:tc>
        <w:tc>
          <w:tcPr>
            <w:tcW w:w="1380" w:type="dxa"/>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aps/>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280" w:type="dxa"/>
            <w:vMerge w:val="restart"/>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县域医共体信息化示范创新应用</w:t>
            </w: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区域影像读片机器人（AI）</w:t>
            </w:r>
            <w:r>
              <w:rPr>
                <w:rFonts w:hint="eastAsia" w:ascii="宋体" w:hAnsi="宋体" w:cs="宋体"/>
                <w:b w:val="0"/>
                <w:bCs/>
                <w:color w:val="auto"/>
                <w:sz w:val="21"/>
                <w:szCs w:val="21"/>
                <w:highlight w:val="none"/>
                <w:lang w:val="en-US" w:eastAsia="zh-CN"/>
              </w:rPr>
              <w:t>接口</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区域超声信息</w:t>
            </w:r>
            <w:r>
              <w:rPr>
                <w:rFonts w:hint="eastAsia" w:ascii="宋体" w:hAnsi="宋体" w:eastAsia="宋体" w:cs="宋体"/>
                <w:color w:val="auto"/>
                <w:sz w:val="21"/>
                <w:szCs w:val="21"/>
                <w:highlight w:val="none"/>
                <w:lang w:val="en-US" w:eastAsia="zh-CN"/>
              </w:rPr>
              <w:t>平台</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11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医共体集团AI健康画像</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rPr>
              <w:t>智能导诊</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116" w:type="dxa"/>
            <w:vAlign w:val="center"/>
          </w:tcPr>
          <w:p>
            <w:pPr>
              <w:spacing w:line="300" w:lineRule="exact"/>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AI预问诊智能语音呼叫服务</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116" w:type="dxa"/>
            <w:vAlign w:val="center"/>
          </w:tcPr>
          <w:p>
            <w:pPr>
              <w:spacing w:line="300" w:lineRule="exact"/>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1280" w:type="dxa"/>
            <w:vMerge w:val="restart"/>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全民健康信息化平台硬件系统的更新及优化</w:t>
            </w:r>
          </w:p>
        </w:tc>
        <w:tc>
          <w:tcPr>
            <w:tcW w:w="3795" w:type="dxa"/>
            <w:vAlign w:val="center"/>
          </w:tcPr>
          <w:p>
            <w:pPr>
              <w:spacing w:line="3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SDN</w:t>
            </w:r>
            <w:r>
              <w:rPr>
                <w:rFonts w:hint="eastAsia" w:ascii="宋体" w:hAnsi="宋体" w:cs="宋体"/>
                <w:color w:val="auto"/>
                <w:sz w:val="21"/>
                <w:szCs w:val="21"/>
                <w:highlight w:val="none"/>
                <w:lang w:eastAsia="zh-CN"/>
              </w:rPr>
              <w:t>交换机</w:t>
            </w:r>
            <w:r>
              <w:rPr>
                <w:rFonts w:hint="eastAsia" w:ascii="宋体" w:hAnsi="宋体" w:eastAsia="宋体" w:cs="宋体"/>
                <w:color w:val="auto"/>
                <w:sz w:val="21"/>
                <w:szCs w:val="21"/>
                <w:highlight w:val="none"/>
              </w:rPr>
              <w:t>和服务链管理系统</w:t>
            </w:r>
          </w:p>
        </w:tc>
        <w:tc>
          <w:tcPr>
            <w:tcW w:w="1380" w:type="dxa"/>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1套</w:t>
            </w:r>
          </w:p>
        </w:tc>
        <w:tc>
          <w:tcPr>
            <w:tcW w:w="2116" w:type="dxa"/>
            <w:vAlign w:val="center"/>
          </w:tcPr>
          <w:p>
            <w:pPr>
              <w:spacing w:line="300" w:lineRule="exact"/>
              <w:jc w:val="center"/>
              <w:rPr>
                <w:rFonts w:hint="eastAsia" w:ascii="宋体" w:hAnsi="宋体" w:eastAsia="宋体" w:cs="宋体"/>
                <w:caps/>
                <w:color w:val="auto"/>
                <w:kern w:val="2"/>
                <w:sz w:val="21"/>
                <w:szCs w:val="21"/>
                <w:highlight w:val="none"/>
                <w:lang w:val="en-US" w:eastAsia="zh-CN" w:bidi="ar-SA"/>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服务器</w:t>
            </w:r>
          </w:p>
        </w:tc>
        <w:tc>
          <w:tcPr>
            <w:tcW w:w="1380" w:type="dxa"/>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2台</w:t>
            </w:r>
          </w:p>
        </w:tc>
        <w:tc>
          <w:tcPr>
            <w:tcW w:w="2116" w:type="dxa"/>
            <w:vAlign w:val="center"/>
          </w:tcPr>
          <w:p>
            <w:pPr>
              <w:spacing w:line="300" w:lineRule="exact"/>
              <w:jc w:val="center"/>
              <w:rPr>
                <w:rFonts w:hint="eastAsia" w:ascii="宋体" w:hAnsi="宋体" w:eastAsia="宋体" w:cs="宋体"/>
                <w:caps/>
                <w:color w:val="auto"/>
                <w:kern w:val="2"/>
                <w:sz w:val="21"/>
                <w:szCs w:val="21"/>
                <w:highlight w:val="none"/>
                <w:lang w:val="en-US" w:eastAsia="zh-CN" w:bidi="ar-SA"/>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pStyle w:val="42"/>
              <w:spacing w:line="3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核心交换机</w:t>
            </w:r>
          </w:p>
        </w:tc>
        <w:tc>
          <w:tcPr>
            <w:tcW w:w="1380" w:type="dxa"/>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2台</w:t>
            </w:r>
          </w:p>
        </w:tc>
        <w:tc>
          <w:tcPr>
            <w:tcW w:w="2116" w:type="dxa"/>
            <w:vAlign w:val="center"/>
          </w:tcPr>
          <w:p>
            <w:pPr>
              <w:spacing w:line="300" w:lineRule="exact"/>
              <w:jc w:val="center"/>
              <w:rPr>
                <w:rFonts w:hint="eastAsia" w:ascii="宋体" w:hAnsi="宋体" w:eastAsia="宋体" w:cs="宋体"/>
                <w:caps/>
                <w:color w:val="auto"/>
                <w:kern w:val="2"/>
                <w:sz w:val="21"/>
                <w:szCs w:val="21"/>
                <w:highlight w:val="none"/>
                <w:lang w:val="en-US" w:eastAsia="zh-CN" w:bidi="ar-SA"/>
              </w:rPr>
            </w:pPr>
            <w:r>
              <w:rPr>
                <w:rFonts w:hint="eastAsia" w:ascii="宋体" w:hAnsi="宋体" w:eastAsia="宋体" w:cs="宋体"/>
                <w:caps/>
                <w:color w:val="auto"/>
                <w:sz w:val="21"/>
                <w:szCs w:val="21"/>
                <w:highlight w:val="none"/>
              </w:rPr>
              <w:t>详见参数表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Align w:val="center"/>
          </w:tcPr>
          <w:p>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1280" w:type="dxa"/>
            <w:vMerge w:val="continue"/>
            <w:vAlign w:val="center"/>
          </w:tcPr>
          <w:p>
            <w:pPr>
              <w:spacing w:line="300" w:lineRule="exact"/>
              <w:jc w:val="center"/>
              <w:rPr>
                <w:rFonts w:hint="eastAsia" w:ascii="宋体" w:hAnsi="宋体" w:eastAsia="宋体" w:cs="宋体"/>
                <w:color w:val="auto"/>
                <w:sz w:val="21"/>
                <w:szCs w:val="21"/>
                <w:highlight w:val="none"/>
              </w:rPr>
            </w:pPr>
          </w:p>
        </w:tc>
        <w:tc>
          <w:tcPr>
            <w:tcW w:w="3795" w:type="dxa"/>
            <w:vAlign w:val="center"/>
          </w:tcPr>
          <w:p>
            <w:pPr>
              <w:spacing w:line="3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业务性能</w:t>
            </w:r>
            <w:r>
              <w:rPr>
                <w:rFonts w:hint="eastAsia"/>
                <w:color w:val="auto"/>
                <w:highlight w:val="none"/>
                <w:lang w:eastAsia="zh-CN"/>
              </w:rPr>
              <w:t>保障</w:t>
            </w:r>
            <w:r>
              <w:rPr>
                <w:rFonts w:hint="eastAsia" w:ascii="宋体" w:hAnsi="宋体" w:eastAsia="宋体" w:cs="宋体"/>
                <w:color w:val="auto"/>
                <w:sz w:val="21"/>
                <w:szCs w:val="21"/>
                <w:highlight w:val="none"/>
              </w:rPr>
              <w:t>与优化系统</w:t>
            </w:r>
          </w:p>
        </w:tc>
        <w:tc>
          <w:tcPr>
            <w:tcW w:w="1380"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2116" w:type="dxa"/>
            <w:vAlign w:val="center"/>
          </w:tcPr>
          <w:p>
            <w:pPr>
              <w:spacing w:line="300" w:lineRule="exact"/>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详见参数表</w:t>
            </w:r>
          </w:p>
        </w:tc>
      </w:tr>
    </w:tbl>
    <w:p>
      <w:pPr>
        <w:autoSpaceDE w:val="0"/>
        <w:autoSpaceDN w:val="0"/>
        <w:spacing w:line="32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四、详细技术参数及要求</w:t>
      </w:r>
    </w:p>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（一）基于医共体的全民健康信息平台提升改造</w:t>
      </w:r>
    </w:p>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1.全民健康信息平台与医保局信息平台对接升级</w:t>
      </w:r>
    </w:p>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（1）浙江省异地医保结算接口</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07"/>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07"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6867"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686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实现医院与省异地医保的对接，主要完成以下接口：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人员信息类业务</w:t>
            </w:r>
          </w:p>
        </w:tc>
        <w:tc>
          <w:tcPr>
            <w:tcW w:w="6867" w:type="dxa"/>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获取异地人员信息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获取异地人员信息(只限异地就医管理系统使用)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门诊结算类业务</w:t>
            </w:r>
          </w:p>
        </w:tc>
        <w:tc>
          <w:tcPr>
            <w:tcW w:w="686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门诊预结算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门诊结算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门诊退费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住院结算类业务</w:t>
            </w:r>
          </w:p>
        </w:tc>
        <w:tc>
          <w:tcPr>
            <w:tcW w:w="686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住院登记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住院预结算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住院信息变动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取消住院登记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住院明细上传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住院明细退费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住院明细删除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结算单据下载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跨省费用预结算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跨省费用结算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费用对账</w:t>
            </w:r>
          </w:p>
        </w:tc>
        <w:tc>
          <w:tcPr>
            <w:tcW w:w="686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定点机构日结算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定点机构结算明细下载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社保机构日结算对账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社保机构日结算明细下载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定点机构结算明细对账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社保机构结算明细对账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查询类业务</w:t>
            </w:r>
          </w:p>
        </w:tc>
        <w:tc>
          <w:tcPr>
            <w:tcW w:w="686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Align w:val="center"/>
          </w:tcPr>
          <w:p>
            <w:pPr>
              <w:pStyle w:val="42"/>
              <w:numPr>
                <w:ilvl w:val="0"/>
                <w:numId w:val="3"/>
              </w:numPr>
              <w:spacing w:line="240" w:lineRule="auto"/>
              <w:ind w:firstLineChars="0"/>
              <w:jc w:val="center"/>
              <w:rPr>
                <w:rFonts w:hint="eastAsia" w:ascii="宋体" w:hAnsi="宋体" w:eastAsia="宋体" w:cs="宋体"/>
                <w:color w:val="auto"/>
                <w:sz w:val="21"/>
                <w:szCs w:val="21"/>
                <w:highlight w:val="none"/>
              </w:rPr>
            </w:pPr>
          </w:p>
        </w:tc>
        <w:tc>
          <w:tcPr>
            <w:tcW w:w="170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下发或下载类业务</w:t>
            </w:r>
          </w:p>
        </w:tc>
        <w:tc>
          <w:tcPr>
            <w:tcW w:w="686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跨省费用明细下载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跨省备案信息下载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定点医疗机构下载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药品目录下载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诊疗目录下载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疾病目录下载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月结算数据下载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跨省清算对应结算明细下载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医嘱信息上传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行政区划下载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跨省月结算数据下载</w:t>
            </w:r>
          </w:p>
        </w:tc>
      </w:tr>
    </w:tbl>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.区域全民健康信息平台医共体架构标准化改造</w:t>
      </w:r>
    </w:p>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标准管理升级改造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17"/>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7"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053"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tc>
        <w:tc>
          <w:tcPr>
            <w:tcW w:w="7053" w:type="dxa"/>
            <w:vAlign w:val="center"/>
          </w:tcPr>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在原有的功能基础上，增加标准对照工具，增加医疗术语字典，以及完成页面展示升级。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数据元管理</w:t>
            </w:r>
          </w:p>
        </w:tc>
        <w:tc>
          <w:tcPr>
            <w:tcW w:w="7053" w:type="dxa"/>
            <w:vAlign w:val="center"/>
          </w:tcPr>
          <w:p>
            <w:pPr>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数据元目录新增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数据元目录修改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新增数据元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数据元注册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数据元审核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数据元驳回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数据元发布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数据集管理</w:t>
            </w:r>
          </w:p>
        </w:tc>
        <w:tc>
          <w:tcPr>
            <w:tcW w:w="7053" w:type="dxa"/>
            <w:vAlign w:val="center"/>
          </w:tcPr>
          <w:p>
            <w:pPr>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数据集目录新增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数据集目录修改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数据集新增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数据集注册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数据集审核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值域代码管理</w:t>
            </w:r>
          </w:p>
        </w:tc>
        <w:tc>
          <w:tcPr>
            <w:tcW w:w="7053" w:type="dxa"/>
            <w:vAlign w:val="center"/>
          </w:tcPr>
          <w:p>
            <w:pPr>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值域代码目录新增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值域代码目录修改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值域代码删除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值域代码筛选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值域代码新增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值域代码删除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值域代码查询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药品目录管理</w:t>
            </w:r>
          </w:p>
        </w:tc>
        <w:tc>
          <w:tcPr>
            <w:tcW w:w="7053" w:type="dxa"/>
            <w:vAlign w:val="center"/>
          </w:tcPr>
          <w:p>
            <w:pPr>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药品目录上传、药品目录下载、</w:t>
            </w:r>
            <w:r>
              <w:rPr>
                <w:rFonts w:hint="eastAsia" w:ascii="宋体" w:hAnsi="宋体" w:eastAsia="宋体" w:cs="宋体"/>
                <w:color w:val="auto"/>
                <w:kern w:val="0"/>
                <w:sz w:val="21"/>
                <w:szCs w:val="21"/>
                <w:highlight w:val="none"/>
              </w:rPr>
              <w:t>药品目录查询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导出药品目录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基础信息管理</w:t>
            </w:r>
          </w:p>
        </w:tc>
        <w:tc>
          <w:tcPr>
            <w:tcW w:w="7053" w:type="dxa"/>
            <w:vAlign w:val="center"/>
          </w:tcPr>
          <w:p>
            <w:pPr>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科室信息查询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科室信息录入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科室信息修改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科室信息删除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涉药工作人员删除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涉药工作人员下载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涉药工作人员上传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17" w:type="dxa"/>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基础信息审核</w:t>
            </w:r>
          </w:p>
        </w:tc>
        <w:tc>
          <w:tcPr>
            <w:tcW w:w="7053" w:type="dxa"/>
            <w:vAlign w:val="center"/>
          </w:tcPr>
          <w:p>
            <w:pPr>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科室信息明细查询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涉药工作人员信息查询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药品信息审核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药品目录分类管理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517" w:type="dxa"/>
            <w:vAlign w:val="center"/>
          </w:tcPr>
          <w:p>
            <w:pPr>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诊断目录管理</w:t>
            </w:r>
          </w:p>
        </w:tc>
        <w:tc>
          <w:tcPr>
            <w:tcW w:w="7053" w:type="dxa"/>
            <w:vAlign w:val="center"/>
          </w:tcPr>
          <w:p>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诊断</w:t>
            </w:r>
            <w:r>
              <w:rPr>
                <w:rFonts w:hint="eastAsia" w:ascii="宋体" w:hAnsi="宋体" w:eastAsia="宋体" w:cs="宋体"/>
                <w:color w:val="auto"/>
                <w:kern w:val="0"/>
                <w:sz w:val="21"/>
                <w:szCs w:val="21"/>
                <w:highlight w:val="none"/>
              </w:rPr>
              <w:t>目录查询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诊断</w:t>
            </w:r>
            <w:r>
              <w:rPr>
                <w:rFonts w:hint="eastAsia" w:ascii="宋体" w:hAnsi="宋体" w:eastAsia="宋体" w:cs="宋体"/>
                <w:color w:val="auto"/>
                <w:kern w:val="0"/>
                <w:sz w:val="21"/>
                <w:szCs w:val="21"/>
                <w:highlight w:val="none"/>
              </w:rPr>
              <w:t>目录</w:t>
            </w:r>
            <w:r>
              <w:rPr>
                <w:rFonts w:hint="eastAsia" w:ascii="宋体" w:hAnsi="宋体" w:eastAsia="宋体" w:cs="宋体"/>
                <w:color w:val="auto"/>
                <w:kern w:val="0"/>
                <w:sz w:val="21"/>
                <w:szCs w:val="21"/>
                <w:highlight w:val="none"/>
                <w:lang w:eastAsia="zh-CN"/>
              </w:rPr>
              <w:t>导入</w:t>
            </w:r>
            <w:r>
              <w:rPr>
                <w:rFonts w:hint="eastAsia" w:ascii="宋体" w:hAnsi="宋体" w:eastAsia="宋体" w:cs="宋体"/>
                <w:color w:val="auto"/>
                <w:kern w:val="0"/>
                <w:sz w:val="21"/>
                <w:szCs w:val="21"/>
                <w:highlight w:val="none"/>
              </w:rPr>
              <w:t>导出</w:t>
            </w:r>
            <w:r>
              <w:rPr>
                <w:rFonts w:hint="eastAsia" w:ascii="宋体" w:hAnsi="宋体" w:eastAsia="宋体" w:cs="宋体"/>
                <w:color w:val="auto"/>
                <w:kern w:val="0"/>
                <w:sz w:val="21"/>
                <w:szCs w:val="21"/>
                <w:highlight w:val="none"/>
                <w:lang w:eastAsia="zh-CN"/>
              </w:rPr>
              <w:t>、诊断目录下载</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（2）慢性病数据上传省平台</w:t>
      </w:r>
    </w:p>
    <w:tbl>
      <w:tblPr>
        <w:tblStyle w:val="21"/>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17"/>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7"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070"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7070" w:type="dxa"/>
            <w:vAlign w:val="center"/>
          </w:tcPr>
          <w:p>
            <w:pPr>
              <w:pStyle w:val="2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根据浙江省疾病预防控制信息平台慢性病社区综合防治数据交换技术规范要求，对现有系统进行升级改造，实现慢病数据上传到省平台。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上传内容</w:t>
            </w:r>
          </w:p>
        </w:tc>
        <w:tc>
          <w:tcPr>
            <w:tcW w:w="7070" w:type="dxa"/>
            <w:vAlign w:val="center"/>
          </w:tcPr>
          <w:p>
            <w:pPr>
              <w:pStyle w:val="28"/>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基本信息、高血压患者专项档案、高血压患者随访管理、高血压患者随访用药、高血压患者分层评估、高血压高危人群管理、糖尿病患者专项并发症/合并症、糖尿病患者专项用药、糖尿病患者专项胰岛素、糖尿病患者随访管理、糖尿病患者随访并发症/合并症、糖尿病患者随访用药、糖尿病患者随访胰岛素、糖尿病患者分级评估、糖尿病患者分级评估并发症/合并症、糖尿病高危人群管理、健康体检表、体检住院记录、体检用药记录。</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p>
    <w:p>
      <w:pPr>
        <w:spacing w:line="360" w:lineRule="exact"/>
        <w:ind w:firstLine="422" w:firstLineChars="200"/>
        <w:rPr>
          <w:rFonts w:hint="eastAsia" w:ascii="宋体" w:hAnsi="宋体" w:eastAsia="宋体" w:cs="宋体"/>
          <w:b/>
          <w:color w:val="auto"/>
          <w:sz w:val="21"/>
          <w:szCs w:val="21"/>
          <w:highlight w:val="none"/>
          <w:lang w:val="en-US" w:eastAsia="zh-CN"/>
        </w:rPr>
      </w:pPr>
    </w:p>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3.基于医共体总体框架的区域业务协同管理系统改造升级</w:t>
      </w:r>
    </w:p>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（1）双向转诊升级改造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93"/>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93"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7302"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乡镇卫生院服务站提供实现双向转诊功能和预约挂号功能。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双转服务优化</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转外备案升级，辅助开发增加转外备案可以手动填写患者手机号码的功能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省级医院转诊接口升级：补齐住院转诊省级医院缺失的科室信息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实现妇保院向省级医院的住院转诊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住院转诊接口升级：实现向妇保院住院转诊成功后，短信通知转入和转出医院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门诊转诊升级：增加门诊转诊转入医院</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转诊</w:t>
            </w:r>
            <w:r>
              <w:rPr>
                <w:rFonts w:hint="eastAsia" w:ascii="宋体" w:hAnsi="宋体" w:eastAsia="宋体" w:cs="宋体"/>
                <w:color w:val="auto"/>
                <w:sz w:val="21"/>
                <w:szCs w:val="21"/>
                <w:highlight w:val="none"/>
                <w:lang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门诊转诊数据统计展示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门诊号源</w:t>
            </w:r>
            <w:r>
              <w:rPr>
                <w:rFonts w:hint="eastAsia" w:ascii="宋体" w:hAnsi="宋体" w:eastAsia="宋体" w:cs="宋体"/>
                <w:color w:val="auto"/>
                <w:sz w:val="21"/>
                <w:szCs w:val="21"/>
                <w:highlight w:val="none"/>
                <w:lang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双转资源池升级：</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双向转诊系统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实现医院医生手机号码的维护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实现医院病区信息的更新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实现在住院查询中增加转诊状态的查询条件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转诊功能优化：视图改造，对转诊的视图进行优化改造</w:t>
            </w:r>
          </w:p>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服务站转卫生院功能优化，实现服务站向卫生院的转诊</w:t>
            </w:r>
          </w:p>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下转故障优化，实现</w:t>
            </w:r>
            <w:r>
              <w:rPr>
                <w:rFonts w:hint="eastAsia" w:ascii="宋体" w:hAnsi="宋体" w:eastAsia="宋体" w:cs="宋体"/>
                <w:color w:val="auto"/>
                <w:sz w:val="21"/>
                <w:szCs w:val="21"/>
                <w:highlight w:val="none"/>
                <w:lang w:eastAsia="zh-CN"/>
              </w:rPr>
              <w:t>市级医院</w:t>
            </w:r>
            <w:r>
              <w:rPr>
                <w:rFonts w:hint="eastAsia" w:ascii="宋体" w:hAnsi="宋体" w:eastAsia="宋体" w:cs="宋体"/>
                <w:color w:val="auto"/>
                <w:sz w:val="21"/>
                <w:szCs w:val="21"/>
                <w:highlight w:val="none"/>
              </w:rPr>
              <w:t>向下转诊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有效转诊标志优化，实现有效转诊标志的优化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转诊页面优化，实现双向转诊页面的优化和账号密码的功能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和平医院预约取消功能优化，实现和平医院预约单的取消功能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三家县级医普通门诊挂号功能优化，实现三家县级医普通门诊的当天挂号功能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门诊预约改造</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病人预约门诊后的短信通知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实现门诊转诊的医技预约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双向转诊平台更新，配合开发更新双向转诊平台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医技预约不稳定改造：</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卫生院医技预约功能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实现医技预约短信提醒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转外就诊和特病、特药备案改造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实现转外就诊和特病、特药备案的正式环境部署、医院联调以及测试工作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分级诊疗市级数据上传接口，实现分级诊疗数据与市</w:t>
            </w:r>
            <w:r>
              <w:rPr>
                <w:rFonts w:hint="eastAsia" w:ascii="宋体" w:hAnsi="宋体" w:eastAsia="宋体" w:cs="宋体"/>
                <w:color w:val="auto"/>
                <w:sz w:val="21"/>
                <w:szCs w:val="21"/>
                <w:highlight w:val="none"/>
                <w:lang w:eastAsia="zh-CN"/>
              </w:rPr>
              <w:t>级平台</w:t>
            </w:r>
            <w:r>
              <w:rPr>
                <w:rFonts w:hint="eastAsia" w:ascii="宋体" w:hAnsi="宋体" w:eastAsia="宋体" w:cs="宋体"/>
                <w:color w:val="auto"/>
                <w:sz w:val="21"/>
                <w:szCs w:val="21"/>
                <w:highlight w:val="none"/>
              </w:rPr>
              <w:t>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排队叫号系统优化，实现排队叫号系统数据对接，支持排队叫号系统的叫号执行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中医院预约挂号优化，实现中医院的预约挂号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签约人报销优化，实现签约人的报销功能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查询可挂号专家信息</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入参：挂号方式、日期、挂号班次、科室代码、挂号类别、医生显示类型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出参：医生代码、医生姓名、科室代码、科室名称、医生职称、医生特长、医生介绍、挂号费、诊疗费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3"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病人预约号的取消</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入参：就诊卡类型、就诊卡号、证件类型、证件号码、姓名、预约来源、取号密码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3"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病人的预约挂号</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入参：就诊卡类型、就诊卡号、证件类型、证件号码、姓名、一周排班ID、当天排班ID、日期、挂号班次、挂号类别、科室代码、医生代码、挂号序号、预约来源、联系电话、照片、民族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3"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获取科室或者专家的号源信息</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入参：挂号方式、日期、挂号班次、科室代码、医生代码、挂号类别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出参：日期、挂号班次、挂号类别、科室代码、医生代码、挂号序号、就诊时间、一周排班ID、当天排班ID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3"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查询医院排班信息</w:t>
            </w: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入参：排班类型、明细天数、排班日期、挂号班次、挂号类别、科室代码、医生代码、获取条数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3"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02"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参：科室代码、科室名称、就诊地点、科室介绍、医生代码、医生姓名、医生职称、医生特长、医生介绍、上午号源总数、上午号源剩余、下午号源总数、下午号源剩余、诊疗加收费、诊疗费、排班日期、挂号班次、挂号类别、一周排班ID、当天排班ID、出诊时间</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p>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（2）健康档案调阅改造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07"/>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50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7114"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基于“健康长兴”微信公众号进行个人健康档案开放服务对接。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7"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数据开放</w:t>
            </w: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调阅3.0系统配置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删除数据回复，实现历史调阅数据中已归档医院的删除恢复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微信端调阅影像参数设置，实现微信端调阅影像参的地址栏参数设置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就诊记录调阅，实现微信端的就诊记录调阅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药品信息，实现移动端药品信息完整展示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智能提醒性能调优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影像数据调阅开放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数据一致性优化，实现医院和中心库调阅一致性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调阅指标核对优化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调阅健康体检对应的物化视图优化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出院小结和病案首页优化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调阅数据清洗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医保数据优化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社保调阅内容优化，实现与社保对接调阅内容的调整优化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检验数据归档规则优化，实现人民医院的检验数据中卡号和卡类型为零的检验数据归档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调阅中住院就诊记录下的发药时间增加排序功能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自主体检数据调阅，实现用户在个人健康信息调阅下查看自主体检的用户视图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水印改造：实现微信端水印的优化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增加自助机调阅水印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增加web端调阅水印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调阅浏览器适配优化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调阅内容优化：</w:t>
            </w:r>
            <w:r>
              <w:rPr>
                <w:rFonts w:hint="eastAsia" w:ascii="宋体" w:hAnsi="宋体" w:eastAsia="宋体" w:cs="宋体"/>
                <w:color w:val="auto"/>
                <w:sz w:val="21"/>
                <w:szCs w:val="21"/>
                <w:highlight w:val="none"/>
                <w:lang w:eastAsia="zh-CN"/>
              </w:rPr>
              <w:t>调阅</w:t>
            </w:r>
            <w:r>
              <w:rPr>
                <w:rFonts w:hint="eastAsia" w:ascii="宋体" w:hAnsi="宋体" w:eastAsia="宋体" w:cs="宋体"/>
                <w:color w:val="auto"/>
                <w:sz w:val="21"/>
                <w:szCs w:val="21"/>
                <w:highlight w:val="none"/>
              </w:rPr>
              <w:t>增加签约医生所属团队</w:t>
            </w:r>
            <w:r>
              <w:rPr>
                <w:rFonts w:hint="eastAsia" w:ascii="宋体" w:hAnsi="宋体" w:eastAsia="宋体" w:cs="宋体"/>
                <w:color w:val="auto"/>
                <w:sz w:val="21"/>
                <w:szCs w:val="21"/>
                <w:highlight w:val="none"/>
                <w:lang w:eastAsia="zh-CN"/>
              </w:rPr>
              <w:t>；优化调阅</w:t>
            </w:r>
            <w:r>
              <w:rPr>
                <w:rFonts w:hint="eastAsia" w:ascii="宋体" w:hAnsi="宋体" w:eastAsia="宋体" w:cs="宋体"/>
                <w:color w:val="auto"/>
                <w:sz w:val="21"/>
                <w:szCs w:val="21"/>
                <w:highlight w:val="none"/>
              </w:rPr>
              <w:t>就诊记录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体检数据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重精数据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智能提示调阅的调阅数优化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出院小结数据不全处置，实现出院回访菜单中出院小结数据的完整展示</w:t>
            </w:r>
          </w:p>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实现住院小结归档后的数据完整展示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调阅功能优化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检验检查</w:t>
            </w:r>
            <w:r>
              <w:rPr>
                <w:rFonts w:hint="eastAsia" w:ascii="宋体" w:hAnsi="宋体" w:eastAsia="宋体" w:cs="宋体"/>
                <w:color w:val="auto"/>
                <w:sz w:val="21"/>
                <w:szCs w:val="21"/>
                <w:highlight w:val="none"/>
                <w:lang w:eastAsia="zh-CN"/>
              </w:rPr>
              <w:t>调阅内容展示优化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507"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系统对接优化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实现健康宣教系统与调阅3.0的跳转</w:t>
            </w:r>
          </w:p>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w:t>
            </w:r>
            <w:r>
              <w:rPr>
                <w:rFonts w:hint="eastAsia" w:ascii="宋体" w:hAnsi="宋体" w:eastAsia="宋体" w:cs="宋体"/>
                <w:color w:val="auto"/>
                <w:sz w:val="21"/>
                <w:szCs w:val="21"/>
                <w:highlight w:val="none"/>
                <w:lang w:eastAsia="zh-CN"/>
              </w:rPr>
              <w:t>市级医院</w:t>
            </w:r>
            <w:r>
              <w:rPr>
                <w:rFonts w:hint="eastAsia" w:ascii="宋体" w:hAnsi="宋体" w:eastAsia="宋体" w:cs="宋体"/>
                <w:color w:val="auto"/>
                <w:sz w:val="21"/>
                <w:szCs w:val="21"/>
                <w:highlight w:val="none"/>
              </w:rPr>
              <w:t>的影像数据对接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数据安全管理</w:t>
            </w:r>
          </w:p>
        </w:tc>
        <w:tc>
          <w:tcPr>
            <w:tcW w:w="7114" w:type="dxa"/>
            <w:vAlign w:val="center"/>
          </w:tcPr>
          <w:p>
            <w:pPr>
              <w:pStyle w:val="28"/>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按照数据安全要求对移动端数据提供隐私保护、数据加密等措施。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0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移动调阅对接</w:t>
            </w:r>
          </w:p>
        </w:tc>
        <w:tc>
          <w:tcPr>
            <w:tcW w:w="7114" w:type="dxa"/>
            <w:vAlign w:val="center"/>
          </w:tcPr>
          <w:p>
            <w:pPr>
              <w:pStyle w:val="28"/>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实现移动端健康档案调阅。</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（3）助医服务能力提升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8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81"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7348"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1281"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总体要求</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完善医院</w:t>
            </w:r>
            <w:r>
              <w:rPr>
                <w:rFonts w:hint="eastAsia" w:ascii="宋体" w:hAnsi="宋体" w:eastAsia="宋体" w:cs="宋体"/>
                <w:bCs/>
                <w:color w:val="auto"/>
                <w:kern w:val="0"/>
                <w:sz w:val="21"/>
                <w:szCs w:val="21"/>
                <w:highlight w:val="none"/>
              </w:rPr>
              <w:t>信息系统与区平台进行对接升级，为医疗服务提供数据、提醒和转诊服务。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智能提醒优化-门诊就诊服务</w:t>
            </w:r>
          </w:p>
        </w:tc>
        <w:tc>
          <w:tcPr>
            <w:tcW w:w="7348" w:type="dxa"/>
            <w:vAlign w:val="center"/>
          </w:tcPr>
          <w:p>
            <w:pPr>
              <w:spacing w:line="240" w:lineRule="auto"/>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优化智能提醒医生工作站弹出功能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医院：触发点代码、版本号、质控标志、医院地区编码、医疗机构代码、医疗机构名称、医院科室编码、医保科室编码、医院科室类别、医院科室名称、医院医生工号、医保医生工号、医生姓名、医生联系电话、工作站IP地址、工作站网卡MAC物理地址</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患者：患者唯一ID、就诊卡卡号、就诊卡卡类型、患者姓名、患者性别、出生日期、死亡日期、具体死亡原因、家属姓名、证件类型代码、证件号码、民族代码、婚姻状况代码、文化程度代码、职业代码、具体职业、工作单位/学校名称、固定联系电话、移动联系电话、紧急联系电话、病人归属、转归、迁入/迁出/死亡标记、国籍、常住地址代码、常住地详细地址、户籍地址类型、户籍地址编码、户籍详细地址、现住地类型、现住地址代码、现住地详细地址</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就诊：就诊类型、门诊/住院号、就诊流水号、就诊日期/入院日期、是否首次发现血压异常、是否复诊、发病日期、出院日期、身高、体重、腰围、有无咳嗽或咽痛、疫苗接种、突发公共卫生事件分类代码、中毒事件分类代码、出院诊断、收缩压、舒张压、空腹血糖值、餐后两小时血糖值、体温、腹泻次数、症状代码、症状描述、临床表现、主诉、病例分类代码、病例类型代码、病史摘要、治疗情况、转诊类型</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入参服务项目：服务类别、编码类型、项目名称、项目医院自编代码、项目医保统编代码、项目数量、项目数量单位、检查部位编码、检查部位名称、诊疗部位代码、诊疗部位名称</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3</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智能提醒优化-重复检验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检查服务</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优化智能提醒医生工作站</w:t>
            </w:r>
            <w:r>
              <w:rPr>
                <w:rFonts w:hint="eastAsia" w:ascii="宋体" w:hAnsi="宋体" w:eastAsia="宋体" w:cs="宋体"/>
                <w:bCs/>
                <w:color w:val="auto"/>
                <w:kern w:val="0"/>
                <w:sz w:val="21"/>
                <w:szCs w:val="21"/>
                <w:highlight w:val="none"/>
              </w:rPr>
              <w:t>-重复检验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检查服务</w:t>
            </w:r>
            <w:r>
              <w:rPr>
                <w:rFonts w:hint="eastAsia" w:ascii="宋体" w:hAnsi="宋体" w:eastAsia="宋体" w:cs="宋体"/>
                <w:bCs/>
                <w:color w:val="auto"/>
                <w:kern w:val="0"/>
                <w:sz w:val="21"/>
                <w:szCs w:val="21"/>
                <w:highlight w:val="none"/>
                <w:lang w:eastAsia="zh-CN"/>
              </w:rPr>
              <w:t>弹出功能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医院：触发点代码、版本号、质控标志、医院地区编码、医疗机构代码、医疗机构名称、医院科室编码、医保科室编码、医院科室类别、医院科室名称、医院医生工号、医保医生工号、医生姓名、医生联系电话、工作站IP地址、工作站网卡MAC物理地址</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患者：患者唯一ID、就诊卡卡号、就诊卡卡类型、患者姓名、患者性别、出生日期、死亡日期、具体死亡原因、家属姓名、证件类型代码、证件号码、民族代码、婚姻状况代码、文化程度代码、职业代码、具体职业、工作单位/学校名称、固定联系电话、移动联系电话、紧急联系电话、病人归属、转归、迁入/迁出/死亡标记、国籍、常住地址代码、常住地详细地址、户籍地址类型、户籍地址编码、户籍详细地址、现住地类型、现住地址代码</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入参就诊：就诊类型、门诊/住院号、就诊流水号、就诊日期/入院日期、是否首次发现血压异常、是否复诊、发病日期、出院日期、身高、体重、腰围、出院诊断、收缩压、舒张压</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体温</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入参诊断：诊断日期、诊断编码类型、诊断名称</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入参服务项目：服务类别、编码类型、费用类别、项目名称、项目数量、项目数量单位、检查部位编码、检查部位名称、诊疗部位代码</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智能提醒优化-重复用药服务</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优化智能提醒医生工作站</w:t>
            </w:r>
            <w:r>
              <w:rPr>
                <w:rFonts w:hint="eastAsia" w:ascii="宋体" w:hAnsi="宋体" w:eastAsia="宋体" w:cs="宋体"/>
                <w:bCs/>
                <w:color w:val="auto"/>
                <w:kern w:val="0"/>
                <w:sz w:val="21"/>
                <w:szCs w:val="21"/>
                <w:highlight w:val="none"/>
              </w:rPr>
              <w:t>重复用药服务</w:t>
            </w:r>
            <w:r>
              <w:rPr>
                <w:rFonts w:hint="eastAsia" w:ascii="宋体" w:hAnsi="宋体" w:eastAsia="宋体" w:cs="宋体"/>
                <w:bCs/>
                <w:color w:val="auto"/>
                <w:kern w:val="0"/>
                <w:sz w:val="21"/>
                <w:szCs w:val="21"/>
                <w:highlight w:val="none"/>
                <w:lang w:eastAsia="zh-CN"/>
              </w:rPr>
              <w:t>弹出功能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医院：触发点代码、版本号、质控标志、医院地区编码、医疗机构代码、医疗机构名称、医院科室编码、医保科室编码、医院科室类别、医院科室名称、医院医生工号、医保医生工号、医生姓名、医生联系电话、工作站IP地址、工作站网卡MAC物理地址</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患者：患者唯一ID、就诊卡卡号、就诊卡卡类型、患者姓名、患者性别、出生日期、死亡日期、具体死亡原因、家属姓名、证件类型代码、证件号码、民族代码、婚姻状况代码、文化程度代码、职业代码、具体职业、工作单位/学校名称、固定联系电话、移动联系电话、紧急联系电话、病人归属、转归、迁入/迁出/死亡标记、国籍、常住地址代码、常住地详细地址、户籍地址类型、户籍地址编码、户籍详细地址、现住地类型、现住地址代码</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入参就诊：就诊类型、门诊/住院号、就诊流水号、就诊日期/入院日期、是否首次发现血压异常、是否复诊、发病日期、出院日期、身高、体重、腰围、出院诊断、收缩压、舒张压</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体温</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入参诊断：诊断日期、诊断编码类型、诊断名称</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药品：编码类型、药品名称、医院药品代码、包装规格单位、包装规格单位内含基本使用数量、药品规格(剂量)、单次用药数量、单次用药单位、用药途径代码、用药途径说明、用药频次代码、用药频次、发药数量、发药数量单位</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入参服务项目：服务类别、编码类型、项目名称、项目医院自编代码、项目医保统编代码、项目数量、项目数量单位、检查部位编码、检查部位名称、诊疗部位代码</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6</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住院转诊单升级改造</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服务名称：医院或his系统发起转诊单操作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业务说明：操作转诊单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接口地址：http://ip:port/cxsxzz/xml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入参：转诊编码、转诊操作类型、操作原因、操作医院、操作医生工号</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出参：交易结果、错误消息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7</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转诊单查询升级改造</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服务名称：医院或his系统发起转诊单查询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业务说明：按查询条件，查询转诊单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接口地址：http://ip:port/cxsxzz/xml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入参：转诊编码、转出医院编码、发起医生工号、转入医院编码、患者姓名、患者卡号、患者身份证号、操作医院、操作医生工号、申请开始时间、申请结束时间、转诊单状态、转诊类型、当前页码、每页数量</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交易结果、错误消息、转诊信息、发起医院代码、发起科室代码、发起医生工号、转入医院代码、转入科室代码、病人类型、患者姓名、就诊卡号、就诊卡类型、身份证号码、出生日期、联系电话、家庭地址、初步诊断、病史摘要、主要既往史、治疗情况、转诊目的、紧急程度、门诊住院标志、操作类型</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restart"/>
            <w:vAlign w:val="center"/>
          </w:tcPr>
          <w:p>
            <w:pPr>
              <w:spacing w:line="24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8</w:t>
            </w:r>
          </w:p>
        </w:tc>
        <w:tc>
          <w:tcPr>
            <w:tcW w:w="1281"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住院转诊申请升级改造</w:t>
            </w: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服务名称：医院或his系统发起转诊申请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业务说明：在医生工作站发起转诊申请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接口地址：http://ip:port/cxsxzz/xml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发起转诊编码、发起医院代码、发起医院名称、发起科室代码、发起科室名称、发起医生工号、发起医生姓名、转入医院代码、转入科室代码、转诊类型、申请入院日期、患者姓名、就诊卡号、就诊卡类型、身份证号码、出生日期、联系电话、家庭地址、初步诊断、病史摘要、主要既往史、治疗情况、转诊目的、紧急程度、住院标志</w:t>
            </w:r>
            <w:r>
              <w:rPr>
                <w:rFonts w:hint="eastAsia" w:ascii="宋体" w:hAnsi="宋体" w:eastAsia="宋体" w:cs="宋体"/>
                <w:bCs/>
                <w:color w:val="auto"/>
                <w:kern w:val="0"/>
                <w:sz w:val="21"/>
                <w:szCs w:val="21"/>
                <w:highlight w:val="none"/>
                <w:lang w:eastAsia="zh-CN"/>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281"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7348" w:type="dxa"/>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出参：交易结果、错误消息、转诊编码</w:t>
            </w:r>
            <w:r>
              <w:rPr>
                <w:rFonts w:hint="eastAsia" w:ascii="宋体" w:hAnsi="宋体" w:eastAsia="宋体" w:cs="宋体"/>
                <w:bCs/>
                <w:color w:val="auto"/>
                <w:kern w:val="0"/>
                <w:sz w:val="21"/>
                <w:szCs w:val="21"/>
                <w:highlight w:val="none"/>
                <w:lang w:eastAsia="zh-CN"/>
              </w:rPr>
              <w:t>等信息</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（4）健康档案实名认证改造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49"/>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49"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7356"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9"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支持大数据局实名制认证服务。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实名认证服务对接</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表单自定义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4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健康档案调阅实名认证</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健康档案属地变更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健康档案记录新建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健康档案记录注销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健康档案记录修改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4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个人健康档案查询实名认证</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个人档案查询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业务条线配置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业务字段配置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档案抽取情况查询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卡数据抽取与配置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4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查询模式通用接口</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WebService接口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RESTful接口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4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接收模式通用接口</w:t>
            </w: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WebService接口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RESTful接口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4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6"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JSON格式</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（5）“健康长兴”公众服务平台升级改造</w:t>
      </w:r>
    </w:p>
    <w:tbl>
      <w:tblPr>
        <w:tblStyle w:val="21"/>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67"/>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75" w:type="pct"/>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3926" w:type="pct"/>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实名认证</w:t>
            </w:r>
          </w:p>
        </w:tc>
        <w:tc>
          <w:tcPr>
            <w:tcW w:w="3926" w:type="pct"/>
            <w:vAlign w:val="center"/>
          </w:tcPr>
          <w:p>
            <w:pPr>
              <w:numPr>
                <w:ilvl w:val="0"/>
                <w:numId w:val="4"/>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腾讯人脸识别: 通过小程序实现人脸识别功能：对接微信人脸识别，实现调用全国公安库进行人脸认证，几乎覆盖全部人群；人脸识别精确度可达到近99.99%；支持活体识别功能，可以鉴别通过人脸照片伪装真人的行为。</w:t>
            </w:r>
          </w:p>
          <w:p>
            <w:pPr>
              <w:numPr>
                <w:ilvl w:val="0"/>
                <w:numId w:val="4"/>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通过上传身份证比对人脸识别；</w:t>
            </w:r>
          </w:p>
          <w:p>
            <w:pPr>
              <w:numPr>
                <w:ilvl w:val="0"/>
                <w:numId w:val="4"/>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通过居民档案信息进行手机号短信验证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一键就医</w:t>
            </w:r>
          </w:p>
        </w:tc>
        <w:tc>
          <w:tcPr>
            <w:tcW w:w="3926" w:type="pct"/>
            <w:vAlign w:val="center"/>
          </w:tcPr>
          <w:p>
            <w:pPr>
              <w:numPr>
                <w:ilvl w:val="0"/>
                <w:numId w:val="5"/>
              </w:numPr>
              <w:autoSpaceDE w:val="0"/>
              <w:autoSpaceDN w:val="0"/>
              <w:adjustRightIn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互联网医院：支持接入长兴县区域互联网医院，跳转对应小程序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健康管理</w:t>
            </w:r>
          </w:p>
        </w:tc>
        <w:tc>
          <w:tcPr>
            <w:tcW w:w="3926" w:type="pct"/>
            <w:vAlign w:val="center"/>
          </w:tcPr>
          <w:p>
            <w:pPr>
              <w:numPr>
                <w:ilvl w:val="0"/>
                <w:numId w:val="6"/>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糖链长兴：支持接入糖链长兴，跳转对应小程序</w:t>
            </w:r>
          </w:p>
          <w:p>
            <w:pPr>
              <w:numPr>
                <w:ilvl w:val="0"/>
                <w:numId w:val="6"/>
              </w:numPr>
              <w:autoSpaceDE w:val="0"/>
              <w:autoSpaceDN w:val="0"/>
              <w:adjustRightIn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健康卡-码：支持电子健康卡、健康码二合一，支持申领和展示就诊电子健康卡；健康卡的颜色分为红黄绿，学生及家长可查询自己健康码的颜色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智慧支付</w:t>
            </w:r>
          </w:p>
        </w:tc>
        <w:tc>
          <w:tcPr>
            <w:tcW w:w="3926" w:type="pct"/>
            <w:vAlign w:val="center"/>
          </w:tcPr>
          <w:p>
            <w:pPr>
              <w:numPr>
                <w:ilvl w:val="0"/>
                <w:numId w:val="7"/>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新增基本信息查看、信用支付的还款和签约、掌上支付的门诊结算和住院预缴、支付记录查看功能。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家医签约</w:t>
            </w:r>
          </w:p>
        </w:tc>
        <w:tc>
          <w:tcPr>
            <w:tcW w:w="3926" w:type="pct"/>
            <w:vAlign w:val="center"/>
          </w:tcPr>
          <w:p>
            <w:pPr>
              <w:numPr>
                <w:ilvl w:val="0"/>
                <w:numId w:val="8"/>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提供线上家庭医生签约服务，签约之前需要现在医院建档，支持用户选择签约家庭医生；支持用户线上输入个人签约信息，包括姓名、身份证、手机号、居住地址等；支持用户选择签约服务包；</w:t>
            </w:r>
          </w:p>
          <w:p>
            <w:pPr>
              <w:numPr>
                <w:ilvl w:val="0"/>
                <w:numId w:val="8"/>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对接信用付为用户开通信用付签约，并讲签约费用记账到信用付额度中，实现在线签约免去支付步骤。</w:t>
            </w:r>
          </w:p>
          <w:p>
            <w:pPr>
              <w:numPr>
                <w:ilvl w:val="0"/>
                <w:numId w:val="8"/>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支持居民在线查询签约记录，对接his签约数据，展示所有的历史签约记录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家人管理</w:t>
            </w:r>
          </w:p>
        </w:tc>
        <w:tc>
          <w:tcPr>
            <w:tcW w:w="3926" w:type="pct"/>
            <w:vAlign w:val="center"/>
          </w:tcPr>
          <w:p>
            <w:pPr>
              <w:numPr>
                <w:ilvl w:val="0"/>
                <w:numId w:val="9"/>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支持添加、管理家人，对家人信息进下查看</w:t>
            </w:r>
          </w:p>
          <w:p>
            <w:pPr>
              <w:numPr>
                <w:ilvl w:val="0"/>
                <w:numId w:val="9"/>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优化家人管理界面显示和操作,支持所有功能模块切换家人7查看。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预约挂号</w:t>
            </w:r>
          </w:p>
        </w:tc>
        <w:tc>
          <w:tcPr>
            <w:tcW w:w="3926" w:type="pct"/>
            <w:vAlign w:val="center"/>
          </w:tcPr>
          <w:p>
            <w:pPr>
              <w:numPr>
                <w:ilvl w:val="0"/>
                <w:numId w:val="10"/>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对接湖州平台，实现健康长兴用户跳转进下在线预约挂号、挂号记录查询、预约取消等功能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排队助手</w:t>
            </w:r>
          </w:p>
        </w:tc>
        <w:tc>
          <w:tcPr>
            <w:tcW w:w="3926" w:type="pct"/>
            <w:vAlign w:val="center"/>
          </w:tcPr>
          <w:p>
            <w:pPr>
              <w:numPr>
                <w:ilvl w:val="0"/>
                <w:numId w:val="11"/>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支持查询自己和家人的排队情况，等待人数等</w:t>
            </w:r>
          </w:p>
          <w:p>
            <w:pPr>
              <w:numPr>
                <w:ilvl w:val="0"/>
                <w:numId w:val="11"/>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支持按医院查看全院科室的排队状况</w:t>
            </w:r>
          </w:p>
          <w:p>
            <w:pPr>
              <w:numPr>
                <w:ilvl w:val="0"/>
                <w:numId w:val="11"/>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优化排队查询的展示效果，更加简洁清晰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检查报告</w:t>
            </w:r>
          </w:p>
        </w:tc>
        <w:tc>
          <w:tcPr>
            <w:tcW w:w="3926" w:type="pct"/>
            <w:vAlign w:val="center"/>
          </w:tcPr>
          <w:p>
            <w:pPr>
              <w:numPr>
                <w:ilvl w:val="0"/>
                <w:numId w:val="12"/>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升级检查报告查询模式，限制实名认证之后才能查询检查报告、检查明细项的结果查询、检查报告结果总结与建议等，未实名认证不能查询检查报告相关信息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检验报告</w:t>
            </w:r>
          </w:p>
        </w:tc>
        <w:tc>
          <w:tcPr>
            <w:tcW w:w="3926" w:type="pct"/>
            <w:vAlign w:val="center"/>
          </w:tcPr>
          <w:p>
            <w:pPr>
              <w:numPr>
                <w:ilvl w:val="0"/>
                <w:numId w:val="13"/>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升级检验报告查询模式，限制实名认证之后才能查询化验报告、报告详细信息、检验明细指标以及检验结果的查询，未实名认证不能查询检验报告相关信息。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w:t>
            </w:r>
          </w:p>
        </w:tc>
        <w:tc>
          <w:tcPr>
            <w:tcW w:w="3926" w:type="pct"/>
            <w:vAlign w:val="center"/>
          </w:tcPr>
          <w:p>
            <w:pPr>
              <w:numPr>
                <w:ilvl w:val="0"/>
                <w:numId w:val="14"/>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对接区域平台健康档案，实现区域居民的健康档案查询</w:t>
            </w:r>
          </w:p>
          <w:p>
            <w:pPr>
              <w:numPr>
                <w:ilvl w:val="0"/>
                <w:numId w:val="14"/>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升级健康档案查询权限，实现健康档案隐私保护，限制家人关系为父母、子女和自己才可以查询档案信息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电子健康卡/码</w:t>
            </w:r>
          </w:p>
        </w:tc>
        <w:tc>
          <w:tcPr>
            <w:tcW w:w="3926" w:type="pct"/>
            <w:vAlign w:val="center"/>
          </w:tcPr>
          <w:p>
            <w:pPr>
              <w:numPr>
                <w:ilvl w:val="0"/>
                <w:numId w:val="15"/>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电子健康卡在线自动申领开卡功能</w:t>
            </w:r>
          </w:p>
          <w:p>
            <w:pPr>
              <w:numPr>
                <w:ilvl w:val="0"/>
                <w:numId w:val="15"/>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电子健康卡在线查询，支持电子健康卡二维码展示，可用于自助机预约挂号等场景扫码使用</w:t>
            </w:r>
          </w:p>
          <w:p>
            <w:pPr>
              <w:numPr>
                <w:ilvl w:val="0"/>
                <w:numId w:val="15"/>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对接湖州健康码平台，实现电子健康卡、健康码二码融合。支持居民查询显示健康码红、黄、绿状态</w:t>
            </w:r>
          </w:p>
          <w:p>
            <w:pPr>
              <w:numPr>
                <w:ilvl w:val="0"/>
                <w:numId w:val="15"/>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支持健康码的在线申领。跳转健康码平台进行注册领取。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掌心长兴</w:t>
            </w:r>
          </w:p>
        </w:tc>
        <w:tc>
          <w:tcPr>
            <w:tcW w:w="3926" w:type="pct"/>
            <w:vAlign w:val="center"/>
          </w:tcPr>
          <w:p>
            <w:pPr>
              <w:numPr>
                <w:ilvl w:val="0"/>
                <w:numId w:val="16"/>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对接掌心长兴app，实现掌心长兴app用户直接在app内打开健康长兴并使用健康长兴的预约挂号、报告查询、电子健康卡等便民功能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健康长兴订阅号、服务号互通功能</w:t>
            </w:r>
          </w:p>
        </w:tc>
        <w:tc>
          <w:tcPr>
            <w:tcW w:w="3926" w:type="pct"/>
            <w:vAlign w:val="center"/>
          </w:tcPr>
          <w:p>
            <w:pPr>
              <w:numPr>
                <w:ilvl w:val="0"/>
                <w:numId w:val="17"/>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申请微信服务号，并完全实现订阅号的全部功能</w:t>
            </w:r>
          </w:p>
          <w:p>
            <w:pPr>
              <w:numPr>
                <w:ilvl w:val="0"/>
                <w:numId w:val="17"/>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支持订阅号、服务号用户互通</w:t>
            </w:r>
          </w:p>
          <w:p>
            <w:pPr>
              <w:numPr>
                <w:ilvl w:val="0"/>
                <w:numId w:val="17"/>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实现用户注册、认证时引导关注微信服务号功能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75" w:type="pc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自定义外挂链接</w:t>
            </w:r>
          </w:p>
        </w:tc>
        <w:tc>
          <w:tcPr>
            <w:tcW w:w="3926" w:type="pct"/>
            <w:vAlign w:val="center"/>
          </w:tcPr>
          <w:p>
            <w:pPr>
              <w:numPr>
                <w:ilvl w:val="0"/>
                <w:numId w:val="18"/>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实现部分医院公众号外挂健康长兴链接</w:t>
            </w:r>
          </w:p>
          <w:p>
            <w:pPr>
              <w:numPr>
                <w:ilvl w:val="0"/>
                <w:numId w:val="18"/>
              </w:num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实现通过自定义链接进入的用户可以快速定位到当前的医院，如预约挂号可以直接进入到对应医院的页面。</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4.医共体运行监测和综合监管系统</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94"/>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4"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354"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4"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在医共体综合管理平台系统基础上提供的多层次、多形式的信息查询分析服务功能。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医疗效率主题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门急诊人次数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出院患者人次数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门急诊上转患者人次数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住院上转患者人次数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发展能力主题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出院患者手术台次数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出院患者一级手术台次数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出院患者二级手术台次数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资源下沉医疗服务量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合理用药主题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点评处方数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抗菌药物使用强度（DDDs）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门诊患者基本药物处方占比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住院患者基本药物使用率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基本药物采购品种数占比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国家组织药品集中采购中标药品使用比例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医疗服务主题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每名执业医师日均住院工作负担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实际占用总床日数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医院执业（助理）医师人数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核定床位数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收支结构主题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医保基金回款率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医疗服务收入（不含药品、耗材、检查检验收入）占医疗收入比例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药品收入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卫生材料收入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化验收入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辅助用药收入占比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业务收支结余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财政基本补助收入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4" w:type="dxa"/>
            <w:vMerge w:val="restar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费用控制主题</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医疗收入增幅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1294" w:type="dxa"/>
            <w:vMerge w:val="continue"/>
            <w:vAlign w:val="center"/>
          </w:tcPr>
          <w:p>
            <w:pPr>
              <w:pStyle w:val="28"/>
              <w:spacing w:line="240" w:lineRule="auto"/>
              <w:jc w:val="center"/>
              <w:rPr>
                <w:rFonts w:hint="eastAsia" w:ascii="宋体" w:hAnsi="宋体" w:eastAsia="宋体" w:cs="宋体"/>
                <w:color w:val="auto"/>
                <w:sz w:val="21"/>
                <w:szCs w:val="21"/>
                <w:highlight w:val="none"/>
              </w:rPr>
            </w:pP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4"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报表统计</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在医共体综合管理平台上按照报表要求进行报表分析并生成报表。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4"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可视化分析</w:t>
            </w:r>
          </w:p>
        </w:tc>
        <w:tc>
          <w:tcPr>
            <w:tcW w:w="7354" w:type="dxa"/>
            <w:vAlign w:val="center"/>
          </w:tcPr>
          <w:p>
            <w:pPr>
              <w:pStyle w:val="28"/>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在医共体综合管理平台上提供报表展示、多维分析展示等多样化展示功能。</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5.医共体集团及其他医疗机构两码融合升级改造</w:t>
      </w:r>
    </w:p>
    <w:tbl>
      <w:tblPr>
        <w:tblStyle w:val="2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88"/>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687" w:type="pc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3934" w:type="pct"/>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87" w:type="pc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总体要求</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基于与电子健康卡随访系统的对接，提供个人基本信息和电子健康码信息，辅助完成电子健康随访。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读二维码信息优化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读取二维码图片信息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ReadQRCode (char * OutputData,char * ErrMsg,char *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szReserve、OutputData、ErrMsg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医院读电子卡优化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函数返回电子卡信息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ReadECardInfo (const char * szuseCardInfoXML,char * OutputData,char * ErrMsg);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szuseCardInfoXML、OutputData、ErrMsg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医院发卡优化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医院进行电子健康卡发卡.</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二维码打印纸规格（2.5*2.5cm雅银树脂）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IssueECard (char * InputData,char * OutputData,char * ErrMsg,char *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szReserve、InputData、OutputData、ErrMsg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电子卡打印优化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ECardInfoPrint_V2 (char *InputData, char *ErrMsg,char *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szReserve、InputData、ErrMsg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接入机构身份认证接口优化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WSC_getAuthKey(const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接入机构代码、用户名、密码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电子健康卡身份验证(读电子卡)优化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 WSC_virIdCardVerify)(const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ind w:leftChars="-8" w:hanging="16" w:hangingChars="8"/>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发卡同步接口（发电子卡）优化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 WSC_syncCardInfo)(const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信息接口更新</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 WSC_updateCardInfo)(const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更改卡状态接口优化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 WSC_updateCardType)(const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电子卡静态二维码下载接口优化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函数声明：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int __stdcall WSC_ downQr(const char * szEndPoint,const char * szInput,char *szMsg,char *szOutput,char *szReserve)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参数说明：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szEndPoint、szInput、szMsg、szOutput、szReserve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返回值说明：</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函数调用成功，则返回10000，否则返回错误代码。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APP获取工作密钥优化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APP获取工作密钥，每天获取一次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APPID由平台分配、申请终端编号、接口版本号、APP版本号、APP包名、要类型、加密类型、时间戳、签名md5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返回代码、返回消息、认证字符串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APP发卡接口优化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要类型、加密类型、时间戳、签名md5、二维码类型、卡的类别、卡号、发卡时间、发卡机构代码、银行卡号、是否实名标识、姓名、性别、民族、出生日期、居民身份证号码、证件类别、证件号码、健康档案号、新农合卡号、婚姻状况代码、文化程度代码、职业类别代码、地址类别、地址-省（自治区、直辖市）的名称、地址-市（地区、州）的名称、地址-县（区）的名称、地址-乡（镇、街道办事处）的名称、地址-村（街、路、弄等）的名称、本人电话号码、医疗费用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返回代码、返回消息、电子健康卡号、二维码原始数据、二维码图片base64数据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APP信息接口修改</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要类型、加密类型、时间戳、签名md5、二维码类型、卡的类别、卡号、发卡时间、发卡机构代码、银行卡号、是否实名标识、姓名、性别、民族、出生日期、居民身份证号码、证件类别、证件号码、健康档案号、新农合卡号、婚姻状况代码、文化程度代码、职业类别代码、地址类别、地址-省（自治区、直辖市）的名称、地址-市（地区、州）的名称、地址-县（区）的名称、地址-乡（镇、街道办事处）的名称、地址-村（街、路、弄等）的名称、本人电话号码、医疗费用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APP信息获取接口优化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验证接口和获取信息接口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要类型、加密类型、时间戳、签名md5、二维码类型、卡的类别、卡号、发卡时间、发卡机构代码、银行卡号、是否实名标识、姓名、性别、民族、出生日期、居民身份证号码、证件类别、证件号码、健康档案号、新农合卡号、婚姻状况代码、文化程度代码、职业类别代码、地址类别、地址-省（自治区、直辖市）的名称、地址-市（地区、州）的名称、地址-县（区）的名称、地址-乡（镇、街道办事处）的名称、地址-村（街、路、弄等）的名称、本人电话号码、医疗费用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APP获取二维码图片接口优化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APPID由平台分配、申请终端编号、接口版本号、APP版本号、APP包名、摘要类型、加密类型、时间戳、签名、md5、电子健康卡号、二维码类型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返回代码、返回消息、电子健康卡号、二维码原始数据、二维码图片数据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微信发卡接口优化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微信发卡接口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要类型、加密类型、时间戳、签名md5、二维码类型、卡的类别、卡号、发卡时间、发卡机构代码、银行卡号、是否实名标识、姓名、性别、民族、出生日期、居民身份证号码、证件类别、证件号码、健康档案号、新农合卡号、婚姻状况代码、文化程度代码、职业类别代码、地址类别、地址-省（自治区、直辖市）的名称、地址-市（地区、州）的名称、地址-县（区）的名称、地址-乡（镇、街道办事处）的名称、地址-村（街、路、弄等）的名称、本人电话号码、医疗费用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返回代码、返回消息、电子健康卡号、二维码原始数据、二维码图片数据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APP注销接口优化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验证接口和获取信息接口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APPID由平台分配、申请终端编号、接口版本号、APP版本号、APP包名、摘要类型、加密类型、时间戳、签名md5、参数类型、根据参数类型（type）传相应的值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19</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APP社保卡查询优化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根据身份证号码查询社保卡信息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APPID由平台分配、申请终端编号、接口版本号、APP版本号、APP包名、摘要类型、加密类型、时间戳、签名md5、参数类型、根据参数类型（type）传相应的值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返回代码、返回消息、卡号、卡类型、身份号码、姓名、绑定标识、社保卡标识号、社保卡卡号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w:t>
            </w:r>
          </w:p>
        </w:tc>
        <w:tc>
          <w:tcPr>
            <w:tcW w:w="687" w:type="pct"/>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APP社保卡绑定优化</w:t>
            </w: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社保卡绑定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入参：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APPID由平台分配、申请终端编号、接口版本号、APP版本号、APP包名、摘要类型、加密类型、时间戳、签名md5、参数类型、身份证、社保卡卡号、支付账号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687" w:type="pct"/>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3934" w:type="pct"/>
            <w:vAlign w:val="center"/>
          </w:tcPr>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出参：</w:t>
            </w:r>
          </w:p>
          <w:p>
            <w:pPr>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返回代码、返回消息</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6.医共体牵头医院及成员单位业务接口系统</w:t>
      </w:r>
    </w:p>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（1）医共体接口改造升级</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00"/>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300"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功能要求</w:t>
            </w:r>
          </w:p>
        </w:tc>
        <w:tc>
          <w:tcPr>
            <w:tcW w:w="7375" w:type="dxa"/>
            <w:vAlign w:val="center"/>
          </w:tcPr>
          <w:p>
            <w:pPr>
              <w:pStyle w:val="2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1300"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总体要求</w:t>
            </w:r>
          </w:p>
        </w:tc>
        <w:tc>
          <w:tcPr>
            <w:tcW w:w="7375" w:type="dxa"/>
            <w:vAlign w:val="center"/>
          </w:tcPr>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与医院及业务系统对接，为各类应用服务提供接口支撑，支持数据交换、智能提醒和双向转诊服务等。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300"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与医院对接</w:t>
            </w:r>
          </w:p>
        </w:tc>
        <w:tc>
          <w:tcPr>
            <w:tcW w:w="7375" w:type="dxa"/>
            <w:vAlign w:val="center"/>
          </w:tcPr>
          <w:p>
            <w:pPr>
              <w:spacing w:line="24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挂号表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诊疗收费表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入院登记表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出院登记表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在/出院结算表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手术记录表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手术明细表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业务量收入统计表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患者信息表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门诊就诊记录表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门诊处方明细表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门诊收费明细表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住院就诊记录表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住院医嘱明细表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住院收费明细表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实验室检验报告表头</w:t>
            </w:r>
            <w:r>
              <w:rPr>
                <w:rFonts w:hint="eastAsia" w:ascii="宋体" w:hAnsi="宋体" w:eastAsia="宋体" w:cs="宋体"/>
                <w:bCs/>
                <w:color w:val="auto"/>
                <w:kern w:val="0"/>
                <w:sz w:val="21"/>
                <w:szCs w:val="21"/>
                <w:highlight w:val="none"/>
                <w:lang w:eastAsia="zh-CN"/>
              </w:rPr>
              <w:t>和</w:t>
            </w:r>
            <w:r>
              <w:rPr>
                <w:rFonts w:hint="eastAsia" w:ascii="宋体" w:hAnsi="宋体" w:eastAsia="宋体" w:cs="宋体"/>
                <w:bCs/>
                <w:color w:val="auto"/>
                <w:kern w:val="0"/>
                <w:sz w:val="21"/>
                <w:szCs w:val="21"/>
                <w:highlight w:val="none"/>
              </w:rPr>
              <w:t>检验结果指标表</w:t>
            </w:r>
            <w:r>
              <w:rPr>
                <w:rFonts w:hint="eastAsia" w:ascii="宋体" w:hAnsi="宋体" w:eastAsia="宋体" w:cs="宋体"/>
                <w:bCs/>
                <w:color w:val="auto"/>
                <w:kern w:val="0"/>
                <w:sz w:val="21"/>
                <w:szCs w:val="21"/>
                <w:highlight w:val="none"/>
                <w:lang w:eastAsia="zh-CN"/>
              </w:rPr>
              <w:t>（包含</w:t>
            </w:r>
            <w:r>
              <w:rPr>
                <w:rFonts w:hint="eastAsia" w:ascii="宋体" w:hAnsi="宋体" w:eastAsia="宋体" w:cs="宋体"/>
                <w:bCs/>
                <w:color w:val="auto"/>
                <w:kern w:val="0"/>
                <w:sz w:val="21"/>
                <w:szCs w:val="21"/>
                <w:highlight w:val="none"/>
              </w:rPr>
              <w:t>细菌结果表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药敏结果表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医学影像检查报告表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住院病案首页主题表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诊断明细表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出院小结表</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体检报告</w:t>
            </w:r>
            <w:r>
              <w:rPr>
                <w:rFonts w:hint="eastAsia" w:ascii="宋体" w:hAnsi="宋体" w:eastAsia="宋体" w:cs="宋体"/>
                <w:bCs/>
                <w:color w:val="auto"/>
                <w:kern w:val="0"/>
                <w:sz w:val="21"/>
                <w:szCs w:val="21"/>
                <w:highlight w:val="none"/>
                <w:lang w:eastAsia="zh-CN"/>
              </w:rPr>
              <w:t>等数据表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1300" w:type="dxa"/>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与电子健康卡对接</w:t>
            </w:r>
          </w:p>
        </w:tc>
        <w:tc>
          <w:tcPr>
            <w:tcW w:w="7375" w:type="dxa"/>
            <w:vAlign w:val="center"/>
          </w:tcPr>
          <w:p>
            <w:pPr>
              <w:spacing w:line="24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读二维码信息服务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医院读电子卡服务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医院发卡服务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电子卡打印服务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接入机构身份认证服务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电子健康卡身份验证服务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发卡同步服务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信息更新服务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更改卡状态服务</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电子卡静态二维码下载服务</w:t>
            </w:r>
            <w:r>
              <w:rPr>
                <w:rFonts w:hint="eastAsia" w:ascii="宋体" w:hAnsi="宋体" w:eastAsia="宋体" w:cs="宋体"/>
                <w:bCs/>
                <w:color w:val="auto"/>
                <w:kern w:val="0"/>
                <w:sz w:val="21"/>
                <w:szCs w:val="2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1300" w:type="dxa"/>
            <w:vMerge w:val="restart"/>
            <w:vAlign w:val="center"/>
          </w:tcPr>
          <w:p>
            <w:pPr>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单点漫游认证模式</w:t>
            </w:r>
          </w:p>
        </w:tc>
        <w:tc>
          <w:tcPr>
            <w:tcW w:w="7375" w:type="dxa"/>
            <w:vAlign w:val="center"/>
          </w:tcPr>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应用场景</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url单点漫游采用url加密参数验证握手方式，需要接入系统实现url单点漫游参数的接收、验证，以及验证通过后的握手登录。</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特点：原理及实现较为简单、支持各种开发语言web系统（可提供JAVA、.NET、ASP、PHP等示例说明）、支持用户对照</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接入条件：接入系统需要实现url单点漫游验证登录。</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应用场景：接入系统愿意作一定的开发调试工作。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300" w:type="dxa"/>
            <w:vMerge w:val="continue"/>
            <w:vAlign w:val="center"/>
          </w:tcPr>
          <w:p>
            <w:pPr>
              <w:spacing w:line="240" w:lineRule="auto"/>
              <w:rPr>
                <w:rFonts w:hint="eastAsia" w:ascii="宋体" w:hAnsi="宋体" w:eastAsia="宋体" w:cs="宋体"/>
                <w:bCs/>
                <w:color w:val="auto"/>
                <w:kern w:val="0"/>
                <w:sz w:val="21"/>
                <w:szCs w:val="21"/>
                <w:highlight w:val="none"/>
              </w:rPr>
            </w:pPr>
          </w:p>
        </w:tc>
        <w:tc>
          <w:tcPr>
            <w:tcW w:w="7375" w:type="dxa"/>
            <w:vAlign w:val="center"/>
          </w:tcPr>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接入方式</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用户在平台登录后，点击业务系统单点登录的链接后进入该系统，该系统读取平台单点漫游url参数，并使用密钥解密后还原出来用户帐号，时间戳，判断用户信息。</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平台端与业务系统端共同约定五个参数：</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（1）userName业务系统用户帐号</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（2）strSysDatetime时间戳</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（3）verify校验码</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（4）url访问业务系统的某个地址</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由平台端直接访问业务系统时，需要在url中加入四个参数值传递给业务系统。其中verify由userName、strSysDatetime、pt_key（pt_key为双方约定的密钥，通常采用字符串方式）组成并采用md5方式加密形成的最终的一个串值。</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业务系统获取各个参数后，首先比较业务系统服务器时间同传递过来的strSysDatetime是否在允许的时间差范围内（注意双方服务器时间需保持标准时间），若在时间差范围内，则需将userName、strSysDatetime、pt_key 进行加密后同verify进行比较，若一致，则可以正常登录。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Merge w:val="continue"/>
            <w:vAlign w:val="center"/>
          </w:tcPr>
          <w:p>
            <w:pPr>
              <w:spacing w:line="240" w:lineRule="auto"/>
              <w:jc w:val="center"/>
              <w:rPr>
                <w:rFonts w:hint="eastAsia" w:ascii="宋体" w:hAnsi="宋体" w:eastAsia="宋体" w:cs="宋体"/>
                <w:bCs/>
                <w:color w:val="auto"/>
                <w:kern w:val="0"/>
                <w:sz w:val="21"/>
                <w:szCs w:val="21"/>
                <w:highlight w:val="none"/>
              </w:rPr>
            </w:pPr>
          </w:p>
        </w:tc>
        <w:tc>
          <w:tcPr>
            <w:tcW w:w="1300" w:type="dxa"/>
            <w:vMerge w:val="continue"/>
            <w:vAlign w:val="center"/>
          </w:tcPr>
          <w:p>
            <w:pPr>
              <w:spacing w:line="240" w:lineRule="auto"/>
              <w:rPr>
                <w:rFonts w:hint="eastAsia" w:ascii="宋体" w:hAnsi="宋体" w:eastAsia="宋体" w:cs="宋体"/>
                <w:bCs/>
                <w:color w:val="auto"/>
                <w:kern w:val="0"/>
                <w:sz w:val="21"/>
                <w:szCs w:val="21"/>
                <w:highlight w:val="none"/>
              </w:rPr>
            </w:pPr>
          </w:p>
        </w:tc>
        <w:tc>
          <w:tcPr>
            <w:tcW w:w="7375" w:type="dxa"/>
            <w:vAlign w:val="center"/>
          </w:tcPr>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补充说明</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（1）流程及判断规则：由主平台服务器向业务系统传递参数；</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（2）公共密钥：双方共同约定，可以是一个字符串。（建议一个接入应用一个key）</w:t>
            </w:r>
          </w:p>
          <w:p>
            <w:pPr>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（3）加密方式：采用MD5的加密算法（32位标准加密，小写），校验判断同时加入时间戳判断，时间戳需要获取当前时间，格式为yyyy-MM-dd HH:mm:ss。</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健康长兴浙里办接入</w:t>
      </w:r>
    </w:p>
    <w:tbl>
      <w:tblPr>
        <w:tblStyle w:val="21"/>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Align w:val="center"/>
          </w:tcPr>
          <w:p>
            <w:pPr>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3933" w:type="pct"/>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restar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健康长兴</w:t>
            </w:r>
            <w:r>
              <w:rPr>
                <w:rFonts w:hint="eastAsia" w:ascii="宋体" w:hAnsi="宋体" w:eastAsia="宋体" w:cs="宋体"/>
                <w:color w:val="auto"/>
                <w:sz w:val="21"/>
                <w:szCs w:val="21"/>
                <w:highlight w:val="none"/>
                <w:lang w:val="en-US" w:eastAsia="zh-CN"/>
              </w:rPr>
              <w:t>浙里办接入</w:t>
            </w: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负责浙里办对接的申报资料、系统上线流程对接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对入口图标进行设计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浙里办用户体系接入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按照浙里办UI规范文档调整软件界面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对接后用户能通过浙里办入口进入浙里办的“健康长兴”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健康长兴入口整合了预约挂号、家庭医生、排队助手、检查报告、检验报告、健康档案、健康自检、电子健康卡、智慧支付等功能的入口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pct"/>
            <w:vMerge w:val="continue"/>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3933" w:type="pct"/>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★提供接口对接文档证明</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（二）基层医疗机构补偿机制改革绩效考核二期建设</w:t>
      </w:r>
    </w:p>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1.区域卫生人事管理信息系统</w:t>
      </w:r>
    </w:p>
    <w:tbl>
      <w:tblPr>
        <w:tblStyle w:val="2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350" w:type="dxa"/>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系统架构★</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本项目要求完全采用B/S架构集中式部署，J2EE技术开发平台，数据库采用Oracle、MS SQL、MySQL等主流数据库，实现数据的实时在线存储和共享，支持云平台，确保其先进性、健壮性、安全性和应用方便性等要求。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建设范围</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zh-CN"/>
              </w:rPr>
              <w:t>平台建设范围包括：县卫健局、县卫生监督所、县疾控中心、湖州卫校、县皮防院、16家乡镇卫生院。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restart"/>
            <w:vAlign w:val="center"/>
          </w:tcPr>
          <w:p>
            <w:pPr>
              <w:pStyle w:val="28"/>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平台基础服务子系统</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医疗机构管理服务：对县域内医疗机构进行注册管理服务，系统对这些实体提供唯一的标识；同时，增设医共体服务管理模块，可自由调整已注册医疗机构的从属范围。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标准业务数据项服务：根据国家以及浙江省卫生统计、浙江省人事厅统计要求，对于人事业务上所需的各类统计数据小项进行标准化管理，统一以及标准化业务数据统计口径，为人事业务大数据分析提供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人事数据存储服务：数据存储服务是用于存储基于人员档案为核心的信息。包括个人基本信息、合同信息、工资信息、考评信息、奖惩、进修培训等内容，能够实现平台数据的存储、整合和县域内快速共享利用。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业务数据字典服务：系统提供标准数据字典内容、标准填报表格模板以及最新人事政策。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restart"/>
            <w:vAlign w:val="center"/>
          </w:tcPr>
          <w:p>
            <w:pPr>
              <w:pStyle w:val="28"/>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卫健局人事管理子系统</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区域业务预警：提供查看各项业务预警提醒功能（包括合同到期提醒、退休提醒、证书到期等），局人事管理人员可以查看县域内所有医疗机构的预警以及及时处理情况。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区域人事档案查看：提供县域内所有医疗机构的人员档案信息情况，系统支持按区域、医共体以及单个医疗机构进行查看；系统提供各项查询条件（如:姓名、职称等）进行精准或模糊查询；提供数据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区域业务报表统计：提供标准的业务数据查询与统计报表，以满足卫健局人事科日常工作的需要，标准数据报表包括：《学历成分分析统计》、《年度人员增减》、《卫生统计2表》等；同时支持跨年度统计数据的查询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区域业务数据监管与分析：通过图形化报表的方式来展现县域内所有医疗机构各项业务统计数据，包括：年龄分析、学历分析、职称分析、执业资格分析等；同时，系统还支持对历年的数据分析结果的展现，这为人事业务数据历年发展趋势分析提供了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信息发布模块：提供区域内各项人事通知、消息提醒的发布，系统支持信息发送范围的选择以及信息阅读情况的查阅。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restart"/>
            <w:vAlign w:val="center"/>
          </w:tcPr>
          <w:p>
            <w:pPr>
              <w:pStyle w:val="28"/>
              <w:spacing w:line="24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医共体人事管理子系统</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1、系统管理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科室设置：对于医疗机构本级或医共体内所管辖的医疗机构科室进行设置，包括医疗机构直属科室以及下属村卫生室以及服务站。</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虚拟科室设置：支持人员存在于不同虚拟科室之中。</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群组（角色）管理与设置，支持自定义管理。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人员以及权限设置：对于医疗机构本级或医共体内其他管理人员的创建以及管理权限的分配。</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人事代码维护：根据县域人事平台下载业务数据字典，如行政级别，职工类别，学历等，字典数据并可根据医疗机构的自身情况进行增设。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人员档案管理：实现人员基本信息、科室调动、工作变动、学历信息、岗位信息、职称信息、执业资格信息、政治面貌、培训进修情况、奖惩情况等全部所需的档案信息的管理；支持学历、职称等信息最新情况的标记；支持人员在县域内医疗机构内的自由调动；提供电子附件上传和打印，强大的检索和数据导入、导出功能（如Excel等），灵活友好的操作界面。</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系统还满足医院人员以及村医之间在人员类型、编制、合同类型等方面的设置，在满足医院内部各类人员的区分的同时，还可以区分医院内部其他编制医生与村医编制之间的划分，便于数据的统计和划分。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系统支持特殊人员以及特别关注人员的标记等，以满足基层医疗机构人员的日常管理与跟踪。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3、业务预警管理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提供各类业务预警管理，如合同到期、合同过期提醒，生日提醒，退休提醒等，方便人事科事前预知。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4、合同管理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合同管理：记录医院所有人员的人事合同的签订、续订、变更与终止情况，并提供人员合同情况查询。</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合同到期查询：查询所有已到期的合同，为人事部门提供便利的查询。</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合同模板设定：可自定义各合同类型的模板，便于系统调取与打印。</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合同批量续打：提供各类合同模板，提供续签人员分类查询以及对应合同批量打印功能。</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合同信息的批量导入与导出。</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支持合同电子文件的上传以及合同各次签订情况的查询。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5、信息变动管理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于人员档案信息管理中主要信息发生变化进行记录，便于历史信息的回溯，信息变动管理包括合同变动查询、科室变动查询、学历变动查询、工作变动查询、职称变动查询、执业资格变动查询、岗位变动查询、政治面貌变动查询、奖惩变动查询等等；支持按姓名、变动时间等条件进行查询，并支持数据的导入与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6、薪酬管理</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工资管理系统考虑各级医院在职在编员工、离退休等人员工资管理，支持工资发放的栏目可自定义， 支持月度工资数据的导入与导出，人员工资条批量打印等。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7、人事花名册</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提供医院常用的各类花名册，支持数据的导出与打印，主要包括：在职人员花名册、合同制人员花名册、退休人员花名册、党员发展情况表、转正党员名册、编外人员名册等。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8、人事数据统计查询</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提供各项医院人事查询与统计报表，如：《学历成分分析统计》、《事业单位人员基本情况表》、《年度人员增减表》等，支持数据的打印与导出。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9、人事数据分析</w:t>
            </w:r>
          </w:p>
          <w:p>
            <w:pPr>
              <w:pStyle w:val="28"/>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通过图形化报表的方式来展现本医疗机构或医共体内医疗机构各项业务统计数据，包括：年龄分析、学历分析、职称分析、执业资格分析等；同时，系统还支持对历年的数据分析结果的查看。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widowControl/>
              <w:spacing w:line="240" w:lineRule="auto"/>
              <w:ind w:firstLine="210" w:firstLineChars="10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10、信息接收管理</w:t>
            </w:r>
          </w:p>
          <w:p>
            <w:pPr>
              <w:pStyle w:val="28"/>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可以接收和查看上级部门所发的各类信息以及通知，系统自动记录阅读状态、人员以及阅读时间。</w:t>
            </w:r>
          </w:p>
        </w:tc>
        <w:tc>
          <w:tcPr>
            <w:tcW w:w="7350" w:type="dxa"/>
            <w:vAlign w:val="center"/>
          </w:tcPr>
          <w:p>
            <w:pPr>
              <w:widowControl/>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10、信息接收管理</w:t>
            </w:r>
          </w:p>
          <w:p>
            <w:pPr>
              <w:widowControl/>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可以接收和查看上级部门所发的各类信息以及通知，系统自动记录阅读状态、人员以及阅读时间。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11、休假管理</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年休管理：年休卡初始化和调整，可以先设置好年休规则，然后通过工龄来得到人员本年的可年休天数；支持自定义假期种类；</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年休登记：对各科室人员的年休情况从考勤表中自动登记，并根据年休情况给予提醒。</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年休查询：查询某个人员的年休情况，具体到哪天用掉了年休假。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Merge w:val="continue"/>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12、考勤管理</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支持科室根据排班情况在线确认，并自动形成科室考勤登记表；</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支持考勤汇总：自动形成“全院考勤统计表”，支持导出；缺勤数据与个人薪酬数据部分自动关联。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卫生高级职称评审辅助服务系统</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系统设计需完全符合省级以及长兴县卫生高级职称评审规范要求与实际，主要建设内容包括：</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获取本年度卫生高级申报人员信息；</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满足院内要求实现量化分数的自动核算以及将量化模板以及打分结果数据批量无缝导入省高级职称评聘监管服务平台；</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获取本年度评审结果数据；</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结合省卫生高级职称评聘监管服务平台为自主评聘单位提供2年现场评聘业务指导与技术支持。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技术要求</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1、以国家以及省级数据规范为标准，并可实现与省级以及湖州市级人事相关平台数据共享；</w:t>
            </w:r>
          </w:p>
          <w:p>
            <w:pPr>
              <w:pStyle w:val="28"/>
              <w:spacing w:line="24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2、业务模块完整，各业务模块之间数据相互关联且可自动计算；</w:t>
            </w:r>
          </w:p>
          <w:p>
            <w:pPr>
              <w:pStyle w:val="28"/>
              <w:spacing w:line="24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3、平台自动备份月度各项人事数据自动归集，方便日后追溯与调阅；</w:t>
            </w:r>
          </w:p>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zh-CN" w:eastAsia="zh-CN" w:bidi="ar-SA"/>
              </w:rPr>
              <w:t>4、提供各项相关业务统计以及数据分析表图，为领导业务决策提供支撑。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系统接口要求★</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lang w:val="en-US" w:eastAsia="zh-CN" w:bidi="ar-SA"/>
              </w:rPr>
              <w:t>能够实现与第三方省级和市级卫生人事平台系统对接，包括省高级职称申报系统、省卫生高级职称评审监管服务平台以及湖州市级卫生信息平台人事基础数据接入。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pPr>
              <w:pStyle w:val="28"/>
              <w:spacing w:line="24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工期要求</w:t>
            </w:r>
          </w:p>
        </w:tc>
        <w:tc>
          <w:tcPr>
            <w:tcW w:w="7350" w:type="dxa"/>
            <w:vAlign w:val="center"/>
          </w:tcPr>
          <w:p>
            <w:pPr>
              <w:pStyle w:val="28"/>
              <w:spacing w:line="240" w:lineRule="auto"/>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整体项目建设工期3个月，（1）要求在2个月内完成整个项目的系统开发、接口对接以及系统测试环境部署等工作，（2）要求在1个月内完成系统的测试和修改工作，并正式上线。</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eastAsia="zh-CN"/>
        </w:rPr>
        <w:t>社区健康管理一体化移动工作平台升级改造</w:t>
      </w:r>
    </w:p>
    <w:tbl>
      <w:tblPr>
        <w:tblStyle w:val="21"/>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342"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总体要求</w:t>
            </w:r>
          </w:p>
        </w:tc>
        <w:tc>
          <w:tcPr>
            <w:tcW w:w="7342" w:type="dxa"/>
            <w:vAlign w:val="center"/>
          </w:tcPr>
          <w:p>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支持家庭医生可以在手机上实现随访登记、门诊记录查询、健康教育等功能。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支持钉钉用户体系登录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支持用户的登出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支持管理员查看全院数据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支持近一年签约人数的查看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支持自然年当年的数据查询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支持重点人群签约人数的查询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支持同期人数差额的查询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健康档案</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支持签约档案的查询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支持未签约档案的查询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支持签约档案的级别筛选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支持病人姓名的筛选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支持各个档案总数量的显示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重点人群</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支持糖尿病的重点人群查询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支持高血压的重点人群查询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支持重点人群已访未访的人群查询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支持各个分类下人群总数的显示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支持各个分类下重点人群姓名的筛选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随访记录</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支持人群类型的显示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支持随访记录的列表显示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支持随访的签到，支持扫描居民电子健康卡二维码获取居民信息签到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支持对接糖链血糖血压测量仪，获取血糖血压数据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支持修改绑定设备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支持随访的登记暂存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支持随访记录的登记提交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支持未提交的随访记录删除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服务记录</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支持医疗服务记录的查询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门诊记录</w:t>
            </w: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支持门诊记录的列表显示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健康教育</w:t>
            </w: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支持健康教育分类的查询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支持健康教育分类文章的显示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支持健康教育内容的筛选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支持健康教育分享记录的查询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支持健康教育详情的查看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支持健康教育文章分享给居民的功能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健康教育分享时支持居民的筛选与全选功能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restart"/>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基线调查</w:t>
            </w: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通过基线调查平台方便基层医生开展工作，核对辖区居民信息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支持对接HIS 健康档案数据，获取居民健康档案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档案按照全部、未调查、已调查进行分类，微调查的居民档案在调查完成后会进入已调查的分组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每个分组显示居民档案列表，通过列表可以进入健康档案详情页面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档案信息包括基本信息、文化程度、职业、婚姻状态、药物过敏史、既往史、家族史、传染病史、残疾情况等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★支持通过居民姓名、身份证进行档案查找，支持按地区检索</w:t>
            </w:r>
            <w:r>
              <w:rPr>
                <w:rFonts w:hint="eastAsia" w:ascii="宋体" w:hAnsi="宋体" w:eastAsia="宋体" w:cs="宋体"/>
                <w:b/>
                <w:bCs/>
                <w:color w:val="auto"/>
                <w:kern w:val="0"/>
                <w:sz w:val="21"/>
                <w:szCs w:val="21"/>
                <w:highlight w:val="none"/>
              </w:rPr>
              <w:t>（提供软件截图证明）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支持水印防截图功能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支持基线调查时，通过电子健康卡扫码识人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支持健康档案修改编辑与提交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1"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42"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支持账号权限配置，按照管理员和普通用户分配对应的可见档案范围</w:t>
            </w:r>
          </w:p>
        </w:tc>
      </w:tr>
    </w:tbl>
    <w:p>
      <w:pPr>
        <w:spacing w:line="36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3.基层补偿机制改革绩效</w:t>
      </w:r>
      <w:r>
        <w:rPr>
          <w:rFonts w:hint="eastAsia" w:ascii="宋体" w:hAnsi="宋体" w:cs="宋体"/>
          <w:b/>
          <w:color w:val="auto"/>
          <w:sz w:val="21"/>
          <w:szCs w:val="21"/>
          <w:highlight w:val="none"/>
          <w:lang w:val="en-US" w:eastAsia="zh-CN"/>
        </w:rPr>
        <w:t>系统</w:t>
      </w:r>
      <w:r>
        <w:rPr>
          <w:rFonts w:hint="eastAsia" w:ascii="宋体" w:hAnsi="宋体" w:eastAsia="宋体" w:cs="宋体"/>
          <w:b/>
          <w:color w:val="auto"/>
          <w:sz w:val="21"/>
          <w:szCs w:val="21"/>
          <w:highlight w:val="none"/>
          <w:lang w:val="en-US" w:eastAsia="zh-CN"/>
        </w:rPr>
        <w:t>数据质控</w:t>
      </w:r>
    </w:p>
    <w:p>
      <w:pPr>
        <w:spacing w:line="36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融合于业务系统集成平台及业务应用系统中的数据质控管理体系，贯穿业务应用系统、数据对接过程和考核评价全程，实现考核数据源质量管理、数据采集监控、数据加工规则监控和业务质量考核等方面的自动化数据质控，确保考核数据的合规性、完整性、客观性、准确性和一致性。</w:t>
      </w:r>
    </w:p>
    <w:p>
      <w:pPr>
        <w:spacing w:line="360" w:lineRule="exact"/>
        <w:ind w:firstLine="422" w:firstLineChars="200"/>
        <w:rPr>
          <w:rFonts w:hint="eastAsia" w:ascii="宋体" w:hAnsi="宋体" w:eastAsia="宋体" w:cs="宋体"/>
          <w:b/>
          <w:bCs w:val="0"/>
          <w:color w:val="auto"/>
          <w:sz w:val="21"/>
          <w:szCs w:val="21"/>
          <w:highlight w:val="none"/>
          <w:lang w:val="en-US" w:eastAsia="zh-CN"/>
        </w:rPr>
      </w:pPr>
      <w:bookmarkStart w:id="26" w:name="_Toc6553743"/>
      <w:r>
        <w:rPr>
          <w:rFonts w:hint="eastAsia" w:ascii="宋体" w:hAnsi="宋体" w:eastAsia="宋体" w:cs="宋体"/>
          <w:b/>
          <w:bCs w:val="0"/>
          <w:color w:val="auto"/>
          <w:sz w:val="21"/>
          <w:szCs w:val="21"/>
          <w:highlight w:val="none"/>
          <w:lang w:val="en-US" w:eastAsia="zh-CN"/>
        </w:rPr>
        <w:t>（1）数据质控</w:t>
      </w:r>
      <w:bookmarkEnd w:id="26"/>
    </w:p>
    <w:tbl>
      <w:tblPr>
        <w:tblStyle w:val="21"/>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3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28"/>
              <w:spacing w:line="240" w:lineRule="auto"/>
              <w:jc w:val="center"/>
              <w:rPr>
                <w:rFonts w:hint="eastAsia" w:ascii="宋体" w:hAnsi="宋体" w:eastAsia="宋体" w:cs="宋体"/>
                <w:b/>
                <w:bCs/>
                <w:color w:val="auto"/>
                <w:sz w:val="21"/>
                <w:szCs w:val="21"/>
                <w:highlight w:val="none"/>
              </w:rPr>
            </w:pPr>
            <w:bookmarkStart w:id="27" w:name="_Toc339542181"/>
            <w:bookmarkStart w:id="28" w:name="_Toc249713776"/>
            <w:bookmarkStart w:id="29" w:name="_Toc229738114"/>
            <w:bookmarkStart w:id="30" w:name="_Toc6553744"/>
            <w:r>
              <w:rPr>
                <w:rFonts w:hint="eastAsia" w:ascii="宋体" w:hAnsi="宋体" w:eastAsia="宋体" w:cs="宋体"/>
                <w:b/>
                <w:bCs/>
                <w:color w:val="auto"/>
                <w:sz w:val="21"/>
                <w:szCs w:val="21"/>
                <w:highlight w:val="none"/>
              </w:rPr>
              <w:t>序号</w:t>
            </w:r>
          </w:p>
        </w:tc>
        <w:tc>
          <w:tcPr>
            <w:tcW w:w="828"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3810"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42"/>
              <w:numPr>
                <w:ilvl w:val="0"/>
                <w:numId w:val="0"/>
              </w:num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82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数据明细质控</w:t>
            </w:r>
          </w:p>
        </w:tc>
        <w:tc>
          <w:tcPr>
            <w:tcW w:w="3810"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数据明细质</w:t>
            </w:r>
            <w:r>
              <w:rPr>
                <w:rFonts w:hint="eastAsia" w:ascii="宋体" w:hAnsi="宋体" w:eastAsia="宋体" w:cs="宋体"/>
                <w:color w:val="auto"/>
                <w:sz w:val="21"/>
                <w:szCs w:val="21"/>
                <w:highlight w:val="none"/>
                <w:lang w:eastAsia="zh-CN"/>
              </w:rPr>
              <w:t>控，</w:t>
            </w:r>
            <w:r>
              <w:rPr>
                <w:rFonts w:hint="eastAsia" w:ascii="宋体" w:hAnsi="宋体" w:eastAsia="宋体" w:cs="宋体"/>
                <w:color w:val="auto"/>
                <w:sz w:val="21"/>
                <w:szCs w:val="21"/>
                <w:highlight w:val="none"/>
              </w:rPr>
              <w:t>用户核对原始数据明细表与数据平台明细表条数。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42"/>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2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指标结果质控</w:t>
            </w:r>
          </w:p>
        </w:tc>
        <w:tc>
          <w:tcPr>
            <w:tcW w:w="3810"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工作量数据的质控，用户核对数据平台计算完的工作量与考核数据库的工作量。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42"/>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2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核减工作量分析</w:t>
            </w:r>
          </w:p>
        </w:tc>
        <w:tc>
          <w:tcPr>
            <w:tcW w:w="3810"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核减工作量</w:t>
            </w:r>
            <w:r>
              <w:rPr>
                <w:rFonts w:hint="eastAsia" w:ascii="宋体" w:hAnsi="宋体" w:eastAsia="宋体" w:cs="宋体"/>
                <w:color w:val="auto"/>
                <w:sz w:val="21"/>
                <w:szCs w:val="21"/>
                <w:highlight w:val="none"/>
                <w:lang w:eastAsia="zh-CN"/>
              </w:rPr>
              <w:t>分析和查询</w:t>
            </w:r>
            <w:r>
              <w:rPr>
                <w:rFonts w:hint="eastAsia" w:ascii="宋体" w:hAnsi="宋体" w:eastAsia="宋体" w:cs="宋体"/>
                <w:color w:val="auto"/>
                <w:sz w:val="21"/>
                <w:szCs w:val="21"/>
                <w:highlight w:val="none"/>
              </w:rPr>
              <w:t>，以考核数据库里的有效工作量对比原始数据库不加条件计算的工作量，查找出被核减的明细及被核减的原因，而核减原因的来源是根据对明细数据的分析慢慢完善的。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42"/>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指标推送质控</w:t>
            </w:r>
          </w:p>
        </w:tc>
        <w:tc>
          <w:tcPr>
            <w:tcW w:w="3810"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指标推送质控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用于集成平台数据推送到绩效数据是否缺失。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noWrap w:val="0"/>
            <w:vAlign w:val="center"/>
          </w:tcPr>
          <w:p>
            <w:pPr>
              <w:pStyle w:val="42"/>
              <w:numPr>
                <w:ilvl w:val="0"/>
                <w:numId w:val="0"/>
              </w:num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2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人员身份有效性质控</w:t>
            </w:r>
          </w:p>
        </w:tc>
        <w:tc>
          <w:tcPr>
            <w:tcW w:w="3810"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人员身份有效性质控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用于监测人员身份的有效性。</w:t>
            </w:r>
          </w:p>
        </w:tc>
      </w:tr>
    </w:tbl>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（2）数据质量评价</w:t>
      </w:r>
      <w:bookmarkEnd w:id="27"/>
      <w:bookmarkEnd w:id="28"/>
      <w:bookmarkEnd w:id="29"/>
      <w:bookmarkEnd w:id="30"/>
    </w:p>
    <w:p>
      <w:pPr>
        <w:spacing w:line="36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为提高数据的采集质量，数据交换平台中包含一整套完整的接口数据质量评估体系。该质量评估主要针对各联网医疗机构的数据上传质量情况。</w:t>
      </w:r>
    </w:p>
    <w:tbl>
      <w:tblPr>
        <w:tblStyle w:val="21"/>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62"/>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28"/>
              <w:spacing w:line="240" w:lineRule="auto"/>
              <w:jc w:val="center"/>
              <w:rPr>
                <w:rFonts w:hint="eastAsia" w:ascii="宋体" w:hAnsi="宋体" w:eastAsia="宋体" w:cs="宋体"/>
                <w:b/>
                <w:bCs/>
                <w:color w:val="auto"/>
                <w:sz w:val="21"/>
                <w:szCs w:val="21"/>
                <w:highlight w:val="none"/>
              </w:rPr>
            </w:pPr>
            <w:bookmarkStart w:id="31" w:name="_Toc6553745"/>
            <w:r>
              <w:rPr>
                <w:rFonts w:hint="eastAsia" w:ascii="宋体" w:hAnsi="宋体" w:eastAsia="宋体" w:cs="宋体"/>
                <w:b/>
                <w:bCs/>
                <w:color w:val="auto"/>
                <w:sz w:val="21"/>
                <w:szCs w:val="21"/>
                <w:highlight w:val="none"/>
              </w:rPr>
              <w:t>序号</w:t>
            </w:r>
          </w:p>
        </w:tc>
        <w:tc>
          <w:tcPr>
            <w:tcW w:w="888"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3757"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rPr>
              <w:t>数据的关联性、准确性和完整性的评价可涵盖所有业务表的关联性、数据完整性以及部分字段的数据准确性。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根据评价指标以及各医疗机构的实际数据上传质量，卫</w:t>
            </w:r>
            <w:r>
              <w:rPr>
                <w:rFonts w:hint="eastAsia" w:ascii="宋体" w:hAnsi="宋体" w:eastAsia="宋体" w:cs="宋体"/>
                <w:color w:val="auto"/>
                <w:sz w:val="21"/>
                <w:szCs w:val="21"/>
                <w:highlight w:val="none"/>
                <w:lang w:eastAsia="zh-CN"/>
              </w:rPr>
              <w:t>健</w:t>
            </w:r>
            <w:r>
              <w:rPr>
                <w:rFonts w:hint="eastAsia" w:ascii="宋体" w:hAnsi="宋体" w:eastAsia="宋体" w:cs="宋体"/>
                <w:color w:val="auto"/>
                <w:sz w:val="21"/>
                <w:szCs w:val="21"/>
                <w:highlight w:val="none"/>
              </w:rPr>
              <w:t>部门就可以获得量化的各医疗机构数据上传质量评价，以便督促各医疗机构提高数据的上传质量。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数据完整性</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支持数据完整性管控，</w:t>
            </w:r>
            <w:r>
              <w:rPr>
                <w:rFonts w:hint="eastAsia" w:ascii="宋体" w:hAnsi="宋体" w:eastAsia="宋体" w:cs="宋体"/>
                <w:color w:val="auto"/>
                <w:sz w:val="21"/>
                <w:szCs w:val="21"/>
                <w:highlight w:val="none"/>
              </w:rPr>
              <w:t>生产系统在上传明细数据的同时，需要上传当天各项数据的实际总记录数，与数据中心采集的数据进行比较，分析数据的完整性。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数据准确性</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支持数据准确性管控，</w:t>
            </w:r>
            <w:r>
              <w:rPr>
                <w:rFonts w:hint="eastAsia" w:ascii="宋体" w:hAnsi="宋体" w:eastAsia="宋体" w:cs="宋体"/>
                <w:color w:val="auto"/>
                <w:sz w:val="21"/>
                <w:szCs w:val="21"/>
                <w:highlight w:val="none"/>
              </w:rPr>
              <w:t>生产系统在上传明细数据的同时，需要上传关键指标数据的结果值，通过这些关键指标数据的结果与数据中心做比较，分析数据的准确性。同时建立平台和生产系统之间的转换库把每项数据对应的数据值、作用、对应的系统名称都保存在转换库中，通过转换库做到系统之间数据灵活转换，防止数据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数据关联性</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支持数据关联性管控，校验</w:t>
            </w:r>
            <w:r>
              <w:rPr>
                <w:rFonts w:hint="eastAsia" w:ascii="宋体" w:hAnsi="宋体" w:eastAsia="宋体" w:cs="宋体"/>
                <w:color w:val="auto"/>
                <w:sz w:val="21"/>
                <w:szCs w:val="21"/>
                <w:highlight w:val="none"/>
              </w:rPr>
              <w:t>上传数据符合接口规范要求的程度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数据之间钩稽关系的满足程度。在保证生产系统上传数据的完整性和准确性的前提下，控制数据利用的唯一入口，所有数据的利用需要通过平台数据中心提供。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数据稳定性</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支持数据稳定性管控，以</w:t>
            </w:r>
            <w:r>
              <w:rPr>
                <w:rFonts w:hint="eastAsia" w:ascii="宋体" w:hAnsi="宋体" w:eastAsia="宋体" w:cs="宋体"/>
                <w:color w:val="auto"/>
                <w:sz w:val="21"/>
                <w:szCs w:val="21"/>
                <w:highlight w:val="none"/>
              </w:rPr>
              <w:t>反映数据上传动作的正常工作状态时间与失效状态时间的比例关系。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pct"/>
            <w:noWrap w:val="0"/>
            <w:vAlign w:val="center"/>
          </w:tcPr>
          <w:p>
            <w:pPr>
              <w:pStyle w:val="42"/>
              <w:numPr>
                <w:ilvl w:val="0"/>
                <w:numId w:val="19"/>
              </w:numPr>
              <w:spacing w:line="240" w:lineRule="auto"/>
              <w:ind w:firstLineChars="0"/>
              <w:rPr>
                <w:rFonts w:hint="eastAsia" w:ascii="宋体" w:hAnsi="宋体" w:eastAsia="宋体" w:cs="宋体"/>
                <w:color w:val="auto"/>
                <w:sz w:val="21"/>
                <w:szCs w:val="21"/>
                <w:highlight w:val="none"/>
              </w:rPr>
            </w:pPr>
          </w:p>
        </w:tc>
        <w:tc>
          <w:tcPr>
            <w:tcW w:w="88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数据及时性</w:t>
            </w:r>
          </w:p>
        </w:tc>
        <w:tc>
          <w:tcPr>
            <w:tcW w:w="3757" w:type="pct"/>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支持数据稳定性管控，以</w:t>
            </w:r>
            <w:r>
              <w:rPr>
                <w:rFonts w:hint="eastAsia" w:ascii="宋体" w:hAnsi="宋体" w:eastAsia="宋体" w:cs="宋体"/>
                <w:color w:val="auto"/>
                <w:sz w:val="21"/>
                <w:szCs w:val="21"/>
                <w:highlight w:val="none"/>
              </w:rPr>
              <w:t>反映数据上传的时效是否满足要求。</w:t>
            </w:r>
          </w:p>
        </w:tc>
      </w:tr>
    </w:tbl>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 数据质量监控机制</w:t>
      </w:r>
      <w:bookmarkEnd w:id="31"/>
    </w:p>
    <w:p>
      <w:pPr>
        <w:spacing w:line="36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为提高数据的采集质量，平台提供完整的接口数据质量管理服务。通过对采集数据的质量进行评估监控，实现数据采集质量的管理与控制。</w:t>
      </w:r>
    </w:p>
    <w:p>
      <w:pPr>
        <w:pStyle w:val="8"/>
        <w:rPr>
          <w:rFonts w:hint="eastAsia" w:ascii="宋体" w:hAnsi="宋体" w:eastAsia="宋体" w:cs="宋体"/>
          <w:b w:val="0"/>
          <w:bCs/>
          <w:color w:val="auto"/>
          <w:kern w:val="2"/>
          <w:sz w:val="21"/>
          <w:szCs w:val="21"/>
          <w:highlight w:val="none"/>
          <w:lang w:val="en-US" w:eastAsia="zh-CN" w:bidi="ar-SA"/>
        </w:rPr>
      </w:pPr>
    </w:p>
    <w:p>
      <w:pPr>
        <w:pStyle w:val="9"/>
        <w:rPr>
          <w:rFonts w:hint="eastAsia"/>
          <w:color w:val="auto"/>
          <w:highlight w:val="none"/>
          <w:lang w:val="en-US" w:eastAsia="zh-CN"/>
        </w:rPr>
      </w:pPr>
    </w:p>
    <w:tbl>
      <w:tblPr>
        <w:tblStyle w:val="21"/>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658"/>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28"/>
              <w:spacing w:line="240" w:lineRule="auto"/>
              <w:jc w:val="center"/>
              <w:rPr>
                <w:rFonts w:hint="eastAsia" w:ascii="宋体" w:hAnsi="宋体" w:eastAsia="宋体" w:cs="宋体"/>
                <w:b/>
                <w:bCs/>
                <w:color w:val="auto"/>
                <w:sz w:val="21"/>
                <w:szCs w:val="21"/>
                <w:highlight w:val="none"/>
              </w:rPr>
            </w:pPr>
            <w:bookmarkStart w:id="32" w:name="_Toc6553746"/>
            <w:r>
              <w:rPr>
                <w:rFonts w:hint="eastAsia" w:ascii="宋体" w:hAnsi="宋体" w:eastAsia="宋体" w:cs="宋体"/>
                <w:b/>
                <w:bCs/>
                <w:color w:val="auto"/>
                <w:sz w:val="21"/>
                <w:szCs w:val="21"/>
                <w:highlight w:val="none"/>
              </w:rPr>
              <w:t>序号</w:t>
            </w:r>
          </w:p>
        </w:tc>
        <w:tc>
          <w:tcPr>
            <w:tcW w:w="884"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3775" w:type="pct"/>
            <w:noWrap w:val="0"/>
            <w:vAlign w:val="center"/>
          </w:tcPr>
          <w:p>
            <w:pPr>
              <w:pStyle w:val="28"/>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3775"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数据质量管理服务主要针对各联网医疗卫生机构。通过获得量化的医疗机构数据上传质量评价，以便督促医疗机构提高数据的上传质量。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监督机制</w:t>
            </w:r>
          </w:p>
        </w:tc>
        <w:tc>
          <w:tcPr>
            <w:tcW w:w="3775"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建立对数据交换平台运行状态的巡检，确保数据交换平台的运行正常。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75"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支持医院对数据定期或每天进行核验以后上传。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75"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支持医院每天都要下载和查看数据准确性报告。修改报告中出现的问题，对于上传失败的记录修改以后重新上传。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75" w:type="pct"/>
            <w:noWrap w:val="0"/>
            <w:vAlign w:val="center"/>
          </w:tcPr>
          <w:p>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支持医院的诊疗数据的质量评估评价指标表格的统计和展示。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75" w:type="pct"/>
            <w:noWrap w:val="0"/>
            <w:vAlign w:val="center"/>
          </w:tcPr>
          <w:p>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支持医院的诊疗数据的稳定/及时程度评估评价指标表格</w:t>
            </w:r>
            <w:r>
              <w:rPr>
                <w:rFonts w:hint="eastAsia" w:ascii="宋体" w:hAnsi="宋体" w:eastAsia="宋体" w:cs="宋体"/>
                <w:color w:val="auto"/>
                <w:sz w:val="21"/>
                <w:szCs w:val="21"/>
                <w:highlight w:val="none"/>
                <w:lang w:eastAsia="zh-CN"/>
              </w:rPr>
              <w:t>统计和</w:t>
            </w:r>
            <w:r>
              <w:rPr>
                <w:rFonts w:hint="eastAsia" w:ascii="宋体" w:hAnsi="宋体" w:eastAsia="宋体" w:cs="宋体"/>
                <w:color w:val="auto"/>
                <w:sz w:val="21"/>
                <w:szCs w:val="21"/>
                <w:highlight w:val="none"/>
              </w:rPr>
              <w: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pPr>
              <w:pStyle w:val="42"/>
              <w:numPr>
                <w:ilvl w:val="0"/>
                <w:numId w:val="20"/>
              </w:numPr>
              <w:spacing w:line="240" w:lineRule="auto"/>
              <w:ind w:firstLineChars="0"/>
              <w:jc w:val="center"/>
              <w:rPr>
                <w:rFonts w:hint="eastAsia" w:ascii="宋体" w:hAnsi="宋体" w:eastAsia="宋体" w:cs="宋体"/>
                <w:color w:val="auto"/>
                <w:sz w:val="21"/>
                <w:szCs w:val="21"/>
                <w:highlight w:val="none"/>
              </w:rPr>
            </w:pPr>
          </w:p>
        </w:tc>
        <w:tc>
          <w:tcPr>
            <w:tcW w:w="884" w:type="pct"/>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3775"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当某医院的诊疗数据质量出现严重问题时，通过Email、短信平台或其他方式通知该医院的信息科主任或直接负责人员。</w:t>
            </w:r>
          </w:p>
          <w:p>
            <w:pPr>
              <w:pStyle w:val="8"/>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对于连续出现几天的问题，中心维护人员需要主动与医院沟通，来查出问题的原因并及时纠正。</w:t>
            </w: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val="en-US" w:eastAsia="zh-CN" w:bidi="ar-SA"/>
              </w:rPr>
              <w:t>医院信息科需有指定人员负责数据问题的反馈和与厂商联系的工作。</w:t>
            </w:r>
            <w:r>
              <w:rPr>
                <w:rFonts w:hint="eastAsia" w:ascii="宋体" w:hAnsi="宋体" w:eastAsia="宋体" w:cs="宋体"/>
                <w:color w:val="auto"/>
                <w:kern w:val="2"/>
                <w:sz w:val="21"/>
                <w:szCs w:val="21"/>
                <w:highlight w:val="none"/>
                <w:lang w:eastAsia="zh-CN" w:bidi="ar-SA"/>
              </w:rPr>
              <w:t>）</w:t>
            </w:r>
          </w:p>
        </w:tc>
      </w:tr>
    </w:tbl>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(4)问题追踪</w:t>
      </w:r>
      <w:bookmarkEnd w:id="32"/>
    </w:p>
    <w:p>
      <w:pPr>
        <w:spacing w:line="36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支持对各项绩效指标数据追踪数据出现问题的源头。</w:t>
      </w:r>
    </w:p>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（三）县域医共体信息化示范创新应用</w:t>
      </w:r>
    </w:p>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1.区域影像读片机器人（AI）</w:t>
      </w:r>
      <w:r>
        <w:rPr>
          <w:rFonts w:hint="eastAsia" w:ascii="宋体" w:hAnsi="宋体" w:cs="宋体"/>
          <w:b/>
          <w:bCs w:val="0"/>
          <w:color w:val="auto"/>
          <w:sz w:val="21"/>
          <w:szCs w:val="21"/>
          <w:highlight w:val="none"/>
          <w:lang w:val="en-US" w:eastAsia="zh-CN"/>
        </w:rPr>
        <w:t>接口</w:t>
      </w:r>
    </w:p>
    <w:tbl>
      <w:tblPr>
        <w:tblStyle w:val="2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381"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区域影像读片机器人（AI）接口</w:t>
            </w:r>
          </w:p>
        </w:tc>
        <w:tc>
          <w:tcPr>
            <w:tcW w:w="7381"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nl-NL"/>
              </w:rPr>
              <w:t>支持放射影像数据采集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支持从各业务系统中自动匹配并保存数据到本系统中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nl-NL"/>
              </w:rPr>
              <w:t>支持C-Move影像自动推送至AI诊断平台，完成影像AI计算；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支持AI诊断平台分析结果返回，并在医生诊断界面一键调阅为医生提供方便快捷的辅助诊断；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提供需AI计算的患者影像相关信息视图，供AI诊断平台调用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支持添加JPhealthview相关AE信息，供平台调阅识别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支持C-Store SCU指令，完成与AI诊断平台交互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支持C-Store SCP指令，完成与AI诊断平台交互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支持C-Find 指令，完成与AI诊断平台交互；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支持数据视图+Dicom协议形式提供AI诊断平台影像检查信息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提供含有检查ID、病人姓名、病人ID、检查类型、检查日期、检查时间、检查部位等信息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6" w:type="dxa"/>
            <w:vMerge w:val="continue"/>
          </w:tcPr>
          <w:p>
            <w:pPr>
              <w:spacing w:line="240" w:lineRule="auto"/>
              <w:jc w:val="center"/>
              <w:rPr>
                <w:rFonts w:hint="eastAsia" w:ascii="宋体" w:hAnsi="宋体" w:eastAsia="宋体" w:cs="宋体"/>
                <w:color w:val="auto"/>
                <w:sz w:val="21"/>
                <w:szCs w:val="21"/>
                <w:highlight w:val="none"/>
              </w:rPr>
            </w:pPr>
          </w:p>
        </w:tc>
        <w:tc>
          <w:tcPr>
            <w:tcW w:w="7381" w:type="dxa"/>
            <w:vAlign w:val="center"/>
          </w:tcPr>
          <w:p>
            <w:pPr>
              <w:spacing w:line="240" w:lineRule="auto"/>
              <w:jc w:val="left"/>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lang w:val="nl-NL"/>
              </w:rPr>
              <w:t>提供图像存储地址且需要提供取图方式，ftp，共享目录</w:t>
            </w:r>
          </w:p>
        </w:tc>
      </w:tr>
    </w:tbl>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2.区域超声</w:t>
      </w:r>
      <w:r>
        <w:rPr>
          <w:rFonts w:hint="eastAsia" w:ascii="宋体" w:hAnsi="宋体" w:cs="宋体"/>
          <w:b/>
          <w:bCs w:val="0"/>
          <w:color w:val="auto"/>
          <w:sz w:val="21"/>
          <w:szCs w:val="21"/>
          <w:highlight w:val="none"/>
          <w:lang w:val="en-US" w:eastAsia="zh-CN"/>
        </w:rPr>
        <w:t>平台</w:t>
      </w:r>
    </w:p>
    <w:tbl>
      <w:tblPr>
        <w:tblStyle w:val="21"/>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490" w:type="dxa"/>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区域超声中心服务软件</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工作流程管理实现自动的、可配置的</w:t>
            </w:r>
            <w:r>
              <w:rPr>
                <w:rFonts w:hint="eastAsia" w:ascii="宋体" w:hAnsi="宋体" w:eastAsia="宋体" w:cs="宋体"/>
                <w:color w:val="auto"/>
                <w:sz w:val="21"/>
                <w:szCs w:val="21"/>
                <w:highlight w:val="none"/>
                <w:lang w:val="nl-NL"/>
              </w:rPr>
              <w:t>，</w:t>
            </w:r>
            <w:r>
              <w:rPr>
                <w:rFonts w:hint="eastAsia" w:ascii="宋体" w:hAnsi="宋体" w:eastAsia="宋体" w:cs="宋体"/>
                <w:color w:val="auto"/>
                <w:sz w:val="21"/>
                <w:szCs w:val="21"/>
                <w:highlight w:val="none"/>
              </w:rPr>
              <w:t>基于规则的管理。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支持的</w:t>
            </w:r>
            <w:r>
              <w:rPr>
                <w:rFonts w:hint="eastAsia" w:ascii="宋体" w:hAnsi="宋体" w:eastAsia="宋体" w:cs="宋体"/>
                <w:color w:val="auto"/>
                <w:sz w:val="21"/>
                <w:szCs w:val="21"/>
                <w:highlight w:val="none"/>
                <w:lang w:val="nl-NL"/>
              </w:rPr>
              <w:t>DICOM3.0</w:t>
            </w:r>
            <w:r>
              <w:rPr>
                <w:rFonts w:hint="eastAsia" w:ascii="宋体" w:hAnsi="宋体" w:eastAsia="宋体" w:cs="宋体"/>
                <w:color w:val="auto"/>
                <w:sz w:val="21"/>
                <w:szCs w:val="21"/>
                <w:highlight w:val="none"/>
              </w:rPr>
              <w:t>影像类型。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服务器软件提供</w:t>
            </w:r>
            <w:r>
              <w:rPr>
                <w:rFonts w:hint="eastAsia" w:ascii="宋体" w:hAnsi="宋体" w:eastAsia="宋体" w:cs="宋体"/>
                <w:color w:val="auto"/>
                <w:sz w:val="21"/>
                <w:szCs w:val="21"/>
                <w:highlight w:val="none"/>
                <w:lang w:val="nl-NL"/>
              </w:rPr>
              <w:t xml:space="preserve">DICOM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nl-NL"/>
              </w:rPr>
              <w:t>SOP Class：Storage SCU/SCP，</w:t>
            </w:r>
            <w:r>
              <w:rPr>
                <w:rFonts w:hint="eastAsia" w:ascii="宋体" w:hAnsi="宋体" w:eastAsia="宋体" w:cs="宋体"/>
                <w:color w:val="auto"/>
                <w:sz w:val="21"/>
                <w:szCs w:val="21"/>
                <w:highlight w:val="none"/>
              </w:rPr>
              <w:t>可直接接收所有符合</w:t>
            </w:r>
            <w:r>
              <w:rPr>
                <w:rFonts w:hint="eastAsia" w:ascii="宋体" w:hAnsi="宋体" w:eastAsia="宋体" w:cs="宋体"/>
                <w:color w:val="auto"/>
                <w:sz w:val="21"/>
                <w:szCs w:val="21"/>
                <w:highlight w:val="none"/>
                <w:lang w:val="nl-NL"/>
              </w:rPr>
              <w:t>DICOM3.0</w:t>
            </w:r>
            <w:r>
              <w:rPr>
                <w:rFonts w:hint="eastAsia" w:ascii="宋体" w:hAnsi="宋体" w:eastAsia="宋体" w:cs="宋体"/>
                <w:color w:val="auto"/>
                <w:sz w:val="21"/>
                <w:szCs w:val="21"/>
                <w:highlight w:val="none"/>
              </w:rPr>
              <w:t>标准的影像数据。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nl-NL"/>
              </w:rPr>
              <w:t xml:space="preserve">DICOM3.0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nl-NL"/>
              </w:rPr>
              <w:t>SOP Class：Patient Root Find/Get/Move</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nl-NL"/>
              </w:rPr>
              <w:t>Study Root Find/Get/Move，</w:t>
            </w:r>
            <w:r>
              <w:rPr>
                <w:rFonts w:hint="eastAsia" w:ascii="宋体" w:hAnsi="宋体" w:eastAsia="宋体" w:cs="宋体"/>
                <w:color w:val="auto"/>
                <w:sz w:val="21"/>
                <w:szCs w:val="21"/>
                <w:highlight w:val="none"/>
              </w:rPr>
              <w:t>允许客户端工作站根据患者编号、患者姓名、检查设备、检查部位、检查编号、检查时间日期等多种查询条件的组合形式查询与调阅影像。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可以同时接受多个不同影像设备发送的数据，并提供影像资料的存储。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支持采用集中式数据库及独立影像储存管理机制，记录所有影像的储存位置。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数据库将会自动记录下列资料：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所有病人及检查的相关文字资料；所有检查影像的属性资料；所有的系统参数设置，包括所有用户的个性化参数设置。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安全日志：提供影像数据的各种状态记录日志，并提供相应分析工具。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支持DICOM JPEG有损及无损压缩算法的传输和存储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教学科研影像记录的存储及管理功能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支持将设备的影像归档前严格的质量控制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支持数据库的维护、备份和恢复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支持区域内检查号的统一生成和管理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区域内医院注册管理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区域内所有医院检查数据（图像和报告）的统一存档管理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区域内针对不同医院和用户严格的数据查询控制和权限设置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区域中心详尽的数据统计、分析功能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sz w:val="21"/>
                <w:szCs w:val="21"/>
                <w:highlight w:val="none"/>
              </w:rPr>
              <w:t>支持区域内医院采用统一的诊断模板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区域图像存档管理软件</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nl-NL"/>
              </w:rPr>
              <w:t>DAS</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nl-NL"/>
              </w:rPr>
              <w:t>SAN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nl-NL"/>
              </w:rPr>
              <w:t>NAS、CAS各种存储技术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在线存储与备份存储之间的数据实现自动迁移和统一数据管理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实现图像磁盘存储控制器对庞大文件系统的智能优化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存档服务保存所有存储在长期介质上的检查的记录，并包括卷标识、卷容量、卷位置和离线卷等信息。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自动将影像按照预定策略写入长期存储媒介进行管理。预定策略可配置可以选择在系统空闲时间进行备份操作或者实施备份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检查长期存储区的数据是否与短期存储区的原始数据一致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长期归档存储设备实现多种冗余配置，并可以自动媒体检测、自修复。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长期归档存储设备支持无缝升级，升级无需停机，升级时现有存储继续使用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支持影像存储的生命周期管理功能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检查登记</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支持检查登记、登记取消、打印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当前预约和机房资源情况查询；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支持由HIS系统直接登记；支持电子申请单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自动分配检查机房，支持排队管理和检查调度；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支持检查申请单扫描，检查单打印；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可按时间范围检索；可按检查号精确定位病人；可显示各列表任务数；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支持输入项信息绑定，提高检查登记速度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在登记输入过程中，如果此病人有以往记录则自动查找，否则直接登记。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支持检查的确认、取消和改变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支持多音字处理；支持诊前准备；支持患者预约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查询和跟踪检查的状态；支持查看患者历史检查记录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支持超声科独立编号和统一编号方式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支持备注信息录入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支持检查号的单独管理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支持按不同的检查项目分组就绪；支持查看各个诊室的工作进度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模拟图像采集</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分辨率&gt;640*480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支持BNC/S-VIDEO/RGB视频接口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支持小键盘或踏板采集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单病例可采集静态图像最大20帧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支持软件实现采集动态图像（非采集卡昂贵芯片）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为提高效率，支持检查/诊断双工模式（即后台采图方式）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支持多个视频接口互相切换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支持多卡采集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支持影像采集到缓存区。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DICOM支持</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必须兼容DICOM通讯与视频采集两种模式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模拟图像，转换为DICOM格式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支持Modality Worklist SCU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支持超声设备的DICOM通讯,包括DICOM存储，DICOM传送与接收及DICOM查询检索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支持静态图（单帧）、动态图（JpegLossLess、多帧）格式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DICOM光盘刻录（包含DICOM DIR），普通PC机预览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图文报告</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报告书写/审核权限分为二级；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支持报告书写模板管理支，及个人书写模板绑定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支持“图文报告”格式，支持任意幅图像排版；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支持图文报告，及其格式的用户自定义；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打印前可预览报告；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支持历史检查及其他检查调阅，包括图文；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支持临时报告直接签发功能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支持多个检查医生共享同一台设备时的快速切换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支持报告修订，允许设置最大修订交次数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支持初诊报告回退的流程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支持报告回顾，比较历史或其他检查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支持关键诊断结论查询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支持报告签出锁定功能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支持常用符号与常用词汇的快捷录入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支持智能阴阳性标记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支持图文影像缩略列表显示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支持报告解锁功能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支持报告编辑时，自动定位书写模板功能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支持影像浏览与处理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支持自定义报告样式模板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支持快捷录入心脏测值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支持报告关键字快速定位并多次切换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支持多种样图标注及添加标签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支持用户自定义数据项(满足医院个性化需求)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支持内镜清洗消毒记录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支持多种方式对采集的图片进行截图.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支持采图后，集中书写报告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支持自动更新列表并呼叫患者检查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支持屏幕显示、语音呼叫患者到指定机房检查。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支持同步、异步两种不同的工作方式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支框架式报告报告书写，全鼠标操作，可不用输入法输入一字即可完成报告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支持报告关键字/常用词库批量一览式编辑与录入，太太提高词库维护效率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支持感兴趣、疑难病症随访、回访等功能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支持危急报告提示。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支持检查影像的复制、转移。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支持快速检查。（通过姓名、流水号、检查号）等快速定位到检查的患者。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支持用户输入法的绑定；支持手写签名。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支持报告预览编辑。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图像显示及处理</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能支持调阅和显示超声科的图像；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为便于教学，要求支持双屏双工模式（一屏编写报告，一屏实时监控及采集）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支持DICOM及非DICOM图像导入功能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支持Jpeg，Bmp，tif格式图像输出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支持动态影像播放。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与区域HIS、体检系统实现数据交互。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与区域影像系统实现无缝连接，所涉及的所有接口费用由投标商承担。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软件原厂</w:t>
            </w:r>
            <w:r>
              <w:rPr>
                <w:rFonts w:hint="eastAsia" w:ascii="宋体" w:hAnsi="宋体" w:eastAsia="宋体" w:cs="宋体"/>
                <w:color w:val="auto"/>
                <w:sz w:val="21"/>
                <w:szCs w:val="21"/>
                <w:highlight w:val="none"/>
                <w:lang w:val="nl-NL"/>
              </w:rPr>
              <w:t>超声信息系统计算机软件著作权登记证书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spacing w:line="240" w:lineRule="auto"/>
              <w:jc w:val="center"/>
              <w:rPr>
                <w:rFonts w:hint="eastAsia" w:ascii="宋体" w:hAnsi="宋体" w:eastAsia="宋体" w:cs="宋体"/>
                <w:color w:val="auto"/>
                <w:sz w:val="21"/>
                <w:szCs w:val="21"/>
                <w:highlight w:val="none"/>
              </w:rPr>
            </w:pPr>
          </w:p>
        </w:tc>
        <w:tc>
          <w:tcPr>
            <w:tcW w:w="7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nl-NL"/>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软件原厂</w:t>
            </w:r>
            <w:r>
              <w:rPr>
                <w:rFonts w:hint="eastAsia" w:ascii="宋体" w:hAnsi="宋体" w:eastAsia="宋体" w:cs="宋体"/>
                <w:color w:val="auto"/>
                <w:sz w:val="21"/>
                <w:szCs w:val="21"/>
                <w:highlight w:val="none"/>
                <w:lang w:val="nl-NL"/>
              </w:rPr>
              <w:t>IHE中国有关“区域医疗信息平台”产品的专项测试通过证书</w:t>
            </w:r>
          </w:p>
        </w:tc>
      </w:tr>
    </w:tbl>
    <w:p>
      <w:pPr>
        <w:spacing w:line="360" w:lineRule="exact"/>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医共体集团AI健康画像及智能导诊</w:t>
      </w:r>
    </w:p>
    <w:tbl>
      <w:tblPr>
        <w:tblStyle w:val="21"/>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88"/>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788" w:type="dxa"/>
            <w:shd w:val="clear" w:color="auto" w:fill="FFFFFF" w:themeFill="background1"/>
            <w:noWrap/>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tc>
        <w:tc>
          <w:tcPr>
            <w:tcW w:w="7510" w:type="dxa"/>
            <w:shd w:val="clear" w:color="auto" w:fill="FFFFFF" w:themeFill="background1"/>
            <w:noWrap/>
            <w:vAlign w:val="bottom"/>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restart"/>
            <w:shd w:val="clear" w:color="auto" w:fill="FFFFFF" w:themeFill="background1"/>
            <w:noWrap/>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健康患教</w:t>
            </w: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支持人工智能根据患者病史等用户画像推荐随访方案，医师可以采用或自定义方案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支持执行医师通过智能知识引擎内容工具，对慢病患者制定方案，主要包含有首日教育、数据记录不良干预、季度随访、慢病百科问答、定制疾病知识包等功能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全民健康信息平台的体检数据及医院诊疗数据中的检查检验数据进行数据治理，应用人工智能算法模型，对相应人群进行全面的高血压、糖尿病并发症风险评估，快速发现尚未被确诊的糖尿病、高血压并发症高风险患者，根据患者的所在地域，推送给相应基层管理执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shd w:val="clear" w:color="auto" w:fill="FFFFFF" w:themeFill="background1"/>
            <w:noWrap/>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健康管理</w:t>
            </w:r>
          </w:p>
        </w:tc>
        <w:tc>
          <w:tcPr>
            <w:tcW w:w="7510" w:type="dxa"/>
            <w:shd w:val="clear" w:color="auto" w:fill="FFFFFF" w:themeFill="background1"/>
            <w:vAlign w:val="bottom"/>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人健康状态需要至少包括个人患病情况、疾病发展风险情况、个人体征情况、行为情况、心理情况、健康知识掌握情况这6个部分，并能够通过简单的问答，结合全民健康信息平台的个人诊疗信息，快速的给出用户有指导意义的个人健康画像，并在个人健康变化时及时反应在健康画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restart"/>
            <w:shd w:val="clear" w:color="auto" w:fill="FFFFFF" w:themeFill="background1"/>
            <w:noWrap/>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健康画像★</w:t>
            </w: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支持预测5年冠心病风险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支持预测5年脑卒中风险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支持预测5年心肌梗死风险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支持预测5年心力衰竭风险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支持预测5年高血压风险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支持预测5年糖尿病风险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支持预测5年慢性肾病风险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支持预测5年糖尿病并发脑卒中风险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支持预测5年糖尿病并发冠心病风险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支持预测5年低血糖风险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支持预测5年糖化不达标风险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noWrap/>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支持预测5年脂肪肝风险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支持展示患者风险预测的结果，包括健康指数、高低危情况、疾病科普,同时还提供预防建议,包括自我检测建议、饮食建议、运动建议、治理建议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支持用户已做疾病预测的报告列表和风险变化曲线图的展示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vMerge w:val="continue"/>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p>
        </w:tc>
        <w:tc>
          <w:tcPr>
            <w:tcW w:w="7510" w:type="dxa"/>
            <w:shd w:val="clear" w:color="auto" w:fill="FFFFFF" w:themeFill="background1"/>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支持个人基本信息、体检数据和生活习惯与病史的展示和修改保存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shd w:val="clear" w:color="auto" w:fill="FFFFFF" w:themeFill="background1"/>
            <w:noWrap/>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健康建议</w:t>
            </w:r>
          </w:p>
        </w:tc>
        <w:tc>
          <w:tcPr>
            <w:tcW w:w="7510" w:type="dxa"/>
            <w:shd w:val="clear" w:color="auto" w:fill="FFFFFF" w:themeFill="background1"/>
            <w:vAlign w:val="bottom"/>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使用人工智能的算法模型，通过对患者的疾病风险预测和个人健康画像的判定，制定个性化的健康干预措施， 通过用药提醒、测量提醒等手段，指导患者开展慢病个人管理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8" w:type="dxa"/>
            <w:shd w:val="clear" w:color="auto" w:fill="FFFFFF" w:themeFill="background1"/>
            <w:noWrap/>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个性化服务推荐</w:t>
            </w:r>
          </w:p>
        </w:tc>
        <w:tc>
          <w:tcPr>
            <w:tcW w:w="7510" w:type="dxa"/>
            <w:shd w:val="clear" w:color="auto" w:fill="FFFFFF" w:themeFill="background1"/>
            <w:vAlign w:val="bottom"/>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支持依据用户各种健康画像指标，结合公共卫生服务规范、家庭医生服务项目等，生成并推荐健康服务包</w:t>
            </w:r>
          </w:p>
        </w:tc>
      </w:tr>
    </w:tbl>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4.AI预问诊智能语音呼叫服务</w:t>
      </w:r>
    </w:p>
    <w:tbl>
      <w:tblPr>
        <w:tblStyle w:val="21"/>
        <w:tblW w:w="9268" w:type="dxa"/>
        <w:jc w:val="center"/>
        <w:tblLayout w:type="autofit"/>
        <w:tblCellMar>
          <w:top w:w="0" w:type="dxa"/>
          <w:left w:w="0" w:type="dxa"/>
          <w:bottom w:w="0" w:type="dxa"/>
          <w:right w:w="0" w:type="dxa"/>
        </w:tblCellMar>
      </w:tblPr>
      <w:tblGrid>
        <w:gridCol w:w="1650"/>
        <w:gridCol w:w="6081"/>
        <w:gridCol w:w="817"/>
        <w:gridCol w:w="720"/>
      </w:tblGrid>
      <w:tr>
        <w:tblPrEx>
          <w:tblCellMar>
            <w:top w:w="0" w:type="dxa"/>
            <w:left w:w="0" w:type="dxa"/>
            <w:bottom w:w="0" w:type="dxa"/>
            <w:right w:w="0" w:type="dxa"/>
          </w:tblCellMar>
        </w:tblPrEx>
        <w:trPr>
          <w:trHeight w:val="340" w:hRule="atLeast"/>
          <w:tblHeader/>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组件名称</w:t>
            </w:r>
          </w:p>
        </w:tc>
        <w:tc>
          <w:tcPr>
            <w:tcW w:w="6081" w:type="dxa"/>
            <w:tcBorders>
              <w:top w:val="single" w:color="000000"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参数要求</w:t>
            </w:r>
          </w:p>
        </w:tc>
        <w:tc>
          <w:tcPr>
            <w:tcW w:w="817" w:type="dxa"/>
            <w:tcBorders>
              <w:top w:val="single" w:color="000000" w:sz="4" w:space="0"/>
              <w:left w:val="nil"/>
              <w:bottom w:val="single" w:color="auto"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20" w:type="dxa"/>
            <w:tcBorders>
              <w:top w:val="single" w:color="000000" w:sz="4" w:space="0"/>
              <w:left w:val="nil"/>
              <w:bottom w:val="single" w:color="auto" w:sz="4" w:space="0"/>
              <w:right w:val="single" w:color="000000"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CellMar>
            <w:top w:w="0" w:type="dxa"/>
            <w:left w:w="0" w:type="dxa"/>
            <w:bottom w:w="0" w:type="dxa"/>
            <w:right w:w="0" w:type="dxa"/>
          </w:tblCellMar>
        </w:tblPrEx>
        <w:trPr>
          <w:trHeight w:val="340"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1、基于B/S架构云应用，基层医疗卫生机构通过开通医生账号即可使用服务。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2、支持通过互联网+VPN的方式访问云端智能语音外呼服务。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★3、有通过信息系统安全三级测评，数据进行加密传输，保障数据安全。（所投产品提供公安部门出具的信息系统安全等级测评备案证明材料扫描件）</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CellMar>
            <w:top w:w="0" w:type="dxa"/>
            <w:left w:w="0" w:type="dxa"/>
            <w:bottom w:w="0" w:type="dxa"/>
            <w:right w:w="0" w:type="dxa"/>
          </w:tblCellMar>
        </w:tblPrEx>
        <w:trPr>
          <w:trHeight w:val="340"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智能语音交互话术方案</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支持基层常用随访话术方案的应用与优化，提供包括但不限于基层慢病（高血压、糖尿病）患者随访、健康宣教、体检预约、活动通知、计免接种、满意度调查等业务场景话术服务方案。</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CellMar>
            <w:top w:w="0" w:type="dxa"/>
            <w:left w:w="0" w:type="dxa"/>
            <w:bottom w:w="0" w:type="dxa"/>
            <w:right w:w="0" w:type="dxa"/>
          </w:tblCellMar>
        </w:tblPrEx>
        <w:trPr>
          <w:trHeight w:val="340"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智能语音能力服务</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提供医疗专项语音合成、语音识别、自然语言理解能力服务，数据统计分析服务。其中：</w:t>
            </w:r>
          </w:p>
          <w:p>
            <w:pP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①语音合成能力：应依据GB/T 25000.51检验中文语音合成自然度（MOS方法评测）≥4.0分；</w:t>
            </w:r>
            <w:r>
              <w:rPr>
                <w:rFonts w:hint="eastAsia" w:ascii="宋体" w:hAnsi="宋体" w:eastAsia="宋体" w:cs="宋体"/>
                <w:color w:val="auto"/>
                <w:sz w:val="21"/>
                <w:szCs w:val="21"/>
                <w:highlight w:val="none"/>
              </w:rPr>
              <w:t>（所投产品提供省级及以上检测机构证明材料扫描件）</w:t>
            </w:r>
          </w:p>
          <w:p>
            <w:pP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②语音识别能力：应依据GB/T 25000.51检验中英文语音识别准确率≥90%。</w:t>
            </w:r>
            <w:r>
              <w:rPr>
                <w:rFonts w:hint="eastAsia" w:ascii="宋体" w:hAnsi="宋体" w:eastAsia="宋体" w:cs="宋体"/>
                <w:color w:val="auto"/>
                <w:sz w:val="21"/>
                <w:szCs w:val="21"/>
                <w:highlight w:val="none"/>
              </w:rPr>
              <w:t>（所投产品提供省级及以上检测机构证明材料扫描件）</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CellMar>
            <w:top w:w="0" w:type="dxa"/>
            <w:left w:w="0" w:type="dxa"/>
            <w:bottom w:w="0" w:type="dxa"/>
            <w:right w:w="0" w:type="dxa"/>
          </w:tblCellMar>
        </w:tblPrEx>
        <w:trPr>
          <w:trHeight w:val="340"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AI外呼随访服务包</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提供一年累计16万人次AI电话外呼服务（含通信线路），提供一年累计32万条AI短信服务；支持多路并发呼出。</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CellMar>
            <w:top w:w="0" w:type="dxa"/>
            <w:left w:w="0" w:type="dxa"/>
            <w:bottom w:w="0" w:type="dxa"/>
            <w:right w:w="0" w:type="dxa"/>
          </w:tblCellMar>
        </w:tblPrEx>
        <w:trPr>
          <w:trHeight w:val="340" w:hRule="atLeast"/>
          <w:jc w:val="center"/>
        </w:trPr>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实施培训</w:t>
            </w:r>
          </w:p>
        </w:tc>
        <w:tc>
          <w:tcPr>
            <w:tcW w:w="60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采取集中培训、部分上门培训及线上支持。</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bl>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（四）全民健康信息化平台硬件系统的更新及优化</w:t>
      </w:r>
    </w:p>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1.产品清单</w:t>
      </w:r>
    </w:p>
    <w:tbl>
      <w:tblPr>
        <w:tblStyle w:val="2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60"/>
        <w:gridCol w:w="648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vAlign w:val="center"/>
          </w:tcPr>
          <w:p>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60" w:type="dxa"/>
            <w:vAlign w:val="center"/>
          </w:tcPr>
          <w:p>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6484" w:type="dxa"/>
            <w:vAlign w:val="center"/>
          </w:tcPr>
          <w:p>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配置参数</w:t>
            </w:r>
          </w:p>
        </w:tc>
        <w:tc>
          <w:tcPr>
            <w:tcW w:w="813" w:type="dxa"/>
            <w:vAlign w:val="center"/>
          </w:tcPr>
          <w:p>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SDN交换机和服务链管理系统</w:t>
            </w:r>
          </w:p>
        </w:tc>
        <w:tc>
          <w:tcPr>
            <w:tcW w:w="6484" w:type="dxa"/>
            <w:vAlign w:val="center"/>
          </w:tcPr>
          <w:p>
            <w:pPr>
              <w:widowControl/>
              <w:spacing w:line="240" w:lineRule="auto"/>
              <w:jc w:val="left"/>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rPr>
              <w:t>硬件：</w:t>
            </w:r>
            <w:r>
              <w:rPr>
                <w:rFonts w:hint="eastAsia" w:ascii="宋体" w:hAnsi="宋体" w:eastAsia="宋体" w:cs="宋体"/>
                <w:color w:val="auto"/>
                <w:kern w:val="0"/>
                <w:sz w:val="21"/>
                <w:szCs w:val="21"/>
                <w:highlight w:val="none"/>
                <w:lang w:eastAsia="zh-Hans"/>
              </w:rPr>
              <w:t>符合Openflow v1.3规范的可编程交换机；提供</w:t>
            </w:r>
            <w:r>
              <w:rPr>
                <w:rFonts w:hint="eastAsia" w:ascii="宋体" w:hAnsi="宋体" w:eastAsia="宋体" w:cs="宋体"/>
                <w:color w:val="auto"/>
                <w:kern w:val="0"/>
                <w:sz w:val="21"/>
                <w:szCs w:val="21"/>
                <w:highlight w:val="none"/>
              </w:rPr>
              <w:t>24x10GE SFP+ 端口、2x40GE QSFP+ 端口，全线速转发；可插拔双电源，标准1RU 19英寸机架</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rPr>
              <w:t>提供三年原厂商质保服务；</w:t>
            </w:r>
          </w:p>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Hans"/>
              </w:rPr>
              <w:t>软件</w:t>
            </w:r>
            <w:r>
              <w:rPr>
                <w:rFonts w:hint="eastAsia" w:ascii="宋体" w:hAnsi="宋体" w:eastAsia="宋体" w:cs="宋体"/>
                <w:color w:val="auto"/>
                <w:kern w:val="0"/>
                <w:sz w:val="21"/>
                <w:szCs w:val="21"/>
                <w:highlight w:val="none"/>
              </w:rPr>
              <w:t>：智能网络服务链管理软件，含三年技术支持</w:t>
            </w:r>
            <w:r>
              <w:rPr>
                <w:rFonts w:hint="eastAsia" w:ascii="宋体" w:hAnsi="宋体" w:eastAsia="宋体" w:cs="宋体"/>
                <w:color w:val="auto"/>
                <w:kern w:val="0"/>
                <w:sz w:val="21"/>
                <w:szCs w:val="21"/>
                <w:highlight w:val="none"/>
                <w:lang w:eastAsia="zh-Hans"/>
              </w:rPr>
              <w:t>；含服务链功能授权，含三年技术支持</w:t>
            </w:r>
            <w:r>
              <w:rPr>
                <w:rFonts w:hint="eastAsia" w:ascii="宋体" w:hAnsi="宋体" w:eastAsia="宋体" w:cs="宋体"/>
                <w:color w:val="auto"/>
                <w:kern w:val="0"/>
                <w:sz w:val="21"/>
                <w:szCs w:val="21"/>
                <w:highlight w:val="none"/>
              </w:rPr>
              <w:t>。</w:t>
            </w:r>
          </w:p>
        </w:tc>
        <w:tc>
          <w:tcPr>
            <w:tcW w:w="813"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6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c>
          <w:tcPr>
            <w:tcW w:w="6484" w:type="dxa"/>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2U机架式服务器，配置≥2颗英特尔® 至强® 银牌 CPU；配置≥256GB内存；配置≥2块600G SAS硬盘；RAID阵列卡支持RAID0/1/5/10；1块双口HBA卡（含多模模块）；提供4个千兆以太网口；满配冗余热插拔电源风扇；服务器自带配置IDRAC功能许可；提供原厂三年免费质保服务；</w:t>
            </w:r>
          </w:p>
        </w:tc>
        <w:tc>
          <w:tcPr>
            <w:tcW w:w="813"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6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c>
          <w:tcPr>
            <w:tcW w:w="6484" w:type="dxa"/>
            <w:vAlign w:val="center"/>
          </w:tcPr>
          <w:p>
            <w:pPr>
              <w:widowControl/>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核心交换机，业务槽位数≥6（机箱物理业务槽位数，非母卡承载的子卡槽位）；主控引擎≥2；整机交换容量≥300Tbps；包转发率≥55000Mpps；配置2块主控引擎，配置不少于48个万兆光业务口；配置不少于96个千兆电业务口，配置冗余电源；提供三年原厂商质保服务</w:t>
            </w:r>
          </w:p>
        </w:tc>
        <w:tc>
          <w:tcPr>
            <w:tcW w:w="813"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60"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业务性能保障与优化系统</w:t>
            </w:r>
          </w:p>
        </w:tc>
        <w:tc>
          <w:tcPr>
            <w:tcW w:w="6484" w:type="dxa"/>
            <w:vAlign w:val="center"/>
          </w:tcPr>
          <w:p>
            <w:pPr>
              <w:pStyle w:val="43"/>
              <w:widowControl w:val="0"/>
              <w:spacing w:line="240" w:lineRule="auto"/>
              <w:jc w:val="left"/>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CPU：(大于等于) 四核心，8线程</w:t>
            </w:r>
          </w:p>
          <w:p>
            <w:pPr>
              <w:pStyle w:val="43"/>
              <w:widowControl w:val="0"/>
              <w:spacing w:line="240" w:lineRule="auto"/>
              <w:jc w:val="left"/>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内存：(大于等于)16G RAM</w:t>
            </w:r>
          </w:p>
          <w:p>
            <w:pPr>
              <w:pStyle w:val="43"/>
              <w:widowControl w:val="0"/>
              <w:spacing w:line="240" w:lineRule="auto"/>
              <w:jc w:val="left"/>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存储：2T</w:t>
            </w:r>
          </w:p>
          <w:p>
            <w:pPr>
              <w:pStyle w:val="43"/>
              <w:widowControl w:val="0"/>
              <w:spacing w:line="240" w:lineRule="auto"/>
              <w:jc w:val="left"/>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监听接口：100/1000M自适应电口，2个</w:t>
            </w:r>
          </w:p>
          <w:p>
            <w:pPr>
              <w:pStyle w:val="43"/>
              <w:widowControl w:val="0"/>
              <w:spacing w:line="240" w:lineRule="auto"/>
              <w:jc w:val="left"/>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管理口： 100/1000M自适应电口，1个</w:t>
            </w:r>
          </w:p>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RS232串口：1个</w:t>
            </w:r>
          </w:p>
          <w:p>
            <w:pPr>
              <w:widowControl/>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提供三年原厂商质保服务</w:t>
            </w:r>
          </w:p>
        </w:tc>
        <w:tc>
          <w:tcPr>
            <w:tcW w:w="813" w:type="dxa"/>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bl>
    <w:p>
      <w:pPr>
        <w:spacing w:line="360" w:lineRule="exact"/>
        <w:ind w:firstLine="422" w:firstLineChars="200"/>
        <w:rPr>
          <w:rFonts w:hint="eastAsia" w:ascii="宋体" w:hAnsi="宋体" w:cs="宋体"/>
          <w:b/>
          <w:bCs w:val="0"/>
          <w:color w:val="auto"/>
          <w:sz w:val="21"/>
          <w:szCs w:val="21"/>
          <w:highlight w:val="none"/>
          <w:lang w:val="en-US" w:eastAsia="zh-Hans"/>
        </w:rPr>
      </w:pPr>
      <w:r>
        <w:rPr>
          <w:rFonts w:hint="eastAsia" w:ascii="宋体" w:hAnsi="宋体" w:cs="宋体"/>
          <w:b/>
          <w:bCs w:val="0"/>
          <w:color w:val="auto"/>
          <w:sz w:val="21"/>
          <w:szCs w:val="21"/>
          <w:highlight w:val="none"/>
          <w:lang w:val="en-US" w:eastAsia="zh-CN"/>
        </w:rPr>
        <w:t>2.详细技术要求</w:t>
      </w:r>
    </w:p>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（1）SDN交换机和服务链管理系统</w:t>
      </w:r>
    </w:p>
    <w:tbl>
      <w:tblPr>
        <w:tblStyle w:val="21"/>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3946" w:type="pct"/>
            <w:tcBorders>
              <w:tl2br w:val="nil"/>
              <w:tr2bl w:val="nil"/>
            </w:tcBorders>
            <w:vAlign w:val="center"/>
          </w:tcPr>
          <w:p>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物理端口</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GbE SFP+ 端口24个， 40 GbE QSFP+ 端口2个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设备性能</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交换容量≥880Gbps；吞吐量≥550Mpps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控制协议★</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支持Openflow v1.3及以上协议，支持≥3台同时连接同一控制器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支持控制器类型</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兼容Ryu controller、Floodlight controller、OpenDaylight controller、ONOS controller、NOX controller等多种控制器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Bond协议支持</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支持最大Bond数量16个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Group支持</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支持Group类型：ALL（2000），ALL_Bucket（288），SELECT（63），SELECT_Bucket（16），FF（63），FF_Bucket（16），INDIRECT（63），INDIRECT-Bucket（1）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流表性能</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最大支持流表数3500条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电源配置</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restart"/>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智能网络服务链管理</w:t>
            </w:r>
            <w:r>
              <w:rPr>
                <w:rFonts w:hint="eastAsia" w:ascii="宋体" w:hAnsi="宋体" w:eastAsia="宋体" w:cs="宋体"/>
                <w:color w:val="auto"/>
                <w:kern w:val="0"/>
                <w:sz w:val="21"/>
                <w:szCs w:val="21"/>
                <w:highlight w:val="none"/>
                <w:lang w:eastAsia="zh-Hans"/>
              </w:rPr>
              <w:t>软件</w:t>
            </w: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支持Openflow v1.3及以上协议；可支持在虚拟机内部署，也可安装在服务器上实现带外管理；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利用Openflow 协议可同时对多台、多厂商交换机进行控制与管理，支持同时管理交换机数量≥3，支持交换机厂商数量≥3家；（提供产品功能界面截图证明）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可基于交换机、交换机端口、控制器的流量、包速率信息统计展示；（提供产品功能界面截图证明）；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服务割接功能，服务节点ON/OFF开关一键上/下线；（提供产品功能界面截图证明）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服务编排功能，鼠标拖拽方式编排服务节点顺序；支持非对称SFC模式；（提供产品功能界面截图证明）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服务映射功能，将二到四层流量分类，可按需引导不同流量经过不同服务节点；（提供产品功能界面截图证明）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支持IPv6部署策略，可基于IPv6地址进行流量分类（提供产品功能界面截图证明）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★单条SFC中支持的服务节点数量≥10个。（提供产品功能界面截图证明）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单条SFC中可支持服务节点的HA功能，HA组内的一个服务节点出现故障，另一个服务节点可自动接管相应流量。（提供产品功能界面截图证明）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★配置SFC之间的HA功能，当一条SFC中的服务节点出现故障，另一条SFC对应的服务节点可自动接管相应流量。（提供产品功能界面截图证明）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服务节点流量镜像功能，包括服务节点上行端口的流入、流出方向，下行端口的流入、流出方向，以及上述四个方向流量的任意组合；（提供产品功能界面截图证明）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vMerge w:val="continue"/>
            <w:tcBorders>
              <w:tl2br w:val="nil"/>
              <w:tr2bl w:val="nil"/>
            </w:tcBorders>
            <w:vAlign w:val="center"/>
          </w:tcPr>
          <w:p>
            <w:pPr>
              <w:spacing w:line="240" w:lineRule="auto"/>
              <w:jc w:val="center"/>
              <w:rPr>
                <w:rFonts w:hint="eastAsia" w:ascii="宋体" w:hAnsi="宋体" w:eastAsia="宋体" w:cs="宋体"/>
                <w:bCs/>
                <w:color w:val="auto"/>
                <w:sz w:val="21"/>
                <w:szCs w:val="21"/>
                <w:highlight w:val="none"/>
              </w:rPr>
            </w:pPr>
          </w:p>
        </w:tc>
        <w:tc>
          <w:tcPr>
            <w:tcW w:w="3946" w:type="pct"/>
            <w:tcBorders>
              <w:tl2br w:val="nil"/>
              <w:tr2bl w:val="nil"/>
            </w:tcBorders>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支持接口检查、icmp检查、流量检查功能，发现异常则将服务节点自动下线；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tcBorders>
              <w:tl2br w:val="nil"/>
              <w:tr2bl w:val="nil"/>
            </w:tcBorders>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授权</w:t>
            </w:r>
            <w:r>
              <w:rPr>
                <w:rFonts w:hint="eastAsia" w:ascii="宋体" w:hAnsi="宋体" w:eastAsia="宋体" w:cs="宋体"/>
                <w:color w:val="auto"/>
                <w:sz w:val="21"/>
                <w:szCs w:val="21"/>
                <w:highlight w:val="none"/>
              </w:rPr>
              <w:t>质保</w:t>
            </w:r>
          </w:p>
        </w:tc>
        <w:tc>
          <w:tcPr>
            <w:tcW w:w="3946" w:type="pct"/>
            <w:tcBorders>
              <w:tl2br w:val="nil"/>
              <w:tr2bl w:val="nil"/>
            </w:tcBorders>
            <w:vAlign w:val="center"/>
          </w:tcPr>
          <w:p>
            <w:pPr>
              <w:widowControl/>
              <w:spacing w:before="60" w:after="6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kern w:val="0"/>
                <w:sz w:val="21"/>
                <w:szCs w:val="21"/>
                <w:highlight w:val="none"/>
              </w:rPr>
              <w:t>提供原厂商3年7x24技术支持服务，中标后提供原厂商针对本项目授权书及项目售后服务承诺函，并且提供原厂商盖章原件。</w:t>
            </w:r>
          </w:p>
        </w:tc>
      </w:tr>
    </w:tbl>
    <w:p>
      <w:pPr>
        <w:spacing w:line="360" w:lineRule="exact"/>
        <w:ind w:firstLine="422" w:firstLineChars="200"/>
        <w:rPr>
          <w:rFonts w:hint="eastAsia" w:ascii="宋体" w:hAnsi="宋体" w:cs="宋体"/>
          <w:b/>
          <w:bCs w:val="0"/>
          <w:color w:val="auto"/>
          <w:sz w:val="21"/>
          <w:szCs w:val="21"/>
          <w:highlight w:val="none"/>
          <w:lang w:val="en-US" w:eastAsia="zh-CN"/>
        </w:rPr>
      </w:pPr>
    </w:p>
    <w:p>
      <w:pPr>
        <w:spacing w:line="360" w:lineRule="exact"/>
        <w:ind w:firstLine="422" w:firstLineChars="200"/>
        <w:rPr>
          <w:rFonts w:hint="eastAsia" w:ascii="宋体" w:hAnsi="宋体" w:cs="宋体"/>
          <w:b/>
          <w:bCs w:val="0"/>
          <w:color w:val="auto"/>
          <w:sz w:val="21"/>
          <w:szCs w:val="21"/>
          <w:highlight w:val="none"/>
          <w:lang w:val="en-US" w:eastAsia="zh-CN"/>
        </w:rPr>
      </w:pPr>
    </w:p>
    <w:p>
      <w:pPr>
        <w:spacing w:line="360" w:lineRule="exact"/>
        <w:ind w:firstLine="422" w:firstLineChars="200"/>
        <w:rPr>
          <w:rFonts w:hint="eastAsia" w:ascii="宋体" w:hAnsi="宋体" w:cs="宋体"/>
          <w:b/>
          <w:bCs w:val="0"/>
          <w:color w:val="auto"/>
          <w:sz w:val="21"/>
          <w:szCs w:val="21"/>
          <w:highlight w:val="none"/>
          <w:lang w:val="en-US" w:eastAsia="zh-CN"/>
        </w:rPr>
      </w:pPr>
    </w:p>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（2）服务器</w:t>
      </w:r>
    </w:p>
    <w:tbl>
      <w:tblPr>
        <w:tblStyle w:val="21"/>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333" w:type="dxa"/>
            <w:tcMar>
              <w:top w:w="28" w:type="dxa"/>
              <w:bottom w:w="28" w:type="dxa"/>
            </w:tcMar>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服务器外观</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2U机架式并提供机架安装套件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处理器配置</w:t>
            </w:r>
          </w:p>
        </w:tc>
        <w:tc>
          <w:tcPr>
            <w:tcW w:w="7333" w:type="dxa"/>
            <w:tcMar>
              <w:top w:w="28" w:type="dxa"/>
              <w:bottom w:w="28" w:type="dxa"/>
            </w:tcMar>
            <w:vAlign w:val="center"/>
          </w:tcPr>
          <w:p>
            <w:pPr>
              <w:autoSpaceDE w:val="0"/>
              <w:autoSpaceDN w:val="0"/>
              <w:adjustRightInd w:val="0"/>
              <w:snapToGrid w:val="0"/>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配置≥2颗英特尔® 至强® 银牌 4210 2.2G, 10C/20T, 9.6GT/s, 13.75M 缓存, Turbo, HT (85W)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内存配置</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配置≥256GB DDR4内存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内置硬盘配置</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配置≥2块600GB 10000 转 SAS 2.5 英寸热插拔硬盘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阵列控制器</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配置Raid卡，2GB缓存，支持RAID 0, 1, 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以太网卡端口</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4个千兆以太网端口，可以混和万兆网卡；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HBA卡配置</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配置1块双口HBA卡（含多模模块）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输入输出部件</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配置DVD-ROM驱动器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电源</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2个热插拔冗余电源（≥750w）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风扇</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2个热插拔冗余风扇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远程管理要求</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配置IDRAC功能许可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操作系统支持</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Windows Server 2012/2016，Redhat Linux，SUSE Linux，VMware ESX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dxa"/>
            <w:tcMar>
              <w:top w:w="28" w:type="dxa"/>
              <w:bottom w:w="28" w:type="dxa"/>
            </w:tcMar>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服务支持</w:t>
            </w:r>
          </w:p>
        </w:tc>
        <w:tc>
          <w:tcPr>
            <w:tcW w:w="7333" w:type="dxa"/>
            <w:tcMar>
              <w:top w:w="28" w:type="dxa"/>
              <w:bottom w:w="28" w:type="dxa"/>
            </w:tcMar>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提供3年原厂质保服务,</w:t>
            </w:r>
            <w:r>
              <w:rPr>
                <w:rFonts w:hint="eastAsia" w:ascii="宋体" w:hAnsi="宋体" w:eastAsia="宋体" w:cs="宋体"/>
                <w:color w:val="auto"/>
                <w:kern w:val="0"/>
                <w:sz w:val="21"/>
                <w:szCs w:val="21"/>
                <w:highlight w:val="none"/>
              </w:rPr>
              <w:t xml:space="preserve"> 中标后提供原厂商针对本项目授权书及项目售后服务承诺函，并且提供原厂商盖章原件。</w:t>
            </w:r>
          </w:p>
        </w:tc>
      </w:tr>
    </w:tbl>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（3）核心交换机</w:t>
      </w:r>
    </w:p>
    <w:tbl>
      <w:tblPr>
        <w:tblStyle w:val="21"/>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315" w:type="dxa"/>
            <w:shd w:val="clear" w:color="auto" w:fill="auto"/>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品牌要求</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产品为国际知名品牌，要求交换机品牌为原厂产品，不接受OEM或贴牌产品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设备架构</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业务槽位数≥6（机箱物理业务槽位数，非母卡承载的子卡槽位）；主控引擎≥2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★性能要求</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整机交换容量≥300Tbps；包转发率≥55000Mpps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★配置要求</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配置2块主控引擎，配置不少于48个万兆光业务口（含8个SFP+ 万兆模块(1310nm,10km,LC)光模块）；配置不少于96个千兆电业务口，配置冗余电源；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★接口要求</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单槽位40G端口密度≥24，单槽位万兆端口密度≥48，单槽位100G端口密度≥4，提供官网截图证明；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路由协议</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支持BGPv4、IS-IS、OSPF、支持等价路由、支持策略路由、支持路由策略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安全扩展业务</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可支持独立防火墙插卡模块，应用控制插卡模块，负载均衡模块，IPS模块，SSL VPN模块，且模块为非复用板卡模块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ACL/QoS</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支持标准和扩展ACL、支持基于VLAN的ACL、支持Ingress/Egress ACL、支持Ingress/Egress CAR，粒度可达8Kbps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VXLAN</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支持VXLAN 二层交换、支持VXLAN 路由交换、支持OpenFlow+Netconf的VXLAN集中式控制平面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虚拟化</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多虚一技术(N:1)，要求N≥4，支持标准以太网接口虚拟化；一虚多技术（1:N）要求N≥2 ；支持多虚一技术和一虚多技术的配合使用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安全机制</w:t>
            </w: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支持Portal认证、支持AAA/Radius、支持OSPF、RIPv2 及BGPv4 报文的明文及MD5密文认证、支持受限的IP地址的Telnet的登录和口令机制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系统管理</w:t>
            </w: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支持FTP、TFTP、Xmodem、支持SNMP v1/v2/v3、支持sFlow流量统计、支持NetStream流量统计功能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vMerge w:val="restart"/>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★认证要求</w:t>
            </w: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为保障产品代码质量，生产厂商国内研发机构需通过CMMI5认证，提供证书复印件；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vMerge w:val="continue"/>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投标产品供应商需通过ISO20000 信息技术服务管理服务标准认证和ISO27001 信息安全管理体系标准认证，并提供相关证书复印件；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vMerge w:val="continue"/>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投标产品厂商需符合全国商品售后服务评价达标认证评审委员会系统标准，并达到五星级，需提供相关证书复印件证明；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vMerge w:val="continue"/>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7315" w:type="dxa"/>
            <w:shd w:val="clear" w:color="000000" w:fill="FFFFFF"/>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投标产品厂商需通过售后服务体系完善程度认证，并达到七星级，需提供相关证书复印件证明；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8" w:type="dxa"/>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tc>
        <w:tc>
          <w:tcPr>
            <w:tcW w:w="7315" w:type="dxa"/>
            <w:shd w:val="clear" w:color="auto" w:fill="auto"/>
            <w:vAlign w:val="center"/>
          </w:tcPr>
          <w:p>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可提供三年原厂商质保服务，能提供快速本地化现场技术支持，提供7×24小时技术服务支持。为保证产品为原厂正品，中标后提供三年原厂质保函。</w:t>
            </w:r>
          </w:p>
        </w:tc>
      </w:tr>
    </w:tbl>
    <w:p>
      <w:pPr>
        <w:spacing w:line="360" w:lineRule="exact"/>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（4）业务性能保障与优化系统</w:t>
      </w:r>
    </w:p>
    <w:tbl>
      <w:tblPr>
        <w:tblStyle w:val="21"/>
        <w:tblW w:w="9355" w:type="dxa"/>
        <w:tblInd w:w="91" w:type="dxa"/>
        <w:tblLayout w:type="autofit"/>
        <w:tblCellMar>
          <w:top w:w="0" w:type="dxa"/>
          <w:left w:w="108" w:type="dxa"/>
          <w:bottom w:w="0" w:type="dxa"/>
          <w:right w:w="108" w:type="dxa"/>
        </w:tblCellMar>
      </w:tblPr>
      <w:tblGrid>
        <w:gridCol w:w="1720"/>
        <w:gridCol w:w="7635"/>
      </w:tblGrid>
      <w:tr>
        <w:tblPrEx>
          <w:tblCellMar>
            <w:top w:w="0" w:type="dxa"/>
            <w:left w:w="108" w:type="dxa"/>
            <w:bottom w:w="0" w:type="dxa"/>
            <w:right w:w="108" w:type="dxa"/>
          </w:tblCellMar>
        </w:tblPrEx>
        <w:trPr>
          <w:trHeight w:val="340"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指标项</w:t>
            </w:r>
          </w:p>
        </w:tc>
        <w:tc>
          <w:tcPr>
            <w:tcW w:w="7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通用参数</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不影响应用系统的运行与性能，减少对现有网络结构的调整，产品采用独立的硬件设备，采用网络旁路监听技术实现数据采集。产品要求无插件、Agent等形式采集数据，产品必须是数据采集、存储、管理、展示为一体的设备。</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★功能参数</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实现端到端的性能监控，能够监控网络及应用系统整个路径上的延迟情况，包括网络延时、中间件延迟、数据库延时。</w:t>
            </w:r>
            <w:r>
              <w:rPr>
                <w:rFonts w:ascii="宋体" w:hAnsi="宋体" w:cs="宋体"/>
                <w:color w:val="auto"/>
                <w:kern w:val="0"/>
                <w:szCs w:val="21"/>
                <w:highlight w:val="none"/>
              </w:rPr>
              <w:t>（提供截图证明）</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★响应时间</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监控业务系统的响应时间，发现业务慢响应操作及响应延迟时间。监控业务系统的访问频率，发现操作频率异常的终端，并分析对业务系统的影响。</w:t>
            </w:r>
            <w:r>
              <w:rPr>
                <w:rFonts w:ascii="宋体" w:hAnsi="宋体" w:cs="宋体"/>
                <w:color w:val="auto"/>
                <w:kern w:val="0"/>
                <w:szCs w:val="21"/>
                <w:highlight w:val="none"/>
              </w:rPr>
              <w:t>（提供截图证明）</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★广播统计</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实现网络广播风暴监控，能实时发现网络中广播包数量异常，并统计每个IP地址发送的广播包数量。</w:t>
            </w:r>
            <w:r>
              <w:rPr>
                <w:rFonts w:ascii="宋体" w:hAnsi="宋体" w:cs="宋体"/>
                <w:color w:val="auto"/>
                <w:kern w:val="0"/>
                <w:szCs w:val="21"/>
                <w:highlight w:val="none"/>
              </w:rPr>
              <w:t>（提供截图证明）</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★健康度分析</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实现业务性能健康度指标分析，业务性能的优劣能够通过健康度指标反映。监控每个终端访问业务系统的流量，发现流量异常的终端，并按时间分析流量趋势。</w:t>
            </w:r>
            <w:r>
              <w:rPr>
                <w:rFonts w:ascii="宋体" w:hAnsi="宋体" w:cs="宋体"/>
                <w:color w:val="auto"/>
                <w:kern w:val="0"/>
                <w:szCs w:val="21"/>
                <w:highlight w:val="none"/>
              </w:rPr>
              <w:t>（提供截图证明）</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★数据库查询</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监控数据库大查询操作，包括操作时间、操作对象、操作内容、数据大小等内容。监控数据库锁等待操作，包括影响时间、影响对象、影响范围、影响内容等。</w:t>
            </w:r>
            <w:r>
              <w:rPr>
                <w:rFonts w:ascii="宋体" w:hAnsi="宋体" w:cs="宋体"/>
                <w:color w:val="auto"/>
                <w:kern w:val="0"/>
                <w:szCs w:val="21"/>
                <w:highlight w:val="none"/>
              </w:rPr>
              <w:t>（提供截图证明）</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性能指标阀值</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实现性能指标阀值的自动设置，无须人工干涉和预先定义，系统根据历史数据自动设置每个性能指标的阀值，并能够自动调整，适应业务系统的各种变化。</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慢响应操作</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监控Web访问的慢响应操作，包括慢响应时间、慢响应对象、慢响应内容、慢响应时间等内容。监控Web访问的高频次操作，包括操作时间、操作对象、操作频率等内容。</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大流量操作</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监控网络大流量操作，包括操作时间、操作对象、流量大小等内容。能实时检测TCP连接状态，包括连接正常数量、连接失败数量、连接复位数量等。</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状态监控</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实现对网络设备运行状态监控，包括设备启停状态、端口流量数据。实现网络设备配置信息监控，发现配置变更，并产生变更事件。</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性能监控</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实现主机性能监控，包括CPU利用率、内存利用率、磁盘利用率、IO使用情况。</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性能事件</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按照每月、每天、每时展示业务性能和运行状态，实时产生故障事件和性能事件。</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统计分析</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实现对网络中特殊数据ARP、DHCP、ICMP、DNS的统计分析，分析异常数据。</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分类统计</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能按照网络数据包大小进行分类统计，计算大包数量、中包数量和小包数量，并能发现异常统计数据情况。</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备份监控</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监控数据备份状态，提供每天数据备份正常或异常报告，及时发现备份故障或异常情况，并进行预警。</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实时告警</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监控数据库作业任务运行情况，提供每天作业任务运行正常或异常报告，及时发现重要作业异常情况，并进行预警。用户关注的核心作业，支持实时告警。</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流量统计</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监控每个IP地址访问应用的访问流量，包括上行流量、下行流量、数据包数量、数据包大小。</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异常发现</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监控零窗口情况，包括源IP地址、目的IP地址、零窗口次数等，发现异常零窗口。</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★SQL语句性能分析</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实现数据库SQL语句的性能分析，对每条SQL语句监控执行时间，包括语句内容、执行对象、响应时间等，发现时间超长的SQL语句。</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监控状态</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监控数据库运行状态，包括数据库连接数、会话数、请求数、登录数、锁数量、缓存命中率、连接响应时间等</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总价分析报告</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每天、每月定期对业务系统运行状况进行总结，提供总结分析报告。</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拓扑图展示</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提供业务服务依赖拓扑图展示，反映终端、网络、主机、应用系统、外联系统、第三方应用等各方面的连接情况。</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★关系图</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基于应用与数据库、网段与终端的实时动态的访问依赖关系图，可以自动发现网络中的所有应用间访问情况，应用与数据库间的访问情况，自动发现终端A类、B类、C类网段及下属终端IP对应用、数据库的访问情况。访问依赖关系图可以历史回溯，并可实时查询对应数据并提供下载功能。</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拓扑展示</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在业务拓扑图上反映业务系统运行状态，展示各种关键指标、异常参数、运行故障等情况。</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★态势展示</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实现网络核心运行态势大屏展示，针对网络核心骨干的运行情况整体展示。内容包括：网络整体运行态势健康指标、网络核心架构连通情况及骨干流量态势、核心设备运行状态及性能情况等。</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★指标分析</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网络性能指标分析大屏展示，针对网络性能指标监控及分析结果的整体展示，包括网络设备、主机、应用软件及终端的性能指标展示，包括：网络线路运行性能指标及趋势图、网络设备运行状态及性能指标、主机运行状态及性能指标、应用软件运行状态及性能指标、数据库运行状态及性能指标、终端访问响应时间。</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系统管理参数</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事件告警功能，实现页面提醒、短信通知、邮件通知等多种告警手段。实现用户管理功能，提供不同用户角色实现不同管理功能。支持数据自动备份和还原操作，备份策略可按天、周、月进行选择，自动备份支持远程设备，支持手动和自动备份与还原操作。数据支持多种查询方式，可根据时间、IP地址、类型、参数指标等多种条件进行组合，支持对查询数据以Excel、Access格式导出。支持SNMP、Syslog协议，能为第三方管理软件提供接口。系统可以设置数据保存期限，至少可保存一年的数据并支持实时查询。</w:t>
            </w:r>
          </w:p>
        </w:tc>
      </w:tr>
      <w:tr>
        <w:tblPrEx>
          <w:tblCellMar>
            <w:top w:w="0" w:type="dxa"/>
            <w:left w:w="108" w:type="dxa"/>
            <w:bottom w:w="0" w:type="dxa"/>
            <w:right w:w="108" w:type="dxa"/>
          </w:tblCellMar>
        </w:tblPrEx>
        <w:trPr>
          <w:trHeight w:val="34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w:t>
            </w:r>
          </w:p>
        </w:tc>
        <w:tc>
          <w:tcPr>
            <w:tcW w:w="76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为确保产品质量及性能满足需求，在签订采购合同前将按招标要求对中标产品进行功能测试，测试相关费用由投标方承担，若中标产品未通过测试，将取消中标资格并追究相应责任。</w:t>
            </w:r>
          </w:p>
        </w:tc>
      </w:tr>
    </w:tbl>
    <w:p>
      <w:pPr>
        <w:spacing w:line="360" w:lineRule="exact"/>
        <w:ind w:firstLine="422" w:firstLineChars="200"/>
        <w:rPr>
          <w:rFonts w:hint="default" w:ascii="宋体" w:hAnsi="宋体" w:cs="宋体"/>
          <w:b/>
          <w:bCs/>
          <w:color w:val="auto"/>
          <w:szCs w:val="21"/>
          <w:highlight w:val="none"/>
        </w:rPr>
      </w:pPr>
      <w:r>
        <w:rPr>
          <w:rFonts w:ascii="宋体" w:hAnsi="宋体"/>
          <w:b/>
          <w:color w:val="auto"/>
          <w:szCs w:val="21"/>
          <w:highlight w:val="none"/>
        </w:rPr>
        <w:t>▲五、商务响应表</w:t>
      </w:r>
    </w:p>
    <w:tbl>
      <w:tblPr>
        <w:tblStyle w:val="21"/>
        <w:tblW w:w="93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7"/>
        <w:gridCol w:w="8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质保期</w:t>
            </w:r>
          </w:p>
        </w:tc>
        <w:tc>
          <w:tcPr>
            <w:tcW w:w="80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cs="宋体"/>
                <w:color w:val="auto"/>
                <w:szCs w:val="21"/>
                <w:highlight w:val="none"/>
              </w:rPr>
            </w:pPr>
            <w:r>
              <w:rPr>
                <w:rFonts w:ascii="宋体" w:hAnsi="宋体" w:cs="宋体"/>
                <w:color w:val="auto"/>
                <w:szCs w:val="21"/>
                <w:highlight w:val="none"/>
              </w:rPr>
              <w:t>本项目质量保证期为硬件部分验收合格后提供</w:t>
            </w:r>
            <w:r>
              <w:rPr>
                <w:rFonts w:hint="eastAsia" w:ascii="宋体" w:hAnsi="宋体" w:cs="宋体"/>
                <w:color w:val="auto"/>
                <w:szCs w:val="21"/>
                <w:highlight w:val="none"/>
                <w:lang w:eastAsia="zh-CN"/>
              </w:rPr>
              <w:t>不少于</w:t>
            </w:r>
            <w:r>
              <w:rPr>
                <w:rFonts w:ascii="宋体" w:hAnsi="宋体" w:cs="宋体"/>
                <w:color w:val="auto"/>
                <w:szCs w:val="21"/>
                <w:highlight w:val="none"/>
              </w:rPr>
              <w:t>三年原厂质保，其余部分验收合格后提供</w:t>
            </w:r>
            <w:r>
              <w:rPr>
                <w:rFonts w:hint="eastAsia" w:ascii="宋体" w:hAnsi="宋体" w:cs="宋体"/>
                <w:color w:val="auto"/>
                <w:szCs w:val="21"/>
                <w:highlight w:val="none"/>
                <w:lang w:eastAsia="zh-CN"/>
              </w:rPr>
              <w:t>不少于</w:t>
            </w:r>
            <w:r>
              <w:rPr>
                <w:rFonts w:ascii="宋体" w:hAnsi="宋体" w:cs="宋体"/>
                <w:color w:val="auto"/>
                <w:szCs w:val="21"/>
                <w:highlight w:val="none"/>
              </w:rPr>
              <w:t>一年免费质保。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售后技术</w:t>
            </w:r>
          </w:p>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服务要求</w:t>
            </w:r>
          </w:p>
        </w:tc>
        <w:tc>
          <w:tcPr>
            <w:tcW w:w="80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cs="宋体"/>
                <w:color w:val="auto"/>
                <w:szCs w:val="21"/>
                <w:highlight w:val="none"/>
              </w:rPr>
            </w:pPr>
            <w:r>
              <w:rPr>
                <w:rFonts w:ascii="宋体" w:hAnsi="宋体" w:cs="宋体"/>
                <w:color w:val="auto"/>
                <w:szCs w:val="21"/>
                <w:highlight w:val="none"/>
              </w:rPr>
              <w:t>1.在质保期内，因货物的维护和保养所发生的一切费用均由中标供应商承担；</w:t>
            </w:r>
          </w:p>
          <w:p>
            <w:pPr>
              <w:spacing w:line="320" w:lineRule="exact"/>
              <w:rPr>
                <w:rFonts w:hint="default" w:ascii="宋体" w:hAnsi="宋体" w:cs="宋体"/>
                <w:color w:val="auto"/>
                <w:szCs w:val="21"/>
                <w:highlight w:val="none"/>
              </w:rPr>
            </w:pPr>
            <w:r>
              <w:rPr>
                <w:rFonts w:ascii="宋体" w:hAnsi="宋体" w:cs="宋体"/>
                <w:color w:val="auto"/>
                <w:szCs w:val="21"/>
                <w:highlight w:val="none"/>
              </w:rPr>
              <w:t>2.质保期内用户报修后，中标供应商免费上门服务及时解决用户问题。服务要求如下:电话响应7*24小时、现场响应4小时内、细微质量问题投标人可以现场解决的必须在24小时内予以修复、重大质量问题必须返厂修理的必须在5个工作日内予以修复（不能修复的必须予以更换）；中标后提供原厂商质保函。</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rPr>
              <w:t>3.投标时有其它服务承诺的，一并履行。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完成时间及地点</w:t>
            </w:r>
          </w:p>
        </w:tc>
        <w:tc>
          <w:tcPr>
            <w:tcW w:w="80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cs="宋体"/>
                <w:color w:val="auto"/>
                <w:szCs w:val="21"/>
                <w:highlight w:val="none"/>
              </w:rPr>
            </w:pPr>
            <w:r>
              <w:rPr>
                <w:rFonts w:ascii="宋体" w:hAnsi="宋体" w:cs="宋体"/>
                <w:color w:val="auto"/>
                <w:szCs w:val="21"/>
                <w:highlight w:val="none"/>
              </w:rPr>
              <w:t>完成时间：</w:t>
            </w:r>
            <w:r>
              <w:rPr>
                <w:rFonts w:ascii="宋体" w:hAnsi="宋体" w:cs="宋体"/>
                <w:bCs/>
                <w:color w:val="auto"/>
                <w:szCs w:val="21"/>
                <w:highlight w:val="none"/>
              </w:rPr>
              <w:t>合同签订后90个工作日内供</w:t>
            </w:r>
            <w:r>
              <w:rPr>
                <w:rFonts w:ascii="宋体" w:hAnsi="宋体" w:cs="宋体"/>
                <w:color w:val="auto"/>
                <w:szCs w:val="21"/>
                <w:highlight w:val="none"/>
              </w:rPr>
              <w:t>货安装调试完毕。</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rPr>
              <w:t>地点：长兴县卫生健康局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付款方式</w:t>
            </w:r>
          </w:p>
        </w:tc>
        <w:tc>
          <w:tcPr>
            <w:tcW w:w="80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Cs w:val="21"/>
                <w:highlight w:val="none"/>
                <w:lang w:val="en-US" w:eastAsia="zh-CN"/>
              </w:rPr>
            </w:pPr>
            <w:r>
              <w:rPr>
                <w:rFonts w:ascii="宋体" w:hAnsi="宋体" w:cs="宋体"/>
                <w:color w:val="auto"/>
                <w:szCs w:val="21"/>
                <w:highlight w:val="none"/>
              </w:rPr>
              <w:t>合同签订后30个工作日内，支付合同金额的</w:t>
            </w:r>
            <w:r>
              <w:rPr>
                <w:rFonts w:ascii="宋体" w:hAnsi="宋体" w:cs="宋体"/>
                <w:color w:val="auto"/>
                <w:szCs w:val="21"/>
                <w:highlight w:val="none"/>
                <w:u w:val="single"/>
              </w:rPr>
              <w:t>40%（其中20%支付硬件部分、20%支付软件及服务）</w:t>
            </w:r>
            <w:r>
              <w:rPr>
                <w:rFonts w:ascii="宋体" w:hAnsi="宋体" w:cs="宋体"/>
                <w:color w:val="auto"/>
                <w:szCs w:val="21"/>
                <w:highlight w:val="none"/>
              </w:rPr>
              <w:t>；项目通过初验后30个工作日内，支付合同金额的</w:t>
            </w:r>
            <w:r>
              <w:rPr>
                <w:rFonts w:ascii="宋体" w:hAnsi="宋体" w:cs="宋体"/>
                <w:color w:val="auto"/>
                <w:szCs w:val="21"/>
                <w:highlight w:val="none"/>
                <w:u w:val="single"/>
              </w:rPr>
              <w:t>30%（其中5%支付硬件部分、25%支付软件及服务）</w:t>
            </w:r>
            <w:r>
              <w:rPr>
                <w:rFonts w:ascii="宋体" w:hAnsi="宋体" w:cs="宋体"/>
                <w:color w:val="auto"/>
                <w:szCs w:val="21"/>
                <w:highlight w:val="none"/>
              </w:rPr>
              <w:t>；项目终验合格之日起30个工作日内，支付合同金额</w:t>
            </w:r>
            <w:r>
              <w:rPr>
                <w:rFonts w:hint="eastAsia" w:ascii="宋体" w:hAnsi="宋体" w:cs="宋体"/>
                <w:color w:val="auto"/>
                <w:szCs w:val="21"/>
                <w:highlight w:val="none"/>
                <w:lang w:val="en-US" w:eastAsia="zh-CN"/>
              </w:rPr>
              <w:t>25</w:t>
            </w:r>
            <w:r>
              <w:rPr>
                <w:rFonts w:ascii="宋体" w:hAnsi="宋体" w:cs="宋体"/>
                <w:color w:val="auto"/>
                <w:szCs w:val="21"/>
                <w:highlight w:val="none"/>
              </w:rPr>
              <w:t>%</w:t>
            </w:r>
            <w:r>
              <w:rPr>
                <w:rFonts w:hint="eastAsia" w:ascii="宋体" w:hAnsi="宋体" w:cs="宋体"/>
                <w:color w:val="auto"/>
                <w:szCs w:val="21"/>
                <w:highlight w:val="none"/>
                <w:lang w:eastAsia="zh-CN"/>
              </w:rPr>
              <w:t>；项目正常运行三年后</w:t>
            </w:r>
            <w:r>
              <w:rPr>
                <w:rFonts w:ascii="宋体" w:hAnsi="宋体" w:cs="宋体"/>
                <w:color w:val="auto"/>
                <w:szCs w:val="21"/>
                <w:highlight w:val="none"/>
              </w:rPr>
              <w:t>30个工作日内，支付合同金额余款（即</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8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hint="default" w:ascii="宋体" w:hAnsi="宋体" w:cs="宋体"/>
                <w:color w:val="auto"/>
                <w:szCs w:val="21"/>
                <w:highlight w:val="none"/>
              </w:rPr>
            </w:pPr>
            <w:r>
              <w:rPr>
                <w:rFonts w:hint="eastAsia"/>
                <w:color w:val="auto"/>
                <w:highlight w:val="none"/>
              </w:rPr>
              <w:t>合同签订前中标人向采购人交纳合同金额5%的履约保证金。待项目完成终验之日起一年后，经采购人确认后1个月内无息退还（违约部分除外）。合同履行完毕后如无质量索赔或扣款事件无息退还，如有，则扣除上述款项后无息退还。</w:t>
            </w:r>
          </w:p>
        </w:tc>
      </w:tr>
    </w:tbl>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六、为落实政府采购政策需满足的要求</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1.文件依据</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（1）扶持小微企业（含监狱企业、残疾人福利性单位）</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① 关于印发《政府采购促进中小企业发展暂行办法》的通知（财库[2011]181号）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② 《工业和信息化部、国家统计局、国家发展和改革委员会、财政部关于印发中小企业划型标准规定的通知》（工信部联企业[2011]300号）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③ 浙江省财政厅、浙江省中小企业局转发财政部、工业和信息化部关于《政府采购促进中小企业发展暂行办法》的通知（浙财采监〔2012〕11号）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④ 财政部、司法部《关于政府采购支持监狱企业发展有关问题的通知》（财库〔2014〕68号）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⑤ 《财政部 民政部 中国残疾人联合会关于促进残疾人就业政府采购政策的通知》（财库〔2017〕 141号）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⑥ 浙江省财政厅 浙江省经济和信息化委员会 浙江省中小企业局关于简化中小企业类别确认流程有关事项的通知（浙财采监〔2018〕2号）</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（2）节能环保</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① 财政部 发展改革委 生态环境部 市场监督总局关于调整优化节能产品环境标志产品政府采购执行机制的通知（财库〔2019〕9号）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② 关于印发环境标志产品政府采购品目清单的通知（财库〔2019〕18号）</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③ 关于印发节能产品政府采购品目清单的通知（财库〔2019〕19号）</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2.相关落实政策的要求</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（1）扶持小微企业（含监狱企业、残疾人福利性单位）</w:t>
      </w:r>
    </w:p>
    <w:p>
      <w:pPr>
        <w:pStyle w:val="9"/>
        <w:adjustRightInd w:val="0"/>
        <w:snapToGrid w:val="0"/>
        <w:spacing w:after="0" w:line="300" w:lineRule="exact"/>
        <w:ind w:firstLine="422" w:firstLineChars="200"/>
        <w:rPr>
          <w:rFonts w:hint="default" w:ascii="宋体" w:hAnsi="宋体" w:cs="宋体"/>
          <w:b/>
          <w:bCs/>
          <w:color w:val="auto"/>
          <w:szCs w:val="21"/>
          <w:highlight w:val="none"/>
          <w:u w:val="single"/>
        </w:rPr>
      </w:pPr>
      <w:r>
        <w:rPr>
          <w:rFonts w:ascii="宋体" w:hAnsi="宋体" w:cs="宋体"/>
          <w:b/>
          <w:bCs/>
          <w:color w:val="auto"/>
          <w:szCs w:val="21"/>
          <w:highlight w:val="none"/>
          <w:u w:val="single"/>
        </w:rPr>
        <w:t>为响应扶持小微企业的政策，投标人为小微企业的，需提供相关证明材料，符合要求的，其投标报价给予相应扣除，具体详见评标方法。在政府采购活动中，监狱企业及残疾人福利性单位均视为小型、微型企业，享受小微企业政策扶持。</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（2）其他的国家政策支持</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投标人享受其他国家政策支持的，需提供相关证明材料，详见评标方法，符合要求的，相应评分予以得分。</w:t>
      </w:r>
    </w:p>
    <w:p>
      <w:pPr>
        <w:pStyle w:val="9"/>
        <w:adjustRightInd w:val="0"/>
        <w:snapToGrid w:val="0"/>
        <w:spacing w:after="0"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七、其他要求</w:t>
      </w:r>
    </w:p>
    <w:p>
      <w:pPr>
        <w:pStyle w:val="31"/>
        <w:adjustRightInd w:val="0"/>
        <w:snapToGrid w:val="0"/>
        <w:spacing w:line="30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1.本招标文件中带“▲”的条款内容，为本次招标的实质性内容，投标人必须全部响应，否则将作无效标处理。带“★”的条款内容为重要性条款。</w:t>
      </w:r>
    </w:p>
    <w:p>
      <w:pPr>
        <w:pStyle w:val="9"/>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szCs w:val="21"/>
          <w:highlight w:val="none"/>
        </w:rPr>
        <w:t>2.文件中所提的是基本服务要求，供应商应根据相关法律法规及采购人机构特点，提供更为完善的服务。</w:t>
      </w: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ind w:firstLine="210"/>
        <w:rPr>
          <w:rFonts w:hint="default" w:ascii="宋体" w:hAnsi="宋体" w:cs="宋体"/>
          <w:color w:val="auto"/>
          <w:szCs w:val="21"/>
          <w:highlight w:val="none"/>
        </w:rPr>
      </w:pPr>
    </w:p>
    <w:p>
      <w:pPr>
        <w:rPr>
          <w:rFonts w:hint="default" w:ascii="宋体" w:hAnsi="宋体" w:cs="宋体"/>
          <w:color w:val="auto"/>
          <w:szCs w:val="21"/>
          <w:highlight w:val="none"/>
        </w:rPr>
      </w:pPr>
    </w:p>
    <w:p>
      <w:pPr>
        <w:pStyle w:val="9"/>
        <w:rPr>
          <w:rFonts w:hint="default" w:ascii="宋体" w:hAnsi="宋体" w:cs="宋体"/>
          <w:color w:val="auto"/>
          <w:szCs w:val="21"/>
          <w:highlight w:val="none"/>
        </w:rPr>
      </w:pPr>
    </w:p>
    <w:p>
      <w:pPr>
        <w:pStyle w:val="2"/>
        <w:numPr>
          <w:ilvl w:val="0"/>
          <w:numId w:val="2"/>
        </w:numPr>
        <w:spacing w:before="0" w:after="0"/>
        <w:rPr>
          <w:color w:val="auto"/>
          <w:sz w:val="30"/>
          <w:szCs w:val="30"/>
          <w:highlight w:val="none"/>
        </w:rPr>
      </w:pPr>
      <w:r>
        <w:rPr>
          <w:rFonts w:hint="eastAsia"/>
          <w:color w:val="auto"/>
          <w:sz w:val="30"/>
          <w:szCs w:val="30"/>
          <w:highlight w:val="none"/>
        </w:rPr>
        <w:t xml:space="preserve"> </w:t>
      </w:r>
      <w:r>
        <w:rPr>
          <w:color w:val="auto"/>
          <w:sz w:val="30"/>
          <w:szCs w:val="30"/>
          <w:highlight w:val="none"/>
        </w:rPr>
        <w:t>投标人须知</w:t>
      </w:r>
      <w:bookmarkEnd w:id="25"/>
    </w:p>
    <w:p>
      <w:pPr>
        <w:pStyle w:val="3"/>
        <w:spacing w:beforeLines="0" w:afterLines="0"/>
        <w:jc w:val="center"/>
        <w:rPr>
          <w:color w:val="auto"/>
          <w:highlight w:val="none"/>
          <w:lang w:val="zh-CN"/>
        </w:rPr>
      </w:pPr>
      <w:r>
        <w:rPr>
          <w:rFonts w:hint="eastAsia"/>
          <w:color w:val="auto"/>
          <w:highlight w:val="none"/>
          <w:lang w:val="zh-CN"/>
        </w:rPr>
        <w:t>投标人须知</w:t>
      </w:r>
      <w:r>
        <w:rPr>
          <w:color w:val="auto"/>
          <w:highlight w:val="none"/>
          <w:lang w:val="zh-CN"/>
        </w:rPr>
        <w:t>前附表</w:t>
      </w:r>
    </w:p>
    <w:tbl>
      <w:tblPr>
        <w:tblStyle w:val="21"/>
        <w:tblW w:w="9345" w:type="dxa"/>
        <w:jc w:val="center"/>
        <w:tblLayout w:type="fixed"/>
        <w:tblCellMar>
          <w:top w:w="0" w:type="dxa"/>
          <w:left w:w="10" w:type="dxa"/>
          <w:bottom w:w="0" w:type="dxa"/>
          <w:right w:w="10" w:type="dxa"/>
        </w:tblCellMar>
      </w:tblPr>
      <w:tblGrid>
        <w:gridCol w:w="709"/>
        <w:gridCol w:w="1659"/>
        <w:gridCol w:w="6977"/>
      </w:tblGrid>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b/>
                <w:color w:val="auto"/>
                <w:szCs w:val="21"/>
                <w:highlight w:val="none"/>
                <w:lang w:val="zh-CN"/>
              </w:rPr>
            </w:pPr>
            <w:r>
              <w:rPr>
                <w:rFonts w:ascii="宋体" w:hAnsi="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b/>
                <w:color w:val="auto"/>
                <w:szCs w:val="21"/>
                <w:highlight w:val="none"/>
                <w:lang w:val="zh-CN"/>
              </w:rPr>
            </w:pPr>
            <w:r>
              <w:rPr>
                <w:rFonts w:ascii="宋体" w:hAnsi="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b/>
                <w:color w:val="auto"/>
                <w:szCs w:val="21"/>
                <w:highlight w:val="none"/>
                <w:lang w:val="zh-CN"/>
              </w:rPr>
            </w:pPr>
            <w:r>
              <w:rPr>
                <w:rFonts w:ascii="宋体" w:hAnsi="宋体"/>
                <w:b/>
                <w:color w:val="auto"/>
                <w:szCs w:val="21"/>
                <w:highlight w:val="none"/>
                <w:lang w:val="zh-CN"/>
              </w:rPr>
              <w:t>内容、要求</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b/>
                <w:color w:val="auto"/>
                <w:szCs w:val="21"/>
                <w:highlight w:val="none"/>
                <w:lang w:val="zh-CN"/>
              </w:rPr>
            </w:pPr>
            <w:r>
              <w:rPr>
                <w:rFonts w:hint="eastAsia" w:ascii="宋体"/>
                <w:color w:val="auto"/>
                <w:kern w:val="0"/>
                <w:szCs w:val="21"/>
                <w:highlight w:val="none"/>
                <w:lang w:val="zh-CN"/>
              </w:rPr>
              <w:t>长兴县卫生健康局县域医共体信息化示范提升及基层补偿机制改革二期项目</w:t>
            </w:r>
            <w:r>
              <w:rPr>
                <w:rFonts w:ascii="宋体"/>
                <w:color w:val="auto"/>
                <w:kern w:val="0"/>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olor w:val="auto"/>
                <w:szCs w:val="21"/>
                <w:highlight w:val="none"/>
              </w:rPr>
            </w:pPr>
            <w:r>
              <w:rPr>
                <w:rFonts w:hint="default" w:ascii="宋体" w:hAnsi="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采购内容、数量及单位</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color w:val="auto"/>
                <w:kern w:val="0"/>
                <w:szCs w:val="21"/>
                <w:highlight w:val="none"/>
                <w:lang w:val="zh-CN"/>
              </w:rPr>
            </w:pPr>
            <w:r>
              <w:rPr>
                <w:rFonts w:ascii="宋体"/>
                <w:color w:val="auto"/>
                <w:kern w:val="0"/>
                <w:szCs w:val="21"/>
                <w:highlight w:val="none"/>
                <w:lang w:val="zh-CN"/>
              </w:rPr>
              <w:t>详见采购需求。</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olor w:val="auto"/>
                <w:szCs w:val="21"/>
                <w:highlight w:val="none"/>
              </w:rPr>
            </w:pPr>
            <w:r>
              <w:rPr>
                <w:rFonts w:ascii="宋体" w:hAnsi="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olor w:val="auto"/>
                <w:szCs w:val="21"/>
                <w:highlight w:val="none"/>
              </w:rPr>
            </w:pPr>
            <w:r>
              <w:rPr>
                <w:rFonts w:ascii="宋体" w:hAnsi="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资金来源：财政资金；</w:t>
            </w:r>
          </w:p>
          <w:p>
            <w:pPr>
              <w:rPr>
                <w:rFonts w:hint="default" w:ascii="宋体" w:hAnsi="宋体" w:cs="宋体"/>
                <w:color w:val="auto"/>
                <w:szCs w:val="21"/>
                <w:highlight w:val="none"/>
              </w:rPr>
            </w:pPr>
            <w:r>
              <w:rPr>
                <w:rFonts w:ascii="宋体" w:hAnsi="宋体" w:cs="宋体"/>
                <w:color w:val="auto"/>
                <w:szCs w:val="21"/>
                <w:highlight w:val="none"/>
              </w:rPr>
              <w:t>预算金额：人民币</w:t>
            </w:r>
            <w:r>
              <w:rPr>
                <w:rFonts w:hint="eastAsia" w:ascii="宋体" w:hAnsi="宋体" w:cs="宋体"/>
                <w:color w:val="auto"/>
                <w:szCs w:val="21"/>
                <w:highlight w:val="none"/>
                <w:lang w:eastAsia="zh-CN"/>
              </w:rPr>
              <w:t>5300000</w:t>
            </w:r>
            <w:r>
              <w:rPr>
                <w:rFonts w:ascii="宋体" w:hAnsi="宋体" w:cs="宋体"/>
                <w:color w:val="auto"/>
                <w:szCs w:val="21"/>
                <w:highlight w:val="none"/>
              </w:rPr>
              <w:t>元。</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olor w:val="auto"/>
                <w:szCs w:val="21"/>
                <w:highlight w:val="none"/>
              </w:rPr>
            </w:pPr>
            <w:r>
              <w:rPr>
                <w:rFonts w:ascii="宋体" w:hAnsi="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zCs w:val="21"/>
                <w:highlight w:val="none"/>
              </w:rPr>
            </w:pPr>
            <w:r>
              <w:rPr>
                <w:rFonts w:hint="eastAsia" w:ascii="宋体" w:hAnsi="宋体" w:cs="宋体"/>
                <w:b/>
                <w:color w:val="auto"/>
                <w:szCs w:val="21"/>
                <w:highlight w:val="none"/>
                <w:lang w:eastAsia="zh-CN"/>
              </w:rPr>
              <w:t>5300000元</w:t>
            </w:r>
            <w:r>
              <w:rPr>
                <w:rFonts w:ascii="宋体" w:hAnsi="宋体" w:cs="宋体"/>
                <w:b/>
                <w:color w:val="auto"/>
                <w:szCs w:val="21"/>
                <w:highlight w:val="none"/>
              </w:rPr>
              <w:t>，▲投标报价超过最高限价的为无效标。</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1.本项目投标应以人民币报价；</w:t>
            </w:r>
          </w:p>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2.不论投标结果如何，投标人均应自行承担所有与投标有关的全部费用。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无。</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color w:val="auto"/>
                <w:szCs w:val="21"/>
                <w:highlight w:val="none"/>
                <w:lang w:val="zh-CN"/>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hint="default" w:ascii="宋体" w:cs="宋体"/>
                <w:color w:val="auto"/>
                <w:szCs w:val="21"/>
                <w:highlight w:val="none"/>
                <w:lang w:val="zh-CN"/>
              </w:rPr>
            </w:pPr>
            <w:r>
              <w:rPr>
                <w:rFonts w:ascii="宋体" w:hAnsi="宋体" w:cs="宋体"/>
                <w:color w:val="auto"/>
                <w:szCs w:val="21"/>
                <w:highlight w:val="none"/>
              </w:rPr>
              <w:t>详见第二章采购需求</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olor w:val="auto"/>
                <w:szCs w:val="21"/>
                <w:highlight w:val="none"/>
              </w:rPr>
            </w:pPr>
            <w:r>
              <w:rPr>
                <w:rFonts w:ascii="宋体" w:hAnsi="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s="宋体"/>
                <w:color w:val="auto"/>
                <w:szCs w:val="21"/>
                <w:highlight w:val="none"/>
              </w:rPr>
              <w:t>自行踏勘，费用自理。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宋体" w:hAnsi="宋体" w:eastAsia="宋体"/>
                <w:color w:val="auto"/>
                <w:szCs w:val="21"/>
                <w:highlight w:val="none"/>
                <w:lang w:val="zh-CN" w:eastAsia="zh-CN"/>
              </w:rPr>
            </w:pPr>
            <w:r>
              <w:rPr>
                <w:rFonts w:hint="eastAsia" w:ascii="宋体" w:hAnsi="宋体"/>
                <w:color w:val="auto"/>
                <w:szCs w:val="21"/>
                <w:highlight w:val="none"/>
                <w:lang w:eastAsia="zh-CN"/>
              </w:rPr>
              <w:t>详见第四章评标方法及评分标准。</w:t>
            </w:r>
            <w:r>
              <w:rPr>
                <w:rFonts w:hint="eastAsia" w:ascii="宋体" w:hAnsi="宋体"/>
                <w:b/>
                <w:bCs/>
                <w:color w:val="auto"/>
                <w:szCs w:val="21"/>
                <w:highlight w:val="none"/>
                <w:lang w:eastAsia="zh-CN"/>
              </w:rPr>
              <w:t>注：</w:t>
            </w:r>
            <w:r>
              <w:rPr>
                <w:rFonts w:hint="eastAsia" w:ascii="宋体" w:hAnsi="宋体"/>
                <w:b/>
                <w:bCs/>
                <w:color w:val="auto"/>
                <w:szCs w:val="21"/>
                <w:highlight w:val="none"/>
                <w:u w:val="single"/>
                <w:lang w:eastAsia="zh-CN"/>
              </w:rPr>
              <w:t>投标人如有演示，需提供</w:t>
            </w:r>
            <w:r>
              <w:rPr>
                <w:rFonts w:hint="eastAsia" w:ascii="宋体" w:hAnsi="宋体"/>
                <w:b/>
                <w:bCs/>
                <w:color w:val="auto"/>
                <w:szCs w:val="21"/>
                <w:highlight w:val="none"/>
                <w:u w:val="single"/>
                <w:lang w:val="en-US" w:eastAsia="zh-CN"/>
              </w:rPr>
              <w:t>符合</w:t>
            </w:r>
            <w:r>
              <w:rPr>
                <w:rFonts w:hint="eastAsia" w:ascii="宋体" w:hAnsi="宋体"/>
                <w:b/>
                <w:bCs/>
                <w:color w:val="auto"/>
                <w:szCs w:val="21"/>
                <w:highlight w:val="none"/>
                <w:u w:val="single"/>
                <w:lang w:eastAsia="zh-CN"/>
              </w:rPr>
              <w:t>招标文件要求的演示视频（</w:t>
            </w:r>
            <w:r>
              <w:rPr>
                <w:rFonts w:ascii="宋体" w:hAnsi="宋体" w:cs="宋体"/>
                <w:b/>
                <w:bCs/>
                <w:color w:val="auto"/>
                <w:szCs w:val="21"/>
                <w:highlight w:val="none"/>
                <w:u w:val="single"/>
              </w:rPr>
              <w:t>以U盘</w:t>
            </w:r>
            <w:r>
              <w:rPr>
                <w:rFonts w:hint="eastAsia" w:ascii="宋体" w:hAnsi="宋体" w:cs="宋体"/>
                <w:b/>
                <w:bCs/>
                <w:color w:val="auto"/>
                <w:szCs w:val="21"/>
                <w:highlight w:val="none"/>
                <w:u w:val="single"/>
                <w:lang w:eastAsia="zh-CN"/>
              </w:rPr>
              <w:t>及光盘两种</w:t>
            </w:r>
            <w:r>
              <w:rPr>
                <w:rFonts w:ascii="宋体" w:hAnsi="宋体" w:cs="宋体"/>
                <w:b/>
                <w:bCs/>
                <w:color w:val="auto"/>
                <w:szCs w:val="21"/>
                <w:highlight w:val="none"/>
                <w:u w:val="single"/>
              </w:rPr>
              <w:t>形式存储，并单独密封</w:t>
            </w:r>
            <w:r>
              <w:rPr>
                <w:rFonts w:hint="eastAsia" w:ascii="宋体" w:hAnsi="宋体" w:cs="宋体"/>
                <w:b/>
                <w:bCs/>
                <w:color w:val="auto"/>
                <w:szCs w:val="21"/>
                <w:highlight w:val="none"/>
                <w:u w:val="single"/>
                <w:lang w:eastAsia="zh-CN"/>
              </w:rPr>
              <w:t>与备份投标文件同步</w:t>
            </w:r>
            <w:r>
              <w:rPr>
                <w:rFonts w:ascii="宋体" w:hAnsi="宋体" w:cs="宋体"/>
                <w:b/>
                <w:bCs/>
                <w:color w:val="auto"/>
                <w:szCs w:val="21"/>
                <w:highlight w:val="none"/>
                <w:u w:val="single"/>
              </w:rPr>
              <w:t>提交。</w:t>
            </w:r>
            <w:r>
              <w:rPr>
                <w:rFonts w:hint="eastAsia" w:ascii="宋体" w:hAnsi="宋体" w:cs="宋体"/>
                <w:b/>
                <w:bCs/>
                <w:color w:val="auto"/>
                <w:szCs w:val="21"/>
                <w:highlight w:val="none"/>
                <w:u w:val="single"/>
                <w:lang w:val="en-US" w:eastAsia="zh-CN"/>
              </w:rPr>
              <w:t>封套上注明“项目名称、项目编号、投标人名称、演示视频”并加盖单位公章。投标人应保证</w:t>
            </w:r>
            <w:r>
              <w:rPr>
                <w:rFonts w:ascii="宋体" w:hAnsi="宋体" w:cs="宋体"/>
                <w:b/>
                <w:bCs/>
                <w:color w:val="auto"/>
                <w:szCs w:val="21"/>
                <w:highlight w:val="none"/>
                <w:u w:val="single"/>
              </w:rPr>
              <w:t>U盘</w:t>
            </w:r>
            <w:r>
              <w:rPr>
                <w:rFonts w:hint="eastAsia" w:ascii="宋体" w:hAnsi="宋体" w:cs="宋体"/>
                <w:b/>
                <w:bCs/>
                <w:color w:val="auto"/>
                <w:szCs w:val="21"/>
                <w:highlight w:val="none"/>
                <w:u w:val="single"/>
                <w:lang w:eastAsia="zh-CN"/>
              </w:rPr>
              <w:t>及光盘</w:t>
            </w:r>
            <w:r>
              <w:rPr>
                <w:rFonts w:hint="eastAsia" w:ascii="宋体" w:hAnsi="宋体" w:cs="宋体"/>
                <w:b/>
                <w:bCs/>
                <w:color w:val="auto"/>
                <w:szCs w:val="21"/>
                <w:highlight w:val="none"/>
                <w:u w:val="single"/>
                <w:lang w:val="en-US" w:eastAsia="zh-CN"/>
              </w:rPr>
              <w:t>能打开及演示视频能正常播放，并自行承担所有风险和由此带来的后果</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投标人如认为招标文件表述不清晰、存在歧视性、排他性或者其他违法内容的，应当于</w:t>
            </w:r>
            <w:r>
              <w:rPr>
                <w:rFonts w:ascii="宋体" w:hAnsi="宋体"/>
                <w:color w:val="auto"/>
                <w:szCs w:val="21"/>
                <w:highlight w:val="none"/>
                <w:u w:val="single"/>
                <w:lang w:val="zh-CN"/>
              </w:rPr>
              <w:t>2020年</w:t>
            </w:r>
            <w:r>
              <w:rPr>
                <w:rFonts w:hint="eastAsia" w:ascii="宋体" w:hAnsi="宋体"/>
                <w:color w:val="auto"/>
                <w:szCs w:val="21"/>
                <w:highlight w:val="none"/>
                <w:u w:val="single"/>
                <w:lang w:val="en-US" w:eastAsia="zh-CN"/>
              </w:rPr>
              <w:t>11</w:t>
            </w:r>
            <w:r>
              <w:rPr>
                <w:rFonts w:ascii="宋体" w:hAnsi="宋体"/>
                <w:color w:val="auto"/>
                <w:szCs w:val="21"/>
                <w:highlight w:val="none"/>
                <w:u w:val="single"/>
                <w:lang w:val="zh-CN"/>
              </w:rPr>
              <w:t>月</w:t>
            </w:r>
            <w:r>
              <w:rPr>
                <w:rFonts w:hint="eastAsia" w:ascii="宋体" w:hAnsi="宋体"/>
                <w:color w:val="auto"/>
                <w:szCs w:val="21"/>
                <w:highlight w:val="none"/>
                <w:u w:val="single"/>
                <w:lang w:val="en-US" w:eastAsia="zh-CN"/>
              </w:rPr>
              <w:t>23</w:t>
            </w:r>
            <w:r>
              <w:rPr>
                <w:rFonts w:ascii="宋体" w:hAnsi="宋体"/>
                <w:color w:val="auto"/>
                <w:szCs w:val="21"/>
                <w:highlight w:val="none"/>
                <w:u w:val="single"/>
                <w:lang w:val="zh-CN"/>
              </w:rPr>
              <w:t>日</w:t>
            </w:r>
            <w:r>
              <w:rPr>
                <w:rFonts w:ascii="宋体" w:hAnsi="宋体"/>
                <w:color w:val="auto"/>
                <w:szCs w:val="21"/>
                <w:highlight w:val="none"/>
                <w:lang w:val="zh-CN"/>
              </w:rPr>
              <w:t>下午</w:t>
            </w:r>
            <w:r>
              <w:rPr>
                <w:rFonts w:ascii="宋体" w:hAnsi="宋体"/>
                <w:color w:val="auto"/>
                <w:szCs w:val="21"/>
                <w:highlight w:val="none"/>
              </w:rPr>
              <w:t>17</w:t>
            </w:r>
            <w:r>
              <w:rPr>
                <w:rFonts w:ascii="宋体" w:hAnsi="宋体"/>
                <w:color w:val="auto"/>
                <w:szCs w:val="21"/>
                <w:highlight w:val="none"/>
                <w:lang w:val="zh-CN"/>
              </w:rPr>
              <w:t>时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采购代理机构将于</w:t>
            </w:r>
            <w:r>
              <w:rPr>
                <w:rFonts w:ascii="宋体" w:hAnsi="宋体"/>
                <w:color w:val="auto"/>
                <w:szCs w:val="21"/>
                <w:highlight w:val="none"/>
                <w:u w:val="single"/>
                <w:lang w:val="zh-CN"/>
              </w:rPr>
              <w:t>2020年</w:t>
            </w:r>
            <w:r>
              <w:rPr>
                <w:rFonts w:hint="eastAsia" w:ascii="宋体" w:hAnsi="宋体"/>
                <w:color w:val="auto"/>
                <w:szCs w:val="21"/>
                <w:highlight w:val="none"/>
                <w:u w:val="single"/>
                <w:lang w:val="en-US" w:eastAsia="zh-CN"/>
              </w:rPr>
              <w:t>12</w:t>
            </w:r>
            <w:r>
              <w:rPr>
                <w:rFonts w:ascii="宋体" w:hAnsi="宋体"/>
                <w:color w:val="auto"/>
                <w:szCs w:val="21"/>
                <w:highlight w:val="none"/>
                <w:u w:val="single"/>
                <w:lang w:val="zh-CN"/>
              </w:rPr>
              <w:t>月</w:t>
            </w:r>
            <w:r>
              <w:rPr>
                <w:rFonts w:hint="eastAsia" w:ascii="宋体" w:hAnsi="宋体"/>
                <w:color w:val="auto"/>
                <w:szCs w:val="21"/>
                <w:highlight w:val="none"/>
                <w:u w:val="single"/>
                <w:lang w:val="en-US" w:eastAsia="zh-CN"/>
              </w:rPr>
              <w:t>02</w:t>
            </w:r>
            <w:r>
              <w:rPr>
                <w:rFonts w:ascii="宋体" w:hAnsi="宋体"/>
                <w:color w:val="auto"/>
                <w:szCs w:val="21"/>
                <w:highlight w:val="none"/>
                <w:u w:val="single"/>
                <w:lang w:val="zh-CN"/>
              </w:rPr>
              <w:t>日</w:t>
            </w:r>
            <w:r>
              <w:rPr>
                <w:rFonts w:ascii="宋体" w:hAnsi="宋体"/>
                <w:color w:val="auto"/>
                <w:szCs w:val="21"/>
                <w:highlight w:val="none"/>
                <w:lang w:val="zh-CN"/>
              </w:rPr>
              <w:t>下午</w:t>
            </w:r>
            <w:r>
              <w:rPr>
                <w:rFonts w:ascii="宋体" w:hAnsi="宋体"/>
                <w:color w:val="auto"/>
                <w:szCs w:val="21"/>
                <w:highlight w:val="none"/>
              </w:rPr>
              <w:t>17</w:t>
            </w:r>
            <w:r>
              <w:rPr>
                <w:rFonts w:ascii="宋体" w:hAnsi="宋体"/>
                <w:color w:val="auto"/>
                <w:szCs w:val="21"/>
                <w:highlight w:val="none"/>
                <w:lang w:val="zh-CN"/>
              </w:rPr>
              <w:t>时前组织答疑；答疑内容是招标文件的组成部份，并将以书面形式送达所有已获取招标文件的投标人；因其他紧急情况影响本项目正常采购活动的，采购代理机构将于投标截止日期5天前书面通知所有已获取招标文件的投标人。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olor w:val="auto"/>
                <w:szCs w:val="21"/>
                <w:highlight w:val="none"/>
                <w:lang w:val="zh-CN"/>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2.组成：投标人应准备上传的</w:t>
            </w:r>
            <w:r>
              <w:rPr>
                <w:rFonts w:ascii="宋体" w:hAnsi="宋体" w:cs="宋体"/>
                <w:b/>
                <w:bCs/>
                <w:color w:val="auto"/>
                <w:szCs w:val="21"/>
                <w:highlight w:val="none"/>
              </w:rPr>
              <w:t>电子投标文件</w:t>
            </w:r>
            <w:r>
              <w:rPr>
                <w:rFonts w:ascii="宋体" w:hAnsi="宋体" w:cs="宋体"/>
                <w:color w:val="auto"/>
                <w:szCs w:val="21"/>
                <w:highlight w:val="none"/>
              </w:rPr>
              <w:t>1份、以</w:t>
            </w:r>
            <w:r>
              <w:rPr>
                <w:rFonts w:ascii="宋体" w:hAnsi="宋体" w:cs="宋体"/>
                <w:b/>
                <w:bCs/>
                <w:color w:val="auto"/>
                <w:szCs w:val="21"/>
                <w:highlight w:val="none"/>
              </w:rPr>
              <w:t>介质存储的数据电文形式的备份投标文件（U盘）</w:t>
            </w:r>
            <w:r>
              <w:rPr>
                <w:rFonts w:ascii="宋体" w:hAnsi="宋体" w:cs="宋体"/>
                <w:color w:val="auto"/>
                <w:szCs w:val="21"/>
                <w:highlight w:val="none"/>
              </w:rPr>
              <w:t>1份、</w:t>
            </w:r>
            <w:r>
              <w:rPr>
                <w:rFonts w:ascii="宋体" w:hAnsi="宋体" w:cs="宋体"/>
                <w:b/>
                <w:bCs/>
                <w:color w:val="auto"/>
                <w:szCs w:val="21"/>
                <w:highlight w:val="none"/>
              </w:rPr>
              <w:t>纸质备份投标文件</w:t>
            </w:r>
            <w:r>
              <w:rPr>
                <w:rFonts w:ascii="宋体" w:hAnsi="宋体" w:cs="宋体"/>
                <w:color w:val="auto"/>
                <w:szCs w:val="21"/>
                <w:highlight w:val="none"/>
              </w:rPr>
              <w:t>1份，共三类。</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w:t>
            </w:r>
            <w:r>
              <w:rPr>
                <w:rFonts w:ascii="宋体" w:hAnsi="宋体" w:cs="宋体"/>
                <w:color w:val="auto"/>
                <w:szCs w:val="21"/>
                <w:highlight w:val="none"/>
              </w:rPr>
              <w:t>形式存储，并单独密封提交。</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w:t>
            </w:r>
            <w:r>
              <w:rPr>
                <w:rFonts w:ascii="宋体" w:hAnsi="宋体" w:cs="宋体"/>
                <w:color w:val="auto"/>
                <w:szCs w:val="21"/>
                <w:highlight w:val="none"/>
              </w:rPr>
              <w:t>：电子投标文件的备份文件按须知“投标文件的组成”编制，制作成纸质文件，并单独密封提交。</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3.效力：投标文件的启用，按先后顺位分别为电子投标文件、以介质存储的数据电文形式的备份投标文件（U盘）、纸质备份投标文件。在下一顺位的投标文件启用时，前一顺位的投标文件自动失效。</w:t>
            </w:r>
          </w:p>
          <w:p>
            <w:pPr>
              <w:jc w:val="left"/>
              <w:rPr>
                <w:rFonts w:hint="default" w:ascii="宋体" w:hAnsi="宋体"/>
                <w:color w:val="auto"/>
                <w:szCs w:val="21"/>
                <w:highlight w:val="none"/>
                <w:lang w:val="zh-CN"/>
              </w:rPr>
            </w:pPr>
            <w:r>
              <w:rPr>
                <w:rFonts w:ascii="宋体" w:hAnsi="宋体" w:cs="宋体"/>
                <w:color w:val="auto"/>
                <w:szCs w:val="21"/>
                <w:highlight w:val="none"/>
              </w:rPr>
              <w:t>备注：以投标人解密成功的上传电子投标文件为准，除</w:t>
            </w:r>
            <w:r>
              <w:rPr>
                <w:rFonts w:ascii="宋体" w:hAnsi="宋体" w:cs="宋体"/>
                <w:b/>
                <w:bCs/>
                <w:color w:val="auto"/>
                <w:szCs w:val="21"/>
                <w:highlight w:val="none"/>
              </w:rPr>
              <w:t>非投标人原因</w:t>
            </w:r>
            <w:r>
              <w:rPr>
                <w:rFonts w:ascii="宋体" w:hAnsi="宋体" w:cs="宋体"/>
                <w:color w:val="auto"/>
                <w:szCs w:val="21"/>
                <w:highlight w:val="none"/>
              </w:rPr>
              <w:t>导致的电子投标文件上传不全、无法打开、显示缺陷等才进行第二、第三效力文件的启用。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b/>
                <w:bCs/>
                <w:color w:val="auto"/>
                <w:spacing w:val="11"/>
                <w:szCs w:val="21"/>
                <w:highlight w:val="none"/>
              </w:rPr>
              <w:t>投标文件封面（或扉页）、《投标函》及投标文件格式中所要求签字、盖章处应按要求签字、盖章（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投标文件非法定代表人签署的，应出具授权委托书并按要求签字和盖章。</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b/>
                <w:bCs/>
                <w:color w:val="auto"/>
                <w:spacing w:val="11"/>
                <w:szCs w:val="21"/>
                <w:highlight w:val="none"/>
              </w:rPr>
            </w:pPr>
            <w:r>
              <w:rPr>
                <w:rFonts w:ascii="宋体" w:hAnsi="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b/>
                <w:bCs/>
                <w:color w:val="auto"/>
                <w:szCs w:val="21"/>
                <w:highlight w:val="none"/>
                <w:lang w:val="zh-CN"/>
              </w:rPr>
              <w:t>资信文件及报价文件必须单独装订并密封封装。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pPr>
              <w:jc w:val="left"/>
              <w:rPr>
                <w:rFonts w:hint="default" w:ascii="宋体" w:hAnsi="宋体" w:cs="宋体"/>
                <w:b/>
                <w:bCs/>
                <w:color w:val="auto"/>
                <w:spacing w:val="11"/>
                <w:szCs w:val="21"/>
                <w:highlight w:val="none"/>
              </w:rPr>
            </w:pPr>
            <w:r>
              <w:rPr>
                <w:rFonts w:ascii="宋体" w:hAnsi="宋体" w:cs="宋体"/>
                <w:color w:val="auto"/>
                <w:spacing w:val="11"/>
                <w:szCs w:val="21"/>
                <w:highlight w:val="none"/>
              </w:rPr>
              <w:t>3.纸质备份投标文件应以密封的纸质文件的形式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（报价文件必须单独密封装订，报价文件未单独密封造成无效标的风险由供应商自行承担。）</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5.</w:t>
            </w:r>
            <w:r>
              <w:rPr>
                <w:rFonts w:ascii="宋体" w:hAnsi="宋体"/>
                <w:color w:val="auto"/>
                <w:szCs w:val="21"/>
                <w:highlight w:val="none"/>
                <w:lang w:val="zh-CN"/>
              </w:rPr>
              <w:t>投标文件均由</w:t>
            </w:r>
            <w:r>
              <w:rPr>
                <w:rFonts w:ascii="宋体" w:hAnsi="宋体"/>
                <w:b/>
                <w:bCs/>
                <w:color w:val="auto"/>
                <w:szCs w:val="21"/>
                <w:highlight w:val="none"/>
                <w:u w:val="single"/>
                <w:lang w:val="zh-CN"/>
              </w:rPr>
              <w:t>资信文件</w:t>
            </w:r>
            <w:r>
              <w:rPr>
                <w:rFonts w:ascii="宋体" w:hAnsi="宋体"/>
                <w:color w:val="auto"/>
                <w:szCs w:val="21"/>
                <w:highlight w:val="none"/>
                <w:lang w:val="zh-CN"/>
              </w:rPr>
              <w:t>、</w:t>
            </w:r>
            <w:r>
              <w:rPr>
                <w:rFonts w:ascii="宋体" w:hAnsi="宋体"/>
                <w:b/>
                <w:bCs/>
                <w:color w:val="auto"/>
                <w:szCs w:val="21"/>
                <w:highlight w:val="none"/>
                <w:u w:val="single"/>
                <w:lang w:val="zh-CN"/>
              </w:rPr>
              <w:t>商务及技术文件</w:t>
            </w:r>
            <w:r>
              <w:rPr>
                <w:rFonts w:ascii="宋体" w:hAnsi="宋体"/>
                <w:color w:val="auto"/>
                <w:szCs w:val="21"/>
                <w:highlight w:val="none"/>
                <w:lang w:val="zh-CN"/>
              </w:rPr>
              <w:t>、</w:t>
            </w:r>
            <w:r>
              <w:rPr>
                <w:rFonts w:ascii="宋体" w:hAnsi="宋体"/>
                <w:b/>
                <w:bCs/>
                <w:color w:val="auto"/>
                <w:szCs w:val="21"/>
                <w:highlight w:val="none"/>
                <w:u w:val="single"/>
                <w:lang w:val="zh-CN"/>
              </w:rPr>
              <w:t>报价文件</w:t>
            </w:r>
            <w:r>
              <w:rPr>
                <w:rFonts w:ascii="宋体" w:hAnsi="宋体"/>
                <w:color w:val="auto"/>
                <w:szCs w:val="21"/>
                <w:highlight w:val="none"/>
                <w:lang w:val="zh-CN"/>
              </w:rPr>
              <w:t>三部分组成。</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提交投标文件截止时间、地点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cs="宋体"/>
                <w:color w:val="auto"/>
                <w:szCs w:val="21"/>
                <w:highlight w:val="none"/>
                <w:lang w:val="zh-CN"/>
              </w:rPr>
            </w:pPr>
            <w:r>
              <w:rPr>
                <w:rFonts w:ascii="宋体" w:cs="宋体"/>
                <w:color w:val="auto"/>
                <w:szCs w:val="21"/>
                <w:highlight w:val="none"/>
                <w:lang w:val="zh-CN"/>
              </w:rPr>
              <w:t>投标截止时间：</w:t>
            </w:r>
            <w:r>
              <w:rPr>
                <w:rFonts w:hint="eastAsia" w:ascii="宋体" w:cs="宋体"/>
                <w:color w:val="auto"/>
                <w:szCs w:val="21"/>
                <w:highlight w:val="none"/>
                <w:u w:val="single"/>
                <w:lang w:val="zh-CN"/>
              </w:rPr>
              <w:t>2020年12月07日</w:t>
            </w:r>
            <w:r>
              <w:rPr>
                <w:rFonts w:ascii="宋体" w:cs="宋体"/>
                <w:color w:val="auto"/>
                <w:szCs w:val="21"/>
                <w:highlight w:val="none"/>
                <w:u w:val="single"/>
              </w:rPr>
              <w:t>0</w:t>
            </w:r>
            <w:r>
              <w:rPr>
                <w:rFonts w:ascii="宋体" w:cs="宋体"/>
                <w:color w:val="auto"/>
                <w:szCs w:val="21"/>
                <w:highlight w:val="none"/>
                <w:u w:val="single"/>
                <w:lang w:val="zh-CN"/>
              </w:rPr>
              <w:t>9：00时（北京时间）</w:t>
            </w:r>
          </w:p>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投标地点（网址）：</w:t>
            </w:r>
            <w:r>
              <w:rPr>
                <w:rFonts w:ascii="宋体" w:hAnsi="宋体"/>
                <w:color w:val="auto"/>
                <w:szCs w:val="21"/>
                <w:highlight w:val="none"/>
                <w:u w:val="single"/>
                <w:lang w:val="zh-CN"/>
              </w:rPr>
              <w:t>长兴县市民服务中心四楼（长兴县锦绣路8号）公共资源交易中心开标室（届时详见四楼大屏公告栏）</w:t>
            </w:r>
            <w:r>
              <w:rPr>
                <w:rFonts w:ascii="宋体"/>
                <w:color w:val="auto"/>
                <w:szCs w:val="21"/>
                <w:highlight w:val="none"/>
                <w:u w:val="single"/>
                <w:lang w:val="zh-CN"/>
              </w:rPr>
              <w:t>（</w:t>
            </w:r>
            <w:r>
              <w:rPr>
                <w:rFonts w:ascii="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jc w:val="left"/>
              <w:rPr>
                <w:rFonts w:hint="default" w:ascii="宋体" w:cs="宋体"/>
                <w:color w:val="auto"/>
                <w:szCs w:val="21"/>
                <w:highlight w:val="none"/>
                <w:lang w:val="zh-CN"/>
              </w:rPr>
            </w:pPr>
            <w:r>
              <w:rPr>
                <w:rFonts w:ascii="宋体" w:cs="宋体"/>
                <w:color w:val="auto"/>
                <w:szCs w:val="21"/>
                <w:highlight w:val="none"/>
              </w:rPr>
              <w:t>2.</w:t>
            </w:r>
            <w:r>
              <w:rPr>
                <w:rFonts w:ascii="宋体" w:cs="宋体"/>
                <w:color w:val="auto"/>
                <w:szCs w:val="21"/>
                <w:highlight w:val="none"/>
                <w:lang w:val="zh-CN"/>
              </w:rPr>
              <w:t>供应商应当在投标截止时间前，除政采云上传的电子投标文件外，还应提交以介质存储的数据电文形式的U盘备份投标文件一份和制作纸质备份投标文件一份。为贯彻落实新型冠状病毒感染的肺炎疫情防控工作要求，按照“不见面、少接触”的原则，U盘备份投标文件和纸质备份投标文件建议采用顺丰快递邮寄方式提交，地址：浙江经纬工程项目管理有限公司（长兴县金荣大厦19楼1916室</w:t>
            </w:r>
            <w:r>
              <w:rPr>
                <w:rFonts w:ascii="宋体" w:hAnsi="宋体" w:cs="宋体"/>
                <w:color w:val="auto"/>
                <w:szCs w:val="21"/>
                <w:highlight w:val="none"/>
                <w:lang w:val="zh-CN"/>
              </w:rPr>
              <w:t>▲</w:t>
            </w:r>
            <w:r>
              <w:rPr>
                <w:rFonts w:ascii="宋体" w:cs="宋体"/>
                <w:color w:val="auto"/>
                <w:szCs w:val="21"/>
                <w:highlight w:val="none"/>
                <w:lang w:val="zh-CN"/>
              </w:rPr>
              <w:t>），收件人：邱工，联系电话：0572-6038878/13587907418 ，由采购代理机构统一负责接收，接收截止时间（以签收时间为准）：</w:t>
            </w:r>
            <w:r>
              <w:rPr>
                <w:rFonts w:ascii="宋体" w:hAnsi="宋体" w:cs="宋体"/>
                <w:b/>
                <w:bCs/>
                <w:color w:val="auto"/>
                <w:szCs w:val="21"/>
                <w:highlight w:val="none"/>
              </w:rPr>
              <w:t>投标截止时间前一天</w:t>
            </w:r>
            <w:r>
              <w:rPr>
                <w:rFonts w:ascii="宋体" w:cs="宋体"/>
                <w:color w:val="auto"/>
                <w:szCs w:val="21"/>
                <w:highlight w:val="none"/>
                <w:lang w:val="zh-CN"/>
              </w:rPr>
              <w:t>。（注：快递寄出后，请将快递底单拍照后发送邮件至</w:t>
            </w:r>
            <w:r>
              <w:rPr>
                <w:rFonts w:ascii="宋体" w:cs="宋体"/>
                <w:color w:val="auto"/>
                <w:szCs w:val="21"/>
                <w:highlight w:val="none"/>
              </w:rPr>
              <w:t>2540168359</w:t>
            </w:r>
            <w:r>
              <w:rPr>
                <w:rFonts w:ascii="宋体" w:cs="宋体"/>
                <w:color w:val="auto"/>
                <w:szCs w:val="21"/>
                <w:highlight w:val="none"/>
                <w:lang w:val="zh-CN"/>
              </w:rPr>
              <w:t>@</w:t>
            </w:r>
            <w:r>
              <w:rPr>
                <w:rFonts w:ascii="宋体" w:cs="宋体"/>
                <w:color w:val="auto"/>
                <w:szCs w:val="21"/>
                <w:highlight w:val="none"/>
              </w:rPr>
              <w:t>qq</w:t>
            </w:r>
            <w:r>
              <w:rPr>
                <w:rFonts w:ascii="宋体" w:cs="宋体"/>
                <w:color w:val="auto"/>
                <w:szCs w:val="21"/>
                <w:highlight w:val="none"/>
                <w:lang w:val="zh-CN"/>
              </w:rPr>
              <w:t>.com，</w:t>
            </w:r>
            <w:r>
              <w:rPr>
                <w:rFonts w:ascii="宋体" w:cs="宋体"/>
                <w:b/>
                <w:bCs/>
                <w:color w:val="auto"/>
                <w:szCs w:val="21"/>
                <w:highlight w:val="none"/>
                <w:lang w:val="zh-CN"/>
              </w:rPr>
              <w:t>邮件主题请注明“快递底单（底单号：）</w:t>
            </w:r>
            <w:r>
              <w:rPr>
                <w:rFonts w:ascii="宋体" w:cs="宋体"/>
                <w:b/>
                <w:bCs/>
                <w:color w:val="auto"/>
                <w:szCs w:val="21"/>
                <w:highlight w:val="none"/>
              </w:rPr>
              <w:t>+</w:t>
            </w:r>
            <w:r>
              <w:rPr>
                <w:rFonts w:ascii="宋体" w:cs="宋体"/>
                <w:b/>
                <w:bCs/>
                <w:color w:val="auto"/>
                <w:szCs w:val="21"/>
                <w:highlight w:val="none"/>
                <w:lang w:val="zh-CN"/>
              </w:rPr>
              <w:t>项目名称+项目编号+单位名称</w:t>
            </w:r>
            <w:r>
              <w:rPr>
                <w:rFonts w:ascii="宋体" w:cs="宋体"/>
                <w:b/>
                <w:bCs/>
                <w:color w:val="auto"/>
                <w:szCs w:val="21"/>
                <w:highlight w:val="none"/>
              </w:rPr>
              <w:t>+</w:t>
            </w:r>
            <w:r>
              <w:rPr>
                <w:rFonts w:ascii="宋体" w:cs="宋体"/>
                <w:b/>
                <w:bCs/>
                <w:color w:val="auto"/>
                <w:szCs w:val="21"/>
                <w:highlight w:val="none"/>
                <w:lang w:val="zh-CN"/>
              </w:rPr>
              <w:t>联系人姓名+手机号”</w:t>
            </w:r>
            <w:r>
              <w:rPr>
                <w:rFonts w:ascii="宋体" w:cs="宋体"/>
                <w:color w:val="auto"/>
                <w:szCs w:val="21"/>
                <w:highlight w:val="none"/>
                <w:lang w:val="zh-CN"/>
              </w:rPr>
              <w:t>。）</w:t>
            </w:r>
          </w:p>
          <w:p>
            <w:pPr>
              <w:rPr>
                <w:rFonts w:hint="default" w:ascii="宋体" w:hAnsi="宋体" w:cs="宋体"/>
                <w:color w:val="auto"/>
                <w:szCs w:val="21"/>
                <w:highlight w:val="none"/>
              </w:rPr>
            </w:pPr>
            <w:r>
              <w:rPr>
                <w:rFonts w:ascii="宋体" w:cs="宋体"/>
                <w:color w:val="auto"/>
                <w:szCs w:val="21"/>
                <w:highlight w:val="none"/>
              </w:rPr>
              <w:t>3.</w:t>
            </w:r>
            <w:r>
              <w:rPr>
                <w:rFonts w:ascii="宋体" w:cs="宋体"/>
                <w:color w:val="auto"/>
                <w:szCs w:val="21"/>
                <w:highlight w:val="none"/>
                <w:lang w:val="zh-CN"/>
              </w:rPr>
              <w:t>投标人</w:t>
            </w:r>
            <w:r>
              <w:rPr>
                <w:rFonts w:ascii="宋体" w:cs="宋体"/>
                <w:color w:val="auto"/>
                <w:szCs w:val="21"/>
                <w:highlight w:val="none"/>
              </w:rPr>
              <w:t>应</w:t>
            </w:r>
            <w:r>
              <w:rPr>
                <w:rFonts w:ascii="宋体" w:cs="宋体"/>
                <w:color w:val="auto"/>
                <w:szCs w:val="21"/>
                <w:highlight w:val="none"/>
                <w:lang w:val="zh-CN"/>
              </w:rPr>
              <w:t>留足投标文件邮寄时间,确保备份投标文件于接收截止时间前送达指定地点，逾期送达或未密封将被拒收。供应商自行承担所有风险和由此带来的后果。</w:t>
            </w:r>
          </w:p>
          <w:p>
            <w:pPr>
              <w:rPr>
                <w:rFonts w:hint="default" w:ascii="宋体" w:hAnsi="宋体" w:cs="宋体"/>
                <w:color w:val="auto"/>
                <w:szCs w:val="21"/>
                <w:highlight w:val="none"/>
              </w:rPr>
            </w:pPr>
            <w:r>
              <w:rPr>
                <w:rFonts w:ascii="宋体" w:hAnsi="宋体" w:cs="宋体"/>
                <w:color w:val="auto"/>
                <w:szCs w:val="21"/>
                <w:highlight w:val="none"/>
              </w:rPr>
              <w:t>4.投标文件出现下列情形之一的，采购人不予受理或被政采云平台拒收：</w:t>
            </w:r>
          </w:p>
          <w:p>
            <w:pPr>
              <w:rPr>
                <w:rFonts w:hint="default" w:ascii="宋体" w:hAnsi="宋体" w:cs="宋体"/>
                <w:color w:val="auto"/>
                <w:szCs w:val="21"/>
                <w:highlight w:val="none"/>
              </w:rPr>
            </w:pPr>
            <w:r>
              <w:rPr>
                <w:rFonts w:ascii="宋体" w:hAnsi="宋体" w:cs="宋体"/>
                <w:color w:val="auto"/>
                <w:szCs w:val="21"/>
                <w:highlight w:val="none"/>
              </w:rPr>
              <w:t xml:space="preserve">（1）备份投标文件未按照招标文件的要求予以密封的； </w:t>
            </w:r>
          </w:p>
          <w:p>
            <w:pPr>
              <w:rPr>
                <w:rFonts w:hint="default" w:ascii="宋体" w:hAnsi="宋体" w:cs="宋体"/>
                <w:color w:val="auto"/>
                <w:szCs w:val="21"/>
                <w:highlight w:val="none"/>
              </w:rPr>
            </w:pPr>
            <w:r>
              <w:rPr>
                <w:rFonts w:ascii="宋体" w:hAnsi="宋体" w:cs="宋体"/>
                <w:color w:val="auto"/>
                <w:szCs w:val="21"/>
                <w:highlight w:val="none"/>
              </w:rPr>
              <w:t xml:space="preserve">（2）电子投标文件未按招标文件要求上传或备份投标文件逾期送达或未送达指定地点的； </w:t>
            </w:r>
          </w:p>
          <w:p>
            <w:pPr>
              <w:rPr>
                <w:rFonts w:hint="default" w:ascii="宋体" w:hAnsi="宋体" w:cs="宋体"/>
                <w:color w:val="auto"/>
                <w:szCs w:val="21"/>
                <w:highlight w:val="none"/>
              </w:rPr>
            </w:pPr>
            <w:r>
              <w:rPr>
                <w:rFonts w:ascii="宋体" w:hAnsi="宋体" w:cs="宋体"/>
                <w:color w:val="auto"/>
                <w:szCs w:val="21"/>
                <w:highlight w:val="none"/>
              </w:rPr>
              <w:t xml:space="preserve">（3）投标人未按照须知前附表规定的时间解密电子投标文件的； </w:t>
            </w:r>
          </w:p>
          <w:p>
            <w:pPr>
              <w:rPr>
                <w:rFonts w:hint="default" w:ascii="宋体" w:hAnsi="宋体" w:cs="宋体"/>
                <w:b/>
                <w:bCs/>
                <w:color w:val="auto"/>
                <w:spacing w:val="11"/>
                <w:szCs w:val="21"/>
                <w:highlight w:val="none"/>
              </w:rPr>
            </w:pPr>
            <w:r>
              <w:rPr>
                <w:rFonts w:ascii="宋体" w:hAnsi="宋体" w:cs="宋体"/>
                <w:color w:val="auto"/>
                <w:szCs w:val="21"/>
                <w:highlight w:val="none"/>
              </w:rPr>
              <w:t>仅提供备份投标文件的投标无效。仅提供其中一种形式的备份投标文件，造成项目评标活动无法进行下去的，投标无效，相关风险由投标人自行承担。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开标时间、地点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cs="宋体"/>
                <w:color w:val="auto"/>
                <w:szCs w:val="21"/>
                <w:highlight w:val="none"/>
                <w:lang w:val="zh-CN"/>
              </w:rPr>
            </w:pPr>
            <w:r>
              <w:rPr>
                <w:rFonts w:ascii="宋体" w:hAnsi="宋体"/>
                <w:color w:val="auto"/>
                <w:szCs w:val="21"/>
                <w:highlight w:val="none"/>
                <w:lang w:val="zh-CN"/>
              </w:rPr>
              <w:t>开标时间：</w:t>
            </w:r>
            <w:r>
              <w:rPr>
                <w:rFonts w:hint="eastAsia" w:ascii="宋体" w:cs="宋体"/>
                <w:color w:val="auto"/>
                <w:szCs w:val="21"/>
                <w:highlight w:val="none"/>
                <w:u w:val="single"/>
                <w:lang w:val="zh-CN"/>
              </w:rPr>
              <w:t>2020年12月07日</w:t>
            </w:r>
            <w:r>
              <w:rPr>
                <w:rFonts w:ascii="宋体" w:cs="宋体"/>
                <w:color w:val="auto"/>
                <w:szCs w:val="21"/>
                <w:highlight w:val="none"/>
                <w:u w:val="single"/>
              </w:rPr>
              <w:t>0</w:t>
            </w:r>
            <w:r>
              <w:rPr>
                <w:rFonts w:ascii="宋体" w:cs="宋体"/>
                <w:color w:val="auto"/>
                <w:szCs w:val="21"/>
                <w:highlight w:val="none"/>
                <w:u w:val="single"/>
                <w:lang w:val="zh-CN"/>
              </w:rPr>
              <w:t>9：00时（北京时间）</w:t>
            </w:r>
          </w:p>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开标地点（网址）：</w:t>
            </w:r>
            <w:r>
              <w:rPr>
                <w:rFonts w:ascii="宋体" w:hAnsi="宋体"/>
                <w:color w:val="auto"/>
                <w:szCs w:val="21"/>
                <w:highlight w:val="none"/>
                <w:u w:val="single"/>
                <w:lang w:val="zh-CN"/>
              </w:rPr>
              <w:t>长兴县市民服务中心四楼（长兴县锦绣路8号）公共资源交易中心开标室（届时详见四楼大屏公告栏）</w:t>
            </w:r>
            <w:r>
              <w:rPr>
                <w:rFonts w:ascii="宋体"/>
                <w:color w:val="auto"/>
                <w:szCs w:val="21"/>
                <w:highlight w:val="none"/>
                <w:u w:val="single"/>
                <w:lang w:val="zh-CN"/>
              </w:rPr>
              <w:t>（</w:t>
            </w:r>
            <w:r>
              <w:rPr>
                <w:rFonts w:ascii="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olor w:val="auto"/>
                <w:szCs w:val="21"/>
                <w:highlight w:val="none"/>
                <w:lang w:val="zh-CN"/>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为严格落实国家、省市关于“要在坚决打好疫情防控攻坚战，本项目采取“不见面”形式进行开评标活动，投标人法定代表人或其授权委托人无须到场，应通过政采云平台在线响应，并保持电话畅通。</w:t>
            </w:r>
          </w:p>
          <w:p>
            <w:pPr>
              <w:pStyle w:val="9"/>
              <w:spacing w:after="0"/>
              <w:ind w:firstLine="0" w:firstLineChars="0"/>
              <w:rPr>
                <w:rFonts w:hint="default" w:ascii="宋体" w:hAnsi="宋体"/>
                <w:color w:val="auto"/>
                <w:szCs w:val="21"/>
                <w:highlight w:val="none"/>
                <w:lang w:val="zh-CN"/>
              </w:rPr>
            </w:pPr>
            <w:r>
              <w:rPr>
                <w:color w:val="auto"/>
                <w:highlight w:val="none"/>
              </w:rPr>
              <w:t>2</w:t>
            </w:r>
            <w:r>
              <w:rPr>
                <w:rFonts w:ascii="宋体" w:hAnsi="宋体" w:cs="宋体"/>
                <w:color w:val="auto"/>
                <w:highlight w:val="none"/>
              </w:rPr>
              <w:t>.</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w:t>
            </w:r>
            <w:r>
              <w:rPr>
                <w:color w:val="auto"/>
                <w:highlight w:val="none"/>
                <w:lang w:val="zh-CN"/>
              </w:rPr>
              <w:t>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color w:val="auto"/>
                <w:highlight w:val="none"/>
                <w:lang w:val="zh-CN"/>
              </w:rPr>
            </w:pPr>
            <w:r>
              <w:rPr>
                <w:color w:val="auto"/>
                <w:highlight w:val="none"/>
                <w:lang w:val="zh-CN"/>
              </w:rPr>
              <w:t>评标方法及评分标准</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综合评分法，具体标准见本招标文件第四章评标方法及评分标准。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中标结果公告及中标通知书</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自中标人确定之日起</w:t>
            </w:r>
            <w:r>
              <w:rPr>
                <w:rFonts w:ascii="宋体" w:hAnsi="宋体"/>
                <w:color w:val="auto"/>
                <w:szCs w:val="21"/>
                <w:highlight w:val="none"/>
              </w:rPr>
              <w:t>2</w:t>
            </w:r>
            <w:r>
              <w:rPr>
                <w:rFonts w:ascii="宋体" w:hAnsi="宋体"/>
                <w:color w:val="auto"/>
                <w:szCs w:val="21"/>
                <w:highlight w:val="none"/>
                <w:lang w:val="zh-CN"/>
              </w:rPr>
              <w:t>个工作日内，中标结果公告发布于浙江省政府采购网、长兴县公共资源交易中心网等网站或媒体。同时向中标人发出中标通知书。</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中标通知书发出后</w:t>
            </w:r>
            <w:r>
              <w:rPr>
                <w:rFonts w:ascii="宋体" w:hAnsi="宋体"/>
                <w:color w:val="auto"/>
                <w:szCs w:val="21"/>
                <w:highlight w:val="none"/>
              </w:rPr>
              <w:t>30日内</w:t>
            </w:r>
            <w:r>
              <w:rPr>
                <w:rFonts w:ascii="宋体" w:hAnsi="宋体"/>
                <w:color w:val="auto"/>
                <w:szCs w:val="21"/>
                <w:highlight w:val="none"/>
                <w:lang w:val="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投标文件有效期</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10" w:firstLineChars="100"/>
              <w:rPr>
                <w:rFonts w:hint="default" w:ascii="宋体" w:hAnsi="宋体"/>
                <w:color w:val="auto"/>
                <w:szCs w:val="21"/>
                <w:highlight w:val="none"/>
                <w:lang w:val="zh-CN"/>
              </w:rPr>
            </w:pPr>
            <w:r>
              <w:rPr>
                <w:rFonts w:ascii="宋体" w:hAnsi="宋体"/>
                <w:color w:val="auto"/>
                <w:szCs w:val="21"/>
                <w:highlight w:val="none"/>
                <w:u w:val="single"/>
              </w:rPr>
              <w:t>9</w:t>
            </w:r>
            <w:r>
              <w:rPr>
                <w:rFonts w:ascii="宋体" w:hAnsi="宋体"/>
                <w:color w:val="auto"/>
                <w:szCs w:val="21"/>
                <w:highlight w:val="none"/>
                <w:u w:val="single"/>
                <w:lang w:val="zh-CN"/>
              </w:rPr>
              <w:t>0</w:t>
            </w:r>
            <w:r>
              <w:rPr>
                <w:rFonts w:ascii="宋体" w:hAnsi="宋体"/>
                <w:color w:val="auto"/>
                <w:szCs w:val="21"/>
                <w:highlight w:val="none"/>
                <w:lang w:val="zh-CN"/>
              </w:rPr>
              <w:t>天。</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投标人信用信息</w:t>
            </w:r>
          </w:p>
          <w:p>
            <w:pPr>
              <w:autoSpaceDE w:val="0"/>
              <w:autoSpaceDN w:val="0"/>
              <w:jc w:val="center"/>
              <w:rPr>
                <w:rFonts w:hint="default" w:ascii="宋体" w:hAnsi="宋体"/>
                <w:color w:val="auto"/>
                <w:szCs w:val="21"/>
                <w:highlight w:val="none"/>
                <w:lang w:val="zh-CN"/>
              </w:rPr>
            </w:pPr>
            <w:r>
              <w:rPr>
                <w:rFonts w:ascii="宋体" w:hAnsi="宋体" w:cs="宋体"/>
                <w:color w:val="auto"/>
                <w:szCs w:val="21"/>
                <w:highlight w:val="none"/>
                <w:lang w:val="zh-CN"/>
              </w:rPr>
              <w:t>查询及甄别</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根据《关于在政府采购活动中查询及使用信用记录有关问题的通知》财库[2016]125号的规定：</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1）采购代理机构将对本项目投标人的信用信息进行查询和甄别。</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2）查询渠道为信用中国网站（www.creditchina.gov.cn）、中国政府采购网（www.ccgp.gov.cn）。</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3）信用信息查询记录和证据以网页截图方式留存，加盖单位公章制作在资信文件中。</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4）不良信用记录指：1.被列入信用中国网站</w:t>
            </w:r>
            <w:r>
              <w:rPr>
                <w:rFonts w:ascii="宋体" w:hAnsi="宋体" w:cs="宋体"/>
                <w:b/>
                <w:bCs/>
                <w:color w:val="auto"/>
                <w:szCs w:val="21"/>
                <w:highlight w:val="none"/>
                <w:lang w:val="zh-CN"/>
              </w:rPr>
              <w:t>“失信被执行人”</w:t>
            </w:r>
            <w:r>
              <w:rPr>
                <w:rFonts w:ascii="宋体" w:hAnsi="宋体" w:cs="宋体"/>
                <w:b/>
                <w:bCs/>
                <w:color w:val="auto"/>
                <w:szCs w:val="21"/>
                <w:highlight w:val="none"/>
              </w:rPr>
              <w:t>、</w:t>
            </w:r>
            <w:r>
              <w:rPr>
                <w:rFonts w:ascii="宋体" w:hAnsi="宋体" w:cs="宋体"/>
                <w:b/>
                <w:bCs/>
                <w:color w:val="auto"/>
                <w:szCs w:val="21"/>
                <w:highlight w:val="none"/>
                <w:lang w:val="zh-CN"/>
              </w:rPr>
              <w:t>“ 重大税收违法案件当事人”</w:t>
            </w:r>
            <w:r>
              <w:rPr>
                <w:rFonts w:ascii="宋体" w:hAnsi="宋体" w:cs="宋体"/>
                <w:color w:val="auto"/>
                <w:szCs w:val="21"/>
                <w:highlight w:val="none"/>
                <w:lang w:val="zh-CN"/>
              </w:rPr>
              <w:t xml:space="preserve"> 名单； 2.被列入中国政府采购网</w:t>
            </w:r>
            <w:r>
              <w:rPr>
                <w:rFonts w:ascii="宋体" w:hAnsi="宋体" w:cs="宋体"/>
                <w:b/>
                <w:bCs/>
                <w:color w:val="auto"/>
                <w:szCs w:val="21"/>
                <w:highlight w:val="none"/>
                <w:lang w:val="zh-CN"/>
              </w:rPr>
              <w:t>“政府采购严重违法失信行为记录”</w:t>
            </w:r>
            <w:r>
              <w:rPr>
                <w:rFonts w:ascii="宋体" w:hAnsi="宋体" w:cs="宋体"/>
                <w:color w:val="auto"/>
                <w:szCs w:val="21"/>
                <w:highlight w:val="none"/>
                <w:lang w:val="zh-CN"/>
              </w:rPr>
              <w:t>名单；</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5）信用信息的使用规则：投标人存在不良信用记录的，其投标文件将被拒绝。</w:t>
            </w:r>
          </w:p>
          <w:p>
            <w:pPr>
              <w:autoSpaceDE w:val="0"/>
              <w:autoSpaceDN w:val="0"/>
              <w:rPr>
                <w:rFonts w:hint="default" w:ascii="宋体" w:hAnsi="宋体"/>
                <w:color w:val="auto"/>
                <w:szCs w:val="21"/>
                <w:highlight w:val="none"/>
                <w:lang w:val="zh-CN"/>
              </w:rPr>
            </w:pPr>
            <w:r>
              <w:rPr>
                <w:rFonts w:ascii="宋体" w:hAnsi="宋体" w:cs="宋体"/>
                <w:color w:val="auto"/>
                <w:szCs w:val="21"/>
                <w:highlight w:val="none"/>
                <w:lang w:val="zh-CN"/>
              </w:rPr>
              <w:t>6）如允许联合体天投标的，联合体成员存在不良信用记录视同联合体存在不良信用记录。</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olor w:val="auto"/>
                <w:szCs w:val="21"/>
                <w:highlight w:val="none"/>
              </w:rPr>
              <w:t>27</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其他</w:t>
            </w:r>
          </w:p>
        </w:tc>
        <w:tc>
          <w:tcPr>
            <w:tcW w:w="6977"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宋体" w:hAnsi="宋体" w:cs="宋体"/>
                <w:color w:val="auto"/>
                <w:spacing w:val="11"/>
                <w:szCs w:val="21"/>
                <w:highlight w:val="none"/>
              </w:rPr>
            </w:pPr>
            <w:r>
              <w:rPr>
                <w:rFonts w:ascii="宋体" w:hAnsi="宋体" w:cs="宋体"/>
                <w:color w:val="auto"/>
                <w:spacing w:val="11"/>
                <w:szCs w:val="21"/>
                <w:highlight w:val="none"/>
              </w:rPr>
              <w:t xml:space="preserve">电子开标、评标如出现下列原因，导致系统无法正常运行或无法正常评标时，应采取应急措施： </w:t>
            </w:r>
          </w:p>
          <w:p>
            <w:pPr>
              <w:snapToGrid w:val="0"/>
              <w:rPr>
                <w:rFonts w:hint="default" w:ascii="宋体" w:hAnsi="宋体" w:cs="宋体"/>
                <w:color w:val="auto"/>
                <w:spacing w:val="11"/>
                <w:szCs w:val="21"/>
                <w:highlight w:val="none"/>
              </w:rPr>
            </w:pPr>
            <w:r>
              <w:rPr>
                <w:rFonts w:ascii="宋体" w:hAnsi="宋体" w:cs="宋体"/>
                <w:color w:val="auto"/>
                <w:spacing w:val="11"/>
                <w:szCs w:val="21"/>
                <w:highlight w:val="none"/>
              </w:rPr>
              <w:t xml:space="preserve">（1）系统服务器发生故障，无法访问或无法使用系统； </w:t>
            </w:r>
          </w:p>
          <w:p>
            <w:pPr>
              <w:snapToGrid w:val="0"/>
              <w:rPr>
                <w:rFonts w:hint="default" w:ascii="宋体" w:hAnsi="宋体" w:cs="宋体"/>
                <w:color w:val="auto"/>
                <w:spacing w:val="11"/>
                <w:szCs w:val="21"/>
                <w:highlight w:val="none"/>
              </w:rPr>
            </w:pPr>
            <w:r>
              <w:rPr>
                <w:rFonts w:ascii="宋体" w:hAnsi="宋体" w:cs="宋体"/>
                <w:color w:val="auto"/>
                <w:spacing w:val="11"/>
                <w:szCs w:val="21"/>
                <w:highlight w:val="none"/>
              </w:rPr>
              <w:t>（2）系统的软件或数据库出现错误，不能进行正常操作；</w:t>
            </w:r>
          </w:p>
          <w:p>
            <w:pPr>
              <w:snapToGrid w:val="0"/>
              <w:rPr>
                <w:rFonts w:hint="default" w:ascii="宋体" w:hAnsi="宋体" w:cs="宋体"/>
                <w:color w:val="auto"/>
                <w:spacing w:val="11"/>
                <w:szCs w:val="21"/>
                <w:highlight w:val="none"/>
              </w:rPr>
            </w:pPr>
            <w:r>
              <w:rPr>
                <w:rFonts w:ascii="宋体" w:hAnsi="宋体" w:cs="宋体"/>
                <w:color w:val="auto"/>
                <w:spacing w:val="11"/>
                <w:szCs w:val="21"/>
                <w:highlight w:val="none"/>
              </w:rPr>
              <w:t xml:space="preserve">（3）系统发现有安全漏洞，有潜在的泄密危险； </w:t>
            </w:r>
          </w:p>
          <w:p>
            <w:pPr>
              <w:snapToGrid w:val="0"/>
              <w:rPr>
                <w:rFonts w:hint="default" w:ascii="宋体" w:hAnsi="宋体" w:cs="宋体"/>
                <w:color w:val="auto"/>
                <w:spacing w:val="11"/>
                <w:szCs w:val="21"/>
                <w:highlight w:val="none"/>
              </w:rPr>
            </w:pPr>
            <w:r>
              <w:rPr>
                <w:rFonts w:ascii="宋体" w:hAnsi="宋体" w:cs="宋体"/>
                <w:color w:val="auto"/>
                <w:spacing w:val="11"/>
                <w:szCs w:val="21"/>
                <w:highlight w:val="none"/>
              </w:rPr>
              <w:t>（4）病毒发作或受到外来病毒的攻击。</w:t>
            </w:r>
          </w:p>
          <w:p>
            <w:pPr>
              <w:rPr>
                <w:rFonts w:hint="default" w:ascii="宋体" w:hAnsi="宋体" w:cs="宋体"/>
                <w:color w:val="auto"/>
                <w:szCs w:val="21"/>
                <w:highlight w:val="none"/>
                <w:lang w:val="zh-CN"/>
              </w:rPr>
            </w:pPr>
            <w:r>
              <w:rPr>
                <w:rFonts w:ascii="宋体" w:hAnsi="宋体" w:cs="宋体"/>
                <w:color w:val="auto"/>
                <w:spacing w:val="11"/>
                <w:szCs w:val="21"/>
                <w:highlight w:val="none"/>
              </w:rPr>
              <w:t>出现上述情况时，应对未开标的暂停评标程序，已在系统内开标、评标的，立即停止，经财政监管部门确认后，可改用备份U盘上传后进行评审，U盘也无法进行的，可改用纸质评审。采取应急措施时，必须对原有资料及信息作出妥善保密处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s="宋体"/>
                <w:color w:val="auto"/>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pPr>
              <w:snapToGrid w:val="0"/>
              <w:rPr>
                <w:rFonts w:hint="default" w:ascii="宋体" w:hAnsi="宋体" w:cs="宋体"/>
                <w:color w:val="auto"/>
                <w:szCs w:val="21"/>
                <w:highlight w:val="none"/>
                <w:lang w:val="zh-CN"/>
              </w:rPr>
            </w:pPr>
            <w:r>
              <w:rPr>
                <w:rFonts w:ascii="宋体" w:hAnsi="宋体" w:cs="宋体"/>
                <w:b/>
                <w:bCs/>
                <w:color w:val="auto"/>
                <w:spacing w:val="11"/>
                <w:szCs w:val="21"/>
                <w:highlight w:val="none"/>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rPr>
            </w:pPr>
            <w:r>
              <w:rPr>
                <w:rFonts w:ascii="宋体" w:hAnsi="宋体" w:cs="宋体"/>
                <w:color w:val="auto"/>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olor w:val="auto"/>
                <w:szCs w:val="21"/>
                <w:highlight w:val="none"/>
                <w:lang w:val="zh-CN"/>
              </w:rPr>
            </w:pPr>
            <w:r>
              <w:rPr>
                <w:rFonts w:ascii="宋体" w:hAnsi="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olor w:val="auto"/>
                <w:szCs w:val="21"/>
                <w:highlight w:val="none"/>
                <w:lang w:val="zh-CN"/>
              </w:rPr>
            </w:pPr>
            <w:r>
              <w:rPr>
                <w:rFonts w:ascii="宋体" w:hAnsi="宋体"/>
                <w:color w:val="auto"/>
                <w:szCs w:val="21"/>
                <w:highlight w:val="none"/>
                <w:lang w:val="zh-CN"/>
              </w:rPr>
              <w:t>本招标文件的解释权属于采购人及其委托的采购代理机构。</w:t>
            </w:r>
          </w:p>
        </w:tc>
      </w:tr>
    </w:tbl>
    <w:p>
      <w:pPr>
        <w:pStyle w:val="3"/>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一、总  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color w:val="auto"/>
          <w:kern w:val="0"/>
          <w:szCs w:val="21"/>
          <w:highlight w:val="none"/>
          <w:lang w:val="zh-CN"/>
        </w:rPr>
        <w:t>长兴县卫生健康局县域医共体信息化示范提升及基层补偿机制改革二期项目</w:t>
      </w:r>
      <w:r>
        <w:rPr>
          <w:rFonts w:ascii="宋体" w:hAnsi="宋体" w:cs="宋体"/>
          <w:color w:val="auto"/>
          <w:szCs w:val="21"/>
          <w:highlight w:val="none"/>
          <w:lang w:val="zh-CN"/>
        </w:rPr>
        <w:t>的招标、投标、评标、定标、验收、合同履约、付款等行为（法律、法规另有规定的，从其规定）。</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投标人代表须携带有效身份证件。如投标人代表不是法定代表人，须有法定代表人出具的授权委托书。</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pPr>
        <w:autoSpaceDE w:val="0"/>
        <w:autoSpaceDN w:val="0"/>
        <w:adjustRightInd w:val="0"/>
        <w:snapToGrid w:val="0"/>
        <w:spacing w:line="300" w:lineRule="exact"/>
        <w:ind w:firstLine="420" w:firstLineChars="200"/>
        <w:jc w:val="left"/>
        <w:rPr>
          <w:rFonts w:hint="default" w:ascii="宋体" w:hAnsi="宋体" w:cs="宋体"/>
          <w:b/>
          <w:color w:val="auto"/>
          <w:kern w:val="0"/>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（八）投标人开标时应当提交的资格证明文件（注：本项目为全流程电子化，不需要开标现场提供）</w:t>
      </w:r>
    </w:p>
    <w:p>
      <w:pPr>
        <w:tabs>
          <w:tab w:val="left" w:pos="567"/>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kern w:val="0"/>
          <w:szCs w:val="21"/>
          <w:highlight w:val="none"/>
        </w:rPr>
        <w:t>1</w:t>
      </w:r>
      <w:r>
        <w:rPr>
          <w:rFonts w:ascii="宋体" w:hAnsi="宋体" w:cs="宋体"/>
          <w:color w:val="auto"/>
          <w:kern w:val="0"/>
          <w:szCs w:val="21"/>
          <w:highlight w:val="none"/>
          <w:lang w:val="zh-CN"/>
        </w:rPr>
        <w:t>.法定代表人身份证（或身份有效证明）或授权代理人的法定代表人授权书</w:t>
      </w:r>
      <w:r>
        <w:rPr>
          <w:rFonts w:ascii="宋体" w:hAnsi="宋体" w:cs="宋体"/>
          <w:color w:val="auto"/>
          <w:szCs w:val="21"/>
          <w:highlight w:val="none"/>
          <w:lang w:val="zh-CN"/>
        </w:rPr>
        <w:t>（如密封在标书里，经查验符合要求也可）</w:t>
      </w:r>
      <w:r>
        <w:rPr>
          <w:rFonts w:ascii="宋体" w:hAnsi="宋体" w:cs="宋体"/>
          <w:color w:val="auto"/>
          <w:kern w:val="0"/>
          <w:szCs w:val="21"/>
          <w:highlight w:val="none"/>
          <w:lang w:val="zh-CN"/>
        </w:rPr>
        <w:t>与本人身份证（或身份有效证明）</w:t>
      </w:r>
      <w:r>
        <w:rPr>
          <w:rFonts w:ascii="宋体" w:hAnsi="宋体" w:cs="宋体"/>
          <w:color w:val="auto"/>
          <w:szCs w:val="21"/>
          <w:highlight w:val="none"/>
          <w:lang w:val="zh-CN"/>
        </w:rPr>
        <w:t>；</w:t>
      </w:r>
    </w:p>
    <w:p>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2.为方便开标时的资格审查，请投标人不要将上述材料与投标文件密封在一起，并在投标文件（资信部分）中提供加盖公章的复印件一份。</w:t>
      </w:r>
    </w:p>
    <w:p>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3.本招标文件中未要求投标人提交资格、资信证明文件的，除确有证据证明投标人不符合上述资格要求外，可认为投标人符合有关资格要求。</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（十）质疑和投诉</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1.</w:t>
      </w:r>
      <w:r>
        <w:rPr>
          <w:rFonts w:ascii="宋体" w:hAnsi="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2.</w:t>
      </w:r>
      <w:r>
        <w:rPr>
          <w:rFonts w:ascii="宋体" w:hAnsi="宋体"/>
          <w:color w:val="auto"/>
          <w:szCs w:val="21"/>
          <w:highlight w:val="none"/>
          <w:lang w:val="zh-CN"/>
        </w:rPr>
        <w:t>提出质疑的投标人应当是参与所质疑项目采购活动的投标人。</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3.</w:t>
      </w:r>
      <w:r>
        <w:rPr>
          <w:rFonts w:ascii="宋体" w:hAnsi="宋体"/>
          <w:color w:val="auto"/>
          <w:szCs w:val="21"/>
          <w:highlight w:val="none"/>
          <w:lang w:val="zh-CN"/>
        </w:rPr>
        <w:t>同一采购程序环节的质疑，投标人须一次性提出，否则不予以答复。</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4.</w:t>
      </w:r>
      <w:r>
        <w:rPr>
          <w:rFonts w:ascii="宋体" w:hAnsi="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5.</w:t>
      </w:r>
      <w:r>
        <w:rPr>
          <w:rFonts w:ascii="宋体" w:hAnsi="宋体"/>
          <w:color w:val="auto"/>
          <w:szCs w:val="21"/>
          <w:highlight w:val="none"/>
          <w:lang w:val="zh-CN"/>
        </w:rPr>
        <w:t>质疑人可直接提交、传真或邮寄方式提交质疑函（一式三份以上）。以其他方式提出的质疑，采购人或采购代理机构可不予接受、答复。</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lang w:val="zh-CN"/>
        </w:rPr>
        <w:t>（</w:t>
      </w:r>
      <w:r>
        <w:rPr>
          <w:rFonts w:ascii="宋体" w:hAnsi="宋体"/>
          <w:color w:val="auto"/>
          <w:szCs w:val="21"/>
          <w:highlight w:val="none"/>
        </w:rPr>
        <w:t>1</w:t>
      </w:r>
      <w:r>
        <w:rPr>
          <w:rFonts w:ascii="宋体" w:hAnsi="宋体"/>
          <w:color w:val="auto"/>
          <w:szCs w:val="21"/>
          <w:highlight w:val="none"/>
          <w:lang w:val="zh-CN"/>
        </w:rPr>
        <w:t>）邮寄方式送达质疑函的，以采购人或采购代理机构实际收到邮件之日作为收到质疑的日期。</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lang w:val="zh-CN"/>
        </w:rPr>
        <w:t>（</w:t>
      </w:r>
      <w:r>
        <w:rPr>
          <w:rFonts w:ascii="宋体" w:hAnsi="宋体"/>
          <w:color w:val="auto"/>
          <w:szCs w:val="21"/>
          <w:highlight w:val="none"/>
        </w:rPr>
        <w:t>2</w:t>
      </w:r>
      <w:r>
        <w:rPr>
          <w:rFonts w:ascii="宋体" w:hAnsi="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lang w:val="zh-CN"/>
        </w:rPr>
        <w:t>（</w:t>
      </w:r>
      <w:r>
        <w:rPr>
          <w:rFonts w:ascii="宋体" w:hAnsi="宋体"/>
          <w:color w:val="auto"/>
          <w:szCs w:val="21"/>
          <w:highlight w:val="none"/>
        </w:rPr>
        <w:t>3</w:t>
      </w:r>
      <w:r>
        <w:rPr>
          <w:rFonts w:ascii="宋体" w:hAnsi="宋体"/>
          <w:color w:val="auto"/>
          <w:szCs w:val="21"/>
          <w:highlight w:val="none"/>
          <w:lang w:val="zh-CN"/>
        </w:rPr>
        <w:t>）在质疑期限届满前，质疑函已经邮寄或传真成功的，质疑不视为过期。</w:t>
      </w:r>
    </w:p>
    <w:p>
      <w:pPr>
        <w:adjustRightInd w:val="0"/>
        <w:snapToGrid w:val="0"/>
        <w:spacing w:line="300" w:lineRule="exact"/>
        <w:ind w:firstLine="420" w:firstLineChars="200"/>
        <w:rPr>
          <w:rFonts w:hint="default" w:ascii="宋体" w:hAnsi="宋体"/>
          <w:color w:val="auto"/>
          <w:szCs w:val="21"/>
          <w:highlight w:val="none"/>
        </w:rPr>
      </w:pPr>
      <w:r>
        <w:rPr>
          <w:rFonts w:ascii="宋体" w:hAnsi="宋体"/>
          <w:color w:val="auto"/>
          <w:szCs w:val="21"/>
          <w:highlight w:val="none"/>
        </w:rPr>
        <w:t>6.</w:t>
      </w:r>
      <w:r>
        <w:rPr>
          <w:rFonts w:ascii="宋体" w:hAnsi="宋体"/>
          <w:color w:val="auto"/>
          <w:szCs w:val="21"/>
          <w:highlight w:val="none"/>
          <w:lang w:val="zh-CN"/>
        </w:rPr>
        <w:t>质疑联系人：李工，联系电话：0</w:t>
      </w:r>
      <w:r>
        <w:rPr>
          <w:rFonts w:ascii="宋体" w:hAnsi="宋体"/>
          <w:color w:val="auto"/>
          <w:szCs w:val="21"/>
          <w:highlight w:val="none"/>
        </w:rPr>
        <w:t>572-6038878，电子文件邮寄地址：2540168359@qq.com。</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7.</w:t>
      </w:r>
      <w:r>
        <w:rPr>
          <w:rFonts w:ascii="宋体" w:hAnsi="宋体"/>
          <w:color w:val="auto"/>
          <w:szCs w:val="21"/>
          <w:highlight w:val="none"/>
          <w:lang w:val="zh-CN"/>
        </w:rPr>
        <w:t>相关当事人提供外文证书或者外国语视听资料的，应当附有中文译本，由翻译机构盖章或者翻译人员签名。</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8.</w:t>
      </w:r>
      <w:r>
        <w:rPr>
          <w:rFonts w:ascii="宋体" w:hAnsi="宋体"/>
          <w:color w:val="auto"/>
          <w:szCs w:val="21"/>
          <w:highlight w:val="none"/>
          <w:lang w:val="zh-CN"/>
        </w:rPr>
        <w:t>采购人或采购代理机构在收到质疑人的书面质疑后7个工作日内作出答复，并以书面形式答复质疑人；</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9.</w:t>
      </w:r>
      <w:r>
        <w:rPr>
          <w:rFonts w:ascii="宋体" w:hAnsi="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10.</w:t>
      </w:r>
      <w:r>
        <w:rPr>
          <w:rFonts w:ascii="宋体" w:hAnsi="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11.</w:t>
      </w:r>
      <w:r>
        <w:rPr>
          <w:rFonts w:ascii="宋体" w:hAnsi="宋体"/>
          <w:color w:val="auto"/>
          <w:szCs w:val="21"/>
          <w:highlight w:val="none"/>
          <w:lang w:val="zh-CN"/>
        </w:rPr>
        <w:t>同级政府采购监督管理部门：长兴县财政局政府采购监管科</w:t>
      </w:r>
    </w:p>
    <w:p>
      <w:pPr>
        <w:adjustRightInd w:val="0"/>
        <w:snapToGrid w:val="0"/>
        <w:spacing w:line="300" w:lineRule="exact"/>
        <w:ind w:firstLine="420" w:firstLineChars="200"/>
        <w:rPr>
          <w:rFonts w:hint="default" w:ascii="宋体" w:hAnsi="宋体"/>
          <w:color w:val="auto"/>
          <w:szCs w:val="21"/>
          <w:highlight w:val="none"/>
          <w:lang w:val="zh-CN"/>
        </w:rPr>
      </w:pPr>
      <w:r>
        <w:rPr>
          <w:rFonts w:ascii="宋体" w:hAnsi="宋体"/>
          <w:color w:val="auto"/>
          <w:szCs w:val="21"/>
          <w:highlight w:val="none"/>
        </w:rPr>
        <w:t>12.</w:t>
      </w:r>
      <w:r>
        <w:rPr>
          <w:rFonts w:ascii="宋体" w:hAnsi="宋体"/>
          <w:color w:val="auto"/>
          <w:szCs w:val="21"/>
          <w:highlight w:val="none"/>
          <w:lang w:val="zh-CN"/>
        </w:rPr>
        <w:t>质疑函、投诉书范本在浙江政府采购网（www.zjzfcg.gov.cn）-下载专区中下载。</w:t>
      </w:r>
    </w:p>
    <w:p>
      <w:pPr>
        <w:pStyle w:val="3"/>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pPr>
        <w:adjustRightInd w:val="0"/>
        <w:snapToGrid w:val="0"/>
        <w:spacing w:line="300" w:lineRule="exact"/>
        <w:ind w:firstLine="420" w:firstLineChars="200"/>
        <w:rPr>
          <w:rFonts w:hint="default" w:ascii="宋体" w:hAnsi="宋体"/>
          <w:color w:val="auto"/>
          <w:szCs w:val="21"/>
          <w:highlight w:val="none"/>
        </w:rPr>
      </w:pPr>
      <w:r>
        <w:rPr>
          <w:rFonts w:ascii="宋体" w:hAnsi="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ascii="宋体" w:hAnsi="宋体" w:cs="宋体"/>
          <w:b/>
          <w:color w:val="auto"/>
          <w:szCs w:val="21"/>
          <w:highlight w:val="none"/>
          <w:lang w:val="zh-CN"/>
        </w:rPr>
        <w:t>2020年</w:t>
      </w:r>
      <w:r>
        <w:rPr>
          <w:rFonts w:hint="eastAsia" w:ascii="宋体" w:hAnsi="宋体" w:cs="宋体"/>
          <w:b/>
          <w:color w:val="auto"/>
          <w:szCs w:val="21"/>
          <w:highlight w:val="none"/>
          <w:lang w:val="en-US" w:eastAsia="zh-CN"/>
        </w:rPr>
        <w:t>11</w:t>
      </w:r>
      <w:r>
        <w:rPr>
          <w:rFonts w:ascii="宋体" w:hAnsi="宋体" w:cs="宋体"/>
          <w:b/>
          <w:color w:val="auto"/>
          <w:szCs w:val="21"/>
          <w:highlight w:val="none"/>
          <w:lang w:val="zh-CN"/>
        </w:rPr>
        <w:t>月</w:t>
      </w:r>
      <w:r>
        <w:rPr>
          <w:rFonts w:hint="eastAsia" w:ascii="宋体" w:hAnsi="宋体" w:cs="宋体"/>
          <w:b/>
          <w:color w:val="auto"/>
          <w:szCs w:val="21"/>
          <w:highlight w:val="none"/>
          <w:lang w:val="en-US" w:eastAsia="zh-CN"/>
        </w:rPr>
        <w:t>23</w:t>
      </w:r>
      <w:r>
        <w:rPr>
          <w:rFonts w:ascii="宋体" w:hAnsi="宋体" w:cs="宋体"/>
          <w:b/>
          <w:color w:val="auto"/>
          <w:szCs w:val="21"/>
          <w:highlight w:val="none"/>
          <w:lang w:val="zh-CN"/>
        </w:rPr>
        <w:t>日17时前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4"/>
          <w:rFonts w:hint="eastAsia" w:ascii="宋体" w:hAnsi="宋体" w:cs="宋体"/>
          <w:color w:val="auto"/>
          <w:szCs w:val="21"/>
          <w:highlight w:val="none"/>
          <w:lang w:val="zh-CN"/>
        </w:rPr>
        <w:t>同时请将该书面文件的电子文档发送至</w:t>
      </w:r>
      <w:r>
        <w:rPr>
          <w:rStyle w:val="24"/>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ascii="宋体" w:hAnsi="宋体" w:cs="宋体"/>
          <w:b/>
          <w:bCs/>
          <w:color w:val="auto"/>
          <w:szCs w:val="21"/>
          <w:highlight w:val="none"/>
          <w:u w:val="single"/>
        </w:rPr>
        <w:t>2540168359@qq.com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五日前，在财政部门指定的政府采购信息发布媒体上发布更正公告，并以书面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pPr>
        <w:pStyle w:val="3"/>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pPr>
        <w:autoSpaceDE w:val="0"/>
        <w:autoSpaceDN w:val="0"/>
        <w:adjustRightInd w:val="0"/>
        <w:snapToGrid w:val="0"/>
        <w:spacing w:line="300" w:lineRule="exact"/>
        <w:ind w:firstLine="421"/>
        <w:rPr>
          <w:rFonts w:hint="default" w:ascii="宋体" w:hAnsi="宋体"/>
          <w:b/>
          <w:bCs/>
          <w:color w:val="auto"/>
          <w:szCs w:val="21"/>
          <w:highlight w:val="none"/>
          <w:u w:val="single"/>
        </w:rPr>
      </w:pPr>
      <w:r>
        <w:rPr>
          <w:rFonts w:ascii="宋体" w:hAnsi="宋体"/>
          <w:b/>
          <w:bCs/>
          <w:color w:val="auto"/>
          <w:szCs w:val="21"/>
          <w:highlight w:val="none"/>
          <w:u w:val="single"/>
        </w:rPr>
        <w:t xml:space="preserve"> 投标文件的形式、组成和效力详见“投标人须知前附表”。</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请根据评标方法在投标文件中提供相关证明资料（复印件加盖公章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pPr>
        <w:keepNext w:val="0"/>
        <w:keepLines w:val="0"/>
        <w:pageBreakBefore w:val="0"/>
        <w:kinsoku/>
        <w:wordWrap/>
        <w:overflowPunct/>
        <w:topLinePunct w:val="0"/>
        <w:autoSpaceDE w:val="0"/>
        <w:autoSpaceDN w:val="0"/>
        <w:bidi w:val="0"/>
        <w:adjustRightInd w:val="0"/>
        <w:snapToGrid w:val="0"/>
        <w:spacing w:line="280" w:lineRule="exact"/>
        <w:ind w:firstLine="422" w:firstLineChars="200"/>
        <w:jc w:val="left"/>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）投标资格审查表（自查）；（格式见附件，投标人根据自身情况如实填写，</w:t>
      </w:r>
      <w:r>
        <w:rPr>
          <w:rFonts w:ascii="宋体" w:hAnsi="宋体" w:cs="宋体"/>
          <w:b/>
          <w:bCs/>
          <w:color w:val="auto"/>
          <w:szCs w:val="21"/>
          <w:highlight w:val="none"/>
          <w:lang w:val="zh-CN"/>
        </w:rPr>
        <w:t>信用信息查询为信用中国网站“失信被执行人”、“ 重大税收违法案件当事人” 的查询以及中国政府采购网“政府采购严重违法失信行为记录”的查询，具体要求详见投标人须知前附表</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）投标资格证明资料；（根据《投标资格审查表（自查）》中提及的资料如实提供，复印件加盖公章）</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）法定代表人有效身份证明书 ； (格式见附件)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）法定代表人授权委托书；(格式见附件)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2" w:firstLineChars="200"/>
        <w:jc w:val="left"/>
        <w:textAlignment w:val="auto"/>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pPr>
        <w:keepNext w:val="0"/>
        <w:keepLines w:val="0"/>
        <w:pageBreakBefore w:val="0"/>
        <w:kinsoku/>
        <w:wordWrap/>
        <w:overflowPunct/>
        <w:topLinePunct w:val="0"/>
        <w:bidi w:val="0"/>
        <w:adjustRightInd w:val="0"/>
        <w:snapToGrid w:val="0"/>
        <w:spacing w:line="280"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szCs w:val="21"/>
          <w:highlight w:val="none"/>
        </w:rPr>
        <w:t>（1）商务分、技术分评分索引表</w:t>
      </w:r>
      <w:r>
        <w:rPr>
          <w:rFonts w:ascii="宋体" w:hAnsi="宋体" w:cs="宋体"/>
          <w:color w:val="auto"/>
          <w:szCs w:val="21"/>
          <w:highlight w:val="none"/>
          <w:lang w:val="zh-CN"/>
        </w:rPr>
        <w:t>；（格式见附件）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）投标声明书 ； (格式见附件)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）政府采购廉洁承诺书；(格式见附件)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）投标人情况介绍；（格式自拟）</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w:t>
      </w:r>
      <w:r>
        <w:rPr>
          <w:rFonts w:hint="eastAsia" w:ascii="宋体" w:hAnsi="宋体" w:cs="宋体"/>
          <w:color w:val="auto"/>
          <w:szCs w:val="21"/>
          <w:highlight w:val="none"/>
          <w:lang w:val="zh-CN"/>
        </w:rPr>
        <w:t>企业信誉及认证</w:t>
      </w:r>
      <w:r>
        <w:rPr>
          <w:rFonts w:ascii="宋体" w:hAnsi="宋体" w:cs="宋体"/>
          <w:color w:val="auto"/>
          <w:szCs w:val="21"/>
          <w:highlight w:val="none"/>
          <w:lang w:val="zh-CN"/>
        </w:rPr>
        <w:t>；（根据评标方法提供，如有，复印件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w:t>
      </w:r>
      <w:r>
        <w:rPr>
          <w:rFonts w:ascii="宋体" w:hAnsi="宋体" w:cs="宋体"/>
          <w:color w:val="auto"/>
          <w:szCs w:val="21"/>
          <w:highlight w:val="none"/>
        </w:rPr>
        <w:t>企业</w:t>
      </w:r>
      <w:r>
        <w:rPr>
          <w:rFonts w:hint="eastAsia" w:ascii="宋体" w:hAnsi="宋体" w:cs="宋体"/>
          <w:color w:val="auto"/>
          <w:szCs w:val="21"/>
          <w:highlight w:val="none"/>
          <w:lang w:eastAsia="zh-CN"/>
        </w:rPr>
        <w:t>资质</w:t>
      </w:r>
      <w:r>
        <w:rPr>
          <w:rFonts w:ascii="宋体" w:hAnsi="宋体" w:cs="宋体"/>
          <w:color w:val="auto"/>
          <w:szCs w:val="21"/>
          <w:highlight w:val="none"/>
          <w:lang w:val="zh-CN"/>
        </w:rPr>
        <w:t>；（根据评标方法提供，如有，复印件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w:t>
      </w:r>
      <w:r>
        <w:rPr>
          <w:rFonts w:ascii="宋体" w:hAnsi="宋体" w:cs="宋体"/>
          <w:color w:val="auto"/>
          <w:szCs w:val="21"/>
          <w:highlight w:val="none"/>
        </w:rPr>
        <w:t>企业荣誉</w:t>
      </w:r>
      <w:r>
        <w:rPr>
          <w:rFonts w:ascii="宋体" w:hAnsi="宋体" w:cs="宋体"/>
          <w:color w:val="auto"/>
          <w:szCs w:val="21"/>
          <w:highlight w:val="none"/>
          <w:lang w:val="zh-CN"/>
        </w:rPr>
        <w:t>；（根据评标方法提供，如有，复印件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w:t>
      </w:r>
      <w:r>
        <w:rPr>
          <w:rFonts w:hint="eastAsia" w:ascii="宋体" w:hAnsi="宋体" w:cs="宋体"/>
          <w:color w:val="auto"/>
          <w:szCs w:val="21"/>
          <w:highlight w:val="none"/>
          <w:lang w:val="zh-CN"/>
        </w:rPr>
        <w:t>技术保障</w:t>
      </w:r>
      <w:r>
        <w:rPr>
          <w:rFonts w:ascii="宋体" w:hAnsi="宋体" w:cs="宋体"/>
          <w:color w:val="auto"/>
          <w:szCs w:val="21"/>
          <w:highlight w:val="none"/>
          <w:lang w:val="zh-CN"/>
        </w:rPr>
        <w:t>；（根据评标方法提供，如有，复印件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w:t>
      </w:r>
      <w:r>
        <w:rPr>
          <w:rFonts w:hint="eastAsia" w:ascii="宋体" w:hAnsi="宋体" w:cs="宋体"/>
          <w:color w:val="auto"/>
          <w:szCs w:val="21"/>
          <w:highlight w:val="none"/>
          <w:lang w:val="zh-CN"/>
        </w:rPr>
        <w:t>成功案例</w:t>
      </w:r>
      <w:r>
        <w:rPr>
          <w:rFonts w:ascii="宋体" w:hAnsi="宋体" w:cs="宋体"/>
          <w:color w:val="auto"/>
          <w:szCs w:val="21"/>
          <w:highlight w:val="none"/>
          <w:lang w:val="zh-CN"/>
        </w:rPr>
        <w:t>；（根据评标方法提供，投标人同类项目实施情况一览表</w:t>
      </w:r>
      <w:r>
        <w:rPr>
          <w:rFonts w:ascii="宋体" w:hAnsi="宋体" w:cs="宋体"/>
          <w:color w:val="auto"/>
          <w:szCs w:val="21"/>
          <w:highlight w:val="none"/>
        </w:rPr>
        <w:t>,</w:t>
      </w:r>
      <w:r>
        <w:rPr>
          <w:rFonts w:ascii="宋体" w:hAnsi="宋体" w:cs="宋体"/>
          <w:color w:val="auto"/>
          <w:szCs w:val="21"/>
          <w:highlight w:val="none"/>
          <w:lang w:val="zh-CN"/>
        </w:rPr>
        <w:t>如有，</w:t>
      </w:r>
      <w:r>
        <w:rPr>
          <w:rFonts w:hint="eastAsia" w:ascii="宋体" w:hAnsi="宋体" w:cs="宋体"/>
          <w:color w:val="auto"/>
          <w:szCs w:val="21"/>
          <w:highlight w:val="none"/>
          <w:lang w:val="zh-CN"/>
        </w:rPr>
        <w:t>相关证明资料</w:t>
      </w:r>
      <w:r>
        <w:rPr>
          <w:rFonts w:ascii="宋体" w:hAnsi="宋体" w:cs="宋体"/>
          <w:color w:val="auto"/>
          <w:szCs w:val="21"/>
          <w:highlight w:val="none"/>
          <w:lang w:val="zh-CN"/>
        </w:rPr>
        <w:t>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）项目组人员综合实力；（根据评标方法提供，如有，相关证明资料复印件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pStyle w:val="9"/>
        <w:keepNext w:val="0"/>
        <w:keepLines w:val="0"/>
        <w:pageBreakBefore w:val="0"/>
        <w:kinsoku/>
        <w:wordWrap/>
        <w:overflowPunct/>
        <w:topLinePunct w:val="0"/>
        <w:bidi w:val="0"/>
        <w:adjustRightInd w:val="0"/>
        <w:snapToGrid w:val="0"/>
        <w:spacing w:after="0" w:line="280" w:lineRule="exact"/>
        <w:ind w:firstLineChars="200"/>
        <w:textAlignment w:val="auto"/>
        <w:rPr>
          <w:rFonts w:hint="default"/>
          <w:color w:val="auto"/>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）距采购人最近或者能为本项目提供最优服务的网点情况表；（格式见附件）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w:t>
      </w:r>
      <w:r>
        <w:rPr>
          <w:rFonts w:ascii="宋体" w:hAnsi="宋体" w:cs="宋体"/>
          <w:color w:val="auto"/>
          <w:szCs w:val="21"/>
          <w:highlight w:val="none"/>
        </w:rPr>
        <w:t>售后服务</w:t>
      </w:r>
      <w:r>
        <w:rPr>
          <w:rFonts w:ascii="宋体" w:hAnsi="宋体" w:cs="宋体"/>
          <w:color w:val="auto"/>
          <w:szCs w:val="21"/>
          <w:highlight w:val="none"/>
          <w:lang w:val="zh-CN"/>
        </w:rPr>
        <w:t xml:space="preserve">；（根据评标方法提供）               </w:t>
      </w:r>
    </w:p>
    <w:p>
      <w:pPr>
        <w:pStyle w:val="9"/>
        <w:keepNext w:val="0"/>
        <w:keepLines w:val="0"/>
        <w:pageBreakBefore w:val="0"/>
        <w:kinsoku/>
        <w:wordWrap/>
        <w:overflowPunct/>
        <w:topLinePunct w:val="0"/>
        <w:bidi w:val="0"/>
        <w:adjustRightInd w:val="0"/>
        <w:snapToGrid w:val="0"/>
        <w:spacing w:after="0" w:line="280" w:lineRule="exact"/>
        <w:ind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）商务响应表；（格式见附件）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）政策分相关证明资料；（除小微企业扶持外的政策扶持，根据评标方法提供，如有，复印件加盖公章）</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）项目理解；（根据评标方法提供）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 xml:space="preserve">）总体设计方案；（根据评标方法提供）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）项目实施方案；（根据评标方法提供）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）系统融合性；（根据评标方法提供，相关证明资料复印件</w:t>
      </w:r>
      <w:r>
        <w:rPr>
          <w:rFonts w:ascii="宋体" w:hAnsi="宋体" w:cs="宋体"/>
          <w:color w:val="auto"/>
          <w:szCs w:val="21"/>
          <w:highlight w:val="none"/>
        </w:rPr>
        <w:t>加盖公章</w:t>
      </w:r>
      <w:r>
        <w:rPr>
          <w:rFonts w:ascii="宋体" w:hAnsi="宋体" w:cs="宋体"/>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）技术响应表；（根据评标方法提供，格式见附件</w:t>
      </w:r>
      <w:r>
        <w:rPr>
          <w:rFonts w:hint="eastAsia" w:ascii="宋体" w:hAnsi="宋体" w:cs="宋体"/>
          <w:color w:val="auto"/>
          <w:szCs w:val="21"/>
          <w:highlight w:val="none"/>
          <w:lang w:val="zh-CN"/>
        </w:rPr>
        <w:t>，</w:t>
      </w:r>
      <w:r>
        <w:rPr>
          <w:rFonts w:hint="eastAsia" w:ascii="宋体" w:hAnsi="宋体"/>
          <w:color w:val="auto"/>
          <w:szCs w:val="21"/>
          <w:highlight w:val="none"/>
          <w:lang w:eastAsia="zh-CN"/>
        </w:rPr>
        <w:t>技术参数中提及需提供证明或证书等的需在本表后提供相关证明资料复印件并加盖公章，未提供或未按要求提供的则视为负偏离</w:t>
      </w:r>
      <w:r>
        <w:rPr>
          <w:rFonts w:ascii="宋体" w:hAnsi="宋体" w:cs="宋体"/>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20</w:t>
      </w:r>
      <w:r>
        <w:rPr>
          <w:rFonts w:ascii="宋体" w:hAnsi="宋体" w:cs="宋体"/>
          <w:color w:val="auto"/>
          <w:szCs w:val="21"/>
          <w:highlight w:val="none"/>
          <w:lang w:val="zh-CN"/>
        </w:rPr>
        <w:t xml:space="preserve">）服务清单（均不含报价）；（格式自拟）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21</w:t>
      </w:r>
      <w:r>
        <w:rPr>
          <w:rFonts w:ascii="宋体" w:hAnsi="宋体" w:cs="宋体"/>
          <w:color w:val="auto"/>
          <w:szCs w:val="21"/>
          <w:highlight w:val="none"/>
          <w:lang w:val="zh-CN"/>
        </w:rPr>
        <w:t xml:space="preserve">）项目实施人员（主要从业人员及其技术资格）一览表；  （格式自拟）           </w:t>
      </w:r>
    </w:p>
    <w:p>
      <w:pPr>
        <w:keepNext w:val="0"/>
        <w:keepLines w:val="0"/>
        <w:pageBreakBefore w:val="0"/>
        <w:widowControl/>
        <w:kinsoku/>
        <w:wordWrap/>
        <w:overflowPunct/>
        <w:topLinePunct w:val="0"/>
        <w:bidi w:val="0"/>
        <w:adjustRightInd w:val="0"/>
        <w:snapToGrid w:val="0"/>
        <w:spacing w:line="280" w:lineRule="exact"/>
        <w:jc w:val="left"/>
        <w:textAlignment w:val="auto"/>
        <w:rPr>
          <w:rFonts w:hint="default" w:ascii="宋体" w:hAnsi="宋体" w:cs="宋体"/>
          <w:b/>
          <w:color w:val="auto"/>
          <w:szCs w:val="21"/>
          <w:highlight w:val="none"/>
        </w:rPr>
      </w:pPr>
      <w:r>
        <w:rPr>
          <w:rFonts w:ascii="宋体" w:hAnsi="宋体" w:cs="华文仿宋"/>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）投标人需要说明的其他文件和说明。（格式自拟）</w:t>
      </w:r>
    </w:p>
    <w:p>
      <w:pPr>
        <w:keepNext w:val="0"/>
        <w:keepLines w:val="0"/>
        <w:pageBreakBefore w:val="0"/>
        <w:kinsoku/>
        <w:wordWrap/>
        <w:overflowPunct/>
        <w:topLinePunct w:val="0"/>
        <w:autoSpaceDE w:val="0"/>
        <w:autoSpaceDN w:val="0"/>
        <w:bidi w:val="0"/>
        <w:adjustRightInd w:val="0"/>
        <w:snapToGrid w:val="0"/>
        <w:spacing w:line="280" w:lineRule="exact"/>
        <w:ind w:firstLine="422" w:firstLineChars="200"/>
        <w:jc w:val="left"/>
        <w:textAlignment w:val="auto"/>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pPr>
        <w:keepNext w:val="0"/>
        <w:keepLines w:val="0"/>
        <w:pageBreakBefore w:val="0"/>
        <w:tabs>
          <w:tab w:val="left" w:pos="3870"/>
          <w:tab w:val="left" w:pos="4085"/>
        </w:tabs>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（2）小微企业声明函；</w:t>
      </w:r>
      <w:r>
        <w:rPr>
          <w:rFonts w:ascii="宋体" w:hAnsi="宋体" w:cs="宋体"/>
          <w:color w:val="auto"/>
          <w:szCs w:val="21"/>
          <w:highlight w:val="none"/>
          <w:lang w:val="zh-CN"/>
        </w:rPr>
        <w:t>（格式见附件</w:t>
      </w:r>
      <w:r>
        <w:rPr>
          <w:rFonts w:ascii="宋体" w:hAnsi="宋体" w:cs="宋体"/>
          <w:color w:val="auto"/>
          <w:szCs w:val="21"/>
          <w:highlight w:val="none"/>
        </w:rPr>
        <w:t>,投标人必须在声明函后提供本单位“国家企业信用信息公示系统——小微企业名录”（http://xwqy.gsxt.gov.cn/）页面查询结果（加盖投标人公章））</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（3）残疾人福利性单位声明函；</w:t>
      </w:r>
      <w:r>
        <w:rPr>
          <w:rFonts w:ascii="宋体" w:hAnsi="宋体" w:cs="宋体"/>
          <w:color w:val="auto"/>
          <w:szCs w:val="21"/>
          <w:highlight w:val="none"/>
          <w:lang w:val="zh-CN"/>
        </w:rPr>
        <w:t xml:space="preserve">（格式见附件） </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（4）属于监狱企业的证明文件；</w:t>
      </w:r>
      <w:r>
        <w:rPr>
          <w:rFonts w:ascii="宋体" w:hAnsi="宋体" w:cs="宋体"/>
          <w:color w:val="auto"/>
          <w:szCs w:val="21"/>
          <w:highlight w:val="none"/>
          <w:lang w:val="zh-CN"/>
        </w:rPr>
        <w:t>（格式自拟）</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ascii="宋体" w:hAnsi="宋体" w:cs="宋体"/>
          <w:color w:val="auto"/>
          <w:szCs w:val="21"/>
          <w:highlight w:val="none"/>
          <w:lang w:val="zh-CN"/>
        </w:rPr>
        <w:t>；</w:t>
      </w:r>
      <w:r>
        <w:rPr>
          <w:rFonts w:ascii="宋体" w:hAnsi="宋体" w:cs="宋体"/>
          <w:color w:val="auto"/>
          <w:szCs w:val="21"/>
          <w:highlight w:val="none"/>
        </w:rPr>
        <w:t>（格式见附件）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）投标报价明细表；（格式自拟）</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7</w:t>
      </w:r>
      <w:r>
        <w:rPr>
          <w:rFonts w:ascii="宋体" w:hAnsi="宋体" w:cs="宋体"/>
          <w:color w:val="auto"/>
          <w:szCs w:val="21"/>
          <w:highlight w:val="none"/>
          <w:lang w:val="zh-CN"/>
        </w:rPr>
        <w:t>）投标人针对报价需要说明的其他文件和说明；（格式自拟）</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8</w:t>
      </w:r>
      <w:r>
        <w:rPr>
          <w:rFonts w:ascii="宋体" w:hAnsi="宋体" w:cs="宋体"/>
          <w:color w:val="auto"/>
          <w:szCs w:val="21"/>
          <w:highlight w:val="none"/>
          <w:lang w:val="zh-CN"/>
        </w:rPr>
        <w:t>）开标一览表。（格式见附件）</w:t>
      </w:r>
    </w:p>
    <w:p>
      <w:pPr>
        <w:keepNext w:val="0"/>
        <w:keepLines w:val="0"/>
        <w:pageBreakBefore w:val="0"/>
        <w:kinsoku/>
        <w:wordWrap/>
        <w:overflowPunct/>
        <w:topLinePunct w:val="0"/>
        <w:autoSpaceDE w:val="0"/>
        <w:autoSpaceDN w:val="0"/>
        <w:bidi w:val="0"/>
        <w:adjustRightInd w:val="0"/>
        <w:snapToGrid w:val="0"/>
        <w:spacing w:line="28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注：法定代表人授权委托书、投标声明书、投标函、开标一览表必须由法定代表人或授权代表签名并加盖单位公章。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为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2.在特殊情况下，招标人可与投标人协商延长投标文件的有效期，这种要求和答复均以书面形式进行。</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pPr>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w:t>
      </w:r>
      <w:r>
        <w:rPr>
          <w:rFonts w:ascii="宋体" w:hAnsi="宋体"/>
          <w:b/>
          <w:bCs/>
          <w:color w:val="auto"/>
          <w:szCs w:val="21"/>
          <w:highlight w:val="none"/>
          <w:u w:val="single"/>
        </w:rPr>
        <w:t>详见“投标人须知前附表”。</w:t>
      </w:r>
    </w:p>
    <w:p>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w:t>
      </w:r>
      <w:r>
        <w:rPr>
          <w:rFonts w:ascii="宋体" w:hAnsi="宋体" w:cs="宋体"/>
          <w:b/>
          <w:bCs/>
          <w:color w:val="auto"/>
          <w:spacing w:val="11"/>
          <w:szCs w:val="21"/>
          <w:highlight w:val="none"/>
          <w:u w:val="single"/>
        </w:rPr>
        <w:t>2.投标文件的构成和份数</w:t>
      </w:r>
      <w:r>
        <w:rPr>
          <w:rFonts w:ascii="宋体" w:hAnsi="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 xml:space="preserve">  </w:t>
      </w:r>
      <w:r>
        <w:rPr>
          <w:rFonts w:ascii="宋体" w:hAnsi="宋体" w:cs="宋体"/>
          <w:b/>
          <w:bCs/>
          <w:color w:val="auto"/>
          <w:spacing w:val="11"/>
          <w:szCs w:val="21"/>
          <w:highlight w:val="none"/>
          <w:u w:val="single"/>
        </w:rPr>
        <w:t>3.投标文件的分册（装订）要求</w:t>
      </w:r>
      <w:r>
        <w:rPr>
          <w:rFonts w:ascii="宋体" w:hAnsi="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.投标文件须由投标人在规定位置盖章并由法定代表人或法定代表人的授权委托人签署，投标人应写全称。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.投标文件不得涂改，若有修改错漏处，须加盖单位公章或者法定代表人或授权委托人签字或盖章。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为严格落实国家、省市关于“要在坚决打好疫情防控攻坚战，本项目实行全流程网上电子投标, 投标人无需到达现场提交投标文件（注：备份投标文件按照相关要求来执行），投标人须在投标截止时间前，前往政采云平台完成电子投标文件的传输提交。投标人法定代表人或其授权委托人无须到场，应通过政采云平台在线响应，并保持电话畅通。</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（4）未按上述规定提交的投标文件，一切后果由供应商负责。</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pPr>
        <w:autoSpaceDE w:val="0"/>
        <w:autoSpaceDN w:val="0"/>
        <w:adjustRightInd w:val="0"/>
        <w:snapToGrid w:val="0"/>
        <w:spacing w:line="30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w:t>
      </w:r>
      <w:r>
        <w:rPr>
          <w:rFonts w:ascii="宋体" w:cs="宋体"/>
          <w:color w:val="auto"/>
          <w:szCs w:val="21"/>
          <w:highlight w:val="none"/>
        </w:rPr>
        <w:t>1</w:t>
      </w:r>
      <w:r>
        <w:rPr>
          <w:rFonts w:ascii="宋体" w:cs="宋体"/>
          <w:color w:val="auto"/>
          <w:szCs w:val="21"/>
          <w:highlight w:val="none"/>
          <w:lang w:val="zh-CN"/>
        </w:rPr>
        <w:t>）本项目于</w:t>
      </w:r>
      <w:r>
        <w:rPr>
          <w:rFonts w:hint="eastAsia" w:ascii="宋体" w:cs="宋体"/>
          <w:color w:val="auto"/>
          <w:szCs w:val="21"/>
          <w:highlight w:val="none"/>
          <w:lang w:val="zh-CN"/>
        </w:rPr>
        <w:t>2020年12月07日</w:t>
      </w:r>
      <w:r>
        <w:rPr>
          <w:rFonts w:ascii="宋体" w:cs="宋体"/>
          <w:color w:val="auto"/>
          <w:szCs w:val="21"/>
          <w:highlight w:val="none"/>
          <w:lang w:val="zh-CN"/>
        </w:rPr>
        <w:t>09：00时（北京时间）投标截止。</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（2）根据《浙江省政府采购项目电子交易管理暂行办法》第二十条规定，本次投标允许供应商提交备份响应文件，仅提交备份响应文件的，投标无效。</w:t>
      </w:r>
    </w:p>
    <w:p>
      <w:pPr>
        <w:autoSpaceDE w:val="0"/>
        <w:autoSpaceDN w:val="0"/>
        <w:adjustRightInd w:val="0"/>
        <w:snapToGrid w:val="0"/>
        <w:spacing w:line="30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rPr>
        <w:t>（3）</w:t>
      </w:r>
      <w:r>
        <w:rPr>
          <w:rFonts w:asci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0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rPr>
        <w:t>（4）</w:t>
      </w:r>
      <w:r>
        <w:rPr>
          <w:rFonts w:ascii="宋体" w:cs="宋体"/>
          <w:color w:val="auto"/>
          <w:szCs w:val="21"/>
          <w:highlight w:val="none"/>
          <w:lang w:val="zh-CN"/>
        </w:rPr>
        <w:t>投标人应当在投标截止时间前，除政采云上传的电子投标文件外，还应</w:t>
      </w:r>
      <w:r>
        <w:rPr>
          <w:rFonts w:ascii="宋体" w:hAnsi="宋体" w:cs="宋体"/>
          <w:color w:val="auto"/>
          <w:szCs w:val="21"/>
          <w:highlight w:val="none"/>
        </w:rPr>
        <w:t>提交</w:t>
      </w:r>
      <w:r>
        <w:rPr>
          <w:rFonts w:ascii="宋体" w:cs="宋体"/>
          <w:color w:val="auto"/>
          <w:szCs w:val="21"/>
          <w:highlight w:val="none"/>
          <w:lang w:val="zh-CN"/>
        </w:rPr>
        <w:t>以介质存储的数据电文形式的U盘备份投标文件一份和制作纸质备份投标文件一份。考虑疫情情况，U盘备份投标文件和纸质备份投标文件建议采用顺丰快递邮寄方式</w:t>
      </w:r>
      <w:r>
        <w:rPr>
          <w:rFonts w:ascii="宋体" w:hAnsi="宋体" w:cs="宋体"/>
          <w:color w:val="auto"/>
          <w:szCs w:val="21"/>
          <w:highlight w:val="none"/>
        </w:rPr>
        <w:t>提交</w:t>
      </w:r>
      <w:r>
        <w:rPr>
          <w:rFonts w:ascii="宋体" w:cs="宋体"/>
          <w:color w:val="auto"/>
          <w:szCs w:val="21"/>
          <w:highlight w:val="none"/>
          <w:lang w:val="zh-CN"/>
        </w:rPr>
        <w:t>，地址：浙江经纬工程项目管理有限公司（长兴县金荣大厦19楼1916室），收件人：邱工，联系电话：0572-6038878/13587907418 ，由采购代理机构统一负责接收，接收截止时间（以签收时间为准）：投标截止时间前一天。</w:t>
      </w:r>
    </w:p>
    <w:p>
      <w:pPr>
        <w:autoSpaceDE w:val="0"/>
        <w:autoSpaceDN w:val="0"/>
        <w:adjustRightInd w:val="0"/>
        <w:snapToGrid w:val="0"/>
        <w:spacing w:line="30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rPr>
        <w:t>（5）</w:t>
      </w:r>
      <w:r>
        <w:rPr>
          <w:rFonts w:asci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olor w:val="auto"/>
          <w:szCs w:val="21"/>
          <w:highlight w:val="none"/>
        </w:rPr>
        <w:t>投标文件的提交要求详见“投标人须知前附表”。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（2）电子加密投标文件成功上传递交后，供应商可自行打印投标文件接收回执。</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1.供应商在投标截止时间前可以补充、修改或者撤回投标文件。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四、开标和评标</w:t>
      </w:r>
    </w:p>
    <w:p>
      <w:pPr>
        <w:pStyle w:val="17"/>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本项目采用电子交易进行开标、评审，投标人均应当准时在线参加，否则产生的风险由供应商自行承担。</w:t>
      </w:r>
    </w:p>
    <w:p>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采购代理机构将在投标人须知前附表规定的时间和地点进行开标，投标人的法定代表人或其授权代表须准备好可上网的电脑及CA锁准时在线参加（无须到现场）。</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2.开标程序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（1）开标开始时，投标人投标文件出现下列情形之一的，采购人或采购代理机构不予受理，不得进入开标程序：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①备份投标文件未按照招标文件的要求予以密封的；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②电子投标文件未按招标文件要求上传或备份投标文件逾期送达或未送达指定地点的；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③投标人未按照投标人须知前附表规定的时间解密电子投标文件的；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④其它违反法律、法规的情形。</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pPr>
        <w:pStyle w:val="9"/>
        <w:adjustRightInd w:val="0"/>
        <w:snapToGrid w:val="0"/>
        <w:spacing w:after="0" w:line="300" w:lineRule="exact"/>
        <w:ind w:firstLineChars="200"/>
        <w:rPr>
          <w:rFonts w:hint="default" w:ascii="宋体" w:hAnsi="宋体" w:cs="宋体"/>
          <w:color w:val="auto"/>
          <w:szCs w:val="21"/>
          <w:highlight w:val="none"/>
        </w:rPr>
      </w:pPr>
      <w:r>
        <w:rPr>
          <w:rFonts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（4）电子招投标的应急措施电子开标、评标如出现下列原因，导致系统无法正常运行或无法正常评标时，应采取应急措施：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①系统服务器发生故障，无法访问或无法使用系统；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②系统的软件或数据库出现错误，不能进行正常操作；</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③系统发现有安全漏洞，有潜在的泄密危险；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④病毒发作或受到外来病毒的攻击； </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出现上述情况时，应对未开标的暂停开标程序，已在系统内开标、评标的，立即停止，经财政监管部门确认后，可改用备份U盘上传后进行评审，U盘也无法进行的，可改用纸质评审。采取应急措施时，必须对原有资料及信息作出妥善保密处理。</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（5）采购代理机构开启投标文件，进入资格审查。采购人代表将依法对各投标人的资格进行审查，资格审查结束后进入符合性审查和商务技术的评审工作。</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（6）开启资格审查通过的商务及技术文件，进入符合性审查。</w:t>
      </w:r>
      <w:r>
        <w:rPr>
          <w:rFonts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（7）商务、技术评审结束后，开启报价文件，由采购代理机构宣读《开标一览表》中的投标人名称及在其投标文件中承诺的投标报价及采购代理机构认为有必要宣读的其他内容。</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（8）采购代理机构做开标记录,同时由唱标人、记录人及监督人等当场签字确认。</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9）评标委员会对各通过符合性审查的投标人进行报价评审，未通过报价审查的投标将被作为无效标处理，通过报价审查后，进行价格得分的计算，并计算总得分及排名。由采购代理机构对各得分情况进行复核。</w:t>
      </w:r>
    </w:p>
    <w:p>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（二）评标</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（1）评标由采购人依法组建的评标委员会负责。评标委员会由采购人代表1人和有关技术、经济等方面的专家4人组成。</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w:t>
      </w:r>
      <w:r>
        <w:rPr>
          <w:rFonts w:hAnsi="宋体" w:cs="宋体"/>
          <w:color w:val="auto"/>
          <w:highlight w:val="none"/>
        </w:rPr>
        <w:t>审查内容详见</w:t>
      </w:r>
      <w:r>
        <w:rPr>
          <w:rFonts w:hAnsi="宋体" w:cs="宋体"/>
          <w:b/>
          <w:bCs/>
          <w:color w:val="auto"/>
          <w:highlight w:val="none"/>
        </w:rPr>
        <w:t>资</w:t>
      </w:r>
      <w:r>
        <w:rPr>
          <w:rFonts w:hint="eastAsia" w:hAnsi="宋体" w:cs="宋体"/>
          <w:b/>
          <w:bCs/>
          <w:color w:val="auto"/>
          <w:highlight w:val="none"/>
        </w:rPr>
        <w:t>信</w:t>
      </w:r>
      <w:r>
        <w:rPr>
          <w:rFonts w:hAnsi="宋体" w:cs="宋体"/>
          <w:b/>
          <w:bCs/>
          <w:color w:val="auto"/>
          <w:highlight w:val="none"/>
        </w:rPr>
        <w:t>文件</w:t>
      </w:r>
      <w:r>
        <w:rPr>
          <w:rFonts w:hint="eastAsia" w:hAnsi="宋体" w:cs="宋体"/>
          <w:b/>
          <w:bCs/>
          <w:color w:val="auto"/>
          <w:highlight w:val="none"/>
        </w:rPr>
        <w:t>。</w:t>
      </w:r>
      <w:r>
        <w:rPr>
          <w:rFonts w:hint="eastAsia" w:hAnsi="宋体" w:cs="宋体"/>
          <w:color w:val="auto"/>
          <w:highlight w:val="none"/>
        </w:rPr>
        <w:t>资格审查不合格的投标人的投标文件作无效标处理。</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③采购人在审查中必要时可按投标人提供的联系方式就有关问题进行查询核实，或要求投标人做出书面澄清，查询及澄清结果将作为审查的依据。</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Ansi="宋体" w:cs="宋体"/>
          <w:b/>
          <w:color w:val="auto"/>
          <w:highlight w:val="none"/>
          <w:lang w:val="zh-CN"/>
        </w:rPr>
        <w:t>投标无效的情形</w:t>
      </w:r>
    </w:p>
    <w:p>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②未按要求提供投标人法定代表人或其授权代理人的有效身份证明的。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③投标文件的实质性内容未使用中文表述、意思表述不明确、前后矛盾或者使用计量单位不符合招标文件要求的（经评标委员会认定并允许其当场更正的笔误除外）；</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④电子投标文件解密失败的，且未在规定时间内提交备份投标文件的；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⑤未实质性响应招标文件要求或者投标文件有采购人不能接受的附加条件的；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⑥投标有效期、</w:t>
      </w:r>
      <w:r>
        <w:rPr>
          <w:rFonts w:ascii="宋体" w:hAnsi="宋体" w:cs="宋体"/>
          <w:bCs/>
          <w:color w:val="auto"/>
          <w:szCs w:val="21"/>
          <w:highlight w:val="none"/>
        </w:rPr>
        <w:t>服务期</w:t>
      </w:r>
      <w:r>
        <w:rPr>
          <w:rFonts w:ascii="宋体" w:hAnsi="宋体" w:cs="宋体"/>
          <w:bCs/>
          <w:color w:val="auto"/>
          <w:szCs w:val="21"/>
          <w:highlight w:val="none"/>
          <w:lang w:val="zh-CN"/>
        </w:rPr>
        <w:t>、质保期等商务条款不能满足招标文件要求的；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⑦法律法规规定的其他无效情形。</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①符合条件的供应商或者对招标文件实质性条款完全响应的供应商不足三家的；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3" w:name="_Toc9425"/>
      <w:bookmarkStart w:id="34" w:name="_Toc14773"/>
      <w:bookmarkStart w:id="35" w:name="_Toc30858"/>
      <w:bookmarkStart w:id="36" w:name="_Toc27784"/>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33"/>
      <w:bookmarkEnd w:id="34"/>
      <w:bookmarkEnd w:id="35"/>
      <w:bookmarkEnd w:id="36"/>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7" w:name="_Toc25151"/>
      <w:bookmarkStart w:id="38" w:name="_Toc13175"/>
      <w:bookmarkStart w:id="39" w:name="_Toc2602"/>
      <w:bookmarkStart w:id="40" w:name="_Toc16194"/>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7"/>
      <w:bookmarkEnd w:id="38"/>
      <w:bookmarkEnd w:id="39"/>
      <w:bookmarkEnd w:id="40"/>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pPr>
        <w:pStyle w:val="3"/>
        <w:pageBreakBefore w:val="0"/>
        <w:widowControl w:val="0"/>
        <w:kinsoku/>
        <w:wordWrap/>
        <w:overflowPunct/>
        <w:topLinePunct w:val="0"/>
        <w:bidi w:val="0"/>
        <w:adjustRightInd w:val="0"/>
        <w:snapToGrid w:val="0"/>
        <w:spacing w:beforeLines="0" w:afterLines="0" w:line="290" w:lineRule="exact"/>
        <w:ind w:firstLine="422"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pPr>
        <w:pageBreakBefore w:val="0"/>
        <w:widowControl w:val="0"/>
        <w:kinsoku/>
        <w:wordWrap/>
        <w:overflowPunct/>
        <w:topLinePunct w:val="0"/>
        <w:autoSpaceDE w:val="0"/>
        <w:autoSpaceDN w:val="0"/>
        <w:bidi w:val="0"/>
        <w:adjustRightInd w:val="0"/>
        <w:snapToGrid w:val="0"/>
        <w:spacing w:line="290" w:lineRule="exact"/>
        <w:ind w:firstLine="422" w:firstLineChars="200"/>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pPr>
        <w:pStyle w:val="3"/>
        <w:pageBreakBefore w:val="0"/>
        <w:widowControl w:val="0"/>
        <w:kinsoku/>
        <w:wordWrap/>
        <w:overflowPunct/>
        <w:topLinePunct w:val="0"/>
        <w:bidi w:val="0"/>
        <w:adjustRightInd w:val="0"/>
        <w:snapToGrid w:val="0"/>
        <w:spacing w:beforeLines="0" w:afterLines="0" w:line="290" w:lineRule="exact"/>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pPr>
        <w:pStyle w:val="3"/>
        <w:pageBreakBefore w:val="0"/>
        <w:widowControl w:val="0"/>
        <w:kinsoku/>
        <w:wordWrap/>
        <w:overflowPunct/>
        <w:topLinePunct w:val="0"/>
        <w:bidi w:val="0"/>
        <w:adjustRightInd w:val="0"/>
        <w:snapToGrid w:val="0"/>
        <w:spacing w:beforeLines="0" w:afterLines="0" w:line="290" w:lineRule="exact"/>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采购人应在收到评标报告后5个工作日内，按照评标报告推荐的中标候选供应商顺序确定中标人，并出具书面确认函。</w:t>
      </w:r>
    </w:p>
    <w:p>
      <w:pPr>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pPr>
        <w:pStyle w:val="3"/>
        <w:pageBreakBefore w:val="0"/>
        <w:widowControl w:val="0"/>
        <w:kinsoku/>
        <w:wordWrap/>
        <w:overflowPunct/>
        <w:topLinePunct w:val="0"/>
        <w:bidi w:val="0"/>
        <w:adjustRightInd w:val="0"/>
        <w:snapToGrid w:val="0"/>
        <w:spacing w:beforeLines="0" w:afterLines="0" w:line="290" w:lineRule="exact"/>
        <w:ind w:firstLine="420" w:firstLineChars="200"/>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zh-CN"/>
        </w:rPr>
        <w:t>招标文件中对中标人的数量、方式有其他规定的，按相关规定执行。</w:t>
      </w:r>
    </w:p>
    <w:p>
      <w:pPr>
        <w:pStyle w:val="3"/>
        <w:pageBreakBefore w:val="0"/>
        <w:widowControl w:val="0"/>
        <w:kinsoku/>
        <w:wordWrap/>
        <w:overflowPunct/>
        <w:topLinePunct w:val="0"/>
        <w:bidi w:val="0"/>
        <w:adjustRightInd w:val="0"/>
        <w:snapToGrid w:val="0"/>
        <w:spacing w:beforeLines="0" w:afterLines="0" w:line="290" w:lineRule="exact"/>
        <w:ind w:firstLine="420" w:firstLineChars="200"/>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val="zh-CN"/>
        </w:rPr>
        <w:t>中标人因不可抗力或者自身原因不能履行政府采购合同的，采购人可以按照评审报告推荐的中标候选人名单排列，确定下一候选人为中标人，也可以重新开展政府采购活动。</w:t>
      </w:r>
    </w:p>
    <w:p>
      <w:pPr>
        <w:pStyle w:val="3"/>
        <w:pageBreakBefore w:val="0"/>
        <w:widowControl w:val="0"/>
        <w:kinsoku/>
        <w:wordWrap/>
        <w:overflowPunct/>
        <w:topLinePunct w:val="0"/>
        <w:bidi w:val="0"/>
        <w:adjustRightInd w:val="0"/>
        <w:snapToGrid w:val="0"/>
        <w:spacing w:beforeLines="0" w:afterLines="0" w:line="290" w:lineRule="exact"/>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6.</w:t>
      </w:r>
      <w:r>
        <w:rPr>
          <w:rFonts w:hint="eastAsia" w:ascii="宋体" w:hAnsi="宋体" w:cs="宋体"/>
          <w:b w:val="0"/>
          <w:bCs w:val="0"/>
          <w:color w:val="auto"/>
          <w:sz w:val="21"/>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pPr>
        <w:pStyle w:val="3"/>
        <w:pageBreakBefore w:val="0"/>
        <w:widowControl w:val="0"/>
        <w:kinsoku/>
        <w:wordWrap/>
        <w:overflowPunct/>
        <w:topLinePunct w:val="0"/>
        <w:bidi w:val="0"/>
        <w:adjustRightInd w:val="0"/>
        <w:snapToGrid w:val="0"/>
        <w:spacing w:beforeLines="0" w:afterLines="0" w:line="290" w:lineRule="exact"/>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7.</w:t>
      </w:r>
      <w:r>
        <w:rPr>
          <w:rFonts w:hint="eastAsia" w:ascii="宋体" w:hAnsi="宋体" w:cs="宋体"/>
          <w:b w:val="0"/>
          <w:bCs w:val="0"/>
          <w:color w:val="auto"/>
          <w:sz w:val="21"/>
          <w:szCs w:val="21"/>
          <w:highlight w:val="none"/>
          <w:lang w:val="zh-CN"/>
        </w:rPr>
        <w:t>在评标期间，任何人不得非法干预、影响评标过程。</w:t>
      </w:r>
    </w:p>
    <w:p>
      <w:pPr>
        <w:pStyle w:val="3"/>
        <w:pageBreakBefore w:val="0"/>
        <w:widowControl w:val="0"/>
        <w:kinsoku/>
        <w:wordWrap/>
        <w:overflowPunct/>
        <w:topLinePunct w:val="0"/>
        <w:bidi w:val="0"/>
        <w:adjustRightInd w:val="0"/>
        <w:snapToGrid w:val="0"/>
        <w:spacing w:beforeLines="0" w:afterLines="0" w:line="290" w:lineRule="exact"/>
        <w:ind w:firstLine="420" w:firstLineChars="200"/>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pPr>
        <w:pStyle w:val="3"/>
        <w:pageBreakBefore w:val="0"/>
        <w:widowControl w:val="0"/>
        <w:kinsoku/>
        <w:wordWrap/>
        <w:overflowPunct/>
        <w:topLinePunct w:val="0"/>
        <w:bidi w:val="0"/>
        <w:adjustRightInd w:val="0"/>
        <w:snapToGrid w:val="0"/>
        <w:spacing w:beforeLines="0" w:afterLines="0" w:line="290" w:lineRule="exact"/>
        <w:ind w:firstLine="422"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pPr>
        <w:pageBreakBefore w:val="0"/>
        <w:widowControl w:val="0"/>
        <w:kinsoku/>
        <w:wordWrap/>
        <w:overflowPunct/>
        <w:topLinePunct w:val="0"/>
        <w:autoSpaceDE w:val="0"/>
        <w:autoSpaceDN w:val="0"/>
        <w:bidi w:val="0"/>
        <w:adjustRightInd w:val="0"/>
        <w:snapToGrid w:val="0"/>
        <w:spacing w:line="290" w:lineRule="exact"/>
        <w:ind w:firstLine="422" w:firstLineChars="200"/>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pPr>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pPr>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pPr>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pPr>
        <w:keepNext w:val="0"/>
        <w:keepLines w:val="0"/>
        <w:pageBreakBefore w:val="0"/>
        <w:widowControl w:val="0"/>
        <w:kinsoku/>
        <w:wordWrap/>
        <w:overflowPunct/>
        <w:topLinePunct w:val="0"/>
        <w:autoSpaceDE w:val="0"/>
        <w:autoSpaceDN w:val="0"/>
        <w:bidi w:val="0"/>
        <w:adjustRightInd w:val="0"/>
        <w:snapToGrid w:val="0"/>
        <w:spacing w:line="290" w:lineRule="exact"/>
        <w:ind w:firstLine="422" w:firstLineChars="200"/>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pPr>
        <w:keepNext w:val="0"/>
        <w:keepLines w:val="0"/>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1.签订合同前，中标人应按采购代理机构根据招标文件确定的履约保证金的金额，向采购人交纳履约保证金。</w:t>
      </w:r>
    </w:p>
    <w:p>
      <w:pPr>
        <w:keepNext w:val="0"/>
        <w:keepLines w:val="0"/>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2.签订合同后，如中标人不按双方合同约定履约，则没收其全部履约保证金，履约保证金不足以赔偿损失的，按实际损失赔偿。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3.待中标人完成所有服务后，经采购人确认后1个月内无息退还（违约部分除外）。</w:t>
      </w:r>
    </w:p>
    <w:p>
      <w:pPr>
        <w:keepNext w:val="0"/>
        <w:keepLines w:val="0"/>
        <w:pageBreakBefore w:val="0"/>
        <w:widowControl w:val="0"/>
        <w:kinsoku/>
        <w:wordWrap/>
        <w:overflowPunct/>
        <w:topLinePunct w:val="0"/>
        <w:bidi w:val="0"/>
        <w:adjustRightInd w:val="0"/>
        <w:snapToGrid w:val="0"/>
        <w:spacing w:line="290" w:lineRule="exact"/>
        <w:ind w:firstLine="422" w:firstLineChars="200"/>
        <w:jc w:val="left"/>
        <w:textAlignment w:val="auto"/>
        <w:rPr>
          <w:rFonts w:hint="default" w:ascii="宋体" w:hAnsi="宋体" w:cs="宋体"/>
          <w:b/>
          <w:bCs/>
          <w:color w:val="auto"/>
          <w:szCs w:val="21"/>
          <w:highlight w:val="none"/>
        </w:rPr>
      </w:pPr>
      <w:r>
        <w:rPr>
          <w:rFonts w:ascii="宋体" w:hAnsi="宋体" w:cs="宋体"/>
          <w:b/>
          <w:bCs/>
          <w:color w:val="auto"/>
          <w:szCs w:val="21"/>
          <w:highlight w:val="none"/>
        </w:rPr>
        <w:t>七、招标代理费</w:t>
      </w:r>
    </w:p>
    <w:p>
      <w:pPr>
        <w:keepNext w:val="0"/>
        <w:keepLines w:val="0"/>
        <w:pageBreakBefore w:val="0"/>
        <w:widowControl w:val="0"/>
        <w:kinsoku/>
        <w:wordWrap/>
        <w:overflowPunct/>
        <w:topLinePunct w:val="0"/>
        <w:autoSpaceDE w:val="0"/>
        <w:autoSpaceDN w:val="0"/>
        <w:bidi w:val="0"/>
        <w:adjustRightInd w:val="0"/>
        <w:snapToGrid w:val="0"/>
        <w:spacing w:line="29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经采购人和代理公司协商，本项目采购代理服务等费用由中标人支付。本项目采购代理服务等费用合计为</w:t>
      </w:r>
      <w:r>
        <w:rPr>
          <w:rFonts w:hint="eastAsia" w:ascii="宋体" w:hAnsi="宋体" w:cs="宋体"/>
          <w:color w:val="auto"/>
          <w:szCs w:val="21"/>
          <w:highlight w:val="none"/>
          <w:lang w:val="zh-CN"/>
        </w:rPr>
        <w:t>肆</w:t>
      </w:r>
      <w:r>
        <w:rPr>
          <w:rFonts w:ascii="宋体" w:hAnsi="宋体" w:cs="宋体"/>
          <w:color w:val="auto"/>
          <w:szCs w:val="21"/>
          <w:highlight w:val="none"/>
          <w:lang w:val="zh-CN"/>
        </w:rPr>
        <w:t>万</w:t>
      </w:r>
      <w:r>
        <w:rPr>
          <w:rFonts w:hint="eastAsia" w:ascii="宋体" w:hAnsi="宋体" w:cs="宋体"/>
          <w:color w:val="auto"/>
          <w:szCs w:val="21"/>
          <w:highlight w:val="none"/>
          <w:lang w:val="zh-CN"/>
        </w:rPr>
        <w:t>贰</w:t>
      </w:r>
      <w:r>
        <w:rPr>
          <w:rFonts w:ascii="宋体" w:hAnsi="宋体" w:cs="宋体"/>
          <w:color w:val="auto"/>
          <w:szCs w:val="21"/>
          <w:highlight w:val="none"/>
          <w:lang w:val="zh-CN"/>
        </w:rPr>
        <w:t>仟元整，代理服务收费标准为国家发改委发改办价格[2003]857号通知和原国家计委计价格[2002]1980号文件规定。请投标人综合考虑到投标报价中，在领取中标通知书时一次性支付给采购代理机构。</w:t>
      </w:r>
    </w:p>
    <w:p>
      <w:pPr>
        <w:pStyle w:val="2"/>
        <w:numPr>
          <w:ilvl w:val="0"/>
          <w:numId w:val="2"/>
        </w:numPr>
        <w:spacing w:before="0" w:after="0"/>
        <w:rPr>
          <w:color w:val="auto"/>
          <w:sz w:val="30"/>
          <w:szCs w:val="30"/>
          <w:highlight w:val="none"/>
        </w:rPr>
      </w:pPr>
      <w:bookmarkStart w:id="41" w:name="_Toc423016465"/>
      <w:r>
        <w:rPr>
          <w:rFonts w:hint="eastAsia"/>
          <w:color w:val="auto"/>
          <w:sz w:val="30"/>
          <w:szCs w:val="30"/>
          <w:highlight w:val="none"/>
        </w:rPr>
        <w:t xml:space="preserve"> </w:t>
      </w:r>
      <w:bookmarkEnd w:id="41"/>
      <w:r>
        <w:rPr>
          <w:rFonts w:hint="eastAsia"/>
          <w:color w:val="auto"/>
          <w:sz w:val="30"/>
          <w:szCs w:val="30"/>
          <w:highlight w:val="none"/>
        </w:rPr>
        <w:t>评标方法及评分标准</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本办法适用于</w:t>
      </w:r>
      <w:r>
        <w:rPr>
          <w:rFonts w:hint="eastAsia" w:ascii="宋体" w:hAnsi="宋体" w:cs="宋体"/>
          <w:color w:val="auto"/>
          <w:szCs w:val="21"/>
          <w:highlight w:val="none"/>
          <w:lang w:eastAsia="zh-CN"/>
        </w:rPr>
        <w:t>长兴县卫生健康局县域医共体信息化示范提升及基层补偿机制改革二期项目</w:t>
      </w:r>
      <w:r>
        <w:rPr>
          <w:rFonts w:ascii="宋体" w:hAnsi="宋体" w:cs="宋体"/>
          <w:color w:val="auto"/>
          <w:szCs w:val="21"/>
          <w:highlight w:val="none"/>
        </w:rPr>
        <w:t>的评标。</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一、总则</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1.本项目原则上采用政采云电子招投标开标及评审程序，但有下情形之一的，按以下情况处理：</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①若投标人在规定时间内无法解密或解密失败，采购代理机构将开启所有投标人提交的以介质存储的数据电文形式的备份投标文件，上传至政采云平台项目采购模块，以完成开标，电子投标文件自动失效。</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②若因政采云平台原因无法读取或电子开评标无法正常进行，采购代理机构将开启所有供应商提交的纸质备份投标文件，以完成开标，电子投标文件及以介质存储的数据电文形式的备份投标文件自动失效。</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（3）电子招投标评审过程：</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①评标委员会对商务、技术进行评审；</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②在系统上公开资格和商务、技术评审结果；</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③在系统上公开报价情况；</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④评标委员会对报价情况进行评审；</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⑤在系统上公布评审结果。</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二、评标内容及标准</w:t>
      </w:r>
    </w:p>
    <w:p>
      <w:pPr>
        <w:spacing w:line="36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30</w:t>
      </w:r>
      <w:r>
        <w:rPr>
          <w:rFonts w:ascii="宋体" w:hAnsi="宋体" w:cs="宋体"/>
          <w:color w:val="auto"/>
          <w:szCs w:val="21"/>
          <w:highlight w:val="none"/>
        </w:rPr>
        <w:t>分，技术、商务分</w:t>
      </w:r>
      <w:r>
        <w:rPr>
          <w:rFonts w:hint="eastAsia" w:ascii="宋体" w:hAnsi="宋体" w:cs="宋体"/>
          <w:color w:val="auto"/>
          <w:szCs w:val="21"/>
          <w:highlight w:val="none"/>
          <w:lang w:val="en-US" w:eastAsia="zh-CN"/>
        </w:rPr>
        <w:t>70</w:t>
      </w:r>
      <w:r>
        <w:rPr>
          <w:rFonts w:ascii="宋体" w:hAnsi="宋体" w:cs="宋体"/>
          <w:color w:val="auto"/>
          <w:szCs w:val="21"/>
          <w:highlight w:val="none"/>
        </w:rPr>
        <w:t>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1.评标内容及标准</w:t>
      </w:r>
    </w:p>
    <w:p>
      <w:pPr>
        <w:spacing w:line="360" w:lineRule="exact"/>
        <w:ind w:firstLine="413" w:firstLineChars="196"/>
        <w:rPr>
          <w:rFonts w:hint="default" w:ascii="宋体" w:hAnsi="宋体" w:cs="宋体"/>
          <w:b/>
          <w:bCs/>
          <w:color w:val="auto"/>
          <w:szCs w:val="21"/>
          <w:highlight w:val="none"/>
        </w:rPr>
      </w:pPr>
      <w:r>
        <w:rPr>
          <w:rFonts w:ascii="宋体" w:hAnsi="宋体" w:cs="宋体"/>
          <w:b/>
          <w:bCs/>
          <w:color w:val="auto"/>
          <w:szCs w:val="21"/>
          <w:highlight w:val="none"/>
        </w:rPr>
        <w:t>（1）价格分（</w:t>
      </w:r>
      <w:r>
        <w:rPr>
          <w:rFonts w:hint="eastAsia" w:ascii="宋体" w:hAnsi="宋体" w:cs="宋体"/>
          <w:b/>
          <w:bCs/>
          <w:color w:val="auto"/>
          <w:szCs w:val="21"/>
          <w:highlight w:val="none"/>
          <w:lang w:val="en-US" w:eastAsia="zh-CN"/>
        </w:rPr>
        <w:t>30</w:t>
      </w:r>
      <w:r>
        <w:rPr>
          <w:rFonts w:ascii="宋体" w:hAnsi="宋体" w:cs="宋体"/>
          <w:b/>
          <w:bCs/>
          <w:color w:val="auto"/>
          <w:szCs w:val="21"/>
          <w:highlight w:val="none"/>
        </w:rPr>
        <w:t>分）</w:t>
      </w:r>
    </w:p>
    <w:p>
      <w:pPr>
        <w:tabs>
          <w:tab w:val="left" w:pos="3870"/>
          <w:tab w:val="left" w:pos="4085"/>
        </w:tabs>
        <w:spacing w:line="36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pPr>
        <w:pStyle w:val="10"/>
        <w:spacing w:line="360" w:lineRule="exact"/>
        <w:ind w:firstLine="404" w:firstLineChars="200"/>
        <w:rPr>
          <w:rFonts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价格分=（评标基准价/投标报价）×</w:t>
      </w:r>
      <w:r>
        <w:rPr>
          <w:rFonts w:hint="eastAsia" w:ascii="宋体" w:hAnsi="宋体" w:cs="宋体"/>
          <w:color w:val="auto"/>
          <w:szCs w:val="21"/>
          <w:highlight w:val="none"/>
          <w:lang w:val="en-US" w:eastAsia="zh-CN"/>
        </w:rPr>
        <w:t>30</w:t>
      </w:r>
      <w:r>
        <w:rPr>
          <w:rFonts w:ascii="宋体" w:hAnsi="宋体" w:cs="宋体"/>
          <w:color w:val="auto"/>
          <w:szCs w:val="21"/>
          <w:highlight w:val="none"/>
        </w:rPr>
        <w:t>%×100</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注:价格计算扣除</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1)根据规定，在评审时对小型和微型企业的投标报价给予6%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w:t>
      </w:r>
      <w:r>
        <w:rPr>
          <w:rFonts w:hint="eastAsia" w:hAnsi="宋体" w:cs="宋体"/>
          <w:b/>
          <w:color w:val="auto"/>
          <w:szCs w:val="21"/>
          <w:highlight w:val="none"/>
        </w:rPr>
        <w:t>（http://xwqy.gsxt.gov.cn/）</w:t>
      </w:r>
      <w:r>
        <w:rPr>
          <w:rFonts w:hint="eastAsia" w:hAnsi="宋体" w:cs="宋体"/>
          <w:b/>
          <w:color w:val="auto"/>
          <w:sz w:val="21"/>
          <w:szCs w:val="21"/>
          <w:highlight w:val="none"/>
        </w:rPr>
        <w:t>（并加盖投标人公章），并在报价明细表中说明制造商情况。</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0"/>
        <w:spacing w:line="36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上述计算扣除不累计计算，最高扣除6%；未提供以上材料的，均不给予价格计算扣除。</w:t>
      </w:r>
    </w:p>
    <w:p>
      <w:pPr>
        <w:numPr>
          <w:ilvl w:val="0"/>
          <w:numId w:val="21"/>
        </w:numPr>
        <w:spacing w:line="360" w:lineRule="exact"/>
        <w:ind w:firstLine="413" w:firstLineChars="196"/>
        <w:rPr>
          <w:rFonts w:hint="default" w:ascii="宋体" w:hAnsi="宋体" w:cs="宋体"/>
          <w:b/>
          <w:bCs/>
          <w:color w:val="auto"/>
          <w:szCs w:val="21"/>
          <w:highlight w:val="none"/>
        </w:rPr>
      </w:pPr>
      <w:r>
        <w:rPr>
          <w:rFonts w:ascii="宋体" w:hAnsi="宋体" w:cs="宋体"/>
          <w:b/>
          <w:bCs/>
          <w:color w:val="auto"/>
          <w:szCs w:val="21"/>
          <w:highlight w:val="none"/>
        </w:rPr>
        <w:t>技术分（</w:t>
      </w:r>
      <w:r>
        <w:rPr>
          <w:rFonts w:hint="eastAsia" w:ascii="宋体" w:hAnsi="宋体" w:cs="宋体"/>
          <w:b/>
          <w:bCs/>
          <w:color w:val="auto"/>
          <w:szCs w:val="21"/>
          <w:highlight w:val="none"/>
          <w:lang w:val="en-US" w:eastAsia="zh-CN"/>
        </w:rPr>
        <w:t>46</w:t>
      </w:r>
      <w:r>
        <w:rPr>
          <w:rFonts w:ascii="宋体" w:hAnsi="宋体" w:cs="宋体"/>
          <w:b/>
          <w:bCs/>
          <w:color w:val="auto"/>
          <w:szCs w:val="21"/>
          <w:highlight w:val="none"/>
        </w:rPr>
        <w:t>分），商务分（</w:t>
      </w:r>
      <w:r>
        <w:rPr>
          <w:rFonts w:hint="eastAsia" w:ascii="宋体" w:hAnsi="宋体" w:cs="宋体"/>
          <w:b/>
          <w:bCs/>
          <w:color w:val="auto"/>
          <w:szCs w:val="21"/>
          <w:highlight w:val="none"/>
          <w:lang w:val="en-US" w:eastAsia="zh-CN"/>
        </w:rPr>
        <w:t>24</w:t>
      </w:r>
      <w:r>
        <w:rPr>
          <w:rFonts w:ascii="宋体" w:hAnsi="宋体" w:cs="宋体"/>
          <w:b/>
          <w:bCs/>
          <w:color w:val="auto"/>
          <w:szCs w:val="21"/>
          <w:highlight w:val="none"/>
        </w:rPr>
        <w:t>分），共70分</w:t>
      </w:r>
    </w:p>
    <w:p>
      <w:pPr>
        <w:spacing w:line="360" w:lineRule="exact"/>
        <w:rPr>
          <w:rFonts w:hint="default" w:ascii="宋体" w:hAnsi="宋体" w:cs="宋体"/>
          <w:b/>
          <w:bCs/>
          <w:color w:val="auto"/>
          <w:szCs w:val="21"/>
          <w:highlight w:val="none"/>
        </w:rPr>
      </w:pPr>
      <w:r>
        <w:rPr>
          <w:rFonts w:ascii="宋体" w:hAnsi="宋体" w:cs="宋体"/>
          <w:b/>
          <w:bCs/>
          <w:color w:val="auto"/>
          <w:szCs w:val="21"/>
          <w:highlight w:val="none"/>
        </w:rPr>
        <w:t xml:space="preserve">    （3）技术，商务分的计算</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技术、商务分按照评标委员会成员的独立评分结果汇总数的算术平均分计算，计算公式为：</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技术、商务分=评标委员会所有成员评分合计数/评标委员会组成人员数</w:t>
      </w:r>
    </w:p>
    <w:p>
      <w:pPr>
        <w:spacing w:line="360" w:lineRule="exact"/>
        <w:rPr>
          <w:rFonts w:hint="default" w:ascii="宋体" w:hAnsi="宋体" w:cs="宋体"/>
          <w:b/>
          <w:color w:val="auto"/>
          <w:szCs w:val="21"/>
          <w:highlight w:val="none"/>
        </w:rPr>
      </w:pPr>
      <w:r>
        <w:rPr>
          <w:rFonts w:ascii="宋体" w:hAnsi="宋体" w:cs="宋体"/>
          <w:b/>
          <w:color w:val="auto"/>
          <w:szCs w:val="21"/>
          <w:highlight w:val="none"/>
        </w:rPr>
        <w:t>附件：评分表格式（技术，商务分，共70分）</w:t>
      </w:r>
    </w:p>
    <w:tbl>
      <w:tblPr>
        <w:tblStyle w:val="21"/>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43"/>
        <w:gridCol w:w="1364"/>
        <w:gridCol w:w="390"/>
        <w:gridCol w:w="465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1" w:type="dxa"/>
            <w:vAlign w:val="center"/>
          </w:tcPr>
          <w:p>
            <w:pPr>
              <w:pStyle w:val="17"/>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43" w:type="dxa"/>
            <w:vAlign w:val="center"/>
          </w:tcPr>
          <w:p>
            <w:pPr>
              <w:pStyle w:val="17"/>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405" w:type="dxa"/>
            <w:gridSpan w:val="3"/>
            <w:vAlign w:val="center"/>
          </w:tcPr>
          <w:p>
            <w:pPr>
              <w:pStyle w:val="17"/>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65" w:type="dxa"/>
            <w:vAlign w:val="center"/>
          </w:tcPr>
          <w:p>
            <w:pPr>
              <w:pStyle w:val="17"/>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1" w:type="dxa"/>
            <w:vAlign w:val="center"/>
          </w:tcPr>
          <w:p>
            <w:pPr>
              <w:pStyle w:val="17"/>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948" w:type="dxa"/>
            <w:gridSpan w:val="4"/>
            <w:vAlign w:val="center"/>
          </w:tcPr>
          <w:p>
            <w:pPr>
              <w:pStyle w:val="17"/>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1065" w:type="dxa"/>
            <w:vAlign w:val="center"/>
          </w:tcPr>
          <w:p>
            <w:pPr>
              <w:pStyle w:val="17"/>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46</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01"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43" w:type="dxa"/>
            <w:vAlign w:val="center"/>
          </w:tcPr>
          <w:p>
            <w:pPr>
              <w:spacing w:line="2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技术指标满足要求情况</w:t>
            </w:r>
          </w:p>
        </w:tc>
        <w:tc>
          <w:tcPr>
            <w:tcW w:w="6405" w:type="dxa"/>
            <w:gridSpan w:val="3"/>
            <w:vAlign w:val="center"/>
          </w:tcPr>
          <w:p>
            <w:pPr>
              <w:spacing w:line="280" w:lineRule="exac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是否符合用户最低要求技术参数指标，根据投标的技术指标和招标要求的满足程度打分。其中标★每偏离一项，将被扣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分，其他每偏离一项，将被扣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0-22分</w:t>
            </w:r>
            <w:r>
              <w:rPr>
                <w:rFonts w:hint="eastAsia" w:ascii="宋体" w:hAnsi="宋体" w:cs="宋体"/>
                <w:color w:val="auto"/>
                <w:sz w:val="21"/>
                <w:szCs w:val="21"/>
                <w:highlight w:val="none"/>
                <w:lang w:eastAsia="zh-CN"/>
              </w:rPr>
              <w:t>）</w:t>
            </w:r>
          </w:p>
        </w:tc>
        <w:tc>
          <w:tcPr>
            <w:tcW w:w="1065" w:type="dxa"/>
            <w:vAlign w:val="center"/>
          </w:tcPr>
          <w:p>
            <w:pPr>
              <w:spacing w:line="28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43" w:type="dxa"/>
            <w:vMerge w:val="restart"/>
            <w:vAlign w:val="center"/>
          </w:tcPr>
          <w:p>
            <w:pPr>
              <w:pStyle w:val="28"/>
              <w:ind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（1）基于对长兴现有区域医疗健康信息化体系的了解，提供的</w:t>
            </w:r>
            <w:r>
              <w:rPr>
                <w:rFonts w:hint="eastAsia" w:ascii="宋体" w:hAnsi="宋体" w:eastAsia="宋体" w:cs="宋体"/>
                <w:color w:val="auto"/>
                <w:sz w:val="21"/>
                <w:szCs w:val="21"/>
                <w:highlight w:val="none"/>
                <w:lang w:eastAsia="zh-CN"/>
              </w:rPr>
              <w:t>项目建设</w:t>
            </w:r>
            <w:r>
              <w:rPr>
                <w:rFonts w:hint="eastAsia" w:ascii="宋体" w:hAnsi="宋体" w:eastAsia="宋体" w:cs="宋体"/>
                <w:color w:val="auto"/>
                <w:sz w:val="21"/>
                <w:szCs w:val="21"/>
                <w:highlight w:val="none"/>
              </w:rPr>
              <w:t>方案的优劣性</w:t>
            </w:r>
            <w:r>
              <w:rPr>
                <w:rFonts w:hint="eastAsia" w:ascii="宋体" w:hAnsi="宋体" w:eastAsia="宋体" w:cs="宋体"/>
                <w:color w:val="auto"/>
                <w:sz w:val="21"/>
                <w:szCs w:val="21"/>
                <w:highlight w:val="none"/>
                <w:lang w:eastAsia="zh-CN"/>
              </w:rPr>
              <w:t>综合评分，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c>
          <w:tcPr>
            <w:tcW w:w="1065" w:type="dxa"/>
            <w:vMerge w:val="restart"/>
            <w:vAlign w:val="center"/>
          </w:tcPr>
          <w:p>
            <w:pPr>
              <w:spacing w:line="2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spacing w:line="280" w:lineRule="exact"/>
              <w:jc w:val="center"/>
              <w:rPr>
                <w:rFonts w:hint="eastAsia" w:ascii="宋体" w:hAnsi="宋体" w:eastAsia="宋体" w:cs="宋体"/>
                <w:bCs/>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（2）根据提供的对长兴县医疗区域健康信息化体系发展要点及报告的优劣性</w:t>
            </w:r>
            <w:r>
              <w:rPr>
                <w:rFonts w:hint="eastAsia" w:ascii="宋体" w:hAnsi="宋体" w:eastAsia="宋体" w:cs="宋体"/>
                <w:color w:val="auto"/>
                <w:sz w:val="21"/>
                <w:szCs w:val="21"/>
                <w:highlight w:val="none"/>
                <w:lang w:eastAsia="zh-CN"/>
              </w:rPr>
              <w:t>综合评分，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c>
          <w:tcPr>
            <w:tcW w:w="1065" w:type="dxa"/>
            <w:vMerge w:val="continue"/>
            <w:vAlign w:val="center"/>
          </w:tcPr>
          <w:p>
            <w:pPr>
              <w:spacing w:line="28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43" w:type="dxa"/>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总体设计方案</w:t>
            </w:r>
          </w:p>
        </w:tc>
        <w:tc>
          <w:tcPr>
            <w:tcW w:w="6405" w:type="dxa"/>
            <w:gridSpan w:val="3"/>
            <w:vAlign w:val="center"/>
          </w:tcPr>
          <w:p>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根据方案的技术架构的先进性、成熟性和合理性，以及对用户当前和未来发展的使用需求的满足程度得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2分</w:t>
            </w:r>
            <w:r>
              <w:rPr>
                <w:rFonts w:hint="eastAsia" w:ascii="宋体" w:hAnsi="宋体" w:eastAsia="宋体" w:cs="宋体"/>
                <w:color w:val="auto"/>
                <w:sz w:val="21"/>
                <w:szCs w:val="21"/>
                <w:highlight w:val="none"/>
                <w:lang w:eastAsia="zh-CN"/>
              </w:rPr>
              <w:t>。</w:t>
            </w:r>
          </w:p>
        </w:tc>
        <w:tc>
          <w:tcPr>
            <w:tcW w:w="1065" w:type="dxa"/>
            <w:vAlign w:val="center"/>
          </w:tcPr>
          <w:p>
            <w:pPr>
              <w:pStyle w:val="28"/>
              <w:ind w:firstLine="2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43" w:type="dxa"/>
            <w:vMerge w:val="restart"/>
            <w:vAlign w:val="center"/>
          </w:tcPr>
          <w:p>
            <w:pPr>
              <w:spacing w:line="28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项目实施方案</w:t>
            </w:r>
          </w:p>
        </w:tc>
        <w:tc>
          <w:tcPr>
            <w:tcW w:w="6405" w:type="dxa"/>
            <w:gridSpan w:val="3"/>
            <w:vAlign w:val="center"/>
          </w:tcPr>
          <w:p>
            <w:pPr>
              <w:pStyle w:val="28"/>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1）根据投标人提供的完整的项目实施方案（包括组织机构、工作时间进度表、工作程序和步骤、管理和协调方法、关键步骤的思路和要点、质量保障措施、质量验收制度、质量保障机构、应急处置、培训组织安排）的完整性、针对性、合理性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c>
          <w:tcPr>
            <w:tcW w:w="1065" w:type="dxa"/>
            <w:vMerge w:val="restart"/>
            <w:vAlign w:val="center"/>
          </w:tcPr>
          <w:p>
            <w:pPr>
              <w:spacing w:line="2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spacing w:line="280" w:lineRule="exact"/>
              <w:jc w:val="center"/>
              <w:rPr>
                <w:rFonts w:hint="eastAsia" w:ascii="宋体" w:hAnsi="宋体" w:eastAsia="宋体" w:cs="宋体"/>
                <w:bCs/>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（2）根据投标人提供的</w:t>
            </w:r>
            <w:r>
              <w:rPr>
                <w:rFonts w:hint="eastAsia" w:ascii="宋体" w:hAnsi="宋体" w:eastAsia="宋体" w:cs="宋体"/>
                <w:color w:val="auto"/>
                <w:kern w:val="2"/>
                <w:sz w:val="21"/>
                <w:szCs w:val="21"/>
                <w:highlight w:val="none"/>
                <w:lang w:bidi="ar"/>
              </w:rPr>
              <w:t>方案设计、实施中关键技术解决方案、投标人根据自身经验对项目需求进行优化设计</w:t>
            </w:r>
            <w:r>
              <w:rPr>
                <w:rFonts w:hint="eastAsia" w:ascii="宋体" w:hAnsi="宋体" w:eastAsia="宋体" w:cs="宋体"/>
                <w:color w:val="auto"/>
                <w:sz w:val="21"/>
                <w:szCs w:val="21"/>
                <w:highlight w:val="none"/>
              </w:rPr>
              <w:t>的完整性、针对性、合理性得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c>
          <w:tcPr>
            <w:tcW w:w="1065" w:type="dxa"/>
            <w:vMerge w:val="continue"/>
            <w:vAlign w:val="center"/>
          </w:tcPr>
          <w:p>
            <w:pPr>
              <w:spacing w:line="28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43" w:type="dxa"/>
            <w:vMerge w:val="restart"/>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系统融合性</w:t>
            </w:r>
          </w:p>
        </w:tc>
        <w:tc>
          <w:tcPr>
            <w:tcW w:w="6405" w:type="dxa"/>
            <w:gridSpan w:val="3"/>
            <w:vAlign w:val="center"/>
          </w:tcPr>
          <w:p>
            <w:pPr>
              <w:pStyle w:val="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（1）项目内的医共体运行监测和综合监管系统须实现与医共体全民健康信息平台无缝对接，根据其对接方案的优劣性</w:t>
            </w:r>
            <w:r>
              <w:rPr>
                <w:rFonts w:hint="eastAsia" w:ascii="宋体" w:hAnsi="宋体" w:eastAsia="宋体" w:cs="宋体"/>
                <w:color w:val="auto"/>
                <w:sz w:val="21"/>
                <w:szCs w:val="21"/>
                <w:highlight w:val="none"/>
              </w:rPr>
              <w:t>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分；提供证明资料的得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分，未提供者不得分，证明资料复印件加盖公章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65" w:type="dxa"/>
            <w:vMerge w:val="restart"/>
            <w:vAlign w:val="center"/>
          </w:tcPr>
          <w:p>
            <w:pPr>
              <w:pStyle w:val="17"/>
              <w:spacing w:after="0"/>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jc w:val="center"/>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（2）项目内的区域卫生人事管理信息系统须实现与基层医疗机构补偿机制改革绩效考核系统无缝对接，根据其对接方案的优劣性</w:t>
            </w:r>
            <w:r>
              <w:rPr>
                <w:rFonts w:hint="eastAsia" w:ascii="宋体" w:hAnsi="宋体" w:eastAsia="宋体" w:cs="宋体"/>
                <w:color w:val="auto"/>
                <w:sz w:val="21"/>
                <w:szCs w:val="21"/>
                <w:highlight w:val="none"/>
              </w:rPr>
              <w:t>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分；提供证明资料的得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分，未提供者不得分，证明资料复印件加盖公章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65" w:type="dxa"/>
            <w:vMerge w:val="continue"/>
            <w:vAlign w:val="center"/>
          </w:tcPr>
          <w:p>
            <w:pPr>
              <w:pStyle w:val="17"/>
              <w:spacing w:after="0"/>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jc w:val="center"/>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（3）项目内的基层补偿机制改革绩效数据质控系统须实现与基层医疗机构补偿机制改革绩效考核系统无缝对接，根据其对接方案的优劣性</w:t>
            </w:r>
            <w:r>
              <w:rPr>
                <w:rFonts w:hint="eastAsia" w:ascii="宋体" w:hAnsi="宋体" w:eastAsia="宋体" w:cs="宋体"/>
                <w:color w:val="auto"/>
                <w:sz w:val="21"/>
                <w:szCs w:val="21"/>
                <w:highlight w:val="none"/>
              </w:rPr>
              <w:t>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分；提供证明资料的得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分，未提供者不得分，证明资料复印件加盖公章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65" w:type="dxa"/>
            <w:vMerge w:val="continue"/>
            <w:vAlign w:val="center"/>
          </w:tcPr>
          <w:p>
            <w:pPr>
              <w:pStyle w:val="17"/>
              <w:spacing w:after="0"/>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ind w:firstLine="210"/>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（4）项目内的区域超声平台须实现与县域医共体内HIS系统、PACS系统的无缝对接，根据其对接方案的优劣性</w:t>
            </w:r>
            <w:r>
              <w:rPr>
                <w:rFonts w:hint="eastAsia" w:ascii="宋体" w:hAnsi="宋体" w:eastAsia="宋体" w:cs="宋体"/>
                <w:color w:val="auto"/>
                <w:sz w:val="21"/>
                <w:szCs w:val="21"/>
                <w:highlight w:val="none"/>
              </w:rPr>
              <w:t>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分；提供证明资料的得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分，未提供者不得分，证明资料复印件加盖公章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65" w:type="dxa"/>
            <w:vMerge w:val="continue"/>
            <w:vAlign w:val="center"/>
          </w:tcPr>
          <w:p>
            <w:pPr>
              <w:pStyle w:val="17"/>
              <w:spacing w:after="0"/>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01"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43" w:type="dxa"/>
            <w:vMerge w:val="restart"/>
            <w:vAlign w:val="center"/>
          </w:tcPr>
          <w:p>
            <w:pPr>
              <w:pStyle w:val="28"/>
              <w:ind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系统演示</w:t>
            </w:r>
            <w:r>
              <w:rPr>
                <w:rStyle w:val="25"/>
                <w:rFonts w:hint="eastAsia" w:ascii="宋体" w:hAnsi="宋体" w:eastAsia="宋体" w:cs="宋体"/>
                <w:color w:val="auto"/>
                <w:kern w:val="2"/>
                <w:sz w:val="21"/>
                <w:szCs w:val="21"/>
                <w:highlight w:val="none"/>
                <w:lang w:eastAsia="zh-CN"/>
              </w:rPr>
              <w:t>（需提供演示视频）</w:t>
            </w:r>
          </w:p>
        </w:tc>
        <w:tc>
          <w:tcPr>
            <w:tcW w:w="1754" w:type="dxa"/>
            <w:gridSpan w:val="2"/>
            <w:vMerge w:val="restart"/>
            <w:vAlign w:val="center"/>
          </w:tcPr>
          <w:p>
            <w:pPr>
              <w:pStyle w:val="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演示视频要求：演示</w:t>
            </w:r>
            <w:r>
              <w:rPr>
                <w:rFonts w:hint="eastAsia" w:ascii="宋体" w:hAnsi="宋体" w:eastAsia="宋体" w:cs="宋体"/>
                <w:color w:val="auto"/>
                <w:sz w:val="21"/>
                <w:szCs w:val="21"/>
                <w:highlight w:val="none"/>
              </w:rPr>
              <w:t>时间约10分钟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不接受PPT演示，投标人须演示</w:t>
            </w:r>
            <w:r>
              <w:rPr>
                <w:rFonts w:hint="eastAsia" w:ascii="宋体" w:hAnsi="宋体" w:eastAsia="宋体" w:cs="宋体"/>
                <w:color w:val="auto"/>
                <w:sz w:val="21"/>
                <w:szCs w:val="21"/>
                <w:highlight w:val="none"/>
                <w:lang w:eastAsia="zh-CN"/>
              </w:rPr>
              <w:t>如下</w:t>
            </w:r>
            <w:r>
              <w:rPr>
                <w:rFonts w:hint="eastAsia" w:ascii="宋体" w:hAnsi="宋体" w:eastAsia="宋体" w:cs="宋体"/>
                <w:color w:val="auto"/>
                <w:sz w:val="21"/>
                <w:szCs w:val="21"/>
                <w:highlight w:val="none"/>
              </w:rPr>
              <w:t>全部功能点，部分演示</w:t>
            </w:r>
            <w:r>
              <w:rPr>
                <w:rFonts w:hint="eastAsia" w:ascii="宋体" w:hAnsi="宋体" w:eastAsia="宋体" w:cs="宋体"/>
                <w:color w:val="auto"/>
                <w:sz w:val="21"/>
                <w:szCs w:val="21"/>
                <w:highlight w:val="none"/>
                <w:lang w:eastAsia="zh-CN"/>
              </w:rPr>
              <w:t>相应扣分，</w:t>
            </w:r>
            <w:r>
              <w:rPr>
                <w:rFonts w:hint="eastAsia" w:ascii="宋体" w:hAnsi="宋体" w:eastAsia="宋体" w:cs="宋体"/>
                <w:color w:val="auto"/>
                <w:sz w:val="21"/>
                <w:szCs w:val="21"/>
                <w:highlight w:val="none"/>
              </w:rPr>
              <w:t>无演示，此项不得分</w:t>
            </w:r>
            <w:r>
              <w:rPr>
                <w:rFonts w:hint="eastAsia" w:ascii="宋体" w:hAnsi="宋体" w:eastAsia="宋体" w:cs="宋体"/>
                <w:color w:val="auto"/>
                <w:sz w:val="21"/>
                <w:szCs w:val="21"/>
                <w:highlight w:val="none"/>
                <w:lang w:eastAsia="zh-CN"/>
              </w:rPr>
              <w:t>：</w:t>
            </w:r>
          </w:p>
        </w:tc>
        <w:tc>
          <w:tcPr>
            <w:tcW w:w="4651" w:type="dxa"/>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（1）用户健康画像：收集各类健康相关数据，生成多个画像标签，包括体征用户疾病健康画像（如个人患病情况、疾病发展风险情况、个人体征情况、生活习惯与病史、个人报告、健康建议等</w:t>
            </w:r>
            <w:r>
              <w:rPr>
                <w:rFonts w:hint="eastAsia" w:ascii="宋体" w:hAnsi="宋体" w:eastAsia="宋体" w:cs="宋体"/>
                <w:color w:val="auto"/>
                <w:sz w:val="21"/>
                <w:szCs w:val="21"/>
                <w:highlight w:val="none"/>
                <w:lang w:eastAsia="zh-CN"/>
              </w:rPr>
              <w:t>功能点</w:t>
            </w:r>
            <w:r>
              <w:rPr>
                <w:rFonts w:hint="eastAsia" w:ascii="宋体" w:hAnsi="宋体" w:eastAsia="宋体" w:cs="宋体"/>
                <w:color w:val="auto"/>
                <w:sz w:val="21"/>
                <w:szCs w:val="21"/>
                <w:highlight w:val="none"/>
              </w:rPr>
              <w:t>）。满分5分，每少演示一个功能点扣1分，扣完为止。</w:t>
            </w:r>
          </w:p>
        </w:tc>
        <w:tc>
          <w:tcPr>
            <w:tcW w:w="1065" w:type="dxa"/>
            <w:vMerge w:val="restart"/>
            <w:vAlign w:val="center"/>
          </w:tcPr>
          <w:p>
            <w:pPr>
              <w:pStyle w:val="17"/>
              <w:spacing w:after="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01" w:type="dxa"/>
            <w:vMerge w:val="continue"/>
            <w:vAlign w:val="center"/>
          </w:tcPr>
          <w:p>
            <w:pPr>
              <w:jc w:val="center"/>
              <w:rPr>
                <w:rFonts w:hint="eastAsia" w:ascii="宋体" w:hAnsi="宋体" w:eastAsia="宋体" w:cs="宋体"/>
                <w:color w:val="auto"/>
                <w:sz w:val="21"/>
                <w:szCs w:val="21"/>
                <w:highlight w:val="none"/>
              </w:rPr>
            </w:pPr>
          </w:p>
        </w:tc>
        <w:tc>
          <w:tcPr>
            <w:tcW w:w="1543" w:type="dxa"/>
            <w:vMerge w:val="continue"/>
            <w:vAlign w:val="center"/>
          </w:tcPr>
          <w:p>
            <w:pPr>
              <w:pStyle w:val="28"/>
              <w:ind w:firstLine="210" w:firstLineChars="0"/>
              <w:rPr>
                <w:rFonts w:hint="eastAsia" w:ascii="宋体" w:hAnsi="宋体" w:eastAsia="宋体" w:cs="宋体"/>
                <w:color w:val="auto"/>
                <w:sz w:val="21"/>
                <w:szCs w:val="21"/>
                <w:highlight w:val="none"/>
              </w:rPr>
            </w:pPr>
          </w:p>
        </w:tc>
        <w:tc>
          <w:tcPr>
            <w:tcW w:w="1754" w:type="dxa"/>
            <w:gridSpan w:val="2"/>
            <w:vMerge w:val="continue"/>
            <w:vAlign w:val="center"/>
          </w:tcPr>
          <w:p>
            <w:pPr>
              <w:pStyle w:val="28"/>
              <w:rPr>
                <w:rFonts w:hint="eastAsia" w:ascii="宋体" w:hAnsi="宋体" w:eastAsia="宋体" w:cs="宋体"/>
                <w:color w:val="auto"/>
                <w:sz w:val="21"/>
                <w:szCs w:val="21"/>
                <w:highlight w:val="none"/>
                <w:lang w:val="en-US" w:eastAsia="zh-CN"/>
              </w:rPr>
            </w:pPr>
          </w:p>
        </w:tc>
        <w:tc>
          <w:tcPr>
            <w:tcW w:w="4651" w:type="dxa"/>
            <w:vAlign w:val="center"/>
          </w:tcPr>
          <w:p>
            <w:pPr>
              <w:pStyle w:val="2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（2）疾病风险预测：收集各类健康相关数据，应用人工智能算法模型，对相应人群进行全面的疾病风险评估，预测5年患病如：冠心病、心肌梗死、脑卒中、高血压、糖尿病、慢性肾病、脂肪肝等疾病风险</w:t>
            </w:r>
            <w:r>
              <w:rPr>
                <w:rFonts w:hint="eastAsia" w:ascii="宋体" w:hAnsi="宋体" w:cs="宋体"/>
                <w:color w:val="auto"/>
                <w:sz w:val="21"/>
                <w:szCs w:val="21"/>
                <w:highlight w:val="none"/>
                <w:lang w:eastAsia="zh-CN"/>
              </w:rPr>
              <w:t>及推荐个性化健康方案</w:t>
            </w:r>
            <w:r>
              <w:rPr>
                <w:rFonts w:hint="eastAsia" w:ascii="宋体" w:hAnsi="宋体" w:eastAsia="宋体" w:cs="宋体"/>
                <w:color w:val="auto"/>
                <w:sz w:val="21"/>
                <w:szCs w:val="21"/>
                <w:highlight w:val="none"/>
              </w:rPr>
              <w:t>（包括饮食、运动、用药提醒、测量提醒、健康文档等）等</w:t>
            </w:r>
            <w:r>
              <w:rPr>
                <w:rFonts w:hint="eastAsia" w:ascii="宋体" w:hAnsi="宋体" w:eastAsia="宋体" w:cs="宋体"/>
                <w:color w:val="auto"/>
                <w:sz w:val="21"/>
                <w:szCs w:val="21"/>
                <w:highlight w:val="none"/>
                <w:lang w:eastAsia="zh-CN"/>
              </w:rPr>
              <w:t>功能点</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，每少演示一个功能点扣</w:t>
            </w:r>
            <w:r>
              <w:rPr>
                <w:rFonts w:hint="eastAsia" w:ascii="宋体" w:hAnsi="宋体" w:eastAsia="宋体" w:cs="宋体"/>
                <w:color w:val="auto"/>
                <w:sz w:val="21"/>
                <w:szCs w:val="21"/>
                <w:highlight w:val="none"/>
                <w:lang w:val="en-US" w:eastAsia="zh-CN"/>
              </w:rPr>
              <w:t>1分，扣完为止。</w:t>
            </w:r>
          </w:p>
        </w:tc>
        <w:tc>
          <w:tcPr>
            <w:tcW w:w="1065" w:type="dxa"/>
            <w:vMerge w:val="continue"/>
            <w:vAlign w:val="center"/>
          </w:tcPr>
          <w:p>
            <w:pPr>
              <w:pStyle w:val="17"/>
              <w:spacing w:after="0"/>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01" w:type="dxa"/>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948" w:type="dxa"/>
            <w:gridSpan w:val="4"/>
            <w:vAlign w:val="center"/>
          </w:tcPr>
          <w:p>
            <w:pPr>
              <w:pStyle w:val="17"/>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1065" w:type="dxa"/>
            <w:vAlign w:val="center"/>
          </w:tcPr>
          <w:p>
            <w:pPr>
              <w:pStyle w:val="17"/>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43" w:type="dxa"/>
            <w:vMerge w:val="restart"/>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信誉及认证</w:t>
            </w:r>
          </w:p>
          <w:p>
            <w:pPr>
              <w:pStyle w:val="28"/>
              <w:jc w:val="center"/>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（1）投标人连续三年具有AAA资信等级证书的得1分, 否则不得分。（提供复印件并加盖公章）</w:t>
            </w:r>
          </w:p>
        </w:tc>
        <w:tc>
          <w:tcPr>
            <w:tcW w:w="1065" w:type="dxa"/>
            <w:vMerge w:val="restart"/>
            <w:vAlign w:val="center"/>
          </w:tcPr>
          <w:p>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ind w:firstLine="210"/>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（2）投标人具有CMMI软件能力成熟度模式整合认证证书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5级得1分，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级及</w:t>
            </w:r>
            <w:r>
              <w:rPr>
                <w:rFonts w:hint="eastAsia" w:ascii="宋体" w:hAnsi="宋体" w:eastAsia="宋体" w:cs="宋体"/>
                <w:color w:val="auto"/>
                <w:sz w:val="21"/>
                <w:szCs w:val="21"/>
                <w:highlight w:val="none"/>
                <w:lang w:val="en-US" w:eastAsia="zh-CN"/>
              </w:rPr>
              <w:t>3级的</w:t>
            </w:r>
            <w:r>
              <w:rPr>
                <w:rFonts w:hint="eastAsia" w:ascii="宋体" w:hAnsi="宋体" w:eastAsia="宋体" w:cs="宋体"/>
                <w:color w:val="auto"/>
                <w:sz w:val="21"/>
                <w:szCs w:val="21"/>
                <w:highlight w:val="none"/>
              </w:rPr>
              <w:t>得0.5分，否则不得分。（提供复印件并加盖公章）。</w:t>
            </w:r>
          </w:p>
        </w:tc>
        <w:tc>
          <w:tcPr>
            <w:tcW w:w="1065" w:type="dxa"/>
            <w:vMerge w:val="continue"/>
            <w:vAlign w:val="center"/>
          </w:tcPr>
          <w:p>
            <w:pPr>
              <w:spacing w:line="2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801"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43" w:type="dxa"/>
            <w:vAlign w:val="center"/>
          </w:tcPr>
          <w:p>
            <w:pPr>
              <w:pStyle w:val="28"/>
              <w:ind w:firstLine="2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企业资质</w:t>
            </w: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投标人具有信息系统安全运维服务资质、信息系统安全集成服务资质，软件安全开发服务资质、信息安全风险评估服务资质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三级及以上</w:t>
            </w:r>
            <w:r>
              <w:rPr>
                <w:rFonts w:hint="eastAsia" w:ascii="宋体" w:hAnsi="宋体" w:eastAsia="宋体" w:cs="宋体"/>
                <w:color w:val="auto"/>
                <w:sz w:val="21"/>
                <w:szCs w:val="21"/>
                <w:highlight w:val="none"/>
                <w:lang w:eastAsia="zh-CN"/>
              </w:rPr>
              <w:t>每个得</w:t>
            </w:r>
            <w:r>
              <w:rPr>
                <w:rFonts w:hint="eastAsia" w:ascii="宋体" w:hAnsi="宋体" w:eastAsia="宋体" w:cs="宋体"/>
                <w:color w:val="auto"/>
                <w:sz w:val="21"/>
                <w:szCs w:val="21"/>
                <w:highlight w:val="none"/>
                <w:lang w:val="en-US" w:eastAsia="zh-CN"/>
              </w:rPr>
              <w:t>0.25分，最高</w:t>
            </w:r>
            <w:r>
              <w:rPr>
                <w:rFonts w:hint="eastAsia" w:ascii="宋体" w:hAnsi="宋体" w:eastAsia="宋体" w:cs="宋体"/>
                <w:color w:val="auto"/>
                <w:sz w:val="21"/>
                <w:szCs w:val="21"/>
                <w:highlight w:val="none"/>
              </w:rPr>
              <w:t>得1分。（提供证明材料复印件并加盖公章）。</w:t>
            </w:r>
          </w:p>
        </w:tc>
        <w:tc>
          <w:tcPr>
            <w:tcW w:w="1065" w:type="dxa"/>
            <w:vAlign w:val="center"/>
          </w:tcPr>
          <w:p>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543" w:type="dxa"/>
            <w:vMerge w:val="restart"/>
            <w:vAlign w:val="center"/>
          </w:tcPr>
          <w:p>
            <w:pPr>
              <w:pStyle w:val="28"/>
              <w:ind w:firstLine="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企业荣誉</w:t>
            </w: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（1）投标人近两年内具有地市级及以上有关部门认定的工程技术研究中心的得2分，否则不得分。（提供红头文件及授牌证明材料复印件并加盖公章）。</w:t>
            </w:r>
          </w:p>
        </w:tc>
        <w:tc>
          <w:tcPr>
            <w:tcW w:w="1065" w:type="dxa"/>
            <w:vMerge w:val="restart"/>
            <w:vAlign w:val="center"/>
          </w:tcPr>
          <w:p>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spacing w:line="260" w:lineRule="exact"/>
              <w:jc w:val="center"/>
              <w:rPr>
                <w:rFonts w:hint="eastAsia" w:ascii="宋体" w:hAnsi="宋体" w:eastAsia="宋体" w:cs="宋体"/>
                <w:color w:val="auto"/>
                <w:sz w:val="21"/>
                <w:szCs w:val="21"/>
                <w:highlight w:val="none"/>
              </w:rPr>
            </w:pP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（2）投标人近两年内在智慧医疗解决方案、产品技术创新领域获得国内或国际奖项的得2分，其他不得分。（提供奖项证明材料复印件并加盖公章）。</w:t>
            </w:r>
          </w:p>
        </w:tc>
        <w:tc>
          <w:tcPr>
            <w:tcW w:w="1065" w:type="dxa"/>
            <w:vMerge w:val="continue"/>
            <w:vAlign w:val="center"/>
          </w:tcPr>
          <w:p>
            <w:pPr>
              <w:spacing w:line="26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801"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43" w:type="dxa"/>
            <w:vAlign w:val="center"/>
          </w:tcPr>
          <w:p>
            <w:pPr>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技术保障</w:t>
            </w:r>
          </w:p>
        </w:tc>
        <w:tc>
          <w:tcPr>
            <w:tcW w:w="6405" w:type="dxa"/>
            <w:gridSpan w:val="3"/>
            <w:vAlign w:val="center"/>
          </w:tcPr>
          <w:p>
            <w:pPr>
              <w:pStyle w:val="28"/>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投标人具有包含 “智能医疗助手”、“智能辅助诊断”、“智能临床辅助决策” “智能知识引擎”类的相关软件著作权</w:t>
            </w:r>
            <w:r>
              <w:rPr>
                <w:rFonts w:hint="eastAsia" w:ascii="宋体" w:hAnsi="宋体" w:eastAsia="宋体" w:cs="宋体"/>
                <w:color w:val="auto"/>
                <w:sz w:val="21"/>
                <w:szCs w:val="21"/>
                <w:highlight w:val="none"/>
                <w:lang w:eastAsia="zh-CN"/>
              </w:rPr>
              <w:t>的：每有一个符合要求的得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。（提供证明材料复印件并加盖公章）。</w:t>
            </w:r>
          </w:p>
        </w:tc>
        <w:tc>
          <w:tcPr>
            <w:tcW w:w="1065" w:type="dxa"/>
            <w:vAlign w:val="center"/>
          </w:tcPr>
          <w:p>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801"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43" w:type="dxa"/>
            <w:vAlign w:val="center"/>
          </w:tcPr>
          <w:p>
            <w:pPr>
              <w:pStyle w:val="28"/>
              <w:ind w:firstLine="2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成功案例</w:t>
            </w:r>
          </w:p>
        </w:tc>
        <w:tc>
          <w:tcPr>
            <w:tcW w:w="6405" w:type="dxa"/>
            <w:gridSpan w:val="3"/>
            <w:vAlign w:val="center"/>
          </w:tcPr>
          <w:p>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投标人自2018年1月1日至今，具有地市级以上电子健康卡相关案例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具有影像AI辅助诊断系统案例、院间转院系统、数字病房、三级医疗机构人工智能合作的案例</w:t>
            </w:r>
            <w:r>
              <w:rPr>
                <w:rFonts w:hint="eastAsia" w:ascii="宋体" w:hAnsi="宋体" w:eastAsia="宋体" w:cs="宋体"/>
                <w:color w:val="auto"/>
                <w:sz w:val="21"/>
                <w:szCs w:val="21"/>
                <w:highlight w:val="none"/>
                <w:lang w:eastAsia="zh-CN"/>
              </w:rPr>
              <w:t>的：同时</w:t>
            </w:r>
            <w:r>
              <w:rPr>
                <w:rFonts w:hint="eastAsia" w:ascii="宋体" w:hAnsi="宋体" w:eastAsia="宋体" w:cs="宋体"/>
                <w:color w:val="auto"/>
                <w:sz w:val="21"/>
                <w:szCs w:val="21"/>
                <w:highlight w:val="none"/>
              </w:rPr>
              <w:t>满足2项得1分</w:t>
            </w:r>
            <w:r>
              <w:rPr>
                <w:rFonts w:hint="eastAsia" w:ascii="宋体" w:hAnsi="宋体" w:eastAsia="宋体" w:cs="宋体"/>
                <w:color w:val="auto"/>
                <w:sz w:val="21"/>
                <w:szCs w:val="21"/>
                <w:highlight w:val="none"/>
                <w:lang w:eastAsia="zh-CN"/>
              </w:rPr>
              <w:t>，同时</w:t>
            </w:r>
            <w:r>
              <w:rPr>
                <w:rFonts w:hint="eastAsia" w:ascii="宋体" w:hAnsi="宋体" w:eastAsia="宋体" w:cs="宋体"/>
                <w:color w:val="auto"/>
                <w:sz w:val="21"/>
                <w:szCs w:val="21"/>
                <w:highlight w:val="none"/>
              </w:rPr>
              <w:t>满足2项</w:t>
            </w:r>
            <w:r>
              <w:rPr>
                <w:rFonts w:hint="eastAsia" w:ascii="宋体" w:hAnsi="宋体" w:eastAsia="宋体" w:cs="宋体"/>
                <w:color w:val="auto"/>
                <w:sz w:val="21"/>
                <w:szCs w:val="21"/>
                <w:highlight w:val="none"/>
                <w:lang w:eastAsia="zh-CN"/>
              </w:rPr>
              <w:t>以上每增加</w:t>
            </w:r>
            <w:r>
              <w:rPr>
                <w:rFonts w:hint="eastAsia" w:ascii="宋体" w:hAnsi="宋体" w:eastAsia="宋体" w:cs="宋体"/>
                <w:color w:val="auto"/>
                <w:sz w:val="21"/>
                <w:szCs w:val="21"/>
                <w:highlight w:val="none"/>
                <w:lang w:val="en-US" w:eastAsia="zh-CN"/>
              </w:rPr>
              <w:t>1项加1分</w:t>
            </w:r>
            <w:r>
              <w:rPr>
                <w:rFonts w:hint="eastAsia" w:ascii="宋体" w:hAnsi="宋体" w:eastAsia="宋体" w:cs="宋体"/>
                <w:color w:val="auto"/>
                <w:sz w:val="21"/>
                <w:szCs w:val="21"/>
                <w:highlight w:val="none"/>
              </w:rPr>
              <w:t>，其他不得分</w:t>
            </w:r>
            <w:r>
              <w:rPr>
                <w:rFonts w:hint="eastAsia" w:ascii="宋体" w:hAnsi="宋体" w:eastAsia="宋体" w:cs="宋体"/>
                <w:color w:val="auto"/>
                <w:sz w:val="21"/>
                <w:szCs w:val="21"/>
                <w:highlight w:val="none"/>
                <w:lang w:eastAsia="zh-CN"/>
              </w:rPr>
              <w:t>；本项最高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（同一合同不得重复得分，提供合同关键页复印件并加盖公章，无有效证明材料不得分）。</w:t>
            </w:r>
          </w:p>
        </w:tc>
        <w:tc>
          <w:tcPr>
            <w:tcW w:w="1065" w:type="dxa"/>
            <w:vAlign w:val="center"/>
          </w:tcPr>
          <w:p>
            <w:pPr>
              <w:pStyle w:val="17"/>
              <w:spacing w:after="0"/>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43" w:type="dxa"/>
            <w:vMerge w:val="restart"/>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p>
        </w:tc>
        <w:tc>
          <w:tcPr>
            <w:tcW w:w="1364" w:type="dxa"/>
            <w:vMerge w:val="restart"/>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项目组人员要求：</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（同一人员证书不得重复得分，提供相关证书复印件以及项目组每位成员最近2个月的社保缴费证明）。</w:t>
            </w:r>
          </w:p>
        </w:tc>
        <w:tc>
          <w:tcPr>
            <w:tcW w:w="5041" w:type="dxa"/>
            <w:gridSpan w:val="2"/>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（1）项目组人员</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具有信息系统项目管理师、系统分析师资格证书的：每有一人得1分，同种证书只记一次分，最高得2分；持证人员同时具有硕士研究生</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学历的，每有一人加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分，最高加1分；本项最高得3分。注：同一人员同时具有方可加分。</w:t>
            </w:r>
          </w:p>
        </w:tc>
        <w:tc>
          <w:tcPr>
            <w:tcW w:w="1065" w:type="dxa"/>
            <w:vMerge w:val="restart"/>
            <w:vAlign w:val="center"/>
          </w:tcPr>
          <w:p>
            <w:pPr>
              <w:pStyle w:val="28"/>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jc w:val="center"/>
              <w:rPr>
                <w:rFonts w:hint="eastAsia" w:ascii="宋体" w:hAnsi="宋体" w:eastAsia="宋体" w:cs="宋体"/>
                <w:color w:val="auto"/>
                <w:sz w:val="21"/>
                <w:szCs w:val="21"/>
                <w:highlight w:val="none"/>
              </w:rPr>
            </w:pPr>
          </w:p>
        </w:tc>
        <w:tc>
          <w:tcPr>
            <w:tcW w:w="1364" w:type="dxa"/>
            <w:vMerge w:val="continue"/>
            <w:vAlign w:val="center"/>
          </w:tcPr>
          <w:p>
            <w:pPr>
              <w:pStyle w:val="28"/>
              <w:rPr>
                <w:rFonts w:hint="eastAsia" w:ascii="宋体" w:hAnsi="宋体" w:eastAsia="宋体" w:cs="宋体"/>
                <w:color w:val="auto"/>
                <w:sz w:val="21"/>
                <w:szCs w:val="21"/>
                <w:highlight w:val="none"/>
              </w:rPr>
            </w:pPr>
          </w:p>
        </w:tc>
        <w:tc>
          <w:tcPr>
            <w:tcW w:w="5041" w:type="dxa"/>
            <w:gridSpan w:val="2"/>
            <w:vAlign w:val="center"/>
          </w:tcPr>
          <w:p>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（2）项目组人员</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具有系统集成项目管理工程师、软件设计师资格证书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每有一人得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分，同种证书只记一次分，最高得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分；持证人员同时具有硕士研究生</w:t>
            </w:r>
            <w:r>
              <w:rPr>
                <w:rFonts w:hint="eastAsia" w:ascii="宋体" w:hAnsi="宋体" w:eastAsia="宋体" w:cs="宋体"/>
                <w:color w:val="auto"/>
                <w:sz w:val="21"/>
                <w:szCs w:val="21"/>
                <w:highlight w:val="none"/>
                <w:lang w:eastAsia="zh-CN"/>
              </w:rPr>
              <w:t>及以上</w:t>
            </w:r>
            <w:r>
              <w:rPr>
                <w:rFonts w:hint="eastAsia" w:ascii="宋体" w:hAnsi="宋体" w:eastAsia="宋体" w:cs="宋体"/>
                <w:color w:val="auto"/>
                <w:sz w:val="21"/>
                <w:szCs w:val="21"/>
                <w:highlight w:val="none"/>
              </w:rPr>
              <w:t>学历的，每有一人加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，最高加</w:t>
            </w:r>
            <w:r>
              <w:rPr>
                <w:rFonts w:hint="eastAsia" w:ascii="宋体" w:hAnsi="宋体" w:eastAsia="宋体" w:cs="宋体"/>
                <w:color w:val="auto"/>
                <w:sz w:val="21"/>
                <w:szCs w:val="21"/>
                <w:highlight w:val="none"/>
                <w:lang w:val="en-US" w:eastAsia="zh-CN"/>
              </w:rPr>
              <w:t>1分；本项最高得2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注：同一人员同时具有方可加分。</w:t>
            </w:r>
            <w:r>
              <w:rPr>
                <w:rFonts w:hint="eastAsia" w:ascii="宋体" w:hAnsi="宋体" w:eastAsia="宋体" w:cs="宋体"/>
                <w:color w:val="auto"/>
                <w:sz w:val="21"/>
                <w:szCs w:val="21"/>
                <w:highlight w:val="none"/>
                <w:lang w:eastAsia="zh-CN"/>
              </w:rPr>
              <w:t>）</w:t>
            </w:r>
          </w:p>
        </w:tc>
        <w:tc>
          <w:tcPr>
            <w:tcW w:w="1065" w:type="dxa"/>
            <w:vMerge w:val="continue"/>
            <w:vAlign w:val="center"/>
          </w:tcPr>
          <w:p>
            <w:pPr>
              <w:pStyle w:val="28"/>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rPr>
            </w:pPr>
          </w:p>
        </w:tc>
        <w:tc>
          <w:tcPr>
            <w:tcW w:w="1543" w:type="dxa"/>
            <w:vMerge w:val="continue"/>
            <w:vAlign w:val="center"/>
          </w:tcPr>
          <w:p>
            <w:pPr>
              <w:pStyle w:val="28"/>
              <w:jc w:val="center"/>
              <w:rPr>
                <w:rFonts w:hint="eastAsia" w:ascii="宋体" w:hAnsi="宋体" w:eastAsia="宋体" w:cs="宋体"/>
                <w:color w:val="auto"/>
                <w:sz w:val="21"/>
                <w:szCs w:val="21"/>
                <w:highlight w:val="none"/>
              </w:rPr>
            </w:pPr>
          </w:p>
        </w:tc>
        <w:tc>
          <w:tcPr>
            <w:tcW w:w="1364" w:type="dxa"/>
            <w:vMerge w:val="continue"/>
            <w:vAlign w:val="center"/>
          </w:tcPr>
          <w:p>
            <w:pPr>
              <w:pStyle w:val="28"/>
              <w:rPr>
                <w:rFonts w:hint="eastAsia" w:ascii="宋体" w:hAnsi="宋体" w:eastAsia="宋体" w:cs="宋体"/>
                <w:color w:val="auto"/>
                <w:sz w:val="21"/>
                <w:szCs w:val="21"/>
                <w:highlight w:val="none"/>
              </w:rPr>
            </w:pPr>
          </w:p>
        </w:tc>
        <w:tc>
          <w:tcPr>
            <w:tcW w:w="5041" w:type="dxa"/>
            <w:gridSpan w:val="2"/>
            <w:vAlign w:val="center"/>
          </w:tcPr>
          <w:p>
            <w:pPr>
              <w:pStyle w:val="2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（3）项目组人员</w:t>
            </w:r>
            <w:r>
              <w:rPr>
                <w:rFonts w:hint="eastAsia" w:ascii="宋体" w:hAnsi="宋体" w:cs="宋体"/>
                <w:color w:val="auto"/>
                <w:sz w:val="21"/>
                <w:szCs w:val="21"/>
                <w:highlight w:val="none"/>
                <w:lang w:eastAsia="zh-CN"/>
              </w:rPr>
              <w:t>中</w:t>
            </w:r>
            <w:r>
              <w:rPr>
                <w:rFonts w:hint="eastAsia" w:ascii="宋体" w:hAnsi="宋体" w:eastAsia="宋体" w:cs="宋体"/>
                <w:color w:val="auto"/>
                <w:sz w:val="21"/>
                <w:szCs w:val="21"/>
                <w:highlight w:val="none"/>
              </w:rPr>
              <w:t>具有注册信息安全专业人员（CISP）、OCP证书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每有一人得1分，同种证书只记一次分，</w:t>
            </w:r>
            <w:r>
              <w:rPr>
                <w:rFonts w:hint="eastAsia" w:ascii="宋体" w:hAnsi="宋体" w:eastAsia="宋体" w:cs="宋体"/>
                <w:color w:val="auto"/>
                <w:sz w:val="21"/>
                <w:szCs w:val="21"/>
                <w:highlight w:val="none"/>
                <w:lang w:val="en-US" w:eastAsia="zh-CN"/>
              </w:rPr>
              <w:t>本项最高得2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65" w:type="dxa"/>
            <w:vMerge w:val="continue"/>
            <w:vAlign w:val="center"/>
          </w:tcPr>
          <w:p>
            <w:pPr>
              <w:pStyle w:val="28"/>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01"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543" w:type="dxa"/>
            <w:vAlign w:val="center"/>
          </w:tcPr>
          <w:p>
            <w:pPr>
              <w:pStyle w:val="28"/>
              <w:ind w:firstLine="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6405" w:type="dxa"/>
            <w:gridSpan w:val="3"/>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投标人须对售后服务网点做出承诺，要求：</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应具有日常技术维护力量，须提供售后服务网点地址、联系人、联系电话，设在采购项目所在地(长兴县)并提供现场固定工程师情况的得1分，设在浙江省内的得0.5分，设在其它区域的不得分。 </w:t>
            </w:r>
          </w:p>
        </w:tc>
        <w:tc>
          <w:tcPr>
            <w:tcW w:w="1065" w:type="dxa"/>
            <w:vAlign w:val="center"/>
          </w:tcPr>
          <w:p>
            <w:pPr>
              <w:pStyle w:val="28"/>
              <w:ind w:firstLine="2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01"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543" w:type="dxa"/>
            <w:vAlign w:val="center"/>
          </w:tcPr>
          <w:p>
            <w:pPr>
              <w:pStyle w:val="26"/>
              <w:keepNext w:val="0"/>
              <w:tabs>
                <w:tab w:val="left" w:pos="3808"/>
              </w:tabs>
              <w:spacing w:line="240" w:lineRule="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政策分</w:t>
            </w:r>
          </w:p>
        </w:tc>
        <w:tc>
          <w:tcPr>
            <w:tcW w:w="6405" w:type="dxa"/>
            <w:gridSpan w:val="3"/>
            <w:vAlign w:val="center"/>
          </w:tcPr>
          <w:p>
            <w:pPr>
              <w:widowControl/>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投标人按规定享受其他的国家政策支持、扶持的得1分。</w:t>
            </w:r>
          </w:p>
          <w:p>
            <w:pPr>
              <w:pStyle w:val="7"/>
              <w:adjustRightInd w:val="0"/>
              <w:snapToGrid w:val="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注：投标人提供相关证明资料（例：响应国家关于下岗工人再就业的政策等证明资料），证明资料复印件加盖公章。</w:t>
            </w:r>
          </w:p>
        </w:tc>
        <w:tc>
          <w:tcPr>
            <w:tcW w:w="1065" w:type="dxa"/>
            <w:vAlign w:val="center"/>
          </w:tcPr>
          <w:p>
            <w:pPr>
              <w:pStyle w:val="17"/>
              <w:spacing w:after="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exact"/>
          <w:jc w:val="center"/>
        </w:trPr>
        <w:tc>
          <w:tcPr>
            <w:tcW w:w="801"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543" w:type="dxa"/>
            <w:vAlign w:val="center"/>
          </w:tcPr>
          <w:p>
            <w:pPr>
              <w:widowControl/>
              <w:spacing w:line="2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标书质量</w:t>
            </w:r>
          </w:p>
        </w:tc>
        <w:tc>
          <w:tcPr>
            <w:tcW w:w="6405" w:type="dxa"/>
            <w:gridSpan w:val="3"/>
            <w:vAlign w:val="center"/>
          </w:tcPr>
          <w:p>
            <w:pPr>
              <w:spacing w:line="2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编制完整，格式规范、装订整齐、符合招标文件要求的，得1分；投标文件有关内容前后矛盾、与招标文件要求不一致等，评标委员会允许且需要通过询标等程序进行澄清的，或投标文件存在其他错漏的，每项（次）扣0.5分，扣完该项得分为止。</w:t>
            </w:r>
          </w:p>
        </w:tc>
        <w:tc>
          <w:tcPr>
            <w:tcW w:w="1065" w:type="dxa"/>
            <w:vAlign w:val="center"/>
          </w:tcPr>
          <w:p>
            <w:pPr>
              <w:pStyle w:val="17"/>
              <w:spacing w:after="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r>
    </w:tbl>
    <w:p>
      <w:pPr>
        <w:pStyle w:val="9"/>
        <w:ind w:firstLine="220"/>
        <w:rPr>
          <w:rFonts w:hint="default" w:ascii="宋体" w:hAnsi="宋体"/>
          <w:color w:val="auto"/>
          <w:sz w:val="22"/>
          <w:highlight w:val="none"/>
        </w:rPr>
      </w:pPr>
    </w:p>
    <w:p>
      <w:pPr>
        <w:pStyle w:val="9"/>
        <w:ind w:firstLine="220"/>
        <w:rPr>
          <w:rFonts w:hint="default" w:ascii="宋体" w:hAnsi="宋体"/>
          <w:color w:val="auto"/>
          <w:sz w:val="22"/>
          <w:highlight w:val="none"/>
        </w:rPr>
      </w:pPr>
    </w:p>
    <w:p>
      <w:pPr>
        <w:pStyle w:val="9"/>
        <w:ind w:firstLine="220"/>
        <w:rPr>
          <w:rFonts w:hint="default" w:ascii="宋体" w:hAnsi="宋体"/>
          <w:color w:val="auto"/>
          <w:sz w:val="22"/>
          <w:highlight w:val="none"/>
        </w:rPr>
      </w:pPr>
    </w:p>
    <w:p>
      <w:pPr>
        <w:pStyle w:val="9"/>
        <w:ind w:firstLine="220"/>
        <w:rPr>
          <w:rFonts w:hint="default" w:ascii="宋体" w:hAnsi="宋体"/>
          <w:color w:val="auto"/>
          <w:sz w:val="22"/>
          <w:highlight w:val="none"/>
        </w:rPr>
      </w:pPr>
    </w:p>
    <w:p>
      <w:pPr>
        <w:rPr>
          <w:rFonts w:hint="default" w:ascii="宋体" w:hAnsi="宋体"/>
          <w:color w:val="auto"/>
          <w:sz w:val="22"/>
          <w:highlight w:val="none"/>
        </w:rPr>
      </w:pPr>
    </w:p>
    <w:p>
      <w:pPr>
        <w:pStyle w:val="8"/>
        <w:rPr>
          <w:rFonts w:hint="default" w:ascii="宋体" w:hAnsi="宋体"/>
          <w:color w:val="auto"/>
          <w:sz w:val="22"/>
          <w:highlight w:val="none"/>
        </w:rPr>
      </w:pPr>
    </w:p>
    <w:p>
      <w:pPr>
        <w:pStyle w:val="9"/>
        <w:rPr>
          <w:rFonts w:hint="default"/>
          <w:color w:val="auto"/>
          <w:highlight w:val="none"/>
        </w:rPr>
      </w:pPr>
    </w:p>
    <w:p>
      <w:pPr>
        <w:rPr>
          <w:rFonts w:hint="default" w:ascii="宋体" w:hAnsi="宋体"/>
          <w:color w:val="auto"/>
          <w:sz w:val="22"/>
          <w:highlight w:val="none"/>
        </w:rPr>
      </w:pPr>
    </w:p>
    <w:p>
      <w:pPr>
        <w:pStyle w:val="9"/>
        <w:ind w:firstLine="220"/>
        <w:rPr>
          <w:rFonts w:hint="default" w:ascii="宋体" w:hAnsi="宋体"/>
          <w:color w:val="auto"/>
          <w:sz w:val="22"/>
          <w:highlight w:val="none"/>
        </w:rPr>
      </w:pPr>
    </w:p>
    <w:p>
      <w:pPr>
        <w:rPr>
          <w:rFonts w:hint="default" w:ascii="宋体" w:hAnsi="宋体"/>
          <w:color w:val="auto"/>
          <w:sz w:val="22"/>
          <w:highlight w:val="none"/>
        </w:rPr>
      </w:pPr>
    </w:p>
    <w:p>
      <w:pPr>
        <w:pStyle w:val="8"/>
        <w:rPr>
          <w:rFonts w:hint="default" w:ascii="宋体" w:hAnsi="宋体"/>
          <w:color w:val="auto"/>
          <w:sz w:val="22"/>
          <w:highlight w:val="none"/>
        </w:rPr>
      </w:pPr>
    </w:p>
    <w:p>
      <w:pPr>
        <w:pStyle w:val="9"/>
        <w:rPr>
          <w:rFonts w:hint="default"/>
          <w:color w:val="auto"/>
          <w:highlight w:val="none"/>
        </w:rPr>
      </w:pPr>
    </w:p>
    <w:p>
      <w:pPr>
        <w:rPr>
          <w:rFonts w:hint="default"/>
          <w:color w:val="auto"/>
          <w:highlight w:val="none"/>
        </w:rPr>
      </w:pPr>
    </w:p>
    <w:p>
      <w:pPr>
        <w:pStyle w:val="9"/>
        <w:ind w:firstLine="220"/>
        <w:rPr>
          <w:rFonts w:hint="default" w:ascii="宋体" w:hAnsi="宋体"/>
          <w:color w:val="auto"/>
          <w:sz w:val="22"/>
          <w:highlight w:val="none"/>
        </w:rPr>
      </w:pPr>
    </w:p>
    <w:p>
      <w:pPr>
        <w:pStyle w:val="9"/>
        <w:ind w:firstLine="220"/>
        <w:rPr>
          <w:rFonts w:hint="default" w:ascii="宋体" w:hAnsi="宋体"/>
          <w:color w:val="auto"/>
          <w:sz w:val="22"/>
          <w:highlight w:val="none"/>
        </w:rPr>
      </w:pPr>
    </w:p>
    <w:p>
      <w:pPr>
        <w:pStyle w:val="2"/>
        <w:numPr>
          <w:ilvl w:val="0"/>
          <w:numId w:val="2"/>
        </w:numPr>
        <w:spacing w:before="0" w:after="0"/>
        <w:rPr>
          <w:color w:val="auto"/>
          <w:sz w:val="30"/>
          <w:szCs w:val="30"/>
          <w:highlight w:val="none"/>
        </w:rPr>
      </w:pPr>
      <w:bookmarkStart w:id="42" w:name="_Toc423016466"/>
      <w:r>
        <w:rPr>
          <w:rFonts w:hint="eastAsia"/>
          <w:color w:val="auto"/>
          <w:sz w:val="30"/>
          <w:szCs w:val="30"/>
          <w:highlight w:val="none"/>
        </w:rPr>
        <w:t xml:space="preserve"> 合同主要条款</w:t>
      </w:r>
      <w:bookmarkEnd w:id="42"/>
    </w:p>
    <w:p>
      <w:pPr>
        <w:pStyle w:val="2"/>
        <w:spacing w:before="0" w:after="0"/>
        <w:rPr>
          <w:color w:val="auto"/>
          <w:sz w:val="30"/>
          <w:szCs w:val="30"/>
          <w:highlight w:val="none"/>
        </w:rPr>
      </w:pPr>
      <w:bookmarkStart w:id="43" w:name="_Toc423016467"/>
      <w:r>
        <w:rPr>
          <w:rFonts w:ascii="宋体" w:hAnsi="宋体"/>
          <w:bCs w:val="0"/>
          <w:color w:val="auto"/>
          <w:sz w:val="30"/>
          <w:szCs w:val="30"/>
          <w:highlight w:val="none"/>
        </w:rPr>
        <w:t>（</w:t>
      </w:r>
      <w:r>
        <w:rPr>
          <w:rFonts w:hint="eastAsia" w:ascii="宋体" w:hAnsi="宋体"/>
          <w:bCs w:val="0"/>
          <w:color w:val="auto"/>
          <w:sz w:val="30"/>
          <w:szCs w:val="30"/>
          <w:highlight w:val="none"/>
        </w:rPr>
        <w:t>服务，</w:t>
      </w:r>
      <w:r>
        <w:rPr>
          <w:rFonts w:hint="eastAsia"/>
          <w:color w:val="auto"/>
          <w:sz w:val="30"/>
          <w:szCs w:val="30"/>
          <w:highlight w:val="none"/>
        </w:rPr>
        <w:t>供参考）</w:t>
      </w:r>
    </w:p>
    <w:p>
      <w:pPr>
        <w:pStyle w:val="11"/>
        <w:spacing w:line="360" w:lineRule="exact"/>
        <w:ind w:firstLine="420" w:firstLineChars="200"/>
        <w:rPr>
          <w:rFonts w:hAnsi="宋体" w:cs="宋体"/>
          <w:color w:val="auto"/>
          <w:highlight w:val="none"/>
          <w:lang w:val="zh-CN"/>
        </w:rPr>
      </w:pPr>
      <w:r>
        <w:rPr>
          <w:rFonts w:hint="eastAsia" w:hAnsi="宋体" w:cs="宋体"/>
          <w:color w:val="auto"/>
          <w:highlight w:val="none"/>
          <w:lang w:val="zh-CN"/>
        </w:rPr>
        <w:t>项目名称：</w:t>
      </w:r>
      <w:r>
        <w:rPr>
          <w:rFonts w:hint="eastAsia"/>
          <w:color w:val="auto"/>
          <w:kern w:val="0"/>
          <w:highlight w:val="none"/>
          <w:lang w:val="zh-CN"/>
        </w:rPr>
        <w:t>长兴县卫生健康局县域医共体信息化示范提升及基层补偿机制改革二期项目</w:t>
      </w:r>
      <w:r>
        <w:rPr>
          <w:rFonts w:hint="eastAsia" w:hAnsi="宋体" w:cs="宋体"/>
          <w:color w:val="auto"/>
          <w:kern w:val="0"/>
          <w:highlight w:val="none"/>
          <w:lang w:val="zh-CN"/>
        </w:rPr>
        <w:t xml:space="preserve"> </w:t>
      </w:r>
      <w:r>
        <w:rPr>
          <w:rFonts w:hint="eastAsia" w:hAnsi="宋体" w:cs="宋体"/>
          <w:color w:val="auto"/>
          <w:highlight w:val="none"/>
          <w:lang w:val="zh-CN"/>
        </w:rPr>
        <w:t xml:space="preserve">                              </w:t>
      </w:r>
    </w:p>
    <w:p>
      <w:pPr>
        <w:autoSpaceDE w:val="0"/>
        <w:autoSpaceDN w:val="0"/>
        <w:spacing w:line="360" w:lineRule="exact"/>
        <w:ind w:firstLine="420" w:firstLineChars="20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项目编号：</w:t>
      </w:r>
      <w:r>
        <w:rPr>
          <w:rFonts w:hint="eastAsia" w:ascii="宋体" w:hAnsi="宋体" w:cs="宋体"/>
          <w:b/>
          <w:bCs/>
          <w:color w:val="auto"/>
          <w:szCs w:val="21"/>
          <w:highlight w:val="none"/>
          <w:lang w:eastAsia="zh-CN"/>
        </w:rPr>
        <w:t>ZJJWCG-2020-070</w:t>
      </w:r>
    </w:p>
    <w:p>
      <w:pPr>
        <w:pStyle w:val="11"/>
        <w:spacing w:line="360" w:lineRule="exact"/>
        <w:ind w:firstLine="420" w:firstLineChars="200"/>
        <w:rPr>
          <w:rFonts w:hAnsi="宋体" w:cs="宋体"/>
          <w:color w:val="auto"/>
          <w:highlight w:val="none"/>
          <w:lang w:val="zh-CN"/>
        </w:rPr>
      </w:pPr>
      <w:r>
        <w:rPr>
          <w:rFonts w:hint="eastAsia" w:hAnsi="宋体" w:cs="宋体"/>
          <w:color w:val="auto"/>
          <w:highlight w:val="none"/>
          <w:lang w:val="zh-CN"/>
        </w:rPr>
        <w:t>甲方：长兴县卫生健康局（买方）</w:t>
      </w:r>
    </w:p>
    <w:p>
      <w:pPr>
        <w:pStyle w:val="11"/>
        <w:spacing w:line="360" w:lineRule="exact"/>
        <w:ind w:firstLine="420" w:firstLineChars="200"/>
        <w:rPr>
          <w:rFonts w:hAnsi="宋体" w:cs="宋体"/>
          <w:color w:val="auto"/>
          <w:highlight w:val="none"/>
          <w:lang w:val="zh-CN"/>
        </w:rPr>
      </w:pPr>
      <w:r>
        <w:rPr>
          <w:rFonts w:hint="eastAsia" w:hAnsi="宋体" w:cs="宋体"/>
          <w:color w:val="auto"/>
          <w:highlight w:val="none"/>
          <w:lang w:val="zh-CN"/>
        </w:rPr>
        <w:t>乙方：</w:t>
      </w:r>
      <w:r>
        <w:rPr>
          <w:rFonts w:hint="eastAsia" w:hAnsi="宋体" w:cs="宋体"/>
          <w:color w:val="auto"/>
          <w:highlight w:val="none"/>
        </w:rPr>
        <w:t xml:space="preserve">            </w:t>
      </w:r>
      <w:r>
        <w:rPr>
          <w:rFonts w:hint="eastAsia" w:hAnsi="宋体" w:cs="宋体"/>
          <w:color w:val="auto"/>
          <w:highlight w:val="none"/>
          <w:lang w:val="zh-CN"/>
        </w:rPr>
        <w:t>（卖方）</w:t>
      </w:r>
    </w:p>
    <w:p>
      <w:pPr>
        <w:pStyle w:val="11"/>
        <w:spacing w:line="360" w:lineRule="exact"/>
        <w:ind w:firstLine="420" w:firstLineChars="200"/>
        <w:rPr>
          <w:rFonts w:hAnsi="宋体" w:cs="宋体"/>
          <w:color w:val="auto"/>
          <w:highlight w:val="none"/>
          <w:lang w:val="zh-CN"/>
        </w:rPr>
      </w:pPr>
      <w:r>
        <w:rPr>
          <w:rFonts w:hint="eastAsia" w:hAnsi="宋体" w:cs="宋体"/>
          <w:color w:val="auto"/>
          <w:highlight w:val="none"/>
          <w:lang w:val="zh-CN"/>
        </w:rPr>
        <w:t>甲、乙双方根据浙江经纬工程项目管理有限公司关于</w:t>
      </w:r>
      <w:r>
        <w:rPr>
          <w:rFonts w:hint="eastAsia"/>
          <w:color w:val="auto"/>
          <w:kern w:val="0"/>
          <w:highlight w:val="none"/>
          <w:lang w:val="zh-CN"/>
        </w:rPr>
        <w:t>长兴县卫生健康局县域医共体信息化示范提升及基层补偿机制改革二期项目</w:t>
      </w:r>
      <w:r>
        <w:rPr>
          <w:rFonts w:hint="eastAsia" w:hAnsi="宋体" w:cs="宋体"/>
          <w:color w:val="auto"/>
          <w:highlight w:val="none"/>
          <w:lang w:val="zh-CN"/>
        </w:rPr>
        <w:t>公开招标中标的结果，签署本合同。</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一、服务内容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5929"/>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30" w:type="dxa"/>
            <w:shd w:val="clear" w:color="auto" w:fill="FFFFFF" w:themeFill="background1"/>
            <w:vAlign w:val="center"/>
          </w:tcPr>
          <w:p>
            <w:pPr>
              <w:jc w:val="center"/>
              <w:rPr>
                <w:rFonts w:hint="eastAsia" w:ascii="宋体" w:hAnsi="宋体" w:eastAsia="宋体" w:cs="宋体"/>
                <w:b/>
                <w:caps/>
                <w:color w:val="auto"/>
                <w:sz w:val="21"/>
                <w:szCs w:val="21"/>
                <w:highlight w:val="none"/>
              </w:rPr>
            </w:pPr>
            <w:r>
              <w:rPr>
                <w:rFonts w:hint="eastAsia" w:ascii="宋体" w:hAnsi="宋体" w:eastAsia="宋体" w:cs="宋体"/>
                <w:b/>
                <w:caps/>
                <w:color w:val="auto"/>
                <w:sz w:val="21"/>
                <w:szCs w:val="21"/>
                <w:highlight w:val="none"/>
              </w:rPr>
              <w:t>序号</w:t>
            </w:r>
          </w:p>
        </w:tc>
        <w:tc>
          <w:tcPr>
            <w:tcW w:w="5929" w:type="dxa"/>
            <w:shd w:val="clear" w:color="auto" w:fill="FFFFFF" w:themeFill="background1"/>
            <w:vAlign w:val="center"/>
          </w:tcPr>
          <w:p>
            <w:pPr>
              <w:jc w:val="center"/>
              <w:rPr>
                <w:rFonts w:hint="eastAsia" w:ascii="宋体" w:hAnsi="宋体" w:eastAsia="宋体" w:cs="宋体"/>
                <w:b/>
                <w:caps/>
                <w:color w:val="auto"/>
                <w:sz w:val="21"/>
                <w:szCs w:val="21"/>
                <w:highlight w:val="none"/>
              </w:rPr>
            </w:pPr>
            <w:r>
              <w:rPr>
                <w:rFonts w:hint="eastAsia" w:ascii="宋体" w:hAnsi="宋体" w:eastAsia="宋体" w:cs="宋体"/>
                <w:b/>
                <w:caps/>
                <w:color w:val="auto"/>
                <w:sz w:val="21"/>
                <w:szCs w:val="21"/>
                <w:highlight w:val="none"/>
              </w:rPr>
              <w:t>名称</w:t>
            </w:r>
          </w:p>
        </w:tc>
        <w:tc>
          <w:tcPr>
            <w:tcW w:w="2022" w:type="dxa"/>
            <w:shd w:val="clear" w:color="auto" w:fill="FFFFFF" w:themeFill="background1"/>
            <w:vAlign w:val="center"/>
          </w:tcPr>
          <w:p>
            <w:pPr>
              <w:jc w:val="center"/>
              <w:rPr>
                <w:rFonts w:hint="eastAsia" w:ascii="宋体" w:hAnsi="宋体" w:eastAsia="宋体" w:cs="宋体"/>
                <w:b/>
                <w:caps/>
                <w:color w:val="auto"/>
                <w:sz w:val="21"/>
                <w:szCs w:val="21"/>
                <w:highlight w:val="none"/>
              </w:rPr>
            </w:pPr>
            <w:r>
              <w:rPr>
                <w:rFonts w:hint="eastAsia" w:ascii="宋体" w:hAnsi="宋体" w:eastAsia="宋体" w:cs="宋体"/>
                <w:b/>
                <w:caps/>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w:t>
            </w:r>
          </w:p>
        </w:tc>
        <w:tc>
          <w:tcPr>
            <w:tcW w:w="592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基于医共体的全民健康信息平台提升改造</w:t>
            </w:r>
          </w:p>
        </w:tc>
        <w:tc>
          <w:tcPr>
            <w:tcW w:w="2022"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2</w:t>
            </w:r>
          </w:p>
        </w:tc>
        <w:tc>
          <w:tcPr>
            <w:tcW w:w="5929" w:type="dxa"/>
            <w:vAlign w:val="center"/>
          </w:tcPr>
          <w:p>
            <w:pPr>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基层医疗机构补偿机制改革绩效考核二期建设</w:t>
            </w:r>
          </w:p>
        </w:tc>
        <w:tc>
          <w:tcPr>
            <w:tcW w:w="2022"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3</w:t>
            </w:r>
          </w:p>
        </w:tc>
        <w:tc>
          <w:tcPr>
            <w:tcW w:w="5929"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县域医共体信息化示范创新应用</w:t>
            </w:r>
          </w:p>
        </w:tc>
        <w:tc>
          <w:tcPr>
            <w:tcW w:w="2022"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4</w:t>
            </w:r>
          </w:p>
        </w:tc>
        <w:tc>
          <w:tcPr>
            <w:tcW w:w="5929"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全民健康信息化平台硬件系统的更新及优化</w:t>
            </w:r>
          </w:p>
        </w:tc>
        <w:tc>
          <w:tcPr>
            <w:tcW w:w="2022" w:type="dxa"/>
            <w:vAlign w:val="center"/>
          </w:tcPr>
          <w:p>
            <w:pPr>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1项</w:t>
            </w:r>
          </w:p>
        </w:tc>
      </w:tr>
    </w:tbl>
    <w:p>
      <w:pPr>
        <w:pStyle w:val="11"/>
        <w:spacing w:line="360" w:lineRule="exact"/>
        <w:ind w:firstLine="422" w:firstLineChars="200"/>
        <w:rPr>
          <w:rFonts w:hAnsi="宋体" w:cs="宋体"/>
          <w:b/>
          <w:color w:val="auto"/>
          <w:highlight w:val="none"/>
        </w:rPr>
      </w:pPr>
      <w:r>
        <w:rPr>
          <w:rFonts w:hint="eastAsia" w:hAnsi="宋体" w:cs="宋体"/>
          <w:b/>
          <w:color w:val="auto"/>
          <w:highlight w:val="none"/>
        </w:rPr>
        <w:t>二、合同金额</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 xml:space="preserve"> 本合同金额为（大写）：</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highlight w:val="none"/>
          <w:u w:val="single"/>
        </w:rPr>
        <w:t xml:space="preserve">         </w:t>
      </w:r>
      <w:r>
        <w:rPr>
          <w:rFonts w:hint="eastAsia" w:hAnsi="宋体" w:cs="宋体"/>
          <w:color w:val="auto"/>
          <w:highlight w:val="none"/>
        </w:rPr>
        <w:t>元）人民币。</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三、技术资料</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1.乙方应按招标文件规定的时间向甲方提供使用货物的有关技术资料。</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四、知识产权</w:t>
      </w:r>
    </w:p>
    <w:p>
      <w:pPr>
        <w:pStyle w:val="11"/>
        <w:spacing w:line="360" w:lineRule="exact"/>
        <w:ind w:firstLine="420" w:firstLineChars="200"/>
        <w:rPr>
          <w:rFonts w:hAnsi="宋体" w:cs="宋体"/>
          <w:bCs/>
          <w:color w:val="auto"/>
          <w:highlight w:val="none"/>
        </w:rPr>
      </w:pPr>
      <w:r>
        <w:rPr>
          <w:rFonts w:hint="eastAsia" w:hAnsi="宋体" w:cs="宋体"/>
          <w:color w:val="auto"/>
          <w:highlight w:val="none"/>
        </w:rPr>
        <w:t>乙方应保证所提供的货物或其任何一部分均不会侵犯任何第三方的知识产权</w:t>
      </w:r>
      <w:r>
        <w:rPr>
          <w:rFonts w:hint="eastAsia" w:hAnsi="宋体" w:cs="宋体"/>
          <w:bCs/>
          <w:color w:val="auto"/>
          <w:highlight w:val="none"/>
        </w:rPr>
        <w:t>。</w:t>
      </w:r>
    </w:p>
    <w:p>
      <w:pPr>
        <w:pStyle w:val="11"/>
        <w:spacing w:line="360" w:lineRule="exact"/>
        <w:ind w:firstLine="422" w:firstLineChars="200"/>
        <w:rPr>
          <w:rFonts w:hAnsi="宋体" w:cs="宋体"/>
          <w:color w:val="auto"/>
          <w:highlight w:val="none"/>
          <w:u w:val="single"/>
        </w:rPr>
      </w:pPr>
      <w:r>
        <w:rPr>
          <w:rFonts w:hint="eastAsia" w:hAnsi="宋体" w:cs="宋体"/>
          <w:b/>
          <w:color w:val="auto"/>
          <w:highlight w:val="none"/>
        </w:rPr>
        <w:t>五、产权担保</w:t>
      </w:r>
    </w:p>
    <w:p>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乙方保证所交付的货物的所有权完全属于乙方且无任何抵押、查封等产权瑕疵。</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六、履约保证金</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乙方交纳</w:t>
      </w:r>
      <w:r>
        <w:rPr>
          <w:rFonts w:hint="eastAsia" w:hAnsi="宋体" w:cs="宋体"/>
          <w:color w:val="auto"/>
          <w:highlight w:val="none"/>
          <w:u w:val="single"/>
        </w:rPr>
        <w:t>合同金额5%</w:t>
      </w:r>
      <w:r>
        <w:rPr>
          <w:rFonts w:hint="eastAsia" w:hAnsi="宋体" w:cs="宋体"/>
          <w:color w:val="auto"/>
          <w:highlight w:val="none"/>
        </w:rPr>
        <w:t>作为本合同的履约保证金。待项目完成终验之日起一年后，经采购人确认后1个月内无息退还（违约部分除外）。</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七、转包或分包</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1.本合同范围的货物，应由乙方直接供应，不得转让他人供应；</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2.除非得到甲方的书面同意，乙方不得将本合同范围的货物全部或部分分包给他人供应；</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3.如有转让和未经甲方同意的分包行为，甲方有权解除合同，没收履约保证金并追究乙方的违约责任。</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八、完成时间及质保期</w:t>
      </w:r>
    </w:p>
    <w:p>
      <w:pPr>
        <w:pStyle w:val="11"/>
        <w:spacing w:line="360" w:lineRule="exact"/>
        <w:ind w:firstLine="420" w:firstLineChars="200"/>
        <w:rPr>
          <w:rFonts w:hAnsi="宋体" w:cs="宋体"/>
          <w:bCs/>
          <w:color w:val="auto"/>
          <w:highlight w:val="none"/>
        </w:rPr>
      </w:pPr>
      <w:r>
        <w:rPr>
          <w:rFonts w:hint="eastAsia" w:hAnsi="宋体" w:cs="宋体"/>
          <w:bCs/>
          <w:color w:val="auto"/>
          <w:highlight w:val="none"/>
        </w:rPr>
        <w:t>1. 完成时间：合同签订后90个工作日内供货安装调试完毕</w:t>
      </w:r>
      <w:r>
        <w:rPr>
          <w:rFonts w:hint="eastAsia" w:hAnsi="宋体" w:cs="宋体"/>
          <w:color w:val="auto"/>
          <w:highlight w:val="none"/>
        </w:rPr>
        <w:t xml:space="preserve"> 。</w:t>
      </w:r>
    </w:p>
    <w:p>
      <w:pPr>
        <w:pStyle w:val="11"/>
        <w:spacing w:line="360" w:lineRule="exact"/>
        <w:ind w:firstLine="420" w:firstLineChars="200"/>
        <w:rPr>
          <w:rFonts w:hAnsi="宋体" w:cs="宋体"/>
          <w:bCs/>
          <w:color w:val="auto"/>
          <w:highlight w:val="none"/>
        </w:rPr>
      </w:pPr>
      <w:r>
        <w:rPr>
          <w:rFonts w:hint="eastAsia" w:hAnsi="宋体" w:cs="宋体"/>
          <w:bCs/>
          <w:color w:val="auto"/>
          <w:highlight w:val="none"/>
        </w:rPr>
        <w:t xml:space="preserve">2. 质保期：本项目质量保证期为硬件部分验收合格后提供三年原厂质保，其余部分验收合格后提供一年免费质保。 </w:t>
      </w:r>
    </w:p>
    <w:p>
      <w:pPr>
        <w:pStyle w:val="11"/>
        <w:spacing w:line="360" w:lineRule="exact"/>
        <w:ind w:firstLine="422" w:firstLineChars="200"/>
        <w:rPr>
          <w:rFonts w:hint="eastAsia" w:hAnsi="宋体" w:eastAsia="宋体" w:cs="宋体"/>
          <w:b/>
          <w:color w:val="auto"/>
          <w:highlight w:val="none"/>
          <w:lang w:eastAsia="zh-CN"/>
        </w:rPr>
      </w:pPr>
      <w:r>
        <w:rPr>
          <w:rFonts w:hint="eastAsia" w:hAnsi="宋体" w:cs="宋体"/>
          <w:b/>
          <w:color w:val="auto"/>
          <w:highlight w:val="none"/>
        </w:rPr>
        <w:t>九、支付</w:t>
      </w:r>
      <w:r>
        <w:rPr>
          <w:rFonts w:hint="eastAsia" w:hAnsi="宋体" w:cs="宋体"/>
          <w:b/>
          <w:color w:val="auto"/>
          <w:highlight w:val="none"/>
          <w:lang w:eastAsia="zh-CN"/>
        </w:rPr>
        <w:t>方式</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合同签订后30个工作日内，支付合同金额的</w:t>
      </w:r>
      <w:r>
        <w:rPr>
          <w:rFonts w:ascii="宋体" w:hAnsi="宋体" w:cs="宋体"/>
          <w:color w:val="auto"/>
          <w:szCs w:val="21"/>
          <w:highlight w:val="none"/>
          <w:u w:val="single"/>
        </w:rPr>
        <w:t>40%（其中20%支付硬件部分、20%支付软件及服务）</w:t>
      </w:r>
      <w:r>
        <w:rPr>
          <w:rFonts w:ascii="宋体" w:hAnsi="宋体" w:cs="宋体"/>
          <w:color w:val="auto"/>
          <w:szCs w:val="21"/>
          <w:highlight w:val="none"/>
        </w:rPr>
        <w:t>；项目通过初验后30个工作日内，支付合同金额的</w:t>
      </w:r>
      <w:r>
        <w:rPr>
          <w:rFonts w:ascii="宋体" w:hAnsi="宋体" w:cs="宋体"/>
          <w:color w:val="auto"/>
          <w:szCs w:val="21"/>
          <w:highlight w:val="none"/>
          <w:u w:val="single"/>
        </w:rPr>
        <w:t>30%（其中5%支付硬件部分、25%支付软件及服务）</w:t>
      </w:r>
      <w:r>
        <w:rPr>
          <w:rFonts w:ascii="宋体" w:hAnsi="宋体" w:cs="宋体"/>
          <w:color w:val="auto"/>
          <w:szCs w:val="21"/>
          <w:highlight w:val="none"/>
        </w:rPr>
        <w:t>；项目终验合格之日起30个工作日内，支付合同金额</w:t>
      </w:r>
      <w:r>
        <w:rPr>
          <w:rFonts w:hint="eastAsia" w:ascii="宋体" w:hAnsi="宋体" w:cs="宋体"/>
          <w:color w:val="auto"/>
          <w:szCs w:val="21"/>
          <w:highlight w:val="none"/>
          <w:lang w:val="en-US" w:eastAsia="zh-CN"/>
        </w:rPr>
        <w:t>25</w:t>
      </w:r>
      <w:r>
        <w:rPr>
          <w:rFonts w:ascii="宋体" w:hAnsi="宋体" w:cs="宋体"/>
          <w:color w:val="auto"/>
          <w:szCs w:val="21"/>
          <w:highlight w:val="none"/>
        </w:rPr>
        <w:t>%</w:t>
      </w:r>
      <w:r>
        <w:rPr>
          <w:rFonts w:hint="eastAsia" w:ascii="宋体" w:hAnsi="宋体" w:cs="宋体"/>
          <w:color w:val="auto"/>
          <w:szCs w:val="21"/>
          <w:highlight w:val="none"/>
          <w:lang w:eastAsia="zh-CN"/>
        </w:rPr>
        <w:t>；项目正常运行三年后</w:t>
      </w:r>
      <w:r>
        <w:rPr>
          <w:rFonts w:ascii="宋体" w:hAnsi="宋体" w:cs="宋体"/>
          <w:color w:val="auto"/>
          <w:szCs w:val="21"/>
          <w:highlight w:val="none"/>
        </w:rPr>
        <w:t>30个工作日内，支付合同金额余款（即</w:t>
      </w:r>
      <w:r>
        <w:rPr>
          <w:rFonts w:hint="eastAsia" w:ascii="宋体" w:hAnsi="宋体" w:cs="宋体"/>
          <w:color w:val="auto"/>
          <w:szCs w:val="21"/>
          <w:highlight w:val="none"/>
          <w:lang w:val="en-US" w:eastAsia="zh-CN"/>
        </w:rPr>
        <w:t>5</w:t>
      </w:r>
      <w:r>
        <w:rPr>
          <w:rFonts w:ascii="宋体" w:hAnsi="宋体" w:cs="宋体"/>
          <w:color w:val="auto"/>
          <w:szCs w:val="21"/>
          <w:highlight w:val="none"/>
        </w:rPr>
        <w:t>%）。</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十、税费</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本合同执行中相关的一切税费均由乙方负担。</w:t>
      </w:r>
    </w:p>
    <w:p>
      <w:pPr>
        <w:pStyle w:val="11"/>
        <w:spacing w:line="360" w:lineRule="exact"/>
        <w:ind w:left="420" w:leftChars="200" w:firstLine="61" w:firstLineChars="29"/>
        <w:rPr>
          <w:rFonts w:hAnsi="宋体" w:cs="宋体"/>
          <w:color w:val="auto"/>
          <w:highlight w:val="none"/>
        </w:rPr>
      </w:pPr>
      <w:r>
        <w:rPr>
          <w:rFonts w:hint="eastAsia" w:hAnsi="宋体" w:cs="宋体"/>
          <w:b/>
          <w:color w:val="auto"/>
          <w:highlight w:val="none"/>
        </w:rPr>
        <w:t>十一、质量保证及售后服务</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1.乙方应按招标文件规定的货物性能、技术要求、质量标准向甲方提供未经使用的全新产品。</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2.乙方提供的货物在质保期内因货物本身的质量问题发生故障，乙方应负责免费更换。对达不到技</w:t>
      </w:r>
    </w:p>
    <w:p>
      <w:pPr>
        <w:pStyle w:val="11"/>
        <w:spacing w:line="360" w:lineRule="exact"/>
        <w:rPr>
          <w:rFonts w:hAnsi="宋体" w:cs="宋体"/>
          <w:color w:val="auto"/>
          <w:highlight w:val="none"/>
        </w:rPr>
      </w:pPr>
      <w:r>
        <w:rPr>
          <w:rFonts w:hint="eastAsia" w:hAnsi="宋体" w:cs="宋体"/>
          <w:color w:val="auto"/>
          <w:highlight w:val="none"/>
        </w:rPr>
        <w:t>术要求者，根据实际情况，经双方协商，可按以下办法处理：</w:t>
      </w:r>
    </w:p>
    <w:p>
      <w:pPr>
        <w:pStyle w:val="11"/>
        <w:spacing w:line="360" w:lineRule="exact"/>
        <w:ind w:firstLine="420"/>
        <w:rPr>
          <w:rFonts w:hAnsi="宋体" w:cs="宋体"/>
          <w:color w:val="auto"/>
          <w:highlight w:val="none"/>
        </w:rPr>
      </w:pPr>
      <w:r>
        <w:rPr>
          <w:rFonts w:hint="eastAsia" w:hAnsi="宋体" w:cs="宋体"/>
          <w:color w:val="auto"/>
          <w:highlight w:val="none"/>
        </w:rPr>
        <w:t>⑴更换：由乙方承担所发生的全部费用。</w:t>
      </w:r>
    </w:p>
    <w:p>
      <w:pPr>
        <w:pStyle w:val="11"/>
        <w:spacing w:line="360" w:lineRule="exact"/>
        <w:ind w:firstLine="420"/>
        <w:rPr>
          <w:rFonts w:hAnsi="宋体" w:cs="宋体"/>
          <w:color w:val="auto"/>
          <w:highlight w:val="none"/>
        </w:rPr>
      </w:pPr>
      <w:r>
        <w:rPr>
          <w:rFonts w:hint="eastAsia" w:hAnsi="宋体" w:cs="宋体"/>
          <w:color w:val="auto"/>
          <w:highlight w:val="none"/>
        </w:rPr>
        <w:t>⑵贬值处理：由甲乙双方合议定价。</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⑶退货处理：乙方应退还甲方支付的合同款，同时应承担该货物的直接费用（运输、保险、检验、货款利息及银行手续费等）。</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3.如在使用过程中发生质量问题，乙方在接到甲方通知后在</w:t>
      </w:r>
      <w:r>
        <w:rPr>
          <w:rFonts w:hint="eastAsia" w:hAnsi="宋体" w:cs="宋体"/>
          <w:color w:val="auto"/>
          <w:highlight w:val="none"/>
          <w:u w:val="single"/>
        </w:rPr>
        <w:t>2</w:t>
      </w:r>
      <w:r>
        <w:rPr>
          <w:rFonts w:hint="eastAsia" w:hAnsi="宋体" w:cs="宋体"/>
          <w:color w:val="auto"/>
          <w:highlight w:val="none"/>
        </w:rPr>
        <w:t>小时内到达甲方现场。</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4.在质保期内，乙方应对货物出现的质量及安全问题负责处理解决并承担一切费用。</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5.上述的货物免费保修期</w:t>
      </w:r>
      <w:r>
        <w:rPr>
          <w:rFonts w:hint="eastAsia" w:hAnsi="宋体" w:cs="宋体"/>
          <w:color w:val="auto"/>
          <w:highlight w:val="none"/>
          <w:u w:val="single"/>
        </w:rPr>
        <w:t xml:space="preserve"> 3  </w:t>
      </w:r>
      <w:r>
        <w:rPr>
          <w:rFonts w:hint="eastAsia" w:hAnsi="宋体" w:cs="宋体"/>
          <w:color w:val="auto"/>
          <w:highlight w:val="none"/>
        </w:rPr>
        <w:t>年，因人为因素出现的故障不在免费保修范围内。超过保修期的设备，终生维修，维修时只收部件成本费。</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十三、调试和检测</w:t>
      </w:r>
    </w:p>
    <w:p>
      <w:pPr>
        <w:pStyle w:val="11"/>
        <w:spacing w:line="360" w:lineRule="exact"/>
        <w:ind w:firstLine="420" w:firstLineChars="200"/>
        <w:jc w:val="left"/>
        <w:rPr>
          <w:rFonts w:hAnsi="宋体" w:cs="宋体"/>
          <w:color w:val="auto"/>
          <w:highlight w:val="none"/>
        </w:rPr>
      </w:pPr>
      <w:r>
        <w:rPr>
          <w:rFonts w:hint="eastAsia" w:hAnsi="宋体" w:cs="宋体"/>
          <w:color w:val="auto"/>
          <w:highlight w:val="none"/>
        </w:rPr>
        <w:t>1.甲方对乙方提交的货物依据招标文件上的技术规格要求和国家有关质量标准进行现场初步检测，外观、说明书符合招标文件技术要求的，给予签收，初步检测不合格的不予签收。货到后，甲方需在五个工作日内检测。</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2.乙方交货前应对产品作出全面检查和对检测文件进行整理，并列出清单，作为甲方收货检测和使用的技术条件依据，检验的结果应随货物交甲方。</w:t>
      </w:r>
    </w:p>
    <w:p>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3.甲方对乙方提供的货物在使用前进行调试时，乙方需负责安装并培训甲方的使用操作人员，并协助甲方一起调试，直到符合技术要求，甲方才做最终验收。</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4.对技术复杂的货物，甲方应请国家认可的专业检测机构参与初步检测及最终检测，并由其出具质量检测报告。</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5.检测时乙方必须在现场，检测完毕后作出检测结果报告；检测费用由乙方负责。</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十四、货物包装、发运及运输</w:t>
      </w:r>
    </w:p>
    <w:p>
      <w:pPr>
        <w:pStyle w:val="11"/>
        <w:spacing w:line="360" w:lineRule="exact"/>
        <w:ind w:left="420" w:leftChars="200"/>
        <w:rPr>
          <w:rFonts w:hAnsi="宋体" w:cs="宋体"/>
          <w:color w:val="auto"/>
          <w:highlight w:val="none"/>
        </w:rPr>
      </w:pPr>
      <w:r>
        <w:rPr>
          <w:rFonts w:hint="eastAsia" w:hAnsi="宋体" w:cs="宋体"/>
          <w:color w:val="auto"/>
          <w:highlight w:val="none"/>
        </w:rPr>
        <w:t>1.乙方应在货物发运前对其进行满足运输距离、防潮、防震、防锈和防破损装卸等要求包装，以保</w:t>
      </w:r>
    </w:p>
    <w:p>
      <w:pPr>
        <w:pStyle w:val="11"/>
        <w:spacing w:line="360" w:lineRule="exact"/>
        <w:rPr>
          <w:rFonts w:hAnsi="宋体" w:cs="宋体"/>
          <w:color w:val="auto"/>
          <w:highlight w:val="none"/>
        </w:rPr>
      </w:pPr>
      <w:r>
        <w:rPr>
          <w:rFonts w:hint="eastAsia" w:hAnsi="宋体" w:cs="宋体"/>
          <w:color w:val="auto"/>
          <w:highlight w:val="none"/>
        </w:rPr>
        <w:t>证货物安全运达甲方指定地点。</w:t>
      </w:r>
    </w:p>
    <w:p>
      <w:pPr>
        <w:pStyle w:val="11"/>
        <w:spacing w:line="360" w:lineRule="exact"/>
        <w:ind w:left="420" w:leftChars="200"/>
        <w:rPr>
          <w:rFonts w:hAnsi="宋体" w:cs="宋体"/>
          <w:color w:val="auto"/>
          <w:highlight w:val="none"/>
        </w:rPr>
      </w:pPr>
      <w:r>
        <w:rPr>
          <w:rFonts w:hint="eastAsia" w:hAnsi="宋体" w:cs="宋体"/>
          <w:color w:val="auto"/>
          <w:highlight w:val="none"/>
        </w:rPr>
        <w:t>2.使用说明书、质量检验证明书、随配附件和工具以及清单一并附于货物内。</w:t>
      </w:r>
    </w:p>
    <w:p>
      <w:pPr>
        <w:pStyle w:val="11"/>
        <w:spacing w:line="360" w:lineRule="exact"/>
        <w:ind w:left="420" w:leftChars="200"/>
        <w:rPr>
          <w:rFonts w:hAnsi="宋体" w:cs="宋体"/>
          <w:color w:val="auto"/>
          <w:highlight w:val="none"/>
        </w:rPr>
      </w:pPr>
      <w:r>
        <w:rPr>
          <w:rFonts w:hint="eastAsia" w:hAnsi="宋体" w:cs="宋体"/>
          <w:color w:val="auto"/>
          <w:highlight w:val="none"/>
        </w:rPr>
        <w:t>3.乙方在货物发运手续办理完毕后24小时内或货到甲方48小时前通知甲方，以准备接货。</w:t>
      </w:r>
    </w:p>
    <w:p>
      <w:pPr>
        <w:pStyle w:val="11"/>
        <w:spacing w:line="360" w:lineRule="exact"/>
        <w:ind w:left="420" w:leftChars="200"/>
        <w:rPr>
          <w:rFonts w:hAnsi="宋体" w:cs="宋体"/>
          <w:color w:val="auto"/>
          <w:highlight w:val="none"/>
        </w:rPr>
      </w:pPr>
      <w:r>
        <w:rPr>
          <w:rFonts w:hint="eastAsia" w:hAnsi="宋体" w:cs="宋体"/>
          <w:color w:val="auto"/>
          <w:highlight w:val="none"/>
        </w:rPr>
        <w:t>4.货物在交付甲方前发生的风险均由乙方负责。</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5.货物在规定的交付期限内由乙方送达甲方指定的地点视为交付，乙方同时需通知甲方货物已送达。</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十五、违约责任</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1.甲方无正当理由拒收货物的，甲方向乙方偿付拒收货款总值的百分之五违约金。</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2.甲方无故逾期检测和办理货款支付手续的,甲方应按逾期付款总额每日万分之五向乙方支付违约金。</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十六、不可抗力事件处理</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十七、诉讼</w:t>
      </w:r>
    </w:p>
    <w:p>
      <w:pPr>
        <w:pStyle w:val="11"/>
        <w:spacing w:line="360" w:lineRule="exact"/>
        <w:ind w:left="420" w:hanging="420" w:hangingChars="200"/>
        <w:rPr>
          <w:rFonts w:hAnsi="宋体" w:cs="宋体"/>
          <w:color w:val="auto"/>
          <w:highlight w:val="none"/>
        </w:rPr>
      </w:pPr>
      <w:r>
        <w:rPr>
          <w:rFonts w:hint="eastAsia" w:hAnsi="宋体" w:cs="宋体"/>
          <w:color w:val="auto"/>
          <w:highlight w:val="none"/>
        </w:rPr>
        <w:t xml:space="preserve">    双方在执行合同中所发生的一切争议，应通过协商解决。如协商不成，可向甲方所在地法院起诉。</w:t>
      </w:r>
    </w:p>
    <w:p>
      <w:pPr>
        <w:pStyle w:val="11"/>
        <w:spacing w:line="360" w:lineRule="exact"/>
        <w:ind w:firstLine="422" w:firstLineChars="200"/>
        <w:rPr>
          <w:rFonts w:hAnsi="宋体" w:cs="宋体"/>
          <w:b/>
          <w:color w:val="auto"/>
          <w:highlight w:val="none"/>
        </w:rPr>
      </w:pPr>
      <w:r>
        <w:rPr>
          <w:rFonts w:hint="eastAsia" w:hAnsi="宋体" w:cs="宋体"/>
          <w:b/>
          <w:color w:val="auto"/>
          <w:highlight w:val="none"/>
        </w:rPr>
        <w:t>十八、合同生效及其它</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1. 合同经双方法定代表人或授权代表签字并加盖单位公章后生效。</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2.合同执行中涉及采购资金和采购内容修改或补充的，须经财政部门审批，方可作为主合同不可分割的一部分。</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3.本合同未尽事宜，遵照《合同法》有关条文执行。</w:t>
      </w:r>
    </w:p>
    <w:p>
      <w:pPr>
        <w:pStyle w:val="11"/>
        <w:spacing w:line="360" w:lineRule="exact"/>
        <w:ind w:firstLine="420" w:firstLineChars="200"/>
        <w:rPr>
          <w:rFonts w:hAnsi="宋体" w:cs="宋体"/>
          <w:color w:val="auto"/>
          <w:highlight w:val="none"/>
        </w:rPr>
      </w:pPr>
      <w:r>
        <w:rPr>
          <w:rFonts w:hint="eastAsia" w:hAnsi="宋体" w:cs="宋体"/>
          <w:color w:val="auto"/>
          <w:highlight w:val="none"/>
        </w:rPr>
        <w:t>4.本合同正本一式五份，具有同等法律效力，甲乙双方各执两份；采购代理机构一份。</w:t>
      </w:r>
    </w:p>
    <w:p>
      <w:pPr>
        <w:pStyle w:val="11"/>
        <w:spacing w:line="360" w:lineRule="exact"/>
        <w:ind w:left="420" w:hanging="420" w:hangingChars="200"/>
        <w:rPr>
          <w:rFonts w:hAnsi="宋体" w:cs="宋体"/>
          <w:color w:val="auto"/>
          <w:highlight w:val="none"/>
        </w:rPr>
      </w:pPr>
    </w:p>
    <w:p>
      <w:pPr>
        <w:pStyle w:val="11"/>
        <w:spacing w:line="360" w:lineRule="exact"/>
        <w:ind w:left="420" w:hanging="420" w:hangingChars="200"/>
        <w:rPr>
          <w:rFonts w:hAnsi="宋体" w:cs="宋体"/>
          <w:color w:val="auto"/>
          <w:highlight w:val="none"/>
        </w:rPr>
      </w:pPr>
    </w:p>
    <w:p>
      <w:pPr>
        <w:pStyle w:val="11"/>
        <w:spacing w:line="360" w:lineRule="exact"/>
        <w:ind w:left="420" w:hanging="420" w:hangingChars="200"/>
        <w:rPr>
          <w:rFonts w:hAnsi="宋体" w:cs="宋体"/>
          <w:color w:val="auto"/>
          <w:highlight w:val="none"/>
        </w:rPr>
      </w:pPr>
      <w:r>
        <w:rPr>
          <w:rFonts w:hint="eastAsia" w:hAnsi="宋体" w:cs="宋体"/>
          <w:color w:val="auto"/>
          <w:highlight w:val="none"/>
        </w:rPr>
        <w:t xml:space="preserve">  甲方：                                   乙方： </w:t>
      </w:r>
    </w:p>
    <w:p>
      <w:pPr>
        <w:pStyle w:val="11"/>
        <w:spacing w:line="360" w:lineRule="exact"/>
        <w:rPr>
          <w:rFonts w:hAnsi="宋体" w:cs="宋体"/>
          <w:color w:val="auto"/>
          <w:highlight w:val="none"/>
        </w:rPr>
      </w:pPr>
      <w:r>
        <w:rPr>
          <w:rFonts w:hint="eastAsia" w:hAnsi="宋体" w:cs="宋体"/>
          <w:color w:val="auto"/>
          <w:highlight w:val="none"/>
        </w:rPr>
        <w:t xml:space="preserve">  地址：                                   地址： </w:t>
      </w:r>
    </w:p>
    <w:p>
      <w:pPr>
        <w:pStyle w:val="11"/>
        <w:spacing w:line="360" w:lineRule="exact"/>
        <w:rPr>
          <w:rFonts w:hAnsi="宋体" w:cs="宋体"/>
          <w:color w:val="auto"/>
          <w:highlight w:val="none"/>
        </w:rPr>
      </w:pPr>
      <w:r>
        <w:rPr>
          <w:rFonts w:hint="eastAsia" w:hAnsi="宋体" w:cs="宋体"/>
          <w:color w:val="auto"/>
          <w:highlight w:val="none"/>
        </w:rPr>
        <w:t xml:space="preserve">  法定（授权）代表人：                     法定（授权）代表人：</w:t>
      </w:r>
    </w:p>
    <w:p>
      <w:pPr>
        <w:pStyle w:val="11"/>
        <w:spacing w:line="360" w:lineRule="exact"/>
        <w:rPr>
          <w:rFonts w:hAnsi="宋体" w:cs="宋体"/>
          <w:color w:val="auto"/>
          <w:highlight w:val="none"/>
        </w:rPr>
      </w:pPr>
      <w:r>
        <w:rPr>
          <w:rFonts w:hint="eastAsia" w:hAnsi="宋体" w:cs="宋体"/>
          <w:color w:val="auto"/>
          <w:highlight w:val="none"/>
        </w:rPr>
        <w:t xml:space="preserve">  签字日期：      年  月  日             </w:t>
      </w: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11"/>
        <w:snapToGrid w:val="0"/>
        <w:spacing w:before="120" w:after="120"/>
        <w:jc w:val="center"/>
        <w:rPr>
          <w:rFonts w:ascii="Times New Roman" w:hAnsi="Times New Roman" w:eastAsia="黑体"/>
          <w:b/>
          <w:bCs/>
          <w:color w:val="auto"/>
          <w:kern w:val="44"/>
          <w:sz w:val="32"/>
          <w:szCs w:val="44"/>
          <w:highlight w:val="none"/>
        </w:rPr>
      </w:pPr>
    </w:p>
    <w:p>
      <w:pPr>
        <w:pStyle w:val="2"/>
        <w:numPr>
          <w:ilvl w:val="0"/>
          <w:numId w:val="2"/>
        </w:numPr>
        <w:spacing w:before="0" w:after="0"/>
        <w:rPr>
          <w:color w:val="auto"/>
          <w:sz w:val="30"/>
          <w:szCs w:val="30"/>
          <w:highlight w:val="none"/>
          <w:lang w:val="zh-CN"/>
        </w:rPr>
      </w:pPr>
      <w:r>
        <w:rPr>
          <w:rFonts w:hint="eastAsia"/>
          <w:color w:val="auto"/>
          <w:sz w:val="30"/>
          <w:szCs w:val="30"/>
          <w:highlight w:val="none"/>
        </w:rPr>
        <w:t xml:space="preserve"> 投标文件格式</w:t>
      </w:r>
      <w:bookmarkEnd w:id="43"/>
    </w:p>
    <w:p>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pPr>
        <w:pStyle w:val="4"/>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ZJJWCG-2020-070</w:t>
      </w:r>
    </w:p>
    <w:p>
      <w:pPr>
        <w:pStyle w:val="6"/>
        <w:spacing w:line="320" w:lineRule="exact"/>
        <w:ind w:firstLine="976" w:firstLineChars="465"/>
        <w:rPr>
          <w:rFonts w:hint="eastAsia" w:ascii="宋体" w:hAnsi="宋体" w:eastAsia="宋体" w:cs="宋体"/>
          <w:bCs/>
          <w:color w:val="auto"/>
          <w:szCs w:val="21"/>
          <w:highlight w:val="none"/>
          <w:lang w:val="en-US" w:eastAsia="zh-CN"/>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line="32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4"/>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ZJJWCG-2020-070</w:t>
      </w:r>
    </w:p>
    <w:p>
      <w:pPr>
        <w:pStyle w:val="6"/>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line="32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4"/>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ZJJWCG-2020-070</w:t>
      </w:r>
    </w:p>
    <w:p>
      <w:pPr>
        <w:pStyle w:val="6"/>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line="32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line="32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3"/>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pPr>
        <w:pStyle w:val="4"/>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pPr>
        <w:pStyle w:val="4"/>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ZJJWCG-2020-070</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spacing w:line="32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autoSpaceDE w:val="0"/>
        <w:autoSpaceDN w:val="0"/>
        <w:spacing w:line="32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pPr>
        <w:autoSpaceDE w:val="0"/>
        <w:autoSpaceDN w:val="0"/>
        <w:spacing w:line="32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pPr>
        <w:autoSpaceDE w:val="0"/>
        <w:autoSpaceDN w:val="0"/>
        <w:spacing w:line="320" w:lineRule="exact"/>
        <w:jc w:val="left"/>
        <w:rPr>
          <w:rFonts w:hint="default"/>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）投标资格证明资料</w:t>
      </w:r>
      <w:r>
        <w:rPr>
          <w:rFonts w:ascii="宋体" w:hAnsi="宋体" w:cs="宋体"/>
          <w:color w:val="auto"/>
          <w:szCs w:val="21"/>
          <w:highlight w:val="none"/>
        </w:rPr>
        <w:t>————————</w:t>
      </w:r>
    </w:p>
    <w:p>
      <w:pPr>
        <w:autoSpaceDE w:val="0"/>
        <w:autoSpaceDN w:val="0"/>
        <w:spacing w:line="32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）法定代表人有效身份证明书</w:t>
      </w:r>
      <w:r>
        <w:rPr>
          <w:rFonts w:ascii="宋体" w:hAnsi="宋体" w:cs="宋体"/>
          <w:color w:val="auto"/>
          <w:szCs w:val="21"/>
          <w:highlight w:val="none"/>
        </w:rPr>
        <w:t>————————</w:t>
      </w:r>
    </w:p>
    <w:p>
      <w:pPr>
        <w:autoSpaceDE w:val="0"/>
        <w:autoSpaceDN w:val="0"/>
        <w:spacing w:line="32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）法定代表人授权委托书</w:t>
      </w:r>
      <w:r>
        <w:rPr>
          <w:rFonts w:ascii="宋体" w:hAnsi="宋体" w:cs="宋体"/>
          <w:color w:val="auto"/>
          <w:szCs w:val="21"/>
          <w:highlight w:val="none"/>
        </w:rPr>
        <w:t>————————</w:t>
      </w:r>
    </w:p>
    <w:p>
      <w:pPr>
        <w:pStyle w:val="4"/>
        <w:adjustRightInd w:val="0"/>
        <w:snapToGrid w:val="0"/>
        <w:spacing w:line="300" w:lineRule="exact"/>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pPr>
        <w:pStyle w:val="4"/>
        <w:spacing w:line="300" w:lineRule="exact"/>
        <w:rPr>
          <w:rFonts w:hint="default"/>
          <w:color w:val="auto"/>
          <w:sz w:val="21"/>
          <w:szCs w:val="21"/>
          <w:highlight w:val="none"/>
          <w:lang w:val="zh-CN"/>
        </w:rPr>
      </w:pPr>
      <w:r>
        <w:rPr>
          <w:color w:val="auto"/>
          <w:sz w:val="21"/>
          <w:szCs w:val="21"/>
          <w:highlight w:val="none"/>
        </w:rPr>
        <w:t>1.</w:t>
      </w:r>
      <w:r>
        <w:rPr>
          <w:color w:val="auto"/>
          <w:sz w:val="21"/>
          <w:szCs w:val="21"/>
          <w:highlight w:val="none"/>
          <w:lang w:val="zh-CN"/>
        </w:rPr>
        <w:t>投标资格审查表（自查）格式：（投标人根据自身情况如实填写）</w:t>
      </w:r>
    </w:p>
    <w:tbl>
      <w:tblPr>
        <w:tblStyle w:val="2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70"/>
        <w:gridCol w:w="735"/>
        <w:gridCol w:w="810"/>
        <w:gridCol w:w="780"/>
        <w:gridCol w:w="750"/>
        <w:gridCol w:w="690"/>
        <w:gridCol w:w="1716"/>
        <w:gridCol w:w="1102"/>
        <w:gridCol w:w="70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36" w:type="dxa"/>
            <w:gridSpan w:val="11"/>
            <w:tcBorders>
              <w:tl2br w:val="nil"/>
              <w:tr2bl w:val="nil"/>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采购人</w:t>
            </w:r>
          </w:p>
        </w:tc>
        <w:tc>
          <w:tcPr>
            <w:tcW w:w="4435" w:type="dxa"/>
            <w:gridSpan w:val="6"/>
            <w:tcBorders>
              <w:tl2br w:val="nil"/>
              <w:tr2bl w:val="nil"/>
            </w:tcBorders>
            <w:vAlign w:val="center"/>
          </w:tcPr>
          <w:p>
            <w:pPr>
              <w:widowControl/>
              <w:jc w:val="center"/>
              <w:rPr>
                <w:rFonts w:hint="default" w:ascii="宋体" w:hAnsi="宋体" w:cs="宋体"/>
                <w:color w:val="auto"/>
                <w:kern w:val="0"/>
                <w:szCs w:val="21"/>
                <w:highlight w:val="none"/>
              </w:rPr>
            </w:pPr>
          </w:p>
        </w:tc>
        <w:tc>
          <w:tcPr>
            <w:tcW w:w="2818" w:type="dxa"/>
            <w:gridSpan w:val="2"/>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项目编号</w:t>
            </w:r>
          </w:p>
        </w:tc>
        <w:tc>
          <w:tcPr>
            <w:tcW w:w="1398" w:type="dxa"/>
            <w:gridSpan w:val="2"/>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项目名称</w:t>
            </w:r>
          </w:p>
        </w:tc>
        <w:tc>
          <w:tcPr>
            <w:tcW w:w="8651" w:type="dxa"/>
            <w:gridSpan w:val="10"/>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restart"/>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资格要求</w:t>
            </w:r>
          </w:p>
        </w:tc>
        <w:tc>
          <w:tcPr>
            <w:tcW w:w="6151" w:type="dxa"/>
            <w:gridSpan w:val="7"/>
            <w:tcBorders>
              <w:tl2br w:val="nil"/>
              <w:tr2bl w:val="nil"/>
            </w:tcBorders>
            <w:vAlign w:val="center"/>
          </w:tcPr>
          <w:p>
            <w:pPr>
              <w:widowControl/>
              <w:jc w:val="center"/>
              <w:rPr>
                <w:rFonts w:hint="default" w:ascii="宋体" w:hAnsi="宋体" w:cs="宋体"/>
                <w:color w:val="auto"/>
                <w:szCs w:val="21"/>
                <w:highlight w:val="none"/>
              </w:rPr>
            </w:pPr>
            <w:r>
              <w:rPr>
                <w:rFonts w:ascii="宋体" w:hAnsi="宋体" w:cs="宋体"/>
                <w:color w:val="auto"/>
                <w:kern w:val="0"/>
                <w:szCs w:val="21"/>
                <w:highlight w:val="none"/>
              </w:rPr>
              <w:t>基本资格要求</w:t>
            </w:r>
          </w:p>
        </w:tc>
        <w:tc>
          <w:tcPr>
            <w:tcW w:w="1102"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落实政府采购政策需满足的资格要求</w:t>
            </w:r>
          </w:p>
        </w:tc>
        <w:tc>
          <w:tcPr>
            <w:tcW w:w="708"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特定</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要求</w:t>
            </w:r>
          </w:p>
        </w:tc>
        <w:tc>
          <w:tcPr>
            <w:tcW w:w="690"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审查</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Cs w:val="21"/>
                <w:highlight w:val="none"/>
              </w:rPr>
            </w:pPr>
          </w:p>
        </w:tc>
        <w:tc>
          <w:tcPr>
            <w:tcW w:w="4435" w:type="dxa"/>
            <w:gridSpan w:val="6"/>
            <w:tcBorders>
              <w:tl2br w:val="nil"/>
              <w:tr2bl w:val="nil"/>
            </w:tcBorders>
            <w:vAlign w:val="center"/>
          </w:tcPr>
          <w:p>
            <w:pPr>
              <w:widowControl/>
              <w:adjustRightInd w:val="0"/>
              <w:snapToGrid w:val="0"/>
              <w:jc w:val="center"/>
              <w:rPr>
                <w:rFonts w:hint="default" w:ascii="宋体" w:hAnsi="宋体" w:cs="宋体"/>
                <w:color w:val="auto"/>
                <w:szCs w:val="21"/>
                <w:highlight w:val="none"/>
              </w:rPr>
            </w:pPr>
            <w:r>
              <w:rPr>
                <w:rFonts w:ascii="宋体" w:hAnsi="宋体" w:cs="宋体"/>
                <w:color w:val="auto"/>
                <w:szCs w:val="21"/>
                <w:highlight w:val="none"/>
              </w:rPr>
              <w:t>满足《中华人民共和国政府采购法》第二十二条规定</w:t>
            </w:r>
          </w:p>
        </w:tc>
        <w:tc>
          <w:tcPr>
            <w:tcW w:w="1716" w:type="dxa"/>
            <w:vMerge w:val="restart"/>
            <w:tcBorders>
              <w:tl2br w:val="nil"/>
              <w:tr2bl w:val="nil"/>
            </w:tcBorders>
            <w:vAlign w:val="center"/>
          </w:tcPr>
          <w:p>
            <w:pPr>
              <w:widowControl/>
              <w:adjustRightInd w:val="0"/>
              <w:snapToGrid w:val="0"/>
              <w:jc w:val="left"/>
              <w:rPr>
                <w:rFonts w:hint="default" w:ascii="宋体" w:hAnsi="宋体" w:cs="宋体"/>
                <w:color w:val="auto"/>
                <w:szCs w:val="21"/>
                <w:highlight w:val="none"/>
              </w:rPr>
            </w:pPr>
            <w:r>
              <w:rPr>
                <w:rFonts w:ascii="宋体" w:hAnsi="宋体" w:cs="宋体"/>
                <w:color w:val="auto"/>
                <w:szCs w:val="21"/>
                <w:highlight w:val="none"/>
              </w:rPr>
              <w:t>未被“信用中国”（www.creditchina.gov.cn)、中国政府采购网（www.ccgp.gov.cn）列入失信被执行人、重大税收违法案件当事人名单、政府采购严重违法失信行为记录名单</w:t>
            </w:r>
          </w:p>
        </w:tc>
        <w:tc>
          <w:tcPr>
            <w:tcW w:w="1102" w:type="dxa"/>
            <w:vMerge w:val="restart"/>
            <w:tcBorders>
              <w:tl2br w:val="nil"/>
              <w:tr2bl w:val="nil"/>
            </w:tcBorders>
            <w:vAlign w:val="center"/>
          </w:tcPr>
          <w:p>
            <w:pPr>
              <w:widowControl/>
              <w:wordWrap w:val="0"/>
              <w:jc w:val="center"/>
              <w:rPr>
                <w:rFonts w:hint="default" w:ascii="宋体" w:hAnsi="宋体" w:cs="宋体"/>
                <w:color w:val="auto"/>
                <w:szCs w:val="21"/>
                <w:highlight w:val="none"/>
              </w:rPr>
            </w:pPr>
            <w:r>
              <w:rPr>
                <w:rFonts w:ascii="宋体" w:hAnsi="宋体" w:cs="宋体"/>
                <w:color w:val="auto"/>
                <w:kern w:val="0"/>
                <w:szCs w:val="21"/>
                <w:highlight w:val="none"/>
              </w:rPr>
              <w:t>无</w:t>
            </w:r>
          </w:p>
        </w:tc>
        <w:tc>
          <w:tcPr>
            <w:tcW w:w="708" w:type="dxa"/>
            <w:vMerge w:val="restart"/>
            <w:tcBorders>
              <w:tl2br w:val="nil"/>
              <w:tr2bl w:val="nil"/>
            </w:tcBorders>
            <w:vAlign w:val="center"/>
          </w:tcPr>
          <w:p>
            <w:pPr>
              <w:widowControl/>
              <w:wordWrap w:val="0"/>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lang w:val="zh-CN"/>
              </w:rPr>
              <w:t>无</w:t>
            </w:r>
          </w:p>
        </w:tc>
        <w:tc>
          <w:tcPr>
            <w:tcW w:w="690" w:type="dxa"/>
            <w:vMerge w:val="restart"/>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Cs w:val="21"/>
                <w:highlight w:val="none"/>
              </w:rPr>
            </w:pPr>
          </w:p>
        </w:tc>
        <w:tc>
          <w:tcPr>
            <w:tcW w:w="670"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具有独立承担民事责任的能力</w:t>
            </w:r>
          </w:p>
        </w:tc>
        <w:tc>
          <w:tcPr>
            <w:tcW w:w="735"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具有良好的商业信誉和健全的财务会计制度</w:t>
            </w:r>
          </w:p>
        </w:tc>
        <w:tc>
          <w:tcPr>
            <w:tcW w:w="810"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具有履行合同所必需的设备和专业技术能力</w:t>
            </w:r>
          </w:p>
        </w:tc>
        <w:tc>
          <w:tcPr>
            <w:tcW w:w="780"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具有依法缴纳税收和社会保障资金的良好记录</w:t>
            </w:r>
          </w:p>
        </w:tc>
        <w:tc>
          <w:tcPr>
            <w:tcW w:w="750"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参加政府采购活动前三年内，无重大违法记录</w:t>
            </w:r>
          </w:p>
        </w:tc>
        <w:tc>
          <w:tcPr>
            <w:tcW w:w="690" w:type="dxa"/>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r>
              <w:rPr>
                <w:rFonts w:ascii="宋体" w:hAnsi="宋体" w:cs="宋体"/>
                <w:color w:val="auto"/>
                <w:kern w:val="0"/>
                <w:szCs w:val="21"/>
                <w:highlight w:val="none"/>
              </w:rPr>
              <w:t>法律、行政法规规定的其他条件</w:t>
            </w:r>
          </w:p>
        </w:tc>
        <w:tc>
          <w:tcPr>
            <w:tcW w:w="1716" w:type="dxa"/>
            <w:vMerge w:val="continue"/>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c>
          <w:tcPr>
            <w:tcW w:w="1102" w:type="dxa"/>
            <w:vMerge w:val="continue"/>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c>
          <w:tcPr>
            <w:tcW w:w="708"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Cs w:val="21"/>
                <w:highlight w:val="none"/>
              </w:rPr>
            </w:pPr>
          </w:p>
        </w:tc>
        <w:tc>
          <w:tcPr>
            <w:tcW w:w="690" w:type="dxa"/>
            <w:vMerge w:val="continue"/>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5"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自查情况</w:t>
            </w:r>
          </w:p>
        </w:tc>
        <w:tc>
          <w:tcPr>
            <w:tcW w:w="67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735"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81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78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75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69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1716"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1102" w:type="dxa"/>
            <w:tcBorders>
              <w:tl2br w:val="nil"/>
              <w:tr2bl w:val="nil"/>
            </w:tcBorders>
            <w:vAlign w:val="center"/>
          </w:tcPr>
          <w:p>
            <w:pPr>
              <w:widowControl/>
              <w:wordWrap w:val="0"/>
              <w:jc w:val="center"/>
              <w:rPr>
                <w:rFonts w:hint="default" w:ascii="宋体" w:hAnsi="宋体" w:cs="宋体"/>
                <w:color w:val="auto"/>
                <w:kern w:val="0"/>
                <w:szCs w:val="21"/>
                <w:highlight w:val="none"/>
              </w:rPr>
            </w:pPr>
          </w:p>
        </w:tc>
        <w:tc>
          <w:tcPr>
            <w:tcW w:w="708"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690" w:type="dxa"/>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36" w:type="dxa"/>
            <w:gridSpan w:val="11"/>
            <w:tcBorders>
              <w:tl2br w:val="nil"/>
              <w:tr2bl w:val="nil"/>
            </w:tcBorders>
            <w:vAlign w:val="center"/>
          </w:tcPr>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注：</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1.具有独立承担民事责任的能力。</w:t>
            </w:r>
          </w:p>
          <w:p>
            <w:pPr>
              <w:widowControl/>
              <w:spacing w:line="240" w:lineRule="atLeast"/>
              <w:jc w:val="left"/>
              <w:rPr>
                <w:rFonts w:hint="default" w:ascii="宋体" w:hAnsi="宋体" w:cs="宋体"/>
                <w:color w:val="auto"/>
                <w:kern w:val="0"/>
                <w:szCs w:val="21"/>
                <w:highlight w:val="none"/>
              </w:rPr>
            </w:pPr>
            <w:r>
              <w:rPr>
                <w:rFonts w:ascii="宋体" w:hAnsi="宋体" w:cs="宋体"/>
                <w:b/>
                <w:bCs/>
                <w:color w:val="auto"/>
                <w:kern w:val="0"/>
                <w:szCs w:val="21"/>
                <w:highlight w:val="none"/>
              </w:rPr>
              <w:t>查投标人身份证明文件（有效的营业执照（或事业单位法人证书））</w:t>
            </w:r>
            <w:r>
              <w:rPr>
                <w:rFonts w:ascii="宋体" w:hAnsi="宋体" w:cs="宋体"/>
                <w:color w:val="auto"/>
                <w:kern w:val="0"/>
                <w:szCs w:val="21"/>
                <w:highlight w:val="none"/>
              </w:rPr>
              <w:t>。</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2.具有良好的商业信誉和健全的财务会计制度。</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查近两年内的财务报表（资产负债表及利润表或相关说明等）。</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3.具有履行合同所必需的设备和专业技术能力。</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查自行提供的承诺书，格式自拟。</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4.具有依法缴纳税收和社会保障资金的良好记录。</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查最近一个季度依法缴纳税收和社保费的证明。（注：依法缴纳税收证明为税费凭证或者依法缴纳税费或依法免缴税费的证明）</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5.参加政府采购活动前三年内，在经营活动中无重大违法记录。</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查自行提供的承诺书，格式自拟。</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6.法律、行政法规规定的其他条件。</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查自行提供的承诺书，格式自拟。</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7.未被“信用中国”（www.creditchina.gov.cn)、中国政府采购网（www.ccgp.gov.cn）列入失信被执行人、重大税收违法案件当事人名单、政府采购严重违法失信行为记录名单</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查自招标公告发布之后任意时间的“信用中国”（www.creditchina.gov.cn ）、中国政府采购网（www.ccgp.gov.cn ）投标人信用查询网页截图；（信用中国网站“失信被执行人”、“ 重大税收违法案件当事人” 的查询以及中国政府采购网“政府采购严重违法失信行为记录”的查询，具体要求详见投标人须知前附表）</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8.落实政府采购政策需满足的资格要求。</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无。</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9.特定资格要求。</w:t>
            </w:r>
          </w:p>
          <w:p>
            <w:pPr>
              <w:widowControl/>
              <w:spacing w:line="240" w:lineRule="atLeas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无。</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10.自查情况：</w:t>
            </w:r>
            <w:r>
              <w:rPr>
                <w:rFonts w:ascii="宋体" w:hAnsi="宋体" w:cs="宋体"/>
                <w:b/>
                <w:bCs/>
                <w:color w:val="auto"/>
                <w:kern w:val="0"/>
                <w:szCs w:val="21"/>
                <w:highlight w:val="none"/>
              </w:rPr>
              <w:t>符合要求的打“√”，不符合要求的打“×”。</w:t>
            </w:r>
          </w:p>
          <w:p>
            <w:pPr>
              <w:widowControl/>
              <w:spacing w:line="240" w:lineRule="atLeast"/>
              <w:jc w:val="left"/>
              <w:rPr>
                <w:rFonts w:hint="default" w:ascii="宋体" w:hAnsi="宋体" w:cs="宋体"/>
                <w:color w:val="auto"/>
                <w:kern w:val="0"/>
                <w:szCs w:val="21"/>
                <w:highlight w:val="none"/>
              </w:rPr>
            </w:pPr>
            <w:r>
              <w:rPr>
                <w:rFonts w:ascii="宋体" w:hAnsi="宋体" w:cs="宋体"/>
                <w:color w:val="auto"/>
                <w:kern w:val="0"/>
                <w:szCs w:val="21"/>
                <w:highlight w:val="none"/>
              </w:rPr>
              <w:t>11.资格审查结论为</w:t>
            </w:r>
            <w:r>
              <w:rPr>
                <w:rFonts w:ascii="宋体" w:hAnsi="宋体" w:cs="宋体"/>
                <w:b/>
                <w:bCs/>
                <w:color w:val="auto"/>
                <w:kern w:val="0"/>
                <w:szCs w:val="21"/>
                <w:highlight w:val="none"/>
              </w:rPr>
              <w:t>符合要求</w:t>
            </w:r>
            <w:r>
              <w:rPr>
                <w:rFonts w:ascii="宋体" w:hAnsi="宋体" w:cs="宋体"/>
                <w:color w:val="auto"/>
                <w:kern w:val="0"/>
                <w:szCs w:val="21"/>
                <w:highlight w:val="none"/>
              </w:rPr>
              <w:t>或</w:t>
            </w:r>
            <w:r>
              <w:rPr>
                <w:rFonts w:ascii="宋体" w:hAnsi="宋体" w:cs="宋体"/>
                <w:b/>
                <w:bCs/>
                <w:color w:val="auto"/>
                <w:kern w:val="0"/>
                <w:szCs w:val="21"/>
                <w:highlight w:val="none"/>
              </w:rPr>
              <w:t>不符合要求</w:t>
            </w:r>
            <w:r>
              <w:rPr>
                <w:rFonts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36" w:type="dxa"/>
            <w:gridSpan w:val="11"/>
            <w:tcBorders>
              <w:tl2br w:val="nil"/>
              <w:tr2bl w:val="nil"/>
            </w:tcBorders>
            <w:vAlign w:val="center"/>
          </w:tcPr>
          <w:p>
            <w:pPr>
              <w:spacing w:line="260" w:lineRule="exact"/>
              <w:jc w:val="left"/>
              <w:rPr>
                <w:rFonts w:hint="default" w:ascii="宋体" w:hAnsi="宋体" w:cs="宋体"/>
                <w:color w:val="auto"/>
                <w:szCs w:val="21"/>
                <w:highlight w:val="none"/>
              </w:rPr>
            </w:pPr>
            <w:r>
              <w:rPr>
                <w:rFonts w:ascii="宋体" w:hAnsi="宋体" w:cs="宋体"/>
                <w:color w:val="auto"/>
                <w:szCs w:val="21"/>
                <w:highlight w:val="none"/>
              </w:rPr>
              <w:t>投标人名称（盖章）：</w:t>
            </w:r>
          </w:p>
          <w:p>
            <w:pPr>
              <w:spacing w:line="260" w:lineRule="exact"/>
              <w:jc w:val="left"/>
              <w:rPr>
                <w:rFonts w:hint="default" w:ascii="宋体" w:hAnsi="宋体" w:cs="宋体"/>
                <w:color w:val="auto"/>
                <w:szCs w:val="21"/>
                <w:highlight w:val="none"/>
              </w:rPr>
            </w:pPr>
            <w:r>
              <w:rPr>
                <w:rFonts w:ascii="宋体" w:hAnsi="宋体" w:cs="宋体"/>
                <w:color w:val="auto"/>
                <w:szCs w:val="21"/>
                <w:highlight w:val="none"/>
              </w:rPr>
              <w:t>授权委托人（签字）：</w:t>
            </w:r>
          </w:p>
          <w:p>
            <w:pPr>
              <w:spacing w:line="260" w:lineRule="exact"/>
              <w:jc w:val="left"/>
              <w:rPr>
                <w:rFonts w:hint="default" w:ascii="宋体" w:hAnsi="宋体" w:cs="宋体"/>
                <w:color w:val="auto"/>
                <w:kern w:val="0"/>
                <w:szCs w:val="21"/>
                <w:highlight w:val="none"/>
              </w:rPr>
            </w:pPr>
            <w:r>
              <w:rPr>
                <w:rFonts w:ascii="宋体" w:hAnsi="宋体" w:cs="宋体"/>
                <w:color w:val="auto"/>
                <w:szCs w:val="21"/>
                <w:highlight w:val="none"/>
              </w:rPr>
              <w:t>日期：</w:t>
            </w:r>
          </w:p>
        </w:tc>
      </w:tr>
    </w:tbl>
    <w:p>
      <w:pPr>
        <w:pStyle w:val="4"/>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2.</w:t>
      </w:r>
      <w:r>
        <w:rPr>
          <w:rFonts w:ascii="宋体" w:hAnsi="宋体" w:cs="宋体"/>
          <w:color w:val="auto"/>
          <w:sz w:val="21"/>
          <w:szCs w:val="21"/>
          <w:highlight w:val="none"/>
          <w:lang w:val="zh-CN"/>
        </w:rPr>
        <w:t>投标资格证明资料（根据《投标资格审查表（自查）》中提及的资料如实提供，复印件加盖公章）</w:t>
      </w:r>
    </w:p>
    <w:p>
      <w:pPr>
        <w:spacing w:line="320" w:lineRule="exact"/>
        <w:rPr>
          <w:rFonts w:hint="default" w:ascii="宋体" w:hAnsi="宋体" w:cs="宋体"/>
          <w:color w:val="auto"/>
          <w:highlight w:val="none"/>
          <w:lang w:val="zh-CN"/>
        </w:rPr>
      </w:pPr>
    </w:p>
    <w:p>
      <w:pPr>
        <w:adjustRightInd w:val="0"/>
        <w:snapToGrid w:val="0"/>
        <w:spacing w:line="320" w:lineRule="exact"/>
        <w:rPr>
          <w:rFonts w:hint="default" w:ascii="宋体" w:hAnsi="宋体" w:cs="宋体"/>
          <w:b/>
          <w:color w:val="auto"/>
          <w:szCs w:val="21"/>
          <w:highlight w:val="none"/>
        </w:rPr>
      </w:pPr>
      <w:r>
        <w:rPr>
          <w:rFonts w:ascii="宋体" w:hAnsi="宋体" w:cs="宋体"/>
          <w:b/>
          <w:color w:val="auto"/>
          <w:szCs w:val="21"/>
          <w:highlight w:val="none"/>
        </w:rPr>
        <w:t>3.法定代表人有效身份证明书格式：</w:t>
      </w:r>
    </w:p>
    <w:p>
      <w:pPr>
        <w:pStyle w:val="9"/>
        <w:adjustRightInd w:val="0"/>
        <w:snapToGrid w:val="0"/>
        <w:spacing w:after="0" w:line="320" w:lineRule="exact"/>
        <w:ind w:firstLine="0" w:firstLineChars="0"/>
        <w:jc w:val="center"/>
        <w:rPr>
          <w:rFonts w:hint="default" w:ascii="宋体" w:hAnsi="宋体" w:cs="宋体"/>
          <w:color w:val="auto"/>
          <w:szCs w:val="21"/>
          <w:highlight w:val="none"/>
        </w:rPr>
      </w:pPr>
      <w:r>
        <w:rPr>
          <w:rFonts w:ascii="宋体" w:hAnsi="宋体" w:cs="宋体"/>
          <w:b/>
          <w:color w:val="auto"/>
          <w:szCs w:val="21"/>
          <w:highlight w:val="none"/>
        </w:rPr>
        <w:t>法定代表人有效身份证明书</w:t>
      </w:r>
    </w:p>
    <w:p>
      <w:pPr>
        <w:pStyle w:val="6"/>
        <w:adjustRightInd w:val="0"/>
        <w:snapToGrid w:val="0"/>
        <w:spacing w:line="320" w:lineRule="exact"/>
        <w:ind w:firstLine="735" w:firstLineChars="350"/>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w:t>
      </w:r>
    </w:p>
    <w:p>
      <w:pPr>
        <w:pStyle w:val="6"/>
        <w:adjustRightInd w:val="0"/>
        <w:snapToGrid w:val="0"/>
        <w:spacing w:line="320" w:lineRule="exact"/>
        <w:ind w:firstLine="0"/>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6"/>
        <w:adjustRightInd w:val="0"/>
        <w:snapToGrid w:val="0"/>
        <w:spacing w:line="32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特此证明！</w:t>
      </w:r>
    </w:p>
    <w:p>
      <w:pPr>
        <w:pStyle w:val="6"/>
        <w:adjustRightInd w:val="0"/>
        <w:snapToGrid w:val="0"/>
        <w:spacing w:line="32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pPr>
        <w:pStyle w:val="6"/>
        <w:adjustRightInd w:val="0"/>
        <w:snapToGrid w:val="0"/>
        <w:spacing w:line="32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法定代表人或其授权代理人（签名或盖章）</w:t>
      </w:r>
    </w:p>
    <w:p>
      <w:pPr>
        <w:pStyle w:val="6"/>
        <w:adjustRightInd w:val="0"/>
        <w:snapToGrid w:val="0"/>
        <w:spacing w:line="320" w:lineRule="exact"/>
        <w:ind w:firstLine="327" w:firstLineChars="156"/>
        <w:jc w:val="center"/>
        <w:rPr>
          <w:rFonts w:hint="default" w:ascii="宋体" w:hAnsi="宋体" w:cs="宋体"/>
          <w:color w:val="auto"/>
          <w:szCs w:val="21"/>
          <w:highlight w:val="none"/>
        </w:rPr>
      </w:pPr>
    </w:p>
    <w:p>
      <w:pPr>
        <w:pStyle w:val="6"/>
        <w:adjustRightInd w:val="0"/>
        <w:snapToGrid w:val="0"/>
        <w:spacing w:line="32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日期：    年   月   日</w:t>
      </w:r>
    </w:p>
    <w:p>
      <w:pPr>
        <w:pStyle w:val="6"/>
        <w:adjustRightInd w:val="0"/>
        <w:snapToGrid w:val="0"/>
        <w:spacing w:line="320" w:lineRule="exact"/>
        <w:ind w:firstLine="327" w:firstLineChars="156"/>
        <w:rPr>
          <w:rFonts w:hint="default" w:ascii="宋体" w:hAnsi="宋体" w:cs="宋体"/>
          <w:color w:val="auto"/>
          <w:szCs w:val="21"/>
          <w:highlight w:val="none"/>
        </w:rPr>
      </w:pPr>
    </w:p>
    <w:p>
      <w:pPr>
        <w:pStyle w:val="6"/>
        <w:adjustRightInd w:val="0"/>
        <w:snapToGrid w:val="0"/>
        <w:spacing w:line="32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6"/>
        <w:adjustRightInd w:val="0"/>
        <w:snapToGrid w:val="0"/>
        <w:spacing w:line="32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有效身份证明复印件粘贴处</w:t>
      </w:r>
    </w:p>
    <w:p>
      <w:pPr>
        <w:pStyle w:val="6"/>
        <w:adjustRightInd w:val="0"/>
        <w:snapToGrid w:val="0"/>
        <w:spacing w:line="320" w:lineRule="exact"/>
        <w:ind w:firstLine="327" w:firstLineChars="156"/>
        <w:jc w:val="center"/>
        <w:rPr>
          <w:rFonts w:hint="default" w:ascii="宋体" w:hAnsi="宋体" w:cs="宋体"/>
          <w:color w:val="auto"/>
          <w:szCs w:val="21"/>
          <w:highlight w:val="none"/>
        </w:rPr>
      </w:pPr>
    </w:p>
    <w:p>
      <w:pPr>
        <w:adjustRightInd w:val="0"/>
        <w:snapToGrid w:val="0"/>
        <w:spacing w:line="320" w:lineRule="exact"/>
        <w:rPr>
          <w:rFonts w:hint="default" w:ascii="宋体" w:hAnsi="宋体" w:cs="宋体"/>
          <w:b/>
          <w:color w:val="auto"/>
          <w:szCs w:val="21"/>
          <w:highlight w:val="none"/>
          <w:lang w:val="zh-CN"/>
        </w:rPr>
      </w:pPr>
      <w:r>
        <w:rPr>
          <w:rFonts w:ascii="宋体" w:hAnsi="宋体" w:cs="宋体"/>
          <w:b/>
          <w:color w:val="auto"/>
          <w:szCs w:val="21"/>
          <w:highlight w:val="none"/>
        </w:rPr>
        <w:t>4.法定代表人授权委托书格式：</w:t>
      </w:r>
    </w:p>
    <w:p>
      <w:pPr>
        <w:autoSpaceDE w:val="0"/>
        <w:autoSpaceDN w:val="0"/>
        <w:adjustRightInd w:val="0"/>
        <w:snapToGrid w:val="0"/>
        <w:spacing w:line="32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法定代表人授权委托书</w:t>
      </w:r>
    </w:p>
    <w:p>
      <w:pPr>
        <w:autoSpaceDE w:val="0"/>
        <w:autoSpaceDN w:val="0"/>
        <w:adjustRightInd w:val="0"/>
        <w:snapToGrid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pPr>
        <w:autoSpaceDE w:val="0"/>
        <w:autoSpaceDN w:val="0"/>
        <w:adjustRightInd w:val="0"/>
        <w:snapToGrid w:val="0"/>
        <w:spacing w:line="320" w:lineRule="exact"/>
        <w:ind w:firstLine="720"/>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长兴县卫生健康局县域医共体信息化示范提升及基层补偿机制改革二期项目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pPr>
        <w:autoSpaceDE w:val="0"/>
        <w:autoSpaceDN w:val="0"/>
        <w:adjustRightInd w:val="0"/>
        <w:snapToGrid w:val="0"/>
        <w:spacing w:line="32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法定代表人签名：</w:t>
      </w:r>
      <w:r>
        <w:rPr>
          <w:rFonts w:ascii="宋体" w:hAnsi="宋体" w:cs="宋体"/>
          <w:color w:val="auto"/>
          <w:szCs w:val="21"/>
          <w:highlight w:val="none"/>
          <w:u w:val="single"/>
          <w:lang w:val="zh-CN"/>
        </w:rPr>
        <w:t xml:space="preserve">          </w:t>
      </w:r>
    </w:p>
    <w:p>
      <w:pPr>
        <w:autoSpaceDE w:val="0"/>
        <w:autoSpaceDN w:val="0"/>
        <w:adjustRightInd w:val="0"/>
        <w:snapToGrid w:val="0"/>
        <w:spacing w:line="320" w:lineRule="exact"/>
        <w:ind w:firstLine="840" w:firstLineChars="400"/>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20" w:lineRule="exact"/>
        <w:ind w:firstLine="6447" w:firstLineChars="307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pPr>
        <w:autoSpaceDE w:val="0"/>
        <w:autoSpaceDN w:val="0"/>
        <w:adjustRightInd w:val="0"/>
        <w:snapToGrid w:val="0"/>
        <w:spacing w:line="32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9"/>
        <w:adjustRightInd w:val="0"/>
        <w:snapToGrid w:val="0"/>
        <w:spacing w:after="0" w:line="320" w:lineRule="exact"/>
        <w:ind w:firstLine="210"/>
        <w:rPr>
          <w:rFonts w:hint="default"/>
          <w:color w:val="auto"/>
          <w:highlight w:val="none"/>
        </w:rPr>
      </w:pPr>
    </w:p>
    <w:p>
      <w:pPr>
        <w:pStyle w:val="6"/>
        <w:adjustRightInd w:val="0"/>
        <w:snapToGrid w:val="0"/>
        <w:spacing w:line="32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6"/>
        <w:adjustRightInd w:val="0"/>
        <w:snapToGrid w:val="0"/>
        <w:spacing w:line="32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pPr>
        <w:pStyle w:val="9"/>
        <w:adjustRightInd w:val="0"/>
        <w:snapToGrid w:val="0"/>
        <w:spacing w:after="0" w:line="320" w:lineRule="exact"/>
        <w:ind w:firstLine="210"/>
        <w:rPr>
          <w:rFonts w:hint="default"/>
          <w:color w:val="auto"/>
          <w:highlight w:val="none"/>
        </w:rPr>
      </w:pPr>
    </w:p>
    <w:p>
      <w:pPr>
        <w:pStyle w:val="3"/>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color w:val="auto"/>
          <w:szCs w:val="21"/>
          <w:highlight w:val="none"/>
          <w:lang w:val="zh-CN"/>
        </w:rPr>
        <w:t>ZJJWCG-2020-070</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spacing w:line="32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pPr>
        <w:keepNext w:val="0"/>
        <w:keepLines w:val="0"/>
        <w:pageBreakBefore w:val="0"/>
        <w:kinsoku/>
        <w:wordWrap/>
        <w:overflowPunct/>
        <w:topLinePunct w:val="0"/>
        <w:bidi w:val="0"/>
        <w:adjustRightInd w:val="0"/>
        <w:snapToGrid w:val="0"/>
        <w:spacing w:line="300"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）投标声明书</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）投标人情况介绍</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w:t>
      </w:r>
      <w:r>
        <w:rPr>
          <w:rFonts w:hint="eastAsia" w:ascii="宋体" w:hAnsi="宋体" w:cs="宋体"/>
          <w:color w:val="auto"/>
          <w:szCs w:val="21"/>
          <w:highlight w:val="none"/>
          <w:lang w:val="zh-CN"/>
        </w:rPr>
        <w:t>企业信誉及认证</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w:t>
      </w:r>
      <w:r>
        <w:rPr>
          <w:rFonts w:ascii="宋体" w:hAnsi="宋体" w:cs="宋体"/>
          <w:color w:val="auto"/>
          <w:szCs w:val="21"/>
          <w:highlight w:val="none"/>
        </w:rPr>
        <w:t>企业</w:t>
      </w:r>
      <w:r>
        <w:rPr>
          <w:rFonts w:hint="eastAsia" w:ascii="宋体" w:hAnsi="宋体" w:cs="宋体"/>
          <w:color w:val="auto"/>
          <w:szCs w:val="21"/>
          <w:highlight w:val="none"/>
          <w:lang w:eastAsia="zh-CN"/>
        </w:rPr>
        <w:t>资质</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w:t>
      </w:r>
      <w:r>
        <w:rPr>
          <w:rFonts w:ascii="宋体" w:hAnsi="宋体" w:cs="宋体"/>
          <w:color w:val="auto"/>
          <w:szCs w:val="21"/>
          <w:highlight w:val="none"/>
        </w:rPr>
        <w:t>企业荣誉————————</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w:t>
      </w:r>
      <w:r>
        <w:rPr>
          <w:rFonts w:hint="eastAsia" w:ascii="宋体" w:hAnsi="宋体" w:cs="宋体"/>
          <w:color w:val="auto"/>
          <w:szCs w:val="21"/>
          <w:highlight w:val="none"/>
          <w:lang w:val="zh-CN"/>
        </w:rPr>
        <w:t>技术保障</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w:t>
      </w:r>
      <w:r>
        <w:rPr>
          <w:rFonts w:hint="eastAsia" w:ascii="宋体" w:hAnsi="宋体" w:cs="宋体"/>
          <w:color w:val="auto"/>
          <w:szCs w:val="21"/>
          <w:highlight w:val="none"/>
          <w:lang w:val="zh-CN"/>
        </w:rPr>
        <w:t>成功案例</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）项目组人员综合实力</w:t>
      </w:r>
      <w:r>
        <w:rPr>
          <w:rFonts w:ascii="宋体" w:hAnsi="宋体" w:cs="宋体"/>
          <w:color w:val="auto"/>
          <w:szCs w:val="21"/>
          <w:highlight w:val="none"/>
        </w:rPr>
        <w:t>————————</w:t>
      </w:r>
    </w:p>
    <w:p>
      <w:pPr>
        <w:pStyle w:val="9"/>
        <w:keepNext w:val="0"/>
        <w:keepLines w:val="0"/>
        <w:pageBreakBefore w:val="0"/>
        <w:kinsoku/>
        <w:wordWrap/>
        <w:overflowPunct/>
        <w:topLinePunct w:val="0"/>
        <w:bidi w:val="0"/>
        <w:adjustRightInd w:val="0"/>
        <w:snapToGrid w:val="0"/>
        <w:spacing w:after="0" w:line="300" w:lineRule="exact"/>
        <w:ind w:firstLineChars="200"/>
        <w:textAlignment w:val="auto"/>
        <w:rPr>
          <w:rFonts w:hint="default"/>
          <w:color w:val="auto"/>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）距采购人最近或者能为本项目提供最优服务的网点情况表</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w:t>
      </w:r>
      <w:r>
        <w:rPr>
          <w:rFonts w:ascii="宋体" w:hAnsi="宋体" w:cs="宋体"/>
          <w:color w:val="auto"/>
          <w:szCs w:val="21"/>
          <w:highlight w:val="none"/>
        </w:rPr>
        <w:t>售后服务————————</w:t>
      </w:r>
      <w:r>
        <w:rPr>
          <w:rFonts w:ascii="宋体" w:hAnsi="宋体" w:cs="宋体"/>
          <w:color w:val="auto"/>
          <w:szCs w:val="21"/>
          <w:highlight w:val="none"/>
          <w:lang w:val="zh-CN"/>
        </w:rPr>
        <w:t xml:space="preserve">              </w:t>
      </w:r>
    </w:p>
    <w:p>
      <w:pPr>
        <w:pStyle w:val="9"/>
        <w:keepNext w:val="0"/>
        <w:keepLines w:val="0"/>
        <w:pageBreakBefore w:val="0"/>
        <w:kinsoku/>
        <w:wordWrap/>
        <w:overflowPunct/>
        <w:topLinePunct w:val="0"/>
        <w:bidi w:val="0"/>
        <w:adjustRightInd w:val="0"/>
        <w:snapToGrid w:val="0"/>
        <w:spacing w:after="0" w:line="300" w:lineRule="exact"/>
        <w:ind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）商务响应表</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）政策分相关证明资料</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）项目理解</w:t>
      </w:r>
      <w:r>
        <w:rPr>
          <w:rFonts w:ascii="宋体" w:hAnsi="宋体" w:cs="宋体"/>
          <w:color w:val="auto"/>
          <w:szCs w:val="21"/>
          <w:highlight w:val="none"/>
        </w:rPr>
        <w:t>————————</w:t>
      </w:r>
      <w:r>
        <w:rPr>
          <w:rFonts w:ascii="宋体" w:hAnsi="宋体" w:cs="宋体"/>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）总体设计方案</w:t>
      </w:r>
      <w:r>
        <w:rPr>
          <w:rFonts w:ascii="宋体" w:hAnsi="宋体" w:cs="宋体"/>
          <w:color w:val="auto"/>
          <w:szCs w:val="21"/>
          <w:highlight w:val="none"/>
        </w:rPr>
        <w:t>————————</w:t>
      </w:r>
      <w:r>
        <w:rPr>
          <w:rFonts w:ascii="宋体" w:hAnsi="宋体" w:cs="宋体"/>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）项目实施方案</w:t>
      </w:r>
      <w:r>
        <w:rPr>
          <w:rFonts w:ascii="宋体" w:hAnsi="宋体" w:cs="宋体"/>
          <w:color w:val="auto"/>
          <w:szCs w:val="21"/>
          <w:highlight w:val="none"/>
        </w:rPr>
        <w:t>————————</w:t>
      </w:r>
      <w:r>
        <w:rPr>
          <w:rFonts w:ascii="宋体" w:hAnsi="宋体" w:cs="宋体"/>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）系统融合性</w:t>
      </w:r>
      <w:r>
        <w:rPr>
          <w:rFonts w:ascii="宋体" w:hAnsi="宋体" w:cs="宋体"/>
          <w:color w:val="auto"/>
          <w:szCs w:val="21"/>
          <w:highlight w:val="none"/>
        </w:rPr>
        <w:t>————————</w:t>
      </w:r>
      <w:r>
        <w:rPr>
          <w:rFonts w:ascii="宋体" w:hAnsi="宋体" w:cs="宋体"/>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）技术响应表</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20</w:t>
      </w:r>
      <w:r>
        <w:rPr>
          <w:rFonts w:ascii="宋体" w:hAnsi="宋体" w:cs="宋体"/>
          <w:color w:val="auto"/>
          <w:szCs w:val="21"/>
          <w:highlight w:val="none"/>
          <w:lang w:val="zh-CN"/>
        </w:rPr>
        <w:t>）服务清单（均不含报价）</w:t>
      </w:r>
      <w:r>
        <w:rPr>
          <w:rFonts w:ascii="宋体" w:hAnsi="宋体" w:cs="宋体"/>
          <w:color w:val="auto"/>
          <w:szCs w:val="21"/>
          <w:highlight w:val="none"/>
        </w:rPr>
        <w:t>————————</w:t>
      </w:r>
    </w:p>
    <w:p>
      <w:pPr>
        <w:keepNext w:val="0"/>
        <w:keepLines w:val="0"/>
        <w:pageBreakBefore w:val="0"/>
        <w:kinsoku/>
        <w:wordWrap/>
        <w:overflowPunct/>
        <w:topLinePunct w:val="0"/>
        <w:autoSpaceDE w:val="0"/>
        <w:autoSpaceDN w:val="0"/>
        <w:bidi w:val="0"/>
        <w:adjustRightInd w:val="0"/>
        <w:snapToGrid w:val="0"/>
        <w:spacing w:line="300"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21</w:t>
      </w:r>
      <w:r>
        <w:rPr>
          <w:rFonts w:ascii="宋体" w:hAnsi="宋体" w:cs="宋体"/>
          <w:color w:val="auto"/>
          <w:szCs w:val="21"/>
          <w:highlight w:val="none"/>
          <w:lang w:val="zh-CN"/>
        </w:rPr>
        <w:t>）项目实施人员（主要从业人员及其技术资格）一览表</w:t>
      </w:r>
      <w:r>
        <w:rPr>
          <w:rFonts w:ascii="宋体" w:hAnsi="宋体" w:cs="宋体"/>
          <w:color w:val="auto"/>
          <w:szCs w:val="21"/>
          <w:highlight w:val="none"/>
        </w:rPr>
        <w:t>————————</w:t>
      </w:r>
      <w:r>
        <w:rPr>
          <w:rFonts w:ascii="宋体" w:hAnsi="宋体" w:cs="宋体"/>
          <w:color w:val="auto"/>
          <w:szCs w:val="21"/>
          <w:highlight w:val="none"/>
          <w:lang w:val="zh-CN"/>
        </w:rPr>
        <w:t xml:space="preserve">        </w:t>
      </w:r>
    </w:p>
    <w:p>
      <w:pPr>
        <w:keepNext w:val="0"/>
        <w:keepLines w:val="0"/>
        <w:pageBreakBefore w:val="0"/>
        <w:widowControl/>
        <w:kinsoku/>
        <w:wordWrap/>
        <w:overflowPunct/>
        <w:topLinePunct w:val="0"/>
        <w:bidi w:val="0"/>
        <w:adjustRightInd w:val="0"/>
        <w:snapToGrid w:val="0"/>
        <w:spacing w:line="300" w:lineRule="exact"/>
        <w:jc w:val="left"/>
        <w:textAlignment w:val="auto"/>
        <w:rPr>
          <w:rFonts w:hint="default" w:ascii="宋体" w:hAnsi="宋体" w:cs="宋体"/>
          <w:b/>
          <w:color w:val="auto"/>
          <w:szCs w:val="21"/>
          <w:highlight w:val="none"/>
        </w:rPr>
      </w:pPr>
      <w:r>
        <w:rPr>
          <w:rFonts w:ascii="宋体" w:hAnsi="宋体" w:cs="华文仿宋"/>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）投标人需要说明的其他文件和说明</w:t>
      </w:r>
      <w:r>
        <w:rPr>
          <w:rFonts w:ascii="宋体" w:hAnsi="宋体" w:cs="宋体"/>
          <w:color w:val="auto"/>
          <w:szCs w:val="21"/>
          <w:highlight w:val="none"/>
        </w:rPr>
        <w:t>————————</w:t>
      </w:r>
    </w:p>
    <w:p>
      <w:pPr>
        <w:pStyle w:val="4"/>
        <w:adjustRightInd w:val="0"/>
        <w:snapToGrid w:val="0"/>
        <w:spacing w:line="320" w:lineRule="exact"/>
        <w:rPr>
          <w:rFonts w:ascii="宋体" w:hAnsi="宋体" w:cs="宋体"/>
          <w:color w:val="auto"/>
          <w:sz w:val="21"/>
          <w:szCs w:val="21"/>
          <w:highlight w:val="none"/>
        </w:rPr>
      </w:pPr>
    </w:p>
    <w:p>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pPr>
        <w:snapToGrid w:val="0"/>
        <w:spacing w:before="120" w:beforeLines="50" w:after="50"/>
        <w:rPr>
          <w:rFonts w:hint="default"/>
          <w:b/>
          <w:color w:val="auto"/>
          <w:szCs w:val="21"/>
          <w:highlight w:val="none"/>
          <w:lang w:val="zh-CN"/>
        </w:rPr>
      </w:pPr>
      <w:r>
        <w:rPr>
          <w:b/>
          <w:color w:val="auto"/>
          <w:szCs w:val="21"/>
          <w:highlight w:val="none"/>
        </w:rPr>
        <w:t>1.</w:t>
      </w:r>
      <w:r>
        <w:rPr>
          <w:b/>
          <w:color w:val="auto"/>
          <w:szCs w:val="21"/>
          <w:highlight w:val="none"/>
          <w:lang w:val="zh-CN"/>
        </w:rPr>
        <w:t>商务分、技术分评分索引表格式：</w:t>
      </w:r>
    </w:p>
    <w:tbl>
      <w:tblPr>
        <w:tblStyle w:val="21"/>
        <w:tblpPr w:leftFromText="180" w:rightFromText="180" w:vertAnchor="text" w:horzAnchor="margin" w:tblpXSpec="center" w:tblpY="1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887"/>
        <w:gridCol w:w="1150"/>
        <w:gridCol w:w="1110"/>
        <w:gridCol w:w="396"/>
        <w:gridCol w:w="4824"/>
        <w:gridCol w:w="33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w:t>
            </w:r>
          </w:p>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号</w:t>
            </w:r>
          </w:p>
        </w:tc>
        <w:tc>
          <w:tcPr>
            <w:tcW w:w="887"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w:t>
            </w:r>
          </w:p>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内容</w:t>
            </w:r>
          </w:p>
        </w:tc>
        <w:tc>
          <w:tcPr>
            <w:tcW w:w="7480" w:type="dxa"/>
            <w:gridSpan w:val="4"/>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评分原则</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自</w:t>
            </w:r>
          </w:p>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w:t>
            </w: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restart"/>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887" w:type="dxa"/>
            <w:vMerge w:val="restart"/>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技术分</w:t>
            </w:r>
          </w:p>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（46分）</w:t>
            </w:r>
          </w:p>
        </w:tc>
        <w:tc>
          <w:tcPr>
            <w:tcW w:w="115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技术指标满足要求情况</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0-22</w:t>
            </w:r>
            <w:r>
              <w:rPr>
                <w:rFonts w:hint="eastAsia" w:ascii="宋体" w:hAnsi="宋体" w:eastAsia="宋体" w:cs="宋体"/>
                <w:bCs/>
                <w:color w:val="auto"/>
                <w:sz w:val="18"/>
                <w:szCs w:val="18"/>
                <w:highlight w:val="none"/>
                <w:lang w:eastAsia="zh-CN"/>
              </w:rPr>
              <w:t>）</w:t>
            </w:r>
          </w:p>
        </w:tc>
        <w:tc>
          <w:tcPr>
            <w:tcW w:w="6330" w:type="dxa"/>
            <w:gridSpan w:val="3"/>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是否符合用户最低要求技术参数指标，根据投标的技术指标和招标要求的满足程度打分。其中标★每偏离一项，将被扣</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分，其他每偏离一项，将被扣</w:t>
            </w:r>
            <w:r>
              <w:rPr>
                <w:rFonts w:hint="eastAsia" w:ascii="宋体" w:hAnsi="宋体" w:eastAsia="宋体" w:cs="宋体"/>
                <w:color w:val="auto"/>
                <w:sz w:val="18"/>
                <w:szCs w:val="18"/>
                <w:highlight w:val="none"/>
                <w:lang w:val="en-US" w:eastAsia="zh-CN"/>
              </w:rPr>
              <w:t>0.5</w:t>
            </w:r>
            <w:r>
              <w:rPr>
                <w:rFonts w:hint="eastAsia" w:ascii="宋体" w:hAnsi="宋体" w:eastAsia="宋体" w:cs="宋体"/>
                <w:color w:val="auto"/>
                <w:sz w:val="18"/>
                <w:szCs w:val="18"/>
                <w:highlight w:val="none"/>
              </w:rPr>
              <w:t>分，扣完为止。</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0-22分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项目理解</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（1）基于对长兴现有区域医疗健康信息化体系的了解，提供的</w:t>
            </w:r>
            <w:r>
              <w:rPr>
                <w:rFonts w:hint="eastAsia" w:ascii="宋体" w:hAnsi="宋体" w:eastAsia="宋体" w:cs="宋体"/>
                <w:color w:val="auto"/>
                <w:sz w:val="18"/>
                <w:szCs w:val="18"/>
                <w:highlight w:val="none"/>
                <w:lang w:eastAsia="zh-CN"/>
              </w:rPr>
              <w:t>项目建设</w:t>
            </w:r>
            <w:r>
              <w:rPr>
                <w:rFonts w:hint="eastAsia" w:ascii="宋体" w:hAnsi="宋体" w:eastAsia="宋体" w:cs="宋体"/>
                <w:color w:val="auto"/>
                <w:sz w:val="18"/>
                <w:szCs w:val="18"/>
                <w:highlight w:val="none"/>
              </w:rPr>
              <w:t>方案的优劣性</w:t>
            </w:r>
            <w:r>
              <w:rPr>
                <w:rFonts w:hint="eastAsia" w:ascii="宋体" w:hAnsi="宋体" w:eastAsia="宋体" w:cs="宋体"/>
                <w:color w:val="auto"/>
                <w:sz w:val="18"/>
                <w:szCs w:val="18"/>
                <w:highlight w:val="none"/>
                <w:lang w:eastAsia="zh-CN"/>
              </w:rPr>
              <w:t>综合评分，</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1分。</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（2）根据提供的对长兴县医疗区域健康信息化体系发展要点及报告的优劣性</w:t>
            </w:r>
            <w:r>
              <w:rPr>
                <w:rFonts w:hint="eastAsia" w:ascii="宋体" w:hAnsi="宋体" w:eastAsia="宋体" w:cs="宋体"/>
                <w:color w:val="auto"/>
                <w:sz w:val="18"/>
                <w:szCs w:val="18"/>
                <w:highlight w:val="none"/>
                <w:lang w:eastAsia="zh-CN"/>
              </w:rPr>
              <w:t>综合评分，</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1分。</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总体设计方案</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根据方案的技术架构的先进性、成熟性和合理性，以及对用户当前和未来发展的使用需求的满足程度得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项目实施方案</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根据投标人提供的完整的项目实施方案（包括组织机构、工作时间进度表、工作程序和步骤、管理和协调方法、关键步骤的思路和要点、质量保障措施、质量验收制度、质量保障机构、应急处置、培训组织安排）的完整性、针对性、合理性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1分。</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（2）根据投标人提供的</w:t>
            </w:r>
            <w:r>
              <w:rPr>
                <w:rFonts w:hint="eastAsia" w:ascii="宋体" w:hAnsi="宋体" w:eastAsia="宋体" w:cs="宋体"/>
                <w:color w:val="auto"/>
                <w:kern w:val="2"/>
                <w:sz w:val="18"/>
                <w:szCs w:val="18"/>
                <w:highlight w:val="none"/>
                <w:lang w:bidi="ar"/>
              </w:rPr>
              <w:t>方案设计、实施中关键技术解决方案、投标人根据自身经验对项目需求进行优化设计</w:t>
            </w:r>
            <w:r>
              <w:rPr>
                <w:rFonts w:hint="eastAsia" w:ascii="宋体" w:hAnsi="宋体" w:eastAsia="宋体" w:cs="宋体"/>
                <w:color w:val="auto"/>
                <w:sz w:val="18"/>
                <w:szCs w:val="18"/>
                <w:highlight w:val="none"/>
              </w:rPr>
              <w:t>的完整性、针对性、合理性得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1分。</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系统融合性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0-8</w:t>
            </w:r>
            <w:r>
              <w:rPr>
                <w:rFonts w:hint="eastAsia" w:ascii="宋体" w:hAnsi="宋体" w:eastAsia="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（1）项目内的医共体运行监测和综合监管系统须实现与医共体全民健康信息平台无缝对接，根据其对接方案的优劣性</w:t>
            </w:r>
            <w:r>
              <w:rPr>
                <w:rFonts w:hint="eastAsia" w:ascii="宋体" w:hAnsi="宋体" w:eastAsia="宋体" w:cs="宋体"/>
                <w:color w:val="auto"/>
                <w:sz w:val="18"/>
                <w:szCs w:val="18"/>
                <w:highlight w:val="none"/>
              </w:rPr>
              <w:t>得0-</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分；提供证明资料的得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分，未提供者不得分，证明资料复印件加盖公章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（2）项目内的区域卫生人事管理信息系统须实现与基层医疗机构补偿机制改革绩效考核系统无缝对接，根据其对接方案的优劣性</w:t>
            </w:r>
            <w:r>
              <w:rPr>
                <w:rFonts w:hint="eastAsia" w:ascii="宋体" w:hAnsi="宋体" w:eastAsia="宋体" w:cs="宋体"/>
                <w:color w:val="auto"/>
                <w:sz w:val="18"/>
                <w:szCs w:val="18"/>
                <w:highlight w:val="none"/>
              </w:rPr>
              <w:t>得0-</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分；提供证明资料的得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分，未提供者不得分，证明资料复印件加盖公章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（3）项目内的基层补偿机制改革绩效数据质控系统须实现与基层医疗机构补偿机制改革绩效考核系统无缝对接，根据其对接方案的优劣性</w:t>
            </w:r>
            <w:r>
              <w:rPr>
                <w:rFonts w:hint="eastAsia" w:ascii="宋体" w:hAnsi="宋体" w:eastAsia="宋体" w:cs="宋体"/>
                <w:color w:val="auto"/>
                <w:sz w:val="18"/>
                <w:szCs w:val="18"/>
                <w:highlight w:val="none"/>
              </w:rPr>
              <w:t>得0-</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分；提供证明资料的得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分，未提供者不得分，证明资料复印件加盖公章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（4）项目内的区域超声平台须实现与县域医共体内HIS系统、PACS系统的无缝对接，根据其对接方案的优劣性</w:t>
            </w:r>
            <w:r>
              <w:rPr>
                <w:rFonts w:hint="eastAsia" w:ascii="宋体" w:hAnsi="宋体" w:eastAsia="宋体" w:cs="宋体"/>
                <w:color w:val="auto"/>
                <w:sz w:val="18"/>
                <w:szCs w:val="18"/>
                <w:highlight w:val="none"/>
              </w:rPr>
              <w:t>得0-</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分；提供证明资料的得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分，未提供者不得分，证明资料复印件加盖公章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41" w:type="dxa"/>
            <w:shd w:val="clear" w:color="000000" w:fill="FFFFFF"/>
            <w:vAlign w:val="center"/>
          </w:tcPr>
          <w:p>
            <w:pPr>
              <w:pStyle w:val="9"/>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auto" w:fill="auto"/>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auto" w:fill="auto"/>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系统演示</w:t>
            </w:r>
            <w:r>
              <w:rPr>
                <w:rStyle w:val="25"/>
                <w:rFonts w:hint="eastAsia" w:ascii="宋体" w:hAnsi="宋体" w:eastAsia="宋体" w:cs="宋体"/>
                <w:color w:val="auto"/>
                <w:kern w:val="2"/>
                <w:sz w:val="18"/>
                <w:szCs w:val="18"/>
                <w:highlight w:val="none"/>
                <w:lang w:eastAsia="zh-CN"/>
              </w:rPr>
              <w:t>（需提供演示视频）（</w:t>
            </w:r>
            <w:r>
              <w:rPr>
                <w:rStyle w:val="25"/>
                <w:rFonts w:hint="eastAsia" w:ascii="宋体" w:hAnsi="宋体" w:eastAsia="宋体" w:cs="宋体"/>
                <w:color w:val="auto"/>
                <w:kern w:val="2"/>
                <w:sz w:val="18"/>
                <w:szCs w:val="18"/>
                <w:highlight w:val="none"/>
                <w:lang w:val="en-US" w:eastAsia="zh-CN"/>
              </w:rPr>
              <w:t>0-10</w:t>
            </w:r>
            <w:r>
              <w:rPr>
                <w:rStyle w:val="25"/>
                <w:rFonts w:hint="eastAsia" w:ascii="宋体" w:hAnsi="宋体" w:eastAsia="宋体" w:cs="宋体"/>
                <w:color w:val="auto"/>
                <w:kern w:val="2"/>
                <w:sz w:val="18"/>
                <w:szCs w:val="18"/>
                <w:highlight w:val="none"/>
                <w:lang w:eastAsia="zh-CN"/>
              </w:rPr>
              <w:t>）</w:t>
            </w:r>
          </w:p>
        </w:tc>
        <w:tc>
          <w:tcPr>
            <w:tcW w:w="1506" w:type="dxa"/>
            <w:gridSpan w:val="2"/>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演示视频要求：演示</w:t>
            </w:r>
            <w:r>
              <w:rPr>
                <w:rFonts w:hint="eastAsia" w:ascii="宋体" w:hAnsi="宋体" w:eastAsia="宋体" w:cs="宋体"/>
                <w:color w:val="auto"/>
                <w:sz w:val="18"/>
                <w:szCs w:val="18"/>
                <w:highlight w:val="none"/>
              </w:rPr>
              <w:t>时间约10分钟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不接受PPT演示，投标人须演示</w:t>
            </w:r>
            <w:r>
              <w:rPr>
                <w:rFonts w:hint="eastAsia" w:ascii="宋体" w:hAnsi="宋体" w:eastAsia="宋体" w:cs="宋体"/>
                <w:color w:val="auto"/>
                <w:sz w:val="18"/>
                <w:szCs w:val="18"/>
                <w:highlight w:val="none"/>
                <w:lang w:eastAsia="zh-CN"/>
              </w:rPr>
              <w:t>如下</w:t>
            </w:r>
            <w:r>
              <w:rPr>
                <w:rFonts w:hint="eastAsia" w:ascii="宋体" w:hAnsi="宋体" w:eastAsia="宋体" w:cs="宋体"/>
                <w:color w:val="auto"/>
                <w:sz w:val="18"/>
                <w:szCs w:val="18"/>
                <w:highlight w:val="none"/>
              </w:rPr>
              <w:t>全部功能点，部分演示</w:t>
            </w:r>
            <w:r>
              <w:rPr>
                <w:rFonts w:hint="eastAsia" w:ascii="宋体" w:hAnsi="宋体" w:eastAsia="宋体" w:cs="宋体"/>
                <w:color w:val="auto"/>
                <w:sz w:val="18"/>
                <w:szCs w:val="18"/>
                <w:highlight w:val="none"/>
                <w:lang w:eastAsia="zh-CN"/>
              </w:rPr>
              <w:t>相应扣分，</w:t>
            </w:r>
            <w:r>
              <w:rPr>
                <w:rFonts w:hint="eastAsia" w:ascii="宋体" w:hAnsi="宋体" w:eastAsia="宋体" w:cs="宋体"/>
                <w:color w:val="auto"/>
                <w:sz w:val="18"/>
                <w:szCs w:val="18"/>
                <w:highlight w:val="none"/>
              </w:rPr>
              <w:t>无演示，此项不得分</w:t>
            </w:r>
            <w:r>
              <w:rPr>
                <w:rFonts w:hint="eastAsia" w:ascii="宋体" w:hAnsi="宋体" w:eastAsia="宋体" w:cs="宋体"/>
                <w:color w:val="auto"/>
                <w:sz w:val="18"/>
                <w:szCs w:val="18"/>
                <w:highlight w:val="none"/>
                <w:lang w:eastAsia="zh-CN"/>
              </w:rPr>
              <w:t>：</w:t>
            </w:r>
          </w:p>
        </w:tc>
        <w:tc>
          <w:tcPr>
            <w:tcW w:w="4824"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（1）用户健康画像：收集各类健康相关数据，生成多个画像标签，包括体征用户疾病健康画像（如个人患病情况、疾病发展风险情况、个人体征情况、生活习惯与病史、个人报告、健康建议等</w:t>
            </w:r>
            <w:r>
              <w:rPr>
                <w:rFonts w:hint="eastAsia" w:ascii="宋体" w:hAnsi="宋体" w:eastAsia="宋体" w:cs="宋体"/>
                <w:color w:val="auto"/>
                <w:sz w:val="18"/>
                <w:szCs w:val="18"/>
                <w:highlight w:val="none"/>
                <w:lang w:eastAsia="zh-CN"/>
              </w:rPr>
              <w:t>功能点</w:t>
            </w:r>
            <w:r>
              <w:rPr>
                <w:rFonts w:hint="eastAsia" w:ascii="宋体" w:hAnsi="宋体" w:eastAsia="宋体" w:cs="宋体"/>
                <w:color w:val="auto"/>
                <w:sz w:val="18"/>
                <w:szCs w:val="18"/>
                <w:highlight w:val="none"/>
              </w:rPr>
              <w:t>）。满分5分，每少演示一个功能点扣1分，扣完为止。</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auto" w:fill="auto"/>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auto" w:fill="auto"/>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1506" w:type="dxa"/>
            <w:gridSpan w:val="2"/>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p>
        </w:tc>
        <w:tc>
          <w:tcPr>
            <w:tcW w:w="4824"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（2）疾病风险预测：收集各类健康相关数据，应用人工智能算法模型，对相应人群进行全面的疾病风险评估，预测5年患病如：冠心病、心肌梗死、脑卒中、高血压、糖尿病、慢性肾病、脂肪肝等疾病风险</w:t>
            </w:r>
            <w:r>
              <w:rPr>
                <w:rFonts w:hint="eastAsia" w:ascii="宋体" w:hAnsi="宋体" w:eastAsia="宋体" w:cs="宋体"/>
                <w:color w:val="auto"/>
                <w:sz w:val="18"/>
                <w:szCs w:val="18"/>
                <w:highlight w:val="none"/>
                <w:lang w:eastAsia="zh-CN"/>
              </w:rPr>
              <w:t>及推荐个性化健康方案</w:t>
            </w:r>
            <w:r>
              <w:rPr>
                <w:rFonts w:hint="eastAsia" w:ascii="宋体" w:hAnsi="宋体" w:eastAsia="宋体" w:cs="宋体"/>
                <w:color w:val="auto"/>
                <w:sz w:val="18"/>
                <w:szCs w:val="18"/>
                <w:highlight w:val="none"/>
              </w:rPr>
              <w:t>（包括饮食、运动、用药提醒、测量提醒、健康文档等）等</w:t>
            </w:r>
            <w:r>
              <w:rPr>
                <w:rFonts w:hint="eastAsia" w:ascii="宋体" w:hAnsi="宋体" w:eastAsia="宋体" w:cs="宋体"/>
                <w:color w:val="auto"/>
                <w:sz w:val="18"/>
                <w:szCs w:val="18"/>
                <w:highlight w:val="none"/>
                <w:lang w:eastAsia="zh-CN"/>
              </w:rPr>
              <w:t>功能点</w:t>
            </w:r>
            <w:r>
              <w:rPr>
                <w:rFonts w:hint="eastAsia" w:ascii="宋体" w:hAnsi="宋体" w:eastAsia="宋体" w:cs="宋体"/>
                <w:color w:val="auto"/>
                <w:sz w:val="18"/>
                <w:szCs w:val="18"/>
                <w:highlight w:val="none"/>
              </w:rPr>
              <w:t>。满分</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，每少演示一个功能点扣</w:t>
            </w:r>
            <w:r>
              <w:rPr>
                <w:rFonts w:hint="eastAsia" w:ascii="宋体" w:hAnsi="宋体" w:eastAsia="宋体" w:cs="宋体"/>
                <w:color w:val="auto"/>
                <w:sz w:val="18"/>
                <w:szCs w:val="18"/>
                <w:highlight w:val="none"/>
                <w:lang w:val="en-US" w:eastAsia="zh-CN"/>
              </w:rPr>
              <w:t>1分，扣完为止。</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restart"/>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87" w:type="dxa"/>
            <w:vMerge w:val="restart"/>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商务分</w:t>
            </w:r>
          </w:p>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（24分）</w:t>
            </w: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企业</w:t>
            </w:r>
            <w:r>
              <w:rPr>
                <w:rFonts w:hint="eastAsia" w:ascii="宋体" w:hAnsi="宋体" w:eastAsia="宋体" w:cs="宋体"/>
                <w:color w:val="auto"/>
                <w:sz w:val="18"/>
                <w:szCs w:val="18"/>
                <w:highlight w:val="none"/>
              </w:rPr>
              <w:t>信誉及认证</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0-2</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（1）投标人连续三年具有AAA资信等级证书的得1分, 否则不得分。（提供复印件并加盖公章）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keepNext w:val="0"/>
              <w:keepLines w:val="0"/>
              <w:pageBreakBefore w:val="0"/>
              <w:tabs>
                <w:tab w:val="left" w:pos="108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（2）投标人具有CMMI软件能力成熟度模式整合认证证书</w:t>
            </w:r>
            <w:r>
              <w:rPr>
                <w:rFonts w:hint="eastAsia" w:ascii="宋体" w:hAnsi="宋体" w:eastAsia="宋体" w:cs="宋体"/>
                <w:color w:val="auto"/>
                <w:sz w:val="18"/>
                <w:szCs w:val="18"/>
                <w:highlight w:val="none"/>
                <w:lang w:eastAsia="zh-CN"/>
              </w:rPr>
              <w:t>的：</w:t>
            </w:r>
            <w:r>
              <w:rPr>
                <w:rFonts w:hint="eastAsia" w:ascii="宋体" w:hAnsi="宋体" w:eastAsia="宋体" w:cs="宋体"/>
                <w:color w:val="auto"/>
                <w:sz w:val="18"/>
                <w:szCs w:val="18"/>
                <w:highlight w:val="none"/>
              </w:rPr>
              <w:t>5级得1分，</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级及</w:t>
            </w:r>
            <w:r>
              <w:rPr>
                <w:rFonts w:hint="eastAsia" w:ascii="宋体" w:hAnsi="宋体" w:eastAsia="宋体" w:cs="宋体"/>
                <w:color w:val="auto"/>
                <w:sz w:val="18"/>
                <w:szCs w:val="18"/>
                <w:highlight w:val="none"/>
                <w:lang w:val="en-US" w:eastAsia="zh-CN"/>
              </w:rPr>
              <w:t>3级的</w:t>
            </w:r>
            <w:r>
              <w:rPr>
                <w:rFonts w:hint="eastAsia" w:ascii="宋体" w:hAnsi="宋体" w:eastAsia="宋体" w:cs="宋体"/>
                <w:color w:val="auto"/>
                <w:sz w:val="18"/>
                <w:szCs w:val="18"/>
                <w:highlight w:val="none"/>
              </w:rPr>
              <w:t>得0.5分，否则不得分。（提供复印件并加盖公章）。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企业资质</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0-1</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投标人具有信息系统安全运维服务资质、信息系统安全集成服务资质，软件安全开发服务资质、信息安全风险评估服务资质</w:t>
            </w:r>
            <w:r>
              <w:rPr>
                <w:rFonts w:hint="eastAsia" w:ascii="宋体" w:hAnsi="宋体" w:eastAsia="宋体" w:cs="宋体"/>
                <w:color w:val="auto"/>
                <w:sz w:val="18"/>
                <w:szCs w:val="18"/>
                <w:highlight w:val="none"/>
                <w:lang w:eastAsia="zh-CN"/>
              </w:rPr>
              <w:t>的：</w:t>
            </w:r>
            <w:r>
              <w:rPr>
                <w:rFonts w:hint="eastAsia" w:ascii="宋体" w:hAnsi="宋体" w:eastAsia="宋体" w:cs="宋体"/>
                <w:color w:val="auto"/>
                <w:sz w:val="18"/>
                <w:szCs w:val="18"/>
                <w:highlight w:val="none"/>
              </w:rPr>
              <w:t>三级及以上</w:t>
            </w:r>
            <w:r>
              <w:rPr>
                <w:rFonts w:hint="eastAsia" w:ascii="宋体" w:hAnsi="宋体" w:eastAsia="宋体" w:cs="宋体"/>
                <w:color w:val="auto"/>
                <w:sz w:val="18"/>
                <w:szCs w:val="18"/>
                <w:highlight w:val="none"/>
                <w:lang w:eastAsia="zh-CN"/>
              </w:rPr>
              <w:t>每个得</w:t>
            </w:r>
            <w:r>
              <w:rPr>
                <w:rFonts w:hint="eastAsia" w:ascii="宋体" w:hAnsi="宋体" w:eastAsia="宋体" w:cs="宋体"/>
                <w:color w:val="auto"/>
                <w:sz w:val="18"/>
                <w:szCs w:val="18"/>
                <w:highlight w:val="none"/>
                <w:lang w:val="en-US" w:eastAsia="zh-CN"/>
              </w:rPr>
              <w:t>0.25分，最高</w:t>
            </w:r>
            <w:r>
              <w:rPr>
                <w:rFonts w:hint="eastAsia" w:ascii="宋体" w:hAnsi="宋体" w:eastAsia="宋体" w:cs="宋体"/>
                <w:color w:val="auto"/>
                <w:sz w:val="18"/>
                <w:szCs w:val="18"/>
                <w:highlight w:val="none"/>
              </w:rPr>
              <w:t>得1分。（提供证明材料复印件并加盖公章）。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企业荣誉</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0-4</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（1）投标人近两年内具有地市级及以上有关部门认定的工程技术研究中心的得2分，否则不得分。（提供红头文件及授牌证明材料复印件并加盖公章）。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（2）投标人近两年内在智慧医疗解决方案、产品技术创新领域获得国内或国际奖项的得2分，其他不得分。（提供奖项证明材料复印件并加盖公章）。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技术保障</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0-3</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投标人具有包含 “智能医疗助手”、“智能辅助诊断”、“智能临床辅助决策” “智能知识引擎”类的相关软件著作权</w:t>
            </w:r>
            <w:r>
              <w:rPr>
                <w:rFonts w:hint="eastAsia" w:ascii="宋体" w:hAnsi="宋体" w:eastAsia="宋体" w:cs="宋体"/>
                <w:color w:val="auto"/>
                <w:sz w:val="18"/>
                <w:szCs w:val="18"/>
                <w:highlight w:val="none"/>
                <w:lang w:eastAsia="zh-CN"/>
              </w:rPr>
              <w:t>的：每有一个符合要求的得</w:t>
            </w:r>
            <w:r>
              <w:rPr>
                <w:rFonts w:hint="eastAsia" w:ascii="宋体" w:hAnsi="宋体" w:eastAsia="宋体" w:cs="宋体"/>
                <w:color w:val="auto"/>
                <w:sz w:val="18"/>
                <w:szCs w:val="18"/>
                <w:highlight w:val="none"/>
                <w:lang w:val="en-US" w:eastAsia="zh-CN"/>
              </w:rPr>
              <w:t>1分，</w:t>
            </w:r>
            <w:r>
              <w:rPr>
                <w:rFonts w:hint="eastAsia" w:ascii="宋体" w:hAnsi="宋体" w:eastAsia="宋体" w:cs="宋体"/>
                <w:color w:val="auto"/>
                <w:sz w:val="18"/>
                <w:szCs w:val="18"/>
                <w:highlight w:val="none"/>
                <w:lang w:eastAsia="zh-CN"/>
              </w:rPr>
              <w:t>最高得</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分</w:t>
            </w:r>
            <w:r>
              <w:rPr>
                <w:rFonts w:hint="eastAsia" w:ascii="宋体" w:hAnsi="宋体" w:eastAsia="宋体" w:cs="宋体"/>
                <w:color w:val="auto"/>
                <w:sz w:val="18"/>
                <w:szCs w:val="18"/>
                <w:highlight w:val="none"/>
              </w:rPr>
              <w:t>。（提供证明材料复印件并加盖公章）。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rPr>
              <w:t>成功案例</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0-4</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投标人自2018年1月1日至今，具有地市级以上电子健康卡相关案例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具有影像AI辅助诊断系统案例、院间转院系统、数字病房、三级医疗机构人工智能合作的案例</w:t>
            </w:r>
            <w:r>
              <w:rPr>
                <w:rFonts w:hint="eastAsia" w:ascii="宋体" w:hAnsi="宋体" w:eastAsia="宋体" w:cs="宋体"/>
                <w:color w:val="auto"/>
                <w:sz w:val="18"/>
                <w:szCs w:val="18"/>
                <w:highlight w:val="none"/>
                <w:lang w:eastAsia="zh-CN"/>
              </w:rPr>
              <w:t>的：同时</w:t>
            </w:r>
            <w:r>
              <w:rPr>
                <w:rFonts w:hint="eastAsia" w:ascii="宋体" w:hAnsi="宋体" w:eastAsia="宋体" w:cs="宋体"/>
                <w:color w:val="auto"/>
                <w:sz w:val="18"/>
                <w:szCs w:val="18"/>
                <w:highlight w:val="none"/>
              </w:rPr>
              <w:t>满足2项得1分</w:t>
            </w:r>
            <w:r>
              <w:rPr>
                <w:rFonts w:hint="eastAsia" w:ascii="宋体" w:hAnsi="宋体" w:eastAsia="宋体" w:cs="宋体"/>
                <w:color w:val="auto"/>
                <w:sz w:val="18"/>
                <w:szCs w:val="18"/>
                <w:highlight w:val="none"/>
                <w:lang w:eastAsia="zh-CN"/>
              </w:rPr>
              <w:t>，同时</w:t>
            </w:r>
            <w:r>
              <w:rPr>
                <w:rFonts w:hint="eastAsia" w:ascii="宋体" w:hAnsi="宋体" w:eastAsia="宋体" w:cs="宋体"/>
                <w:color w:val="auto"/>
                <w:sz w:val="18"/>
                <w:szCs w:val="18"/>
                <w:highlight w:val="none"/>
              </w:rPr>
              <w:t>满足2项</w:t>
            </w:r>
            <w:r>
              <w:rPr>
                <w:rFonts w:hint="eastAsia" w:ascii="宋体" w:hAnsi="宋体" w:eastAsia="宋体" w:cs="宋体"/>
                <w:color w:val="auto"/>
                <w:sz w:val="18"/>
                <w:szCs w:val="18"/>
                <w:highlight w:val="none"/>
                <w:lang w:eastAsia="zh-CN"/>
              </w:rPr>
              <w:t>以上每增加</w:t>
            </w:r>
            <w:r>
              <w:rPr>
                <w:rFonts w:hint="eastAsia" w:ascii="宋体" w:hAnsi="宋体" w:eastAsia="宋体" w:cs="宋体"/>
                <w:color w:val="auto"/>
                <w:sz w:val="18"/>
                <w:szCs w:val="18"/>
                <w:highlight w:val="none"/>
                <w:lang w:val="en-US" w:eastAsia="zh-CN"/>
              </w:rPr>
              <w:t>1项加1分</w:t>
            </w:r>
            <w:r>
              <w:rPr>
                <w:rFonts w:hint="eastAsia" w:ascii="宋体" w:hAnsi="宋体" w:eastAsia="宋体" w:cs="宋体"/>
                <w:color w:val="auto"/>
                <w:sz w:val="18"/>
                <w:szCs w:val="18"/>
                <w:highlight w:val="none"/>
              </w:rPr>
              <w:t>，其他不得分</w:t>
            </w:r>
            <w:r>
              <w:rPr>
                <w:rFonts w:hint="eastAsia" w:ascii="宋体" w:hAnsi="宋体" w:eastAsia="宋体" w:cs="宋体"/>
                <w:color w:val="auto"/>
                <w:sz w:val="18"/>
                <w:szCs w:val="18"/>
                <w:highlight w:val="none"/>
                <w:lang w:eastAsia="zh-CN"/>
              </w:rPr>
              <w:t>；本项最高</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（同一合同不得重复得分，提供合同关键页复印件并加盖公章，无有效证明材料不得分）。</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项目组人员综合实力</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0-7</w:t>
            </w:r>
            <w:r>
              <w:rPr>
                <w:rFonts w:hint="eastAsia" w:ascii="宋体" w:hAnsi="宋体" w:cs="宋体"/>
                <w:color w:val="auto"/>
                <w:sz w:val="18"/>
                <w:szCs w:val="18"/>
                <w:highlight w:val="none"/>
                <w:lang w:eastAsia="zh-CN"/>
              </w:rPr>
              <w:t>）</w:t>
            </w:r>
          </w:p>
        </w:tc>
        <w:tc>
          <w:tcPr>
            <w:tcW w:w="1110" w:type="dxa"/>
            <w:vMerge w:val="restart"/>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项目组人员要求：</w:t>
            </w:r>
          </w:p>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（同一人员证书不得重复得分，提供相关证书复印件以及项目组每位成员最近2个月的社保缴费证明）。</w:t>
            </w:r>
          </w:p>
        </w:tc>
        <w:tc>
          <w:tcPr>
            <w:tcW w:w="5220" w:type="dxa"/>
            <w:gridSpan w:val="2"/>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（1）项目组人员</w:t>
            </w:r>
            <w:r>
              <w:rPr>
                <w:rFonts w:hint="eastAsia" w:ascii="宋体" w:hAnsi="宋体" w:eastAsia="宋体" w:cs="宋体"/>
                <w:color w:val="auto"/>
                <w:sz w:val="18"/>
                <w:szCs w:val="18"/>
                <w:highlight w:val="none"/>
                <w:lang w:eastAsia="zh-CN"/>
              </w:rPr>
              <w:t>中</w:t>
            </w:r>
            <w:r>
              <w:rPr>
                <w:rFonts w:hint="eastAsia" w:ascii="宋体" w:hAnsi="宋体" w:eastAsia="宋体" w:cs="宋体"/>
                <w:color w:val="auto"/>
                <w:sz w:val="18"/>
                <w:szCs w:val="18"/>
                <w:highlight w:val="none"/>
              </w:rPr>
              <w:t>具有信息系统项目管理师、系统分析师资格证书的：每有一人得1分，同种证书只记一次分，最高得2分；持证人员同时具有硕士研究生</w:t>
            </w:r>
            <w:r>
              <w:rPr>
                <w:rFonts w:hint="eastAsia" w:ascii="宋体" w:hAnsi="宋体" w:eastAsia="宋体" w:cs="宋体"/>
                <w:color w:val="auto"/>
                <w:sz w:val="18"/>
                <w:szCs w:val="18"/>
                <w:highlight w:val="none"/>
                <w:lang w:eastAsia="zh-CN"/>
              </w:rPr>
              <w:t>及以上</w:t>
            </w:r>
            <w:r>
              <w:rPr>
                <w:rFonts w:hint="eastAsia" w:ascii="宋体" w:hAnsi="宋体" w:eastAsia="宋体" w:cs="宋体"/>
                <w:color w:val="auto"/>
                <w:sz w:val="18"/>
                <w:szCs w:val="18"/>
                <w:highlight w:val="none"/>
              </w:rPr>
              <w:t>学历的，每有一人加</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分，最高加1分；本项最高得3分。注：同一人员同时具有方可加分。</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111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p>
        </w:tc>
        <w:tc>
          <w:tcPr>
            <w:tcW w:w="5220" w:type="dxa"/>
            <w:gridSpan w:val="2"/>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（2）项目组人员</w:t>
            </w:r>
            <w:r>
              <w:rPr>
                <w:rFonts w:hint="eastAsia" w:ascii="宋体" w:hAnsi="宋体" w:eastAsia="宋体" w:cs="宋体"/>
                <w:color w:val="auto"/>
                <w:sz w:val="18"/>
                <w:szCs w:val="18"/>
                <w:highlight w:val="none"/>
                <w:lang w:eastAsia="zh-CN"/>
              </w:rPr>
              <w:t>中</w:t>
            </w:r>
            <w:r>
              <w:rPr>
                <w:rFonts w:hint="eastAsia" w:ascii="宋体" w:hAnsi="宋体" w:eastAsia="宋体" w:cs="宋体"/>
                <w:color w:val="auto"/>
                <w:sz w:val="18"/>
                <w:szCs w:val="18"/>
                <w:highlight w:val="none"/>
              </w:rPr>
              <w:t>具有系统集成项目管理工程师、软件设计师资格证书</w:t>
            </w:r>
            <w:r>
              <w:rPr>
                <w:rFonts w:hint="eastAsia" w:ascii="宋体" w:hAnsi="宋体" w:eastAsia="宋体" w:cs="宋体"/>
                <w:color w:val="auto"/>
                <w:sz w:val="18"/>
                <w:szCs w:val="18"/>
                <w:highlight w:val="none"/>
                <w:lang w:eastAsia="zh-CN"/>
              </w:rPr>
              <w:t>的：</w:t>
            </w:r>
            <w:r>
              <w:rPr>
                <w:rFonts w:hint="eastAsia" w:ascii="宋体" w:hAnsi="宋体" w:eastAsia="宋体" w:cs="宋体"/>
                <w:color w:val="auto"/>
                <w:sz w:val="18"/>
                <w:szCs w:val="18"/>
                <w:highlight w:val="none"/>
              </w:rPr>
              <w:t>每有一人得</w:t>
            </w:r>
            <w:r>
              <w:rPr>
                <w:rFonts w:hint="eastAsia" w:ascii="宋体" w:hAnsi="宋体" w:cs="宋体"/>
                <w:color w:val="auto"/>
                <w:sz w:val="18"/>
                <w:szCs w:val="18"/>
                <w:highlight w:val="none"/>
                <w:lang w:val="en-US" w:eastAsia="zh-CN"/>
              </w:rPr>
              <w:t>0.5</w:t>
            </w:r>
            <w:r>
              <w:rPr>
                <w:rFonts w:hint="eastAsia" w:ascii="宋体" w:hAnsi="宋体" w:eastAsia="宋体" w:cs="宋体"/>
                <w:color w:val="auto"/>
                <w:sz w:val="18"/>
                <w:szCs w:val="18"/>
                <w:highlight w:val="none"/>
              </w:rPr>
              <w:t>分，同种证书只记一次分，最高得</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分；持证人员同时具有硕士研究生</w:t>
            </w:r>
            <w:r>
              <w:rPr>
                <w:rFonts w:hint="eastAsia" w:ascii="宋体" w:hAnsi="宋体" w:eastAsia="宋体" w:cs="宋体"/>
                <w:color w:val="auto"/>
                <w:sz w:val="18"/>
                <w:szCs w:val="18"/>
                <w:highlight w:val="none"/>
                <w:lang w:eastAsia="zh-CN"/>
              </w:rPr>
              <w:t>及以上</w:t>
            </w:r>
            <w:r>
              <w:rPr>
                <w:rFonts w:hint="eastAsia" w:ascii="宋体" w:hAnsi="宋体" w:eastAsia="宋体" w:cs="宋体"/>
                <w:color w:val="auto"/>
                <w:sz w:val="18"/>
                <w:szCs w:val="18"/>
                <w:highlight w:val="none"/>
              </w:rPr>
              <w:t>学历的，每有一人加</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，最高加</w:t>
            </w:r>
            <w:r>
              <w:rPr>
                <w:rFonts w:hint="eastAsia" w:ascii="宋体" w:hAnsi="宋体" w:eastAsia="宋体" w:cs="宋体"/>
                <w:color w:val="auto"/>
                <w:sz w:val="18"/>
                <w:szCs w:val="18"/>
                <w:highlight w:val="none"/>
                <w:lang w:val="en-US" w:eastAsia="zh-CN"/>
              </w:rPr>
              <w:t>1分；本项最高得2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注：同一人员同时具有方可加分。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1110" w:type="dxa"/>
            <w:vMerge w:val="continue"/>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p>
        </w:tc>
        <w:tc>
          <w:tcPr>
            <w:tcW w:w="5220" w:type="dxa"/>
            <w:gridSpan w:val="2"/>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（3）项目组人员</w:t>
            </w:r>
            <w:r>
              <w:rPr>
                <w:rFonts w:hint="eastAsia" w:ascii="宋体" w:hAnsi="宋体" w:cs="宋体"/>
                <w:color w:val="auto"/>
                <w:sz w:val="18"/>
                <w:szCs w:val="18"/>
                <w:highlight w:val="none"/>
                <w:lang w:eastAsia="zh-CN"/>
              </w:rPr>
              <w:t>中</w:t>
            </w:r>
            <w:r>
              <w:rPr>
                <w:rFonts w:hint="eastAsia" w:ascii="宋体" w:hAnsi="宋体" w:eastAsia="宋体" w:cs="宋体"/>
                <w:color w:val="auto"/>
                <w:sz w:val="18"/>
                <w:szCs w:val="18"/>
                <w:highlight w:val="none"/>
              </w:rPr>
              <w:t>具有注册信息安全专业人员（CISP）、OCP证书</w:t>
            </w:r>
            <w:r>
              <w:rPr>
                <w:rFonts w:hint="eastAsia" w:ascii="宋体" w:hAnsi="宋体" w:eastAsia="宋体" w:cs="宋体"/>
                <w:color w:val="auto"/>
                <w:sz w:val="18"/>
                <w:szCs w:val="18"/>
                <w:highlight w:val="none"/>
                <w:lang w:eastAsia="zh-CN"/>
              </w:rPr>
              <w:t>的：</w:t>
            </w:r>
            <w:r>
              <w:rPr>
                <w:rFonts w:hint="eastAsia" w:ascii="宋体" w:hAnsi="宋体" w:eastAsia="宋体" w:cs="宋体"/>
                <w:color w:val="auto"/>
                <w:sz w:val="18"/>
                <w:szCs w:val="18"/>
                <w:highlight w:val="none"/>
              </w:rPr>
              <w:t>每有一人得1分，同种证书只记一次分，</w:t>
            </w:r>
            <w:r>
              <w:rPr>
                <w:rFonts w:hint="eastAsia" w:ascii="宋体" w:hAnsi="宋体" w:eastAsia="宋体" w:cs="宋体"/>
                <w:color w:val="auto"/>
                <w:sz w:val="18"/>
                <w:szCs w:val="18"/>
                <w:highlight w:val="none"/>
                <w:lang w:val="en-US" w:eastAsia="zh-CN"/>
              </w:rPr>
              <w:t>本项最高得2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售后服务</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0-1</w:t>
            </w:r>
            <w:r>
              <w:rPr>
                <w:rFonts w:hint="eastAsia" w:ascii="宋体" w:hAnsi="宋体" w:cs="宋体"/>
                <w:color w:val="auto"/>
                <w:sz w:val="18"/>
                <w:szCs w:val="18"/>
                <w:highlight w:val="none"/>
                <w:lang w:eastAsia="zh-CN"/>
              </w:rPr>
              <w:t>）</w:t>
            </w:r>
          </w:p>
        </w:tc>
        <w:tc>
          <w:tcPr>
            <w:tcW w:w="6330" w:type="dxa"/>
            <w:gridSpan w:val="3"/>
            <w:shd w:val="clear" w:color="auto" w:fill="FFFFFF"/>
            <w:vAlign w:val="center"/>
          </w:tcPr>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投标人须对售后服务网点做出承诺，要求：</w:t>
            </w:r>
          </w:p>
          <w:p>
            <w:pPr>
              <w:pStyle w:val="28"/>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 xml:space="preserve">应具有日常技术维护力量，须提供售后服务网点地址、联系人、联系电话，设在采购项目所在地(长兴县)并提供现场固定工程师情况的得1分，设在浙江省内的得0.5分，设在其它区域的不得分。 </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pStyle w:val="26"/>
              <w:keepNext w:val="0"/>
              <w:keepLines w:val="0"/>
              <w:pageBreakBefore w:val="0"/>
              <w:tabs>
                <w:tab w:val="left" w:pos="3808"/>
              </w:tabs>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政策分</w:t>
            </w:r>
            <w:r>
              <w:rPr>
                <w:rFonts w:hint="eastAsia" w:ascii="宋体" w:hAnsi="宋体" w:cs="宋体"/>
                <w:color w:val="auto"/>
                <w:spacing w:val="0"/>
                <w:kern w:val="0"/>
                <w:sz w:val="18"/>
                <w:szCs w:val="18"/>
                <w:highlight w:val="none"/>
                <w:lang w:val="en-US" w:eastAsia="zh-CN" w:bidi="ar-SA"/>
              </w:rPr>
              <w:t>（0-1）</w:t>
            </w:r>
          </w:p>
        </w:tc>
        <w:tc>
          <w:tcPr>
            <w:tcW w:w="6330" w:type="dxa"/>
            <w:gridSpan w:val="3"/>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投标人按规定享受其他的国家政策支持、扶持的得1分。</w:t>
            </w: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注：投标人提供相关证明资料（例：响应国家关于下岗工人再就业的政策等证明资料），证明资料复印件加盖公章。</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87" w:type="dxa"/>
            <w:vMerge w:val="continue"/>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15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标书质量</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0-1</w:t>
            </w:r>
            <w:r>
              <w:rPr>
                <w:rFonts w:hint="eastAsia" w:ascii="宋体" w:hAnsi="宋体" w:cs="宋体"/>
                <w:bCs/>
                <w:color w:val="auto"/>
                <w:sz w:val="18"/>
                <w:szCs w:val="18"/>
                <w:highlight w:val="none"/>
                <w:lang w:eastAsia="zh-CN"/>
              </w:rPr>
              <w:t>）</w:t>
            </w:r>
          </w:p>
        </w:tc>
        <w:tc>
          <w:tcPr>
            <w:tcW w:w="633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投标文件编制完整，格式规范、装订整齐、符合招标文件要求的，得1分；投标文件有关内容前后矛盾、与招标文件要求不一致等，评标委员会允许且需要通过询标等程序进行澄清的，或投标文件存在其他错漏的，每项（次）扣0.5分，扣完该项得分为止。</w:t>
            </w:r>
          </w:p>
        </w:tc>
        <w:tc>
          <w:tcPr>
            <w:tcW w:w="338"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41" w:type="dxa"/>
            <w:shd w:val="clear" w:color="000000" w:fill="FFFFFF"/>
            <w:vAlign w:val="center"/>
          </w:tcPr>
          <w:p>
            <w:pPr>
              <w:pStyle w:val="27"/>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bl>
    <w:p>
      <w:pPr>
        <w:pStyle w:val="4"/>
        <w:adjustRightInd w:val="0"/>
        <w:snapToGrid w:val="0"/>
        <w:spacing w:line="320" w:lineRule="exact"/>
        <w:rPr>
          <w:rFonts w:hint="default" w:ascii="宋体" w:hAnsi="宋体" w:eastAsia="宋体" w:cs="宋体"/>
          <w:color w:val="auto"/>
          <w:sz w:val="21"/>
          <w:szCs w:val="21"/>
          <w:highlight w:val="none"/>
          <w:lang w:val="en-US" w:eastAsia="zh-CN"/>
        </w:rPr>
      </w:pPr>
    </w:p>
    <w:p>
      <w:pPr>
        <w:autoSpaceDE w:val="0"/>
        <w:autoSpaceDN w:val="0"/>
        <w:adjustRightInd w:val="0"/>
        <w:snapToGrid w:val="0"/>
        <w:spacing w:line="320" w:lineRule="exact"/>
        <w:jc w:val="center"/>
        <w:rPr>
          <w:rFonts w:ascii="宋体" w:hAnsi="宋体" w:cs="宋体"/>
          <w:b/>
          <w:bCs/>
          <w:color w:val="auto"/>
          <w:szCs w:val="21"/>
          <w:highlight w:val="none"/>
          <w:lang w:val="zh-CN"/>
        </w:rPr>
      </w:pPr>
    </w:p>
    <w:p>
      <w:pPr>
        <w:autoSpaceDE w:val="0"/>
        <w:autoSpaceDN w:val="0"/>
        <w:adjustRightInd w:val="0"/>
        <w:snapToGrid w:val="0"/>
        <w:spacing w:line="320" w:lineRule="exact"/>
        <w:jc w:val="center"/>
        <w:rPr>
          <w:rFonts w:ascii="宋体" w:hAnsi="宋体" w:cs="宋体"/>
          <w:b/>
          <w:bCs/>
          <w:color w:val="auto"/>
          <w:szCs w:val="21"/>
          <w:highlight w:val="none"/>
          <w:lang w:val="zh-CN"/>
        </w:rPr>
      </w:pPr>
    </w:p>
    <w:p>
      <w:pPr>
        <w:autoSpaceDE w:val="0"/>
        <w:autoSpaceDN w:val="0"/>
        <w:adjustRightInd w:val="0"/>
        <w:snapToGrid w:val="0"/>
        <w:spacing w:line="320" w:lineRule="exact"/>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2.投标声明书格式：</w:t>
      </w:r>
    </w:p>
    <w:p>
      <w:pPr>
        <w:autoSpaceDE w:val="0"/>
        <w:autoSpaceDN w:val="0"/>
        <w:adjustRightInd w:val="0"/>
        <w:snapToGrid w:val="0"/>
        <w:spacing w:line="320" w:lineRule="exact"/>
        <w:jc w:val="center"/>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pPr>
        <w:adjustRightInd w:val="0"/>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pPr>
        <w:adjustRightInd w:val="0"/>
        <w:snapToGrid w:val="0"/>
        <w:spacing w:line="320" w:lineRule="exact"/>
        <w:ind w:firstLine="645"/>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（投标人名称）的法定代表人，我方愿意参加贵方组织的</w:t>
      </w:r>
    </w:p>
    <w:p>
      <w:pPr>
        <w:adjustRightInd w:val="0"/>
        <w:snapToGrid w:val="0"/>
        <w:spacing w:line="320" w:lineRule="exact"/>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长兴县卫生健康局县域医共体信息化示范提升及基层补偿机制改革二期项目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的投标，为便于贵方公正、择优地确定中标人及其投标产品和服务，我方就本次投标有关事项郑重声明如下：</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4.我方诚意提请贵方关注：近期有关投标关管理服务等方面的重大决策和事项有：</w:t>
      </w:r>
    </w:p>
    <w:p>
      <w:pPr>
        <w:adjustRightInd w:val="0"/>
        <w:snapToGrid w:val="0"/>
        <w:spacing w:line="320" w:lineRule="exact"/>
        <w:ind w:firstLine="420" w:firstLineChars="200"/>
        <w:rPr>
          <w:rFonts w:hint="default" w:ascii="宋体" w:hAnsi="宋体" w:cs="宋体"/>
          <w:color w:val="auto"/>
          <w:szCs w:val="21"/>
          <w:highlight w:val="none"/>
          <w:u w:val="single"/>
        </w:rPr>
      </w:pPr>
      <w:r>
        <w:rPr>
          <w:rFonts w:ascii="宋体" w:hAnsi="宋体" w:cs="宋体"/>
          <w:color w:val="auto"/>
          <w:szCs w:val="21"/>
          <w:highlight w:val="none"/>
          <w:u w:val="single"/>
        </w:rPr>
        <w:t>　　　　　　　　　　　　　　　　　　　　　　　　　　　</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u w:val="single"/>
        </w:rPr>
        <w:t>　　　　　　　　　　　　　　　　　　　　　　　　　　　</w:t>
      </w:r>
    </w:p>
    <w:p>
      <w:pPr>
        <w:pStyle w:val="10"/>
        <w:adjustRightInd w:val="0"/>
        <w:snapToGrid w:val="0"/>
        <w:spacing w:line="320" w:lineRule="exact"/>
        <w:ind w:firstLine="480"/>
        <w:rPr>
          <w:rFonts w:hAnsi="宋体" w:cs="宋体"/>
          <w:color w:val="auto"/>
          <w:sz w:val="21"/>
          <w:szCs w:val="21"/>
          <w:highlight w:val="none"/>
        </w:rPr>
      </w:pPr>
      <w:r>
        <w:rPr>
          <w:rFonts w:hint="eastAsia" w:hAnsi="宋体" w:cs="宋体"/>
          <w:color w:val="auto"/>
          <w:sz w:val="21"/>
          <w:szCs w:val="21"/>
          <w:highlight w:val="none"/>
        </w:rPr>
        <w:t>5.我方及由本人担任法定代表人的其他机构最近三年内被通报或者</w:t>
      </w:r>
      <w:r>
        <w:rPr>
          <w:rFonts w:hint="eastAsia" w:hAnsi="宋体" w:cs="宋体"/>
          <w:color w:val="auto"/>
          <w:sz w:val="21"/>
          <w:szCs w:val="21"/>
          <w:highlight w:val="none"/>
          <w:lang w:val="zh-CN"/>
        </w:rPr>
        <w:t>生产经营中</w:t>
      </w:r>
      <w:r>
        <w:rPr>
          <w:rFonts w:hint="eastAsia" w:hAnsi="宋体" w:cs="宋体"/>
          <w:color w:val="auto"/>
          <w:sz w:val="21"/>
          <w:szCs w:val="21"/>
          <w:highlight w:val="none"/>
        </w:rPr>
        <w:t>被处罚的违法行为有：</w:t>
      </w:r>
    </w:p>
    <w:p>
      <w:pPr>
        <w:adjustRightInd w:val="0"/>
        <w:snapToGrid w:val="0"/>
        <w:spacing w:line="320" w:lineRule="exact"/>
        <w:ind w:firstLine="420" w:firstLineChars="200"/>
        <w:rPr>
          <w:rFonts w:hint="default" w:ascii="宋体" w:hAnsi="宋体" w:cs="宋体"/>
          <w:color w:val="auto"/>
          <w:szCs w:val="21"/>
          <w:highlight w:val="none"/>
          <w:u w:val="single"/>
        </w:rPr>
      </w:pPr>
      <w:r>
        <w:rPr>
          <w:rFonts w:ascii="宋体" w:hAnsi="宋体" w:cs="宋体"/>
          <w:color w:val="auto"/>
          <w:szCs w:val="21"/>
          <w:highlight w:val="none"/>
          <w:u w:val="single"/>
        </w:rPr>
        <w:t>　　　　　　　　　　　　　　　　　　　　　　　　　　　</w:t>
      </w:r>
    </w:p>
    <w:p>
      <w:pPr>
        <w:adjustRightInd w:val="0"/>
        <w:snapToGrid w:val="0"/>
        <w:spacing w:line="320" w:lineRule="exact"/>
        <w:ind w:firstLine="420" w:firstLineChars="200"/>
        <w:rPr>
          <w:rFonts w:hint="default" w:ascii="宋体" w:hAnsi="宋体" w:cs="宋体"/>
          <w:color w:val="auto"/>
          <w:szCs w:val="21"/>
          <w:highlight w:val="none"/>
          <w:u w:val="single"/>
        </w:rPr>
      </w:pPr>
      <w:r>
        <w:rPr>
          <w:rFonts w:ascii="宋体" w:hAnsi="宋体" w:cs="宋体"/>
          <w:color w:val="auto"/>
          <w:szCs w:val="21"/>
          <w:highlight w:val="none"/>
          <w:u w:val="single"/>
        </w:rPr>
        <w:t>　　　　　　　　　　　　　　　　　　　　　　　　　　　</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6.以上事项如有虚假或隐瞒，我方愿意承担一切后果，并不再寻求任何旨在减轻或免除法律责任的辩解。</w:t>
      </w:r>
    </w:p>
    <w:p>
      <w:pPr>
        <w:adjustRightInd w:val="0"/>
        <w:snapToGrid w:val="0"/>
        <w:spacing w:line="320" w:lineRule="exact"/>
        <w:ind w:firstLine="279" w:firstLineChars="133"/>
        <w:rPr>
          <w:rFonts w:hint="default" w:ascii="宋体" w:hAnsi="宋体" w:cs="宋体"/>
          <w:color w:val="auto"/>
          <w:szCs w:val="21"/>
          <w:highlight w:val="none"/>
          <w:u w:val="single"/>
        </w:rPr>
      </w:pPr>
      <w:r>
        <w:rPr>
          <w:rFonts w:ascii="宋体" w:hAnsi="宋体" w:cs="宋体"/>
          <w:color w:val="auto"/>
          <w:szCs w:val="21"/>
          <w:highlight w:val="none"/>
        </w:rPr>
        <w:t>法定代表人签字：</w:t>
      </w:r>
      <w:r>
        <w:rPr>
          <w:rFonts w:ascii="宋体" w:hAnsi="宋体" w:cs="宋体"/>
          <w:color w:val="auto"/>
          <w:szCs w:val="21"/>
          <w:highlight w:val="none"/>
          <w:u w:val="single"/>
        </w:rPr>
        <w:t xml:space="preserve">             </w:t>
      </w:r>
    </w:p>
    <w:p>
      <w:pPr>
        <w:adjustRightInd w:val="0"/>
        <w:snapToGrid w:val="0"/>
        <w:spacing w:line="320" w:lineRule="exact"/>
        <w:ind w:firstLine="315" w:firstLineChars="150"/>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adjustRightInd w:val="0"/>
        <w:snapToGrid w:val="0"/>
        <w:spacing w:line="320" w:lineRule="exact"/>
        <w:ind w:firstLine="5460" w:firstLineChars="2600"/>
        <w:rPr>
          <w:rFonts w:hint="default" w:ascii="宋体" w:hAnsi="宋体" w:cs="宋体"/>
          <w:color w:val="auto"/>
          <w:szCs w:val="21"/>
          <w:highlight w:val="none"/>
          <w:lang w:val="zh-CN"/>
        </w:rPr>
      </w:pPr>
      <w:r>
        <w:rPr>
          <w:rFonts w:ascii="宋体" w:hAnsi="宋体" w:cs="宋体"/>
          <w:color w:val="auto"/>
          <w:szCs w:val="21"/>
          <w:highlight w:val="none"/>
        </w:rPr>
        <w:t>年    月    日</w:t>
      </w:r>
    </w:p>
    <w:p>
      <w:pPr>
        <w:pStyle w:val="4"/>
        <w:adjustRightInd w:val="0"/>
        <w:snapToGrid w:val="0"/>
        <w:spacing w:line="320" w:lineRule="exact"/>
        <w:rPr>
          <w:rFonts w:hint="default"/>
          <w:color w:val="auto"/>
          <w:sz w:val="21"/>
          <w:szCs w:val="21"/>
          <w:highlight w:val="none"/>
          <w:lang w:val="zh-CN"/>
        </w:rPr>
      </w:pPr>
      <w:r>
        <w:rPr>
          <w:rFonts w:ascii="宋体" w:hAnsi="宋体" w:cs="宋体"/>
          <w:color w:val="auto"/>
          <w:sz w:val="21"/>
          <w:szCs w:val="21"/>
          <w:highlight w:val="none"/>
        </w:rPr>
        <w:t>3.</w:t>
      </w:r>
      <w:r>
        <w:rPr>
          <w:rFonts w:ascii="宋体" w:hAnsi="宋体" w:cs="宋体"/>
          <w:color w:val="auto"/>
          <w:sz w:val="21"/>
          <w:szCs w:val="21"/>
          <w:highlight w:val="none"/>
          <w:lang w:val="zh-CN"/>
        </w:rPr>
        <w:t>政府</w:t>
      </w:r>
      <w:r>
        <w:rPr>
          <w:color w:val="auto"/>
          <w:sz w:val="21"/>
          <w:szCs w:val="21"/>
          <w:highlight w:val="none"/>
          <w:lang w:val="zh-CN"/>
        </w:rPr>
        <w:t>采购廉洁承诺书格式：</w:t>
      </w:r>
    </w:p>
    <w:p>
      <w:pPr>
        <w:pStyle w:val="4"/>
        <w:adjustRightInd w:val="0"/>
        <w:snapToGrid w:val="0"/>
        <w:spacing w:line="306" w:lineRule="exact"/>
        <w:jc w:val="center"/>
        <w:rPr>
          <w:rFonts w:hint="default" w:ascii="宋体" w:hAnsi="宋体"/>
          <w:bCs/>
          <w:color w:val="auto"/>
          <w:sz w:val="21"/>
          <w:szCs w:val="21"/>
          <w:highlight w:val="none"/>
          <w:lang w:val="zh-CN"/>
        </w:rPr>
      </w:pPr>
      <w:r>
        <w:rPr>
          <w:rFonts w:ascii="宋体" w:hAnsi="宋体"/>
          <w:bCs/>
          <w:color w:val="auto"/>
          <w:sz w:val="21"/>
          <w:szCs w:val="21"/>
          <w:highlight w:val="none"/>
          <w:lang w:val="zh-CN"/>
        </w:rPr>
        <w:t>政府采购廉洁承诺书</w:t>
      </w:r>
    </w:p>
    <w:p>
      <w:pPr>
        <w:adjustRightInd w:val="0"/>
        <w:snapToGrid w:val="0"/>
        <w:spacing w:line="306" w:lineRule="exact"/>
        <w:ind w:firstLine="420" w:firstLineChars="200"/>
        <w:rPr>
          <w:rFonts w:hint="default" w:ascii="宋体" w:hAnsi="宋体"/>
          <w:color w:val="auto"/>
          <w:szCs w:val="21"/>
          <w:highlight w:val="none"/>
          <w:lang w:val="zh-CN"/>
        </w:rPr>
      </w:pPr>
      <w:r>
        <w:rPr>
          <w:rFonts w:ascii="宋体" w:hAnsi="宋体"/>
          <w:color w:val="auto"/>
          <w:szCs w:val="21"/>
          <w:highlight w:val="none"/>
        </w:rPr>
        <w:t>长兴县卫生健康局、</w:t>
      </w:r>
      <w:r>
        <w:rPr>
          <w:rFonts w:ascii="宋体" w:hAnsi="宋体" w:cs="Arial"/>
          <w:color w:val="auto"/>
          <w:szCs w:val="21"/>
          <w:highlight w:val="none"/>
        </w:rPr>
        <w:t>浙江经纬工程项目管理有限公司：</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我方决定参加</w:t>
      </w:r>
      <w:r>
        <w:rPr>
          <w:rFonts w:ascii="宋体" w:hAnsi="宋体"/>
          <w:color w:val="auto"/>
          <w:szCs w:val="21"/>
          <w:highlight w:val="none"/>
          <w:u w:val="single"/>
        </w:rPr>
        <w:t xml:space="preserve">                   </w:t>
      </w:r>
      <w:r>
        <w:rPr>
          <w:rFonts w:ascii="宋体" w:hAnsi="宋体"/>
          <w:color w:val="auto"/>
          <w:szCs w:val="21"/>
          <w:highlight w:val="none"/>
        </w:rPr>
        <w:t>（项目名称）的投标,向贵方自愿作出如下承诺:</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第一条  廉洁承诺</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我方保证：</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（一）不违反廉洁从业的相关规定，严格遵守国家法律法规；</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（二）不以任何理由向贵方及其工作人员行贿或赠送礼金、有价证券、贵重物品等；</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（三）不为贵方及其工作人员购置或提供通讯工具、交通工具、高档办公用品和装修住房等；</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（四）不以任何名义为贵方及其工作人员报销应由贵方或贵方工作人员个人支付的费用；</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（五）不以任何理由安排贵方工作人员参加宴请及娱乐休闲和旅游等消费活动；</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（六）不从事其他违反国家有关法律法规规章以及廉洁从业有关规定的行为。</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第二条  廉洁保证金</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为履行廉洁承诺，我方同意将本次政府采购项目的廉洁保证金确定为</w:t>
      </w:r>
      <w:r>
        <w:rPr>
          <w:rFonts w:hint="eastAsia" w:ascii="宋体" w:hAnsi="宋体"/>
          <w:b/>
          <w:color w:val="auto"/>
          <w:szCs w:val="21"/>
          <w:highlight w:val="none"/>
          <w:u w:val="single"/>
          <w:lang w:eastAsia="zh-CN"/>
        </w:rPr>
        <w:t>伍</w:t>
      </w:r>
      <w:r>
        <w:rPr>
          <w:rFonts w:ascii="宋体" w:hAnsi="宋体"/>
          <w:b/>
          <w:color w:val="auto"/>
          <w:szCs w:val="21"/>
          <w:highlight w:val="none"/>
          <w:u w:val="single"/>
        </w:rPr>
        <w:t>万</w:t>
      </w:r>
      <w:r>
        <w:rPr>
          <w:rFonts w:hint="eastAsia" w:ascii="宋体" w:hAnsi="宋体"/>
          <w:b/>
          <w:color w:val="auto"/>
          <w:szCs w:val="21"/>
          <w:highlight w:val="none"/>
          <w:u w:val="single"/>
          <w:lang w:eastAsia="zh-CN"/>
        </w:rPr>
        <w:t>叁</w:t>
      </w:r>
      <w:r>
        <w:rPr>
          <w:rFonts w:ascii="宋体" w:hAnsi="宋体"/>
          <w:b/>
          <w:color w:val="auto"/>
          <w:szCs w:val="21"/>
          <w:highlight w:val="none"/>
          <w:u w:val="single"/>
        </w:rPr>
        <w:t>仟元整</w:t>
      </w:r>
      <w:r>
        <w:rPr>
          <w:rFonts w:ascii="宋体" w:hAnsi="宋体"/>
          <w:color w:val="auto"/>
          <w:szCs w:val="21"/>
          <w:highlight w:val="none"/>
        </w:rPr>
        <w:t>（大写）。</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我方按以下方式提交廉洁保证金：</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在发生违反本廉洁承诺书规定的行为时，由贵方在履约保证金或其他保证金中先行扣除相应数额的廉洁保证金，我方在7个工作日内补足扣除部分。</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第三条  违诺责任</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 xml:space="preserve">我方如发生违反本廉洁承诺书第一条第二款的规定，无论我方是否中标，在依法承担法定责任的同时，我方自愿承担如下廉洁承诺违诺责任： </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（一）导致贵方相关工作人员受到问责、通报批评或诫勉谈话等处理的（尚未达到党政纪处分），贵方有权要求我方交纳或直接扣除本廉洁承诺书第二条第一款确定金额的廉洁保证金的30%；</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（二）导致贵方相关工作人员受到党内警告、严重警告处分或受到行政警告、记过处分的，贵方有权要求我方交纳或直接扣除本廉洁承诺书第二条第一款确定金额的廉洁保证金的50%；</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（三）导致贵方相关工作人员受到撤销党内职务、留党察看或受到行政记大过、降级处分的，贵方有权要求我方交纳或直接扣除本廉洁承诺书第二条第一款确定金额的廉洁保证金的70%；</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（四）导致贵方相关工作人员受到开除党籍处分、行政撤职、开除处分或被依法追究刑事责任的，贵方有权要求我方交纳或直接扣除本廉洁承诺书第二条第一款确定金额的廉洁保证金的100%。</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第四条  承诺书的效力</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（一）时间效力。如我方未中标，本廉洁承诺书的效力及于整个项目招投标活动；如我方中标，则本廉洁承诺书的效力及于项目招投标活动开始直至质保期结束。</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（二）在招投标阶段，本廉洁承诺书是我方投标文件的组成部分，经我方签字盖章后生效，无论我方是否中标或中标后是否签订合同，对我方均具有法律约束力。</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（三）如我方中标，本廉洁承诺书将成为我方与贵方签订的合同的组成部分，如遇合同无效或效力终止的，本廉洁承诺书仍独立有效。</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第五条  其他</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adjustRightInd w:val="0"/>
        <w:snapToGrid w:val="0"/>
        <w:spacing w:line="306" w:lineRule="exact"/>
        <w:ind w:firstLine="420" w:firstLineChars="200"/>
        <w:rPr>
          <w:rFonts w:hint="default" w:ascii="宋体" w:hAnsi="宋体"/>
          <w:color w:val="auto"/>
          <w:szCs w:val="21"/>
          <w:highlight w:val="none"/>
        </w:rPr>
      </w:pPr>
      <w:r>
        <w:rPr>
          <w:rFonts w:ascii="宋体" w:hAnsi="宋体"/>
          <w:color w:val="auto"/>
          <w:szCs w:val="21"/>
          <w:highlight w:val="none"/>
        </w:rPr>
        <w:t xml:space="preserve">（二）本廉洁承诺书一式三份，由贵我双方、主管部门各执一份，具有同等法律效力。　　                   </w:t>
      </w:r>
    </w:p>
    <w:p>
      <w:pPr>
        <w:adjustRightInd w:val="0"/>
        <w:snapToGrid w:val="0"/>
        <w:spacing w:line="306" w:lineRule="exact"/>
        <w:ind w:firstLine="630" w:firstLineChars="300"/>
        <w:rPr>
          <w:rFonts w:hint="default" w:ascii="宋体" w:hAnsi="宋体"/>
          <w:color w:val="auto"/>
          <w:szCs w:val="21"/>
          <w:highlight w:val="none"/>
        </w:rPr>
      </w:pPr>
      <w:r>
        <w:rPr>
          <w:rFonts w:ascii="宋体" w:hAnsi="宋体"/>
          <w:color w:val="auto"/>
          <w:szCs w:val="21"/>
          <w:highlight w:val="none"/>
        </w:rPr>
        <w:t xml:space="preserve">                  承诺人：   （单位公章）</w:t>
      </w:r>
    </w:p>
    <w:p>
      <w:pPr>
        <w:adjustRightInd w:val="0"/>
        <w:snapToGrid w:val="0"/>
        <w:spacing w:line="306" w:lineRule="exact"/>
        <w:ind w:firstLine="630" w:firstLineChars="300"/>
        <w:rPr>
          <w:rFonts w:hint="default" w:ascii="宋体" w:hAnsi="宋体"/>
          <w:color w:val="auto"/>
          <w:szCs w:val="21"/>
          <w:highlight w:val="none"/>
        </w:rPr>
      </w:pPr>
      <w:r>
        <w:rPr>
          <w:rFonts w:ascii="宋体" w:hAnsi="宋体"/>
          <w:color w:val="auto"/>
          <w:szCs w:val="21"/>
          <w:highlight w:val="none"/>
        </w:rPr>
        <w:t xml:space="preserve">                  法定代表人（或授权代表）：</w:t>
      </w:r>
    </w:p>
    <w:p>
      <w:pPr>
        <w:adjustRightInd w:val="0"/>
        <w:snapToGrid w:val="0"/>
        <w:spacing w:line="306" w:lineRule="exact"/>
        <w:ind w:firstLine="630" w:firstLineChars="300"/>
        <w:rPr>
          <w:rFonts w:hint="default" w:ascii="宋体" w:hAnsi="宋体"/>
          <w:color w:val="auto"/>
          <w:szCs w:val="21"/>
          <w:highlight w:val="none"/>
        </w:rPr>
      </w:pPr>
      <w:r>
        <w:rPr>
          <w:rFonts w:ascii="宋体" w:hAnsi="宋体"/>
          <w:color w:val="auto"/>
          <w:szCs w:val="21"/>
          <w:highlight w:val="none"/>
        </w:rPr>
        <w:t xml:space="preserve">                  签署时间 ：</w:t>
      </w:r>
    </w:p>
    <w:p>
      <w:pPr>
        <w:rPr>
          <w:rFonts w:ascii="宋体" w:hAnsi="宋体" w:cs="宋体"/>
          <w:b/>
          <w:color w:val="auto"/>
          <w:szCs w:val="21"/>
          <w:highlight w:val="none"/>
        </w:rPr>
      </w:pPr>
    </w:p>
    <w:p>
      <w:pPr>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投标人情况介绍；（格式自拟）</w:t>
      </w:r>
    </w:p>
    <w:p>
      <w:pPr>
        <w:pStyle w:val="4"/>
        <w:spacing w:line="240" w:lineRule="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企业信誉及认证</w:t>
      </w:r>
      <w:r>
        <w:rPr>
          <w:rFonts w:ascii="宋体" w:hAnsi="宋体" w:cs="宋体"/>
          <w:color w:val="auto"/>
          <w:sz w:val="21"/>
          <w:szCs w:val="21"/>
          <w:highlight w:val="none"/>
          <w:lang w:val="zh-CN"/>
        </w:rPr>
        <w:t>；（根据评标方法提供，如有，复印件</w:t>
      </w:r>
      <w:r>
        <w:rPr>
          <w:rFonts w:ascii="宋体" w:hAnsi="宋体" w:cs="宋体"/>
          <w:color w:val="auto"/>
          <w:sz w:val="21"/>
          <w:szCs w:val="21"/>
          <w:highlight w:val="none"/>
        </w:rPr>
        <w:t>加盖公章</w:t>
      </w:r>
      <w:r>
        <w:rPr>
          <w:rFonts w:ascii="宋体" w:hAnsi="宋体" w:cs="宋体"/>
          <w:color w:val="auto"/>
          <w:sz w:val="21"/>
          <w:szCs w:val="21"/>
          <w:highlight w:val="none"/>
          <w:lang w:val="zh-CN"/>
        </w:rPr>
        <w:t>，格式自拟）</w:t>
      </w:r>
    </w:p>
    <w:p>
      <w:pPr>
        <w:pStyle w:val="4"/>
        <w:spacing w:line="240" w:lineRule="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6.</w:t>
      </w:r>
      <w:r>
        <w:rPr>
          <w:rFonts w:ascii="宋体" w:hAnsi="宋体" w:cs="宋体"/>
          <w:color w:val="auto"/>
          <w:sz w:val="21"/>
          <w:szCs w:val="21"/>
          <w:highlight w:val="none"/>
        </w:rPr>
        <w:t>企业</w:t>
      </w:r>
      <w:r>
        <w:rPr>
          <w:rFonts w:hint="eastAsia" w:ascii="宋体" w:hAnsi="宋体" w:cs="宋体"/>
          <w:color w:val="auto"/>
          <w:sz w:val="21"/>
          <w:szCs w:val="21"/>
          <w:highlight w:val="none"/>
          <w:lang w:eastAsia="zh-CN"/>
        </w:rPr>
        <w:t>资质</w:t>
      </w:r>
      <w:r>
        <w:rPr>
          <w:rFonts w:ascii="宋体" w:hAnsi="宋体" w:cs="宋体"/>
          <w:color w:val="auto"/>
          <w:sz w:val="21"/>
          <w:szCs w:val="21"/>
          <w:highlight w:val="none"/>
          <w:lang w:val="zh-CN"/>
        </w:rPr>
        <w:t>；（根据评标方法提供，如有，复印件</w:t>
      </w:r>
      <w:r>
        <w:rPr>
          <w:rFonts w:ascii="宋体" w:hAnsi="宋体" w:cs="宋体"/>
          <w:color w:val="auto"/>
          <w:sz w:val="21"/>
          <w:szCs w:val="21"/>
          <w:highlight w:val="none"/>
        </w:rPr>
        <w:t>加盖公章</w:t>
      </w:r>
      <w:r>
        <w:rPr>
          <w:rFonts w:ascii="宋体" w:hAnsi="宋体" w:cs="宋体"/>
          <w:color w:val="auto"/>
          <w:sz w:val="21"/>
          <w:szCs w:val="21"/>
          <w:highlight w:val="none"/>
          <w:lang w:val="zh-CN"/>
        </w:rPr>
        <w:t>，格式自拟）</w:t>
      </w:r>
    </w:p>
    <w:p>
      <w:pPr>
        <w:pStyle w:val="4"/>
        <w:spacing w:line="240" w:lineRule="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企业荣誉</w:t>
      </w:r>
      <w:r>
        <w:rPr>
          <w:rFonts w:ascii="宋体" w:hAnsi="宋体" w:cs="宋体"/>
          <w:color w:val="auto"/>
          <w:sz w:val="21"/>
          <w:szCs w:val="21"/>
          <w:highlight w:val="none"/>
          <w:lang w:val="zh-CN"/>
        </w:rPr>
        <w:t>；（根据评标方法提供，如有，复印件</w:t>
      </w:r>
      <w:r>
        <w:rPr>
          <w:rFonts w:ascii="宋体" w:hAnsi="宋体" w:cs="宋体"/>
          <w:color w:val="auto"/>
          <w:sz w:val="21"/>
          <w:szCs w:val="21"/>
          <w:highlight w:val="none"/>
        </w:rPr>
        <w:t>加盖公章</w:t>
      </w:r>
      <w:r>
        <w:rPr>
          <w:rFonts w:ascii="宋体" w:hAnsi="宋体" w:cs="宋体"/>
          <w:color w:val="auto"/>
          <w:sz w:val="21"/>
          <w:szCs w:val="21"/>
          <w:highlight w:val="none"/>
          <w:lang w:val="zh-CN"/>
        </w:rPr>
        <w:t>，格式自拟）</w:t>
      </w:r>
    </w:p>
    <w:p>
      <w:pPr>
        <w:pStyle w:val="4"/>
        <w:spacing w:line="240" w:lineRule="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val="zh-CN"/>
        </w:rPr>
        <w:t>技术保障</w:t>
      </w:r>
      <w:r>
        <w:rPr>
          <w:rFonts w:ascii="宋体" w:hAnsi="宋体" w:cs="宋体"/>
          <w:color w:val="auto"/>
          <w:sz w:val="21"/>
          <w:szCs w:val="21"/>
          <w:highlight w:val="none"/>
          <w:lang w:val="zh-CN"/>
        </w:rPr>
        <w:t>；（根据评标方法提供，如有，复印件</w:t>
      </w:r>
      <w:r>
        <w:rPr>
          <w:rFonts w:ascii="宋体" w:hAnsi="宋体" w:cs="宋体"/>
          <w:color w:val="auto"/>
          <w:sz w:val="21"/>
          <w:szCs w:val="21"/>
          <w:highlight w:val="none"/>
        </w:rPr>
        <w:t>加盖公章</w:t>
      </w:r>
      <w:r>
        <w:rPr>
          <w:rFonts w:ascii="宋体" w:hAnsi="宋体" w:cs="宋体"/>
          <w:color w:val="auto"/>
          <w:sz w:val="21"/>
          <w:szCs w:val="21"/>
          <w:highlight w:val="none"/>
          <w:lang w:val="zh-CN"/>
        </w:rPr>
        <w:t>，格式自拟）</w:t>
      </w:r>
    </w:p>
    <w:p>
      <w:pPr>
        <w:rPr>
          <w:rFonts w:ascii="宋体" w:hAnsi="宋体" w:cs="宋体"/>
          <w:b/>
          <w:color w:val="auto"/>
          <w:szCs w:val="21"/>
          <w:highlight w:val="none"/>
        </w:rPr>
      </w:pPr>
    </w:p>
    <w:p>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lang w:val="zh-CN"/>
        </w:rPr>
        <w:t>成功案例</w:t>
      </w:r>
      <w:r>
        <w:rPr>
          <w:rFonts w:ascii="宋体" w:hAnsi="宋体" w:cs="宋体"/>
          <w:b/>
          <w:color w:val="auto"/>
          <w:szCs w:val="21"/>
          <w:highlight w:val="none"/>
          <w:lang w:val="zh-CN"/>
        </w:rPr>
        <w:t>；（根据评标方法提供，投标人同类项目实施情况一览表</w:t>
      </w:r>
      <w:r>
        <w:rPr>
          <w:rFonts w:ascii="宋体" w:hAnsi="宋体" w:cs="宋体"/>
          <w:b/>
          <w:color w:val="auto"/>
          <w:szCs w:val="21"/>
          <w:highlight w:val="none"/>
        </w:rPr>
        <w:t>,</w:t>
      </w:r>
      <w:r>
        <w:rPr>
          <w:rFonts w:ascii="宋体" w:hAnsi="宋体" w:cs="宋体"/>
          <w:b/>
          <w:color w:val="auto"/>
          <w:szCs w:val="21"/>
          <w:highlight w:val="none"/>
          <w:lang w:val="zh-CN"/>
        </w:rPr>
        <w:t>如有，</w:t>
      </w:r>
      <w:r>
        <w:rPr>
          <w:rFonts w:hint="eastAsia" w:ascii="宋体" w:hAnsi="宋体" w:cs="宋体"/>
          <w:b/>
          <w:color w:val="auto"/>
          <w:szCs w:val="21"/>
          <w:highlight w:val="none"/>
          <w:lang w:val="zh-CN"/>
        </w:rPr>
        <w:t>相关证明资料</w:t>
      </w:r>
      <w:r>
        <w:rPr>
          <w:rFonts w:ascii="宋体" w:hAnsi="宋体" w:cs="宋体"/>
          <w:b/>
          <w:color w:val="auto"/>
          <w:szCs w:val="21"/>
          <w:highlight w:val="none"/>
          <w:lang w:val="zh-CN"/>
        </w:rPr>
        <w:t>复印件</w:t>
      </w:r>
      <w:r>
        <w:rPr>
          <w:rFonts w:ascii="宋体" w:hAnsi="宋体" w:cs="宋体"/>
          <w:b/>
          <w:color w:val="auto"/>
          <w:szCs w:val="21"/>
          <w:highlight w:val="none"/>
        </w:rPr>
        <w:t>加盖公章</w:t>
      </w:r>
      <w:r>
        <w:rPr>
          <w:rFonts w:ascii="宋体" w:hAnsi="宋体" w:cs="宋体"/>
          <w:b/>
          <w:color w:val="auto"/>
          <w:szCs w:val="21"/>
          <w:highlight w:val="none"/>
          <w:lang w:val="zh-CN"/>
        </w:rPr>
        <w:t>。）</w:t>
      </w:r>
    </w:p>
    <w:p>
      <w:pPr>
        <w:jc w:val="center"/>
        <w:rPr>
          <w:rFonts w:hint="default" w:ascii="宋体" w:hAnsi="宋体" w:cs="宋体"/>
          <w:b/>
          <w:color w:val="auto"/>
          <w:szCs w:val="21"/>
          <w:highlight w:val="none"/>
        </w:rPr>
      </w:pPr>
      <w:r>
        <w:rPr>
          <w:rFonts w:ascii="宋体" w:hAnsi="宋体" w:cs="宋体"/>
          <w:b/>
          <w:color w:val="auto"/>
          <w:szCs w:val="21"/>
          <w:highlight w:val="none"/>
        </w:rPr>
        <w:t>投标人</w:t>
      </w:r>
      <w:r>
        <w:rPr>
          <w:rFonts w:ascii="宋体" w:hAnsi="宋体" w:cs="宋体"/>
          <w:b/>
          <w:bCs/>
          <w:color w:val="auto"/>
          <w:szCs w:val="21"/>
          <w:highlight w:val="none"/>
        </w:rPr>
        <w:t>201</w:t>
      </w:r>
      <w:r>
        <w:rPr>
          <w:rFonts w:hint="eastAsia" w:ascii="宋体" w:hAnsi="宋体" w:cs="宋体"/>
          <w:b/>
          <w:bCs/>
          <w:color w:val="auto"/>
          <w:szCs w:val="21"/>
          <w:highlight w:val="none"/>
          <w:lang w:val="en-US" w:eastAsia="zh-CN"/>
        </w:rPr>
        <w:t>8</w:t>
      </w:r>
      <w:r>
        <w:rPr>
          <w:rFonts w:ascii="宋体" w:hAnsi="宋体" w:cs="宋体"/>
          <w:b/>
          <w:bCs/>
          <w:color w:val="auto"/>
          <w:szCs w:val="21"/>
          <w:highlight w:val="none"/>
        </w:rPr>
        <w:t>年1月1日至今</w:t>
      </w:r>
      <w:r>
        <w:rPr>
          <w:rFonts w:ascii="宋体" w:hAnsi="宋体" w:cs="宋体"/>
          <w:b/>
          <w:color w:val="auto"/>
          <w:szCs w:val="21"/>
          <w:highlight w:val="none"/>
        </w:rPr>
        <w:t>同类项目实施情况一览表</w:t>
      </w:r>
    </w:p>
    <w:tbl>
      <w:tblPr>
        <w:tblStyle w:val="21"/>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bl>
    <w:p>
      <w:pPr>
        <w:rPr>
          <w:rFonts w:hint="default" w:ascii="宋体" w:hAnsi="宋体"/>
          <w:b/>
          <w:color w:val="auto"/>
          <w:sz w:val="10"/>
          <w:szCs w:val="10"/>
          <w:highlight w:val="none"/>
        </w:rPr>
      </w:pPr>
    </w:p>
    <w:p>
      <w:pPr>
        <w:rPr>
          <w:rFonts w:hint="default" w:ascii="宋体" w:hAnsi="宋体" w:cs="宋体"/>
          <w:b/>
          <w:color w:val="auto"/>
          <w:szCs w:val="21"/>
          <w:highlight w:val="none"/>
        </w:rPr>
      </w:pPr>
      <w:r>
        <w:rPr>
          <w:rFonts w:ascii="宋体" w:hAnsi="宋体"/>
          <w:b/>
          <w:color w:val="auto"/>
          <w:szCs w:val="21"/>
          <w:highlight w:val="none"/>
        </w:rPr>
        <w:t>注：</w:t>
      </w:r>
      <w:r>
        <w:rPr>
          <w:rFonts w:ascii="宋体" w:hAnsi="宋体" w:cs="宋体"/>
          <w:b/>
          <w:color w:val="auto"/>
          <w:szCs w:val="21"/>
          <w:highlight w:val="none"/>
        </w:rPr>
        <w:t>1.此表不提供或者未提供</w:t>
      </w:r>
      <w:r>
        <w:rPr>
          <w:rFonts w:hint="eastAsia" w:ascii="宋体" w:hAnsi="宋体" w:cs="宋体"/>
          <w:b/>
          <w:color w:val="auto"/>
          <w:szCs w:val="21"/>
          <w:highlight w:val="none"/>
          <w:lang w:eastAsia="zh-CN"/>
        </w:rPr>
        <w:t>相关证明资料</w:t>
      </w:r>
      <w:r>
        <w:rPr>
          <w:rFonts w:ascii="宋体" w:hAnsi="宋体" w:cs="宋体"/>
          <w:b/>
          <w:color w:val="auto"/>
          <w:szCs w:val="21"/>
          <w:highlight w:val="none"/>
        </w:rPr>
        <w:t>复印件可视为无证明材料，未提供不得分。</w:t>
      </w:r>
    </w:p>
    <w:p>
      <w:pPr>
        <w:rPr>
          <w:rFonts w:hint="default"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pPr>
        <w:autoSpaceDE w:val="0"/>
        <w:autoSpaceDN w:val="0"/>
        <w:rPr>
          <w:rFonts w:hint="default" w:ascii="宋体" w:hAnsi="宋体"/>
          <w:color w:val="auto"/>
          <w:szCs w:val="21"/>
          <w:highlight w:val="none"/>
          <w:u w:val="single"/>
          <w:lang w:val="zh-CN"/>
        </w:rPr>
      </w:pPr>
      <w:r>
        <w:rPr>
          <w:rFonts w:ascii="宋体" w:hAnsi="宋体"/>
          <w:color w:val="auto"/>
          <w:szCs w:val="21"/>
          <w:highlight w:val="none"/>
        </w:rPr>
        <w:t xml:space="preserve">    </w:t>
      </w:r>
      <w:r>
        <w:rPr>
          <w:rFonts w:ascii="宋体" w:hAnsi="宋体"/>
          <w:color w:val="auto"/>
          <w:szCs w:val="21"/>
          <w:highlight w:val="none"/>
          <w:lang w:val="zh-CN"/>
        </w:rPr>
        <w:t>法定代表人签名：</w:t>
      </w:r>
      <w:r>
        <w:rPr>
          <w:rFonts w:ascii="宋体" w:hAnsi="宋体"/>
          <w:color w:val="auto"/>
          <w:szCs w:val="21"/>
          <w:highlight w:val="none"/>
          <w:u w:val="single"/>
          <w:lang w:val="zh-CN"/>
        </w:rPr>
        <w:t>　　　　　</w:t>
      </w:r>
    </w:p>
    <w:p>
      <w:pPr>
        <w:autoSpaceDE w:val="0"/>
        <w:autoSpaceDN w:val="0"/>
        <w:jc w:val="left"/>
        <w:rPr>
          <w:rFonts w:hint="default" w:ascii="宋体" w:hAnsi="宋体"/>
          <w:color w:val="auto"/>
          <w:szCs w:val="21"/>
          <w:highlight w:val="none"/>
          <w:lang w:val="zh-CN"/>
        </w:rPr>
      </w:pPr>
      <w:r>
        <w:rPr>
          <w:rFonts w:ascii="宋体" w:hAnsi="宋体"/>
          <w:color w:val="auto"/>
          <w:szCs w:val="21"/>
          <w:highlight w:val="none"/>
        </w:rPr>
        <w:t xml:space="preserve">    </w:t>
      </w:r>
      <w:r>
        <w:rPr>
          <w:rFonts w:ascii="宋体" w:hAnsi="宋体"/>
          <w:color w:val="auto"/>
          <w:szCs w:val="21"/>
          <w:highlight w:val="none"/>
          <w:lang w:val="zh-CN"/>
        </w:rPr>
        <w:t>投</w:t>
      </w:r>
      <w:r>
        <w:rPr>
          <w:rFonts w:ascii="宋体" w:hAnsi="宋体"/>
          <w:color w:val="auto"/>
          <w:szCs w:val="21"/>
          <w:highlight w:val="none"/>
        </w:rPr>
        <w:t xml:space="preserve"> </w:t>
      </w:r>
      <w:r>
        <w:rPr>
          <w:rFonts w:ascii="宋体" w:hAnsi="宋体"/>
          <w:color w:val="auto"/>
          <w:szCs w:val="21"/>
          <w:highlight w:val="none"/>
          <w:lang w:val="zh-CN"/>
        </w:rPr>
        <w:t>标</w:t>
      </w:r>
      <w:r>
        <w:rPr>
          <w:rFonts w:ascii="宋体" w:hAnsi="宋体"/>
          <w:color w:val="auto"/>
          <w:szCs w:val="21"/>
          <w:highlight w:val="none"/>
        </w:rPr>
        <w:t xml:space="preserve"> </w:t>
      </w:r>
      <w:r>
        <w:rPr>
          <w:rFonts w:ascii="宋体" w:hAnsi="宋体"/>
          <w:color w:val="auto"/>
          <w:szCs w:val="21"/>
          <w:highlight w:val="none"/>
          <w:lang w:val="zh-CN"/>
        </w:rPr>
        <w:t>人 公 章：</w:t>
      </w:r>
      <w:r>
        <w:rPr>
          <w:rFonts w:ascii="宋体" w:hAnsi="宋体"/>
          <w:color w:val="auto"/>
          <w:szCs w:val="21"/>
          <w:highlight w:val="none"/>
          <w:u w:val="single"/>
          <w:lang w:val="zh-CN"/>
        </w:rPr>
        <w:t xml:space="preserve">                 </w:t>
      </w:r>
      <w:r>
        <w:rPr>
          <w:rFonts w:ascii="宋体" w:hAnsi="宋体"/>
          <w:color w:val="auto"/>
          <w:szCs w:val="21"/>
          <w:highlight w:val="none"/>
          <w:lang w:val="zh-CN"/>
        </w:rPr>
        <w:t xml:space="preserve">                                         </w:t>
      </w:r>
    </w:p>
    <w:p>
      <w:pPr>
        <w:autoSpaceDE w:val="0"/>
        <w:autoSpaceDN w:val="0"/>
        <w:jc w:val="left"/>
        <w:rPr>
          <w:rFonts w:hint="default" w:ascii="宋体" w:hAnsi="宋体"/>
          <w:color w:val="auto"/>
          <w:szCs w:val="21"/>
          <w:highlight w:val="none"/>
          <w:lang w:val="zh-CN"/>
        </w:rPr>
      </w:pPr>
      <w:r>
        <w:rPr>
          <w:rFonts w:ascii="宋体" w:hAnsi="宋体"/>
          <w:color w:val="auto"/>
          <w:szCs w:val="21"/>
          <w:highlight w:val="none"/>
          <w:lang w:val="zh-CN"/>
        </w:rPr>
        <w:t xml:space="preserve">  </w:t>
      </w:r>
      <w:r>
        <w:rPr>
          <w:rFonts w:ascii="宋体" w:hAnsi="宋体"/>
          <w:color w:val="auto"/>
          <w:szCs w:val="21"/>
          <w:highlight w:val="none"/>
        </w:rPr>
        <w:t xml:space="preserve">     </w:t>
      </w:r>
      <w:r>
        <w:rPr>
          <w:rFonts w:ascii="宋体" w:hAnsi="宋体"/>
          <w:color w:val="auto"/>
          <w:szCs w:val="21"/>
          <w:highlight w:val="none"/>
          <w:lang w:val="zh-CN"/>
        </w:rPr>
        <w:t xml:space="preserve">年    月  日    </w:t>
      </w:r>
    </w:p>
    <w:p>
      <w:pPr>
        <w:pStyle w:val="4"/>
        <w:spacing w:line="240" w:lineRule="auto"/>
        <w:rPr>
          <w:rFonts w:hint="eastAsia" w:ascii="宋体" w:hAnsi="宋体" w:cs="宋体"/>
          <w:color w:val="auto"/>
          <w:sz w:val="21"/>
          <w:szCs w:val="21"/>
          <w:highlight w:val="none"/>
          <w:lang w:val="en-US" w:eastAsia="zh-CN"/>
        </w:rPr>
      </w:pPr>
    </w:p>
    <w:p>
      <w:pPr>
        <w:pStyle w:val="4"/>
        <w:spacing w:line="240" w:lineRule="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10.</w:t>
      </w:r>
      <w:r>
        <w:rPr>
          <w:rFonts w:ascii="宋体" w:hAnsi="宋体" w:cs="宋体"/>
          <w:color w:val="auto"/>
          <w:sz w:val="21"/>
          <w:szCs w:val="21"/>
          <w:highlight w:val="none"/>
          <w:lang w:val="zh-CN"/>
        </w:rPr>
        <w:t>项目组人员综合实力；（根据评标方法提供，如有，相关证明资料复印件</w:t>
      </w:r>
      <w:r>
        <w:rPr>
          <w:rFonts w:ascii="宋体" w:hAnsi="宋体" w:cs="宋体"/>
          <w:color w:val="auto"/>
          <w:sz w:val="21"/>
          <w:szCs w:val="21"/>
          <w:highlight w:val="none"/>
        </w:rPr>
        <w:t>加盖公章</w:t>
      </w:r>
      <w:r>
        <w:rPr>
          <w:rFonts w:ascii="宋体" w:hAnsi="宋体" w:cs="宋体"/>
          <w:color w:val="auto"/>
          <w:sz w:val="21"/>
          <w:szCs w:val="21"/>
          <w:highlight w:val="none"/>
          <w:lang w:val="zh-CN"/>
        </w:rPr>
        <w:t>，格式自拟）</w:t>
      </w:r>
    </w:p>
    <w:p>
      <w:pPr>
        <w:rPr>
          <w:rFonts w:hint="eastAsia" w:ascii="宋体" w:hAnsi="宋体" w:cs="宋体"/>
          <w:b/>
          <w:color w:val="auto"/>
          <w:szCs w:val="21"/>
          <w:highlight w:val="none"/>
          <w:lang w:val="en-US" w:eastAsia="zh-CN"/>
        </w:rPr>
      </w:pPr>
    </w:p>
    <w:p>
      <w:pPr>
        <w:rPr>
          <w:rFonts w:hint="eastAsia" w:ascii="宋体" w:hAnsi="宋体" w:cs="宋体"/>
          <w:b/>
          <w:color w:val="auto"/>
          <w:szCs w:val="21"/>
          <w:highlight w:val="none"/>
          <w:lang w:val="en-US" w:eastAsia="zh-CN"/>
        </w:rPr>
      </w:pPr>
    </w:p>
    <w:p>
      <w:pPr>
        <w:rPr>
          <w:rFonts w:hint="default"/>
          <w:color w:val="auto"/>
          <w:highlight w:val="none"/>
          <w:lang w:val="zh-CN"/>
        </w:rPr>
      </w:pPr>
      <w:r>
        <w:rPr>
          <w:rFonts w:hint="eastAsia" w:ascii="宋体" w:hAnsi="宋体" w:cs="宋体"/>
          <w:b/>
          <w:color w:val="auto"/>
          <w:szCs w:val="21"/>
          <w:highlight w:val="none"/>
          <w:lang w:val="en-US" w:eastAsia="zh-CN"/>
        </w:rPr>
        <w:t>11.</w:t>
      </w:r>
      <w:r>
        <w:rPr>
          <w:rFonts w:ascii="宋体" w:hAnsi="宋体" w:cs="宋体"/>
          <w:b/>
          <w:color w:val="auto"/>
          <w:szCs w:val="21"/>
          <w:highlight w:val="none"/>
          <w:lang w:val="zh-CN"/>
        </w:rPr>
        <w:t>距采购人最近或者能为本项目提供最优服务的网点情况表格式：</w:t>
      </w:r>
    </w:p>
    <w:p>
      <w:pPr>
        <w:autoSpaceDE w:val="0"/>
        <w:autoSpaceDN w:val="0"/>
        <w:ind w:hanging="480"/>
        <w:jc w:val="center"/>
        <w:rPr>
          <w:rFonts w:hint="default"/>
          <w:b/>
          <w:bCs/>
          <w:color w:val="auto"/>
          <w:szCs w:val="21"/>
          <w:highlight w:val="none"/>
          <w:lang w:val="zh-CN"/>
        </w:rPr>
      </w:pPr>
      <w:r>
        <w:rPr>
          <w:b/>
          <w:bCs/>
          <w:color w:val="auto"/>
          <w:szCs w:val="21"/>
          <w:highlight w:val="none"/>
          <w:lang w:val="zh-CN"/>
        </w:rPr>
        <w:t>距采购人最近或者能为本项目提供最优服务的网点情况表</w:t>
      </w:r>
    </w:p>
    <w:tbl>
      <w:tblPr>
        <w:tblStyle w:val="21"/>
        <w:tblpPr w:leftFromText="180" w:rightFromText="180" w:vertAnchor="text" w:horzAnchor="page" w:tblpX="1376" w:tblpY="79"/>
        <w:tblOverlap w:val="never"/>
        <w:tblW w:w="9220" w:type="dxa"/>
        <w:tblInd w:w="0" w:type="dxa"/>
        <w:tblLayout w:type="fixed"/>
        <w:tblCellMar>
          <w:top w:w="0" w:type="dxa"/>
          <w:left w:w="10" w:type="dxa"/>
          <w:bottom w:w="0" w:type="dxa"/>
          <w:right w:w="10" w:type="dxa"/>
        </w:tblCellMar>
      </w:tblPr>
      <w:tblGrid>
        <w:gridCol w:w="1680"/>
        <w:gridCol w:w="1579"/>
        <w:gridCol w:w="185"/>
        <w:gridCol w:w="1401"/>
        <w:gridCol w:w="864"/>
        <w:gridCol w:w="1396"/>
        <w:gridCol w:w="2115"/>
      </w:tblGrid>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服务网点名称</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投标文件页码</w:t>
            </w: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地址</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注册资本金</w:t>
            </w:r>
          </w:p>
        </w:tc>
        <w:tc>
          <w:tcPr>
            <w:tcW w:w="157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45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其中：投标人出资比例</w:t>
            </w:r>
          </w:p>
        </w:tc>
        <w:tc>
          <w:tcPr>
            <w:tcW w:w="13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员工总人数</w:t>
            </w:r>
          </w:p>
        </w:tc>
        <w:tc>
          <w:tcPr>
            <w:tcW w:w="157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45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ind w:left="60"/>
              <w:jc w:val="center"/>
              <w:rPr>
                <w:rFonts w:hint="default" w:ascii="宋体" w:hAnsi="Arial"/>
                <w:color w:val="auto"/>
                <w:szCs w:val="21"/>
                <w:highlight w:val="none"/>
                <w:lang w:val="zh-CN"/>
              </w:rPr>
            </w:pPr>
            <w:r>
              <w:rPr>
                <w:rFonts w:ascii="宋体" w:hAnsi="Arial"/>
                <w:color w:val="auto"/>
                <w:szCs w:val="21"/>
                <w:highlight w:val="none"/>
                <w:lang w:val="zh-CN"/>
              </w:rPr>
              <w:t>其中：技术人员数</w:t>
            </w:r>
          </w:p>
        </w:tc>
        <w:tc>
          <w:tcPr>
            <w:tcW w:w="13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经营期限</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售后服务协议</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售后服务内容</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工作业绩</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服务承诺</w:t>
            </w:r>
          </w:p>
        </w:tc>
        <w:tc>
          <w:tcPr>
            <w:tcW w:w="54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17"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业务咨询电话</w:t>
            </w:r>
          </w:p>
        </w:tc>
        <w:tc>
          <w:tcPr>
            <w:tcW w:w="17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14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ind w:firstLine="240"/>
              <w:jc w:val="center"/>
              <w:rPr>
                <w:rFonts w:hint="default" w:ascii="宋体" w:hAnsi="Arial"/>
                <w:color w:val="auto"/>
                <w:szCs w:val="21"/>
                <w:highlight w:val="none"/>
                <w:lang w:val="zh-CN"/>
              </w:rPr>
            </w:pPr>
            <w:r>
              <w:rPr>
                <w:rFonts w:ascii="宋体" w:hAnsi="Arial"/>
                <w:color w:val="auto"/>
                <w:szCs w:val="21"/>
                <w:highlight w:val="none"/>
                <w:lang w:val="zh-CN"/>
              </w:rPr>
              <w:t>传 真</w:t>
            </w:r>
          </w:p>
        </w:tc>
        <w:tc>
          <w:tcPr>
            <w:tcW w:w="2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431" w:hRule="exact"/>
        </w:trPr>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负责人</w:t>
            </w:r>
          </w:p>
        </w:tc>
        <w:tc>
          <w:tcPr>
            <w:tcW w:w="176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14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r>
              <w:rPr>
                <w:rFonts w:ascii="宋体" w:hAnsi="Arial"/>
                <w:color w:val="auto"/>
                <w:szCs w:val="21"/>
                <w:highlight w:val="none"/>
                <w:lang w:val="zh-CN"/>
              </w:rPr>
              <w:t>联系电话</w:t>
            </w:r>
          </w:p>
        </w:tc>
        <w:tc>
          <w:tcPr>
            <w:tcW w:w="2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120"/>
              <w:jc w:val="center"/>
              <w:rPr>
                <w:rFonts w:hint="default" w:ascii="宋体" w:hAnsi="Arial"/>
                <w:color w:val="auto"/>
                <w:szCs w:val="21"/>
                <w:highlight w:val="none"/>
                <w:lang w:val="zh-CN"/>
              </w:rPr>
            </w:pPr>
          </w:p>
        </w:tc>
      </w:tr>
    </w:tbl>
    <w:p>
      <w:pPr>
        <w:autoSpaceDE w:val="0"/>
        <w:autoSpaceDN w:val="0"/>
        <w:rPr>
          <w:rFonts w:hint="default" w:ascii="宋体" w:hAnsi="Arial"/>
          <w:color w:val="auto"/>
          <w:szCs w:val="21"/>
          <w:highlight w:val="none"/>
          <w:lang w:val="zh-CN"/>
        </w:rPr>
      </w:pPr>
      <w:r>
        <w:rPr>
          <w:rFonts w:ascii="宋体" w:hAnsi="Arial"/>
          <w:color w:val="auto"/>
          <w:szCs w:val="21"/>
          <w:highlight w:val="none"/>
          <w:lang w:val="zh-CN"/>
        </w:rPr>
        <w:t xml:space="preserve">授权代表签字：　　　　　   </w:t>
      </w:r>
    </w:p>
    <w:p>
      <w:pPr>
        <w:autoSpaceDE w:val="0"/>
        <w:autoSpaceDN w:val="0"/>
        <w:rPr>
          <w:rFonts w:hint="default" w:ascii="宋体" w:hAnsi="Arial"/>
          <w:color w:val="auto"/>
          <w:szCs w:val="21"/>
          <w:highlight w:val="none"/>
          <w:lang w:val="zh-CN"/>
        </w:rPr>
      </w:pPr>
      <w:r>
        <w:rPr>
          <w:rFonts w:ascii="宋体" w:hAnsi="Arial"/>
          <w:color w:val="auto"/>
          <w:szCs w:val="21"/>
          <w:highlight w:val="none"/>
          <w:lang w:val="zh-CN"/>
        </w:rPr>
        <w:t>投标人公章：                               　日  期：</w:t>
      </w:r>
    </w:p>
    <w:p>
      <w:pPr>
        <w:pStyle w:val="9"/>
        <w:spacing w:after="0"/>
        <w:ind w:firstLine="210"/>
        <w:rPr>
          <w:rFonts w:hint="default"/>
          <w:color w:val="auto"/>
          <w:highlight w:val="none"/>
          <w:lang w:val="zh-CN"/>
        </w:rPr>
      </w:pPr>
    </w:p>
    <w:p>
      <w:pPr>
        <w:autoSpaceDE w:val="0"/>
        <w:autoSpaceDN w:val="0"/>
        <w:rPr>
          <w:rFonts w:hint="default" w:ascii="宋体" w:hAnsi="宋体" w:cs="宋体"/>
          <w:b/>
          <w:color w:val="auto"/>
          <w:szCs w:val="21"/>
          <w:highlight w:val="none"/>
          <w:lang w:val="zh-CN"/>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ascii="宋体" w:hAnsi="宋体" w:cs="宋体"/>
          <w:b/>
          <w:color w:val="auto"/>
          <w:szCs w:val="21"/>
          <w:highlight w:val="none"/>
        </w:rPr>
        <w:t>.</w:t>
      </w:r>
      <w:r>
        <w:rPr>
          <w:rFonts w:ascii="宋体" w:hAnsi="宋体" w:cs="宋体"/>
          <w:b/>
          <w:color w:val="auto"/>
          <w:szCs w:val="21"/>
          <w:highlight w:val="none"/>
          <w:lang w:val="zh-CN"/>
        </w:rPr>
        <w:t>售后服务；（根据评标方法提供，格式自拟）</w:t>
      </w:r>
    </w:p>
    <w:p>
      <w:pPr>
        <w:autoSpaceDE w:val="0"/>
        <w:autoSpaceDN w:val="0"/>
        <w:rPr>
          <w:rFonts w:hint="default" w:ascii="宋体" w:hAnsi="宋体" w:cs="宋体"/>
          <w:b/>
          <w:color w:val="auto"/>
          <w:szCs w:val="21"/>
          <w:highlight w:val="none"/>
          <w:lang w:val="zh-CN"/>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color w:val="auto"/>
          <w:szCs w:val="21"/>
          <w:highlight w:val="none"/>
          <w:lang w:val="zh-CN"/>
        </w:rPr>
        <w:t>商务响应表格式：</w:t>
      </w:r>
    </w:p>
    <w:p>
      <w:pPr>
        <w:jc w:val="center"/>
        <w:rPr>
          <w:rFonts w:hint="default"/>
          <w:b/>
          <w:bCs/>
          <w:color w:val="auto"/>
          <w:szCs w:val="21"/>
          <w:highlight w:val="none"/>
          <w:lang w:val="zh-CN"/>
        </w:rPr>
      </w:pPr>
      <w:r>
        <w:rPr>
          <w:b/>
          <w:bCs/>
          <w:color w:val="auto"/>
          <w:szCs w:val="21"/>
          <w:highlight w:val="none"/>
          <w:lang w:val="zh-CN"/>
        </w:rPr>
        <w:t>商务响应表</w:t>
      </w:r>
    </w:p>
    <w:tbl>
      <w:tblPr>
        <w:tblStyle w:val="21"/>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r>
              <w:rPr>
                <w:rFonts w:ascii="宋体" w:hAnsi="Arial"/>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r>
              <w:rPr>
                <w:rFonts w:ascii="宋体" w:hAnsi="Arial"/>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r>
              <w:rPr>
                <w:rFonts w:ascii="宋体" w:hAnsi="Arial"/>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r>
              <w:rPr>
                <w:rFonts w:ascii="宋体" w:hAnsi="Arial"/>
                <w:color w:val="auto"/>
                <w:szCs w:val="21"/>
                <w:highlight w:val="none"/>
                <w:lang w:val="zh-CN"/>
              </w:rPr>
              <w:t>投标人的承诺或说明</w:t>
            </w: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cs="宋体"/>
                <w:color w:val="auto"/>
                <w:szCs w:val="21"/>
                <w:highlight w:val="none"/>
                <w:lang w:val="zh-CN"/>
              </w:rPr>
            </w:pPr>
            <w:r>
              <w:rPr>
                <w:rFonts w:ascii="宋体" w:hAnsi="宋体" w:cs="宋体"/>
                <w:color w:val="auto"/>
                <w:szCs w:val="21"/>
                <w:highlight w:val="none"/>
              </w:rPr>
              <w:t>质保期</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cs="宋体"/>
                <w:color w:val="auto"/>
                <w:szCs w:val="21"/>
                <w:highlight w:val="none"/>
                <w:lang w:val="zh-CN"/>
              </w:rPr>
            </w:pPr>
            <w:r>
              <w:rPr>
                <w:rFonts w:ascii="宋体" w:hAnsi="宋体" w:cs="宋体"/>
                <w:color w:val="auto"/>
                <w:szCs w:val="21"/>
                <w:highlight w:val="none"/>
              </w:rPr>
              <w:t>售后技术服务要求</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cs="宋体"/>
                <w:color w:val="auto"/>
                <w:szCs w:val="21"/>
                <w:highlight w:val="none"/>
                <w:lang w:val="zh-CN"/>
              </w:rPr>
            </w:pPr>
            <w:r>
              <w:rPr>
                <w:rFonts w:ascii="宋体" w:hAnsi="宋体" w:cs="宋体"/>
                <w:color w:val="auto"/>
                <w:szCs w:val="21"/>
                <w:highlight w:val="none"/>
              </w:rPr>
              <w:t>完成时间及地点</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cs="宋体"/>
                <w:color w:val="auto"/>
                <w:szCs w:val="21"/>
                <w:highlight w:val="none"/>
                <w:lang w:val="zh-CN"/>
              </w:rPr>
            </w:pPr>
            <w:r>
              <w:rPr>
                <w:rFonts w:ascii="宋体" w:hAnsi="宋体" w:cs="宋体"/>
                <w:color w:val="auto"/>
                <w:szCs w:val="21"/>
                <w:highlight w:val="none"/>
              </w:rPr>
              <w:t>付款方式</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Arial"/>
                <w:color w:val="auto"/>
                <w:szCs w:val="21"/>
                <w:highlight w:val="none"/>
                <w:lang w:val="zh-CN"/>
              </w:rPr>
            </w:pPr>
          </w:p>
        </w:tc>
      </w:tr>
    </w:tbl>
    <w:p>
      <w:pPr>
        <w:autoSpaceDE w:val="0"/>
        <w:autoSpaceDN w:val="0"/>
        <w:adjustRightInd w:val="0"/>
        <w:snapToGrid w:val="0"/>
        <w:rPr>
          <w:rFonts w:hint="default" w:ascii="宋体" w:hAnsi="Arial"/>
          <w:color w:val="auto"/>
          <w:szCs w:val="21"/>
          <w:highlight w:val="none"/>
          <w:u w:val="single"/>
          <w:lang w:val="zh-CN"/>
        </w:rPr>
      </w:pPr>
      <w:r>
        <w:rPr>
          <w:rFonts w:ascii="宋体" w:hAnsi="Arial"/>
          <w:color w:val="auto"/>
          <w:szCs w:val="21"/>
          <w:highlight w:val="none"/>
          <w:lang w:val="zh-CN"/>
        </w:rPr>
        <w:t>授权代表签字：</w:t>
      </w:r>
      <w:r>
        <w:rPr>
          <w:rFonts w:ascii="宋体" w:hAnsi="Arial"/>
          <w:color w:val="auto"/>
          <w:szCs w:val="21"/>
          <w:highlight w:val="none"/>
          <w:u w:val="single"/>
          <w:lang w:val="zh-CN"/>
        </w:rPr>
        <w:t>　　　　　</w:t>
      </w:r>
      <w:r>
        <w:rPr>
          <w:rFonts w:ascii="宋体" w:hAnsi="Arial"/>
          <w:color w:val="auto"/>
          <w:szCs w:val="21"/>
          <w:highlight w:val="none"/>
          <w:u w:val="single"/>
        </w:rPr>
        <w:t xml:space="preserve">   </w:t>
      </w:r>
    </w:p>
    <w:p>
      <w:pPr>
        <w:autoSpaceDE w:val="0"/>
        <w:autoSpaceDN w:val="0"/>
        <w:adjustRightInd w:val="0"/>
        <w:snapToGrid w:val="0"/>
        <w:rPr>
          <w:rFonts w:hint="default" w:ascii="宋体"/>
          <w:color w:val="auto"/>
          <w:szCs w:val="21"/>
          <w:highlight w:val="none"/>
          <w:lang w:val="zh-CN"/>
        </w:rPr>
      </w:pPr>
      <w:r>
        <w:rPr>
          <w:rFonts w:ascii="宋体" w:hAnsi="Arial"/>
          <w:color w:val="auto"/>
          <w:szCs w:val="21"/>
          <w:highlight w:val="none"/>
          <w:lang w:val="zh-CN"/>
        </w:rPr>
        <w:t>投标人公章：</w:t>
      </w:r>
      <w:r>
        <w:rPr>
          <w:rFonts w:ascii="宋体" w:hAnsi="Arial"/>
          <w:color w:val="auto"/>
          <w:szCs w:val="21"/>
          <w:highlight w:val="none"/>
          <w:u w:val="single"/>
          <w:lang w:val="zh-CN"/>
        </w:rPr>
        <w:t xml:space="preserve">               </w:t>
      </w:r>
      <w:r>
        <w:rPr>
          <w:rFonts w:ascii="宋体" w:hAnsi="Arial"/>
          <w:color w:val="auto"/>
          <w:szCs w:val="21"/>
          <w:highlight w:val="none"/>
          <w:lang w:val="zh-CN"/>
        </w:rPr>
        <w:t xml:space="preserve">                　 </w:t>
      </w:r>
      <w:r>
        <w:rPr>
          <w:rFonts w:ascii="宋体"/>
          <w:color w:val="auto"/>
          <w:szCs w:val="21"/>
          <w:highlight w:val="none"/>
          <w:lang w:val="zh-CN"/>
        </w:rPr>
        <w:t>日  期：</w:t>
      </w:r>
    </w:p>
    <w:p>
      <w:pPr>
        <w:rPr>
          <w:rFonts w:ascii="宋体" w:hAnsi="宋体" w:cs="宋体"/>
          <w:b/>
          <w:bCs/>
          <w:color w:val="auto"/>
          <w:szCs w:val="21"/>
          <w:highlight w:val="none"/>
        </w:rPr>
      </w:pPr>
    </w:p>
    <w:p>
      <w:pPr>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w:t>
      </w:r>
      <w:r>
        <w:rPr>
          <w:rFonts w:ascii="宋体" w:hAnsi="宋体" w:cs="宋体"/>
          <w:b/>
          <w:bCs/>
          <w:color w:val="auto"/>
          <w:szCs w:val="21"/>
          <w:highlight w:val="none"/>
          <w:lang w:val="zh-CN"/>
        </w:rPr>
        <w:t>政策分相关证明资料；（除小微企业扶持外的政策扶持，根据评标方法提供，如有，复印件加盖公章</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autoSpaceDE w:val="0"/>
        <w:autoSpaceDN w:val="0"/>
        <w:jc w:val="lef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15.</w:t>
      </w:r>
      <w:r>
        <w:rPr>
          <w:rFonts w:ascii="宋体" w:hAnsi="宋体" w:cs="宋体"/>
          <w:b/>
          <w:color w:val="auto"/>
          <w:szCs w:val="21"/>
          <w:highlight w:val="none"/>
          <w:lang w:val="zh-CN"/>
        </w:rPr>
        <w:t xml:space="preserve">项目理解；（根据评标方法提供，格式自拟）               </w:t>
      </w:r>
    </w:p>
    <w:p>
      <w:pPr>
        <w:autoSpaceDE w:val="0"/>
        <w:autoSpaceDN w:val="0"/>
        <w:jc w:val="lef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16.</w:t>
      </w:r>
      <w:r>
        <w:rPr>
          <w:rFonts w:ascii="宋体" w:hAnsi="宋体" w:cs="宋体"/>
          <w:b/>
          <w:color w:val="auto"/>
          <w:szCs w:val="21"/>
          <w:highlight w:val="none"/>
          <w:lang w:val="zh-CN"/>
        </w:rPr>
        <w:t xml:space="preserve">总体设计方案；（根据评标方法提供，格式自拟）               </w:t>
      </w:r>
    </w:p>
    <w:p>
      <w:pPr>
        <w:autoSpaceDE w:val="0"/>
        <w:autoSpaceDN w:val="0"/>
        <w:jc w:val="lef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17.</w:t>
      </w:r>
      <w:r>
        <w:rPr>
          <w:rFonts w:ascii="宋体" w:hAnsi="宋体" w:cs="宋体"/>
          <w:b/>
          <w:color w:val="auto"/>
          <w:szCs w:val="21"/>
          <w:highlight w:val="none"/>
          <w:lang w:val="zh-CN"/>
        </w:rPr>
        <w:t xml:space="preserve">项目实施方案；（根据评标方法提供，格式自拟）               </w:t>
      </w:r>
    </w:p>
    <w:p>
      <w:pPr>
        <w:autoSpaceDE w:val="0"/>
        <w:autoSpaceDN w:val="0"/>
        <w:jc w:val="lef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18.</w:t>
      </w:r>
      <w:r>
        <w:rPr>
          <w:rFonts w:ascii="宋体" w:hAnsi="宋体" w:cs="宋体"/>
          <w:b/>
          <w:color w:val="auto"/>
          <w:szCs w:val="21"/>
          <w:highlight w:val="none"/>
          <w:lang w:val="zh-CN"/>
        </w:rPr>
        <w:t>系统融合性；（根据评标方法提供，相关证明资料复印件</w:t>
      </w:r>
      <w:r>
        <w:rPr>
          <w:rFonts w:ascii="宋体" w:hAnsi="宋体" w:cs="宋体"/>
          <w:b/>
          <w:color w:val="auto"/>
          <w:szCs w:val="21"/>
          <w:highlight w:val="none"/>
        </w:rPr>
        <w:t>加盖公章</w:t>
      </w:r>
      <w:r>
        <w:rPr>
          <w:rFonts w:ascii="宋体" w:hAnsi="宋体" w:cs="宋体"/>
          <w:b/>
          <w:color w:val="auto"/>
          <w:szCs w:val="21"/>
          <w:highlight w:val="none"/>
          <w:lang w:val="zh-CN"/>
        </w:rPr>
        <w:t xml:space="preserve">，格式自拟）               </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hint="default" w:ascii="宋体" w:hAnsi="宋体" w:cs="宋体"/>
          <w:b/>
          <w:color w:val="auto"/>
          <w:szCs w:val="21"/>
          <w:highlight w:val="none"/>
          <w:lang w:val="zh-CN"/>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9</w:t>
      </w:r>
      <w:r>
        <w:rPr>
          <w:rFonts w:ascii="宋体" w:hAnsi="宋体" w:cs="宋体"/>
          <w:b/>
          <w:color w:val="auto"/>
          <w:szCs w:val="21"/>
          <w:highlight w:val="none"/>
        </w:rPr>
        <w:t>.</w:t>
      </w:r>
      <w:r>
        <w:rPr>
          <w:rFonts w:ascii="宋体" w:hAnsi="宋体" w:cs="宋体"/>
          <w:b/>
          <w:bCs/>
          <w:color w:val="auto"/>
          <w:szCs w:val="21"/>
          <w:highlight w:val="none"/>
          <w:lang w:val="zh-CN" w:bidi="ar"/>
        </w:rPr>
        <w:t>技术响应表</w:t>
      </w:r>
      <w:r>
        <w:rPr>
          <w:rFonts w:ascii="宋体" w:hAnsi="宋体" w:cs="宋体"/>
          <w:b/>
          <w:color w:val="auto"/>
          <w:szCs w:val="21"/>
          <w:highlight w:val="none"/>
          <w:lang w:val="zh-CN"/>
        </w:rPr>
        <w:t>格式：</w:t>
      </w:r>
    </w:p>
    <w:p>
      <w:pPr>
        <w:jc w:val="center"/>
        <w:rPr>
          <w:rFonts w:hint="default"/>
          <w:b/>
          <w:bCs/>
          <w:color w:val="auto"/>
          <w:szCs w:val="21"/>
          <w:highlight w:val="none"/>
          <w:lang w:val="zh-CN"/>
        </w:rPr>
      </w:pPr>
      <w:r>
        <w:rPr>
          <w:rFonts w:ascii="宋体" w:hAnsi="宋体" w:cs="宋体"/>
          <w:b/>
          <w:bCs/>
          <w:color w:val="auto"/>
          <w:szCs w:val="21"/>
          <w:highlight w:val="none"/>
          <w:lang w:val="zh-CN" w:bidi="ar"/>
        </w:rPr>
        <w:t>技术响应表</w:t>
      </w:r>
    </w:p>
    <w:tbl>
      <w:tblPr>
        <w:tblStyle w:val="21"/>
        <w:tblpPr w:leftFromText="180" w:rightFromText="180" w:vertAnchor="text" w:horzAnchor="page" w:tblpX="1429" w:tblpY="57"/>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序号</w:t>
            </w:r>
          </w:p>
        </w:tc>
        <w:tc>
          <w:tcPr>
            <w:tcW w:w="2366"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项目</w:t>
            </w:r>
          </w:p>
        </w:tc>
        <w:tc>
          <w:tcPr>
            <w:tcW w:w="2366"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招标文件要求</w:t>
            </w:r>
          </w:p>
        </w:tc>
        <w:tc>
          <w:tcPr>
            <w:tcW w:w="1200"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偏离情况</w:t>
            </w:r>
          </w:p>
        </w:tc>
        <w:tc>
          <w:tcPr>
            <w:tcW w:w="2310"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b/>
                <w:color w:val="auto"/>
                <w:szCs w:val="21"/>
                <w:highlight w:val="none"/>
              </w:rPr>
            </w:pPr>
          </w:p>
        </w:tc>
        <w:tc>
          <w:tcPr>
            <w:tcW w:w="2366" w:type="dxa"/>
            <w:vAlign w:val="center"/>
          </w:tcPr>
          <w:p>
            <w:pPr>
              <w:adjustRightInd w:val="0"/>
              <w:snapToGrid w:val="0"/>
              <w:jc w:val="center"/>
              <w:rPr>
                <w:rFonts w:hint="default" w:ascii="宋体" w:hAnsi="宋体"/>
                <w:b/>
                <w:color w:val="auto"/>
                <w:szCs w:val="21"/>
                <w:highlight w:val="none"/>
              </w:rPr>
            </w:pPr>
          </w:p>
        </w:tc>
        <w:tc>
          <w:tcPr>
            <w:tcW w:w="2366" w:type="dxa"/>
            <w:vAlign w:val="center"/>
          </w:tcPr>
          <w:p>
            <w:pPr>
              <w:adjustRightInd w:val="0"/>
              <w:snapToGrid w:val="0"/>
              <w:jc w:val="center"/>
              <w:rPr>
                <w:rFonts w:hint="default" w:ascii="宋体" w:hAnsi="宋体"/>
                <w:b/>
                <w:color w:val="auto"/>
                <w:szCs w:val="21"/>
                <w:highlight w:val="none"/>
              </w:rPr>
            </w:pPr>
          </w:p>
        </w:tc>
        <w:tc>
          <w:tcPr>
            <w:tcW w:w="1200" w:type="dxa"/>
            <w:vAlign w:val="center"/>
          </w:tcPr>
          <w:p>
            <w:pPr>
              <w:adjustRightInd w:val="0"/>
              <w:snapToGrid w:val="0"/>
              <w:jc w:val="center"/>
              <w:rPr>
                <w:rFonts w:hint="default" w:ascii="宋体" w:hAnsi="宋体"/>
                <w:b/>
                <w:color w:val="auto"/>
                <w:szCs w:val="21"/>
                <w:highlight w:val="none"/>
              </w:rPr>
            </w:pPr>
          </w:p>
        </w:tc>
        <w:tc>
          <w:tcPr>
            <w:tcW w:w="2310" w:type="dxa"/>
            <w:vAlign w:val="center"/>
          </w:tcPr>
          <w:p>
            <w:pPr>
              <w:adjustRightInd w:val="0"/>
              <w:snapToGrid w:val="0"/>
              <w:jc w:val="center"/>
              <w:rPr>
                <w:rFonts w:hint="default" w:ascii="宋体" w:hAnsi="宋体"/>
                <w:b/>
                <w:color w:val="auto"/>
                <w:szCs w:val="21"/>
                <w:highlight w:val="none"/>
              </w:rPr>
            </w:pPr>
          </w:p>
          <w:p>
            <w:pPr>
              <w:adjustRightInd w:val="0"/>
              <w:snapToGrid w:val="0"/>
              <w:jc w:val="center"/>
              <w:rPr>
                <w:rFonts w:hint="default"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b/>
                <w:color w:val="auto"/>
                <w:szCs w:val="21"/>
                <w:highlight w:val="none"/>
              </w:rPr>
            </w:pPr>
            <w:r>
              <w:rPr>
                <w:rFonts w:ascii="宋体" w:hAnsi="宋体"/>
                <w:b/>
                <w:color w:val="auto"/>
                <w:szCs w:val="21"/>
                <w:highlight w:val="none"/>
              </w:rPr>
              <w:t>...</w:t>
            </w:r>
          </w:p>
          <w:p>
            <w:pPr>
              <w:adjustRightInd w:val="0"/>
              <w:snapToGrid w:val="0"/>
              <w:jc w:val="center"/>
              <w:rPr>
                <w:rFonts w:hint="default" w:ascii="宋体" w:hAnsi="宋体"/>
                <w:b/>
                <w:color w:val="auto"/>
                <w:szCs w:val="21"/>
                <w:highlight w:val="none"/>
              </w:rPr>
            </w:pPr>
          </w:p>
        </w:tc>
        <w:tc>
          <w:tcPr>
            <w:tcW w:w="2366" w:type="dxa"/>
            <w:vAlign w:val="center"/>
          </w:tcPr>
          <w:p>
            <w:pPr>
              <w:adjustRightInd w:val="0"/>
              <w:snapToGrid w:val="0"/>
              <w:jc w:val="center"/>
              <w:rPr>
                <w:rFonts w:hint="default" w:ascii="宋体" w:hAnsi="宋体"/>
                <w:b/>
                <w:color w:val="auto"/>
                <w:szCs w:val="21"/>
                <w:highlight w:val="none"/>
              </w:rPr>
            </w:pPr>
          </w:p>
        </w:tc>
        <w:tc>
          <w:tcPr>
            <w:tcW w:w="2366" w:type="dxa"/>
            <w:vAlign w:val="center"/>
          </w:tcPr>
          <w:p>
            <w:pPr>
              <w:adjustRightInd w:val="0"/>
              <w:snapToGrid w:val="0"/>
              <w:jc w:val="center"/>
              <w:rPr>
                <w:rFonts w:hint="default" w:ascii="宋体" w:hAnsi="宋体"/>
                <w:b/>
                <w:color w:val="auto"/>
                <w:szCs w:val="21"/>
                <w:highlight w:val="none"/>
              </w:rPr>
            </w:pPr>
          </w:p>
        </w:tc>
        <w:tc>
          <w:tcPr>
            <w:tcW w:w="1200" w:type="dxa"/>
            <w:vAlign w:val="center"/>
          </w:tcPr>
          <w:p>
            <w:pPr>
              <w:adjustRightInd w:val="0"/>
              <w:snapToGrid w:val="0"/>
              <w:jc w:val="center"/>
              <w:rPr>
                <w:rFonts w:hint="default" w:ascii="宋体" w:hAnsi="宋体"/>
                <w:b/>
                <w:color w:val="auto"/>
                <w:szCs w:val="21"/>
                <w:highlight w:val="none"/>
              </w:rPr>
            </w:pPr>
          </w:p>
        </w:tc>
        <w:tc>
          <w:tcPr>
            <w:tcW w:w="2310" w:type="dxa"/>
            <w:vAlign w:val="center"/>
          </w:tcPr>
          <w:p>
            <w:pPr>
              <w:adjustRightInd w:val="0"/>
              <w:snapToGrid w:val="0"/>
              <w:jc w:val="center"/>
              <w:rPr>
                <w:rFonts w:hint="default" w:ascii="宋体" w:hAnsi="宋体"/>
                <w:b/>
                <w:color w:val="auto"/>
                <w:szCs w:val="21"/>
                <w:highlight w:val="none"/>
              </w:rPr>
            </w:pPr>
          </w:p>
        </w:tc>
      </w:tr>
    </w:tbl>
    <w:p>
      <w:pPr>
        <w:pStyle w:val="9"/>
        <w:spacing w:after="0"/>
        <w:ind w:firstLine="0" w:firstLineChars="0"/>
        <w:rPr>
          <w:rFonts w:hint="default"/>
          <w:color w:val="auto"/>
          <w:sz w:val="10"/>
          <w:szCs w:val="10"/>
          <w:highlight w:val="none"/>
          <w:lang w:val="zh-CN"/>
        </w:rPr>
      </w:pPr>
    </w:p>
    <w:p>
      <w:pPr>
        <w:autoSpaceDE w:val="0"/>
        <w:autoSpaceDN w:val="0"/>
        <w:rPr>
          <w:rFonts w:hint="default" w:ascii="宋体" w:hAnsi="宋体"/>
          <w:color w:val="auto"/>
          <w:szCs w:val="21"/>
          <w:highlight w:val="none"/>
        </w:rPr>
      </w:pPr>
      <w:r>
        <w:rPr>
          <w:rFonts w:ascii="宋体" w:hAnsi="宋体"/>
          <w:b/>
          <w:color w:val="auto"/>
          <w:szCs w:val="21"/>
          <w:highlight w:val="none"/>
          <w:lang w:val="zh-CN"/>
        </w:rPr>
        <w:t>注：</w:t>
      </w:r>
      <w:r>
        <w:rPr>
          <w:rFonts w:hint="eastAsia" w:ascii="宋体" w:hAnsi="宋体"/>
          <w:b/>
          <w:color w:val="auto"/>
          <w:szCs w:val="21"/>
          <w:highlight w:val="none"/>
          <w:lang w:val="en-US" w:eastAsia="zh-CN"/>
        </w:rPr>
        <w:t>1.</w:t>
      </w:r>
      <w:r>
        <w:rPr>
          <w:rFonts w:ascii="宋体" w:hAnsi="宋体"/>
          <w:b/>
          <w:color w:val="auto"/>
          <w:szCs w:val="21"/>
          <w:highlight w:val="none"/>
          <w:lang w:val="zh-CN"/>
        </w:rPr>
        <w:t>按招标文件第二章要求列表，对照招标文件要求在“偏离情况”栏注明“正偏离”、“负偏离”或“无偏离”，投标人必须按采购需求一一对应,如实填写，未按要求填写的，有可能作负偏离处理。</w:t>
      </w:r>
      <w:r>
        <w:rPr>
          <w:rFonts w:ascii="宋体" w:hAnsi="宋体"/>
          <w:color w:val="auto"/>
          <w:szCs w:val="21"/>
          <w:highlight w:val="none"/>
        </w:rPr>
        <w:t xml:space="preserve">  </w:t>
      </w:r>
    </w:p>
    <w:p>
      <w:pPr>
        <w:pStyle w:val="9"/>
        <w:keepNext w:val="0"/>
        <w:keepLines w:val="0"/>
        <w:pageBreakBefore w:val="0"/>
        <w:widowControl w:val="0"/>
        <w:kinsoku/>
        <w:wordWrap/>
        <w:overflowPunct/>
        <w:topLinePunct w:val="0"/>
        <w:bidi w:val="0"/>
        <w:adjustRightInd/>
        <w:snapToGrid/>
        <w:spacing w:after="0" w:afterLines="0" w:line="300" w:lineRule="atLeast"/>
        <w:textAlignment w:val="auto"/>
        <w:rPr>
          <w:rFonts w:hint="default" w:eastAsia="宋体"/>
          <w:b/>
          <w:bCs/>
          <w:color w:val="auto"/>
          <w:highlight w:val="none"/>
          <w:lang w:val="en-US" w:eastAsia="zh-CN"/>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
          <w:bCs/>
          <w:color w:val="auto"/>
          <w:szCs w:val="21"/>
          <w:highlight w:val="none"/>
          <w:lang w:val="en-US" w:eastAsia="zh-CN"/>
        </w:rPr>
        <w:t>2.技术参数中提及需提供证明或证书等的需在本表后提供相关证明资料复印件并加盖公章，未提供或未按要求提供的则视为负偏离。</w:t>
      </w:r>
    </w:p>
    <w:p>
      <w:pPr>
        <w:autoSpaceDE w:val="0"/>
        <w:autoSpaceDN w:val="0"/>
        <w:ind w:firstLine="420" w:firstLineChars="200"/>
        <w:rPr>
          <w:rFonts w:ascii="宋体" w:hAnsi="宋体"/>
          <w:color w:val="auto"/>
          <w:szCs w:val="21"/>
          <w:highlight w:val="none"/>
          <w:lang w:val="zh-CN"/>
        </w:rPr>
      </w:pPr>
    </w:p>
    <w:p>
      <w:pPr>
        <w:autoSpaceDE w:val="0"/>
        <w:autoSpaceDN w:val="0"/>
        <w:ind w:firstLine="420" w:firstLineChars="200"/>
        <w:rPr>
          <w:rFonts w:hint="default" w:ascii="宋体" w:hAnsi="宋体"/>
          <w:color w:val="auto"/>
          <w:szCs w:val="21"/>
          <w:highlight w:val="none"/>
          <w:u w:val="single"/>
          <w:lang w:val="zh-CN"/>
        </w:rPr>
      </w:pPr>
      <w:r>
        <w:rPr>
          <w:rFonts w:ascii="宋体" w:hAnsi="宋体"/>
          <w:color w:val="auto"/>
          <w:szCs w:val="21"/>
          <w:highlight w:val="none"/>
          <w:lang w:val="zh-CN"/>
        </w:rPr>
        <w:t>授权代表签名：</w:t>
      </w:r>
      <w:r>
        <w:rPr>
          <w:rFonts w:ascii="宋体" w:hAnsi="宋体"/>
          <w:color w:val="auto"/>
          <w:szCs w:val="21"/>
          <w:highlight w:val="none"/>
          <w:u w:val="single"/>
          <w:lang w:val="zh-CN"/>
        </w:rPr>
        <w:t xml:space="preserve">        </w:t>
      </w:r>
    </w:p>
    <w:p>
      <w:pPr>
        <w:autoSpaceDE w:val="0"/>
        <w:autoSpaceDN w:val="0"/>
        <w:rPr>
          <w:rFonts w:hint="default" w:ascii="宋体" w:hAnsi="宋体"/>
          <w:color w:val="auto"/>
          <w:szCs w:val="21"/>
          <w:highlight w:val="none"/>
          <w:lang w:val="zh-CN"/>
        </w:rPr>
      </w:pPr>
      <w:r>
        <w:rPr>
          <w:rFonts w:ascii="宋体" w:hAnsi="宋体"/>
          <w:color w:val="auto"/>
          <w:szCs w:val="21"/>
          <w:highlight w:val="none"/>
        </w:rPr>
        <w:t xml:space="preserve">    </w:t>
      </w:r>
      <w:r>
        <w:rPr>
          <w:rFonts w:ascii="宋体" w:hAnsi="宋体"/>
          <w:color w:val="auto"/>
          <w:szCs w:val="21"/>
          <w:highlight w:val="none"/>
          <w:lang w:val="zh-CN"/>
        </w:rPr>
        <w:t>投标人公章：</w:t>
      </w:r>
      <w:r>
        <w:rPr>
          <w:rFonts w:ascii="宋体" w:hAnsi="宋体"/>
          <w:color w:val="auto"/>
          <w:szCs w:val="21"/>
          <w:highlight w:val="none"/>
          <w:u w:val="single"/>
          <w:lang w:val="zh-CN"/>
        </w:rPr>
        <w:t xml:space="preserve">            </w:t>
      </w:r>
      <w:r>
        <w:rPr>
          <w:rFonts w:ascii="宋体" w:hAnsi="宋体"/>
          <w:color w:val="auto"/>
          <w:szCs w:val="21"/>
          <w:highlight w:val="none"/>
          <w:lang w:val="zh-CN"/>
        </w:rPr>
        <w:t xml:space="preserve">              </w:t>
      </w:r>
    </w:p>
    <w:p>
      <w:pPr>
        <w:autoSpaceDE w:val="0"/>
        <w:autoSpaceDN w:val="0"/>
        <w:ind w:firstLine="420"/>
        <w:rPr>
          <w:rFonts w:hint="default" w:ascii="宋体" w:hAnsi="宋体"/>
          <w:color w:val="auto"/>
          <w:szCs w:val="21"/>
          <w:highlight w:val="none"/>
          <w:lang w:val="zh-CN"/>
        </w:rPr>
      </w:pPr>
      <w:r>
        <w:rPr>
          <w:rFonts w:ascii="宋体" w:hAnsi="宋体"/>
          <w:color w:val="auto"/>
          <w:szCs w:val="21"/>
          <w:highlight w:val="none"/>
          <w:lang w:val="zh-CN"/>
        </w:rPr>
        <w:t>日     期：</w:t>
      </w:r>
    </w:p>
    <w:p>
      <w:pPr>
        <w:pStyle w:val="9"/>
        <w:spacing w:after="0"/>
        <w:ind w:firstLine="210"/>
        <w:rPr>
          <w:rFonts w:hint="default"/>
          <w:color w:val="auto"/>
          <w:highlight w:val="none"/>
          <w:lang w:val="zh-CN"/>
        </w:rPr>
      </w:pPr>
    </w:p>
    <w:p>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20</w:t>
      </w:r>
      <w:r>
        <w:rPr>
          <w:rFonts w:ascii="宋体" w:hAnsi="宋体" w:cs="宋体"/>
          <w:b/>
          <w:color w:val="auto"/>
          <w:szCs w:val="21"/>
          <w:highlight w:val="none"/>
        </w:rPr>
        <w:t>.</w:t>
      </w:r>
      <w:r>
        <w:rPr>
          <w:rFonts w:ascii="宋体" w:hAnsi="宋体" w:cs="宋体"/>
          <w:b/>
          <w:color w:val="auto"/>
          <w:szCs w:val="21"/>
          <w:highlight w:val="none"/>
          <w:lang w:val="zh-CN"/>
        </w:rPr>
        <w:t>服务清单（均不含报价）；（格式自拟）</w:t>
      </w:r>
    </w:p>
    <w:p>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21</w:t>
      </w:r>
      <w:r>
        <w:rPr>
          <w:rFonts w:ascii="宋体" w:hAnsi="宋体" w:cs="宋体"/>
          <w:b/>
          <w:color w:val="auto"/>
          <w:szCs w:val="21"/>
          <w:highlight w:val="none"/>
        </w:rPr>
        <w:t>.</w:t>
      </w:r>
      <w:r>
        <w:rPr>
          <w:rFonts w:hint="default"/>
          <w:b/>
          <w:color w:val="auto"/>
          <w:highlight w:val="none"/>
          <w:lang w:val="zh-CN"/>
        </w:rPr>
        <w:t>项目实施人员（主要从业人员及其技术资格）一览表</w:t>
      </w:r>
      <w:r>
        <w:rPr>
          <w:b/>
          <w:color w:val="auto"/>
          <w:highlight w:val="none"/>
          <w:lang w:val="zh-CN"/>
        </w:rPr>
        <w:t>；</w:t>
      </w:r>
      <w:r>
        <w:rPr>
          <w:rFonts w:ascii="宋体" w:hAnsi="宋体" w:cs="宋体"/>
          <w:b/>
          <w:color w:val="auto"/>
          <w:szCs w:val="21"/>
          <w:highlight w:val="none"/>
          <w:lang w:val="zh-CN"/>
        </w:rPr>
        <w:t>（</w:t>
      </w:r>
      <w:r>
        <w:rPr>
          <w:rFonts w:ascii="宋体" w:hAnsi="宋体" w:cs="宋体"/>
          <w:b/>
          <w:bCs/>
          <w:color w:val="auto"/>
          <w:szCs w:val="21"/>
          <w:highlight w:val="none"/>
          <w:lang w:val="zh-CN"/>
        </w:rPr>
        <w:t>格</w:t>
      </w:r>
      <w:r>
        <w:rPr>
          <w:rFonts w:ascii="宋体" w:hAnsi="宋体" w:cs="宋体"/>
          <w:b/>
          <w:color w:val="auto"/>
          <w:szCs w:val="21"/>
          <w:highlight w:val="none"/>
          <w:lang w:val="zh-CN"/>
        </w:rPr>
        <w:t>式自拟）</w:t>
      </w:r>
    </w:p>
    <w:p>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22</w:t>
      </w:r>
      <w:r>
        <w:rPr>
          <w:rFonts w:ascii="宋体" w:hAnsi="宋体" w:cs="宋体"/>
          <w:b/>
          <w:color w:val="auto"/>
          <w:szCs w:val="21"/>
          <w:highlight w:val="none"/>
        </w:rPr>
        <w:t>.</w:t>
      </w:r>
      <w:r>
        <w:rPr>
          <w:rFonts w:ascii="宋体" w:hAnsi="宋体" w:cs="宋体"/>
          <w:b/>
          <w:color w:val="auto"/>
          <w:szCs w:val="21"/>
          <w:highlight w:val="none"/>
          <w:lang w:val="zh-CN"/>
        </w:rPr>
        <w:t>投标人需要说明的其他文件和说明；（格式自拟)</w:t>
      </w:r>
    </w:p>
    <w:p>
      <w:pPr>
        <w:pStyle w:val="9"/>
        <w:ind w:firstLine="210"/>
        <w:rPr>
          <w:rFonts w:hint="default"/>
          <w:color w:val="auto"/>
          <w:highlight w:val="none"/>
          <w:lang w:val="zh-CN"/>
        </w:rPr>
      </w:pPr>
    </w:p>
    <w:p>
      <w:pPr>
        <w:pStyle w:val="3"/>
        <w:adjustRightInd w:val="0"/>
        <w:snapToGrid w:val="0"/>
        <w:spacing w:beforeLines="0" w:afterLines="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pPr>
        <w:pStyle w:val="4"/>
        <w:adjustRightInd w:val="0"/>
        <w:snapToGrid w:val="0"/>
        <w:spacing w:line="240" w:lineRule="auto"/>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pPr>
        <w:pStyle w:val="4"/>
        <w:adjustRightInd w:val="0"/>
        <w:snapToGrid w:val="0"/>
        <w:spacing w:line="240" w:lineRule="auto"/>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pPr>
        <w:autoSpaceDE w:val="0"/>
        <w:autoSpaceDN w:val="0"/>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jc w:val="center"/>
        <w:rPr>
          <w:rFonts w:hint="default" w:ascii="宋体" w:hAnsi="宋体" w:cs="宋体"/>
          <w:b/>
          <w:color w:val="auto"/>
          <w:szCs w:val="21"/>
          <w:highlight w:val="none"/>
          <w:lang w:val="zh-CN"/>
        </w:rPr>
      </w:pPr>
    </w:p>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pPr>
        <w:autoSpaceDE w:val="0"/>
        <w:autoSpaceDN w:val="0"/>
        <w:ind w:firstLine="1068"/>
        <w:rPr>
          <w:rFonts w:hint="default" w:ascii="宋体" w:hAnsi="宋体" w:cs="宋体"/>
          <w:color w:val="auto"/>
          <w:szCs w:val="21"/>
          <w:highlight w:val="none"/>
          <w:lang w:val="zh-CN"/>
        </w:rPr>
      </w:pPr>
    </w:p>
    <w:p>
      <w:pPr>
        <w:autoSpaceDE w:val="0"/>
        <w:autoSpaceDN w:val="0"/>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长兴县卫生健康局县域医共体信息化示范提升及基层补偿机制改革二期项目</w:t>
      </w:r>
      <w:r>
        <w:rPr>
          <w:rFonts w:ascii="宋体" w:hAnsi="宋体" w:cs="宋体"/>
          <w:color w:val="auto"/>
          <w:kern w:val="0"/>
          <w:szCs w:val="21"/>
          <w:highlight w:val="none"/>
          <w:lang w:val="zh-CN"/>
        </w:rPr>
        <w:t xml:space="preserve">   </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color w:val="auto"/>
          <w:szCs w:val="21"/>
          <w:highlight w:val="none"/>
          <w:lang w:val="zh-CN"/>
        </w:rPr>
        <w:t>ZJJWCG-2020-070</w:t>
      </w:r>
    </w:p>
    <w:p>
      <w:pPr>
        <w:autoSpaceDE w:val="0"/>
        <w:autoSpaceDN w:val="0"/>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9"/>
        <w:ind w:firstLine="210"/>
        <w:rPr>
          <w:rFonts w:hint="default"/>
          <w:color w:val="auto"/>
          <w:highlight w:val="none"/>
          <w:lang w:val="zh-CN"/>
        </w:rPr>
      </w:pPr>
    </w:p>
    <w:p>
      <w:pPr>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hint="default" w:ascii="宋体" w:hAnsi="宋体" w:cs="宋体"/>
          <w:color w:val="auto"/>
          <w:szCs w:val="21"/>
          <w:highlight w:val="none"/>
        </w:rPr>
        <w:t>————————</w:t>
      </w:r>
      <w:r>
        <w:rPr>
          <w:rFonts w:ascii="宋体" w:hAnsi="宋体" w:cs="宋体"/>
          <w:color w:val="auto"/>
          <w:szCs w:val="21"/>
          <w:highlight w:val="none"/>
        </w:rPr>
        <w:t>页码</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（2）小微企业声明函————————</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hint="default" w:ascii="宋体" w:hAnsi="宋体" w:cs="宋体"/>
          <w:color w:val="auto"/>
          <w:szCs w:val="21"/>
          <w:highlight w:val="none"/>
        </w:rPr>
        <w:t>————————</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（6）投标报价明细表</w:t>
      </w:r>
      <w:r>
        <w:rPr>
          <w:rFonts w:hint="default" w:ascii="宋体" w:hAnsi="宋体" w:cs="宋体"/>
          <w:color w:val="auto"/>
          <w:szCs w:val="21"/>
          <w:highlight w:val="none"/>
        </w:rPr>
        <w:t>————————</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（7）</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pPr>
        <w:snapToGrid w:val="0"/>
        <w:spacing w:before="50" w:after="120" w:afterLines="50"/>
        <w:jc w:val="left"/>
        <w:rPr>
          <w:rFonts w:hint="default" w:ascii="宋体" w:hAnsi="宋体" w:cs="宋体"/>
          <w:color w:val="auto"/>
          <w:szCs w:val="21"/>
          <w:highlight w:val="none"/>
        </w:rPr>
      </w:pPr>
      <w:r>
        <w:rPr>
          <w:rFonts w:ascii="宋体" w:hAnsi="宋体" w:cs="宋体"/>
          <w:color w:val="auto"/>
          <w:szCs w:val="21"/>
          <w:highlight w:val="none"/>
        </w:rPr>
        <w:t>（8）开标一览表</w:t>
      </w:r>
      <w:r>
        <w:rPr>
          <w:rFonts w:hint="default" w:ascii="宋体" w:hAnsi="宋体" w:cs="宋体"/>
          <w:color w:val="auto"/>
          <w:szCs w:val="21"/>
          <w:highlight w:val="none"/>
        </w:rPr>
        <w:t>————————</w:t>
      </w:r>
    </w:p>
    <w:p>
      <w:pPr>
        <w:pStyle w:val="4"/>
        <w:adjustRightInd w:val="0"/>
        <w:snapToGrid w:val="0"/>
        <w:spacing w:line="320" w:lineRule="exact"/>
        <w:rPr>
          <w:rFonts w:ascii="宋体" w:hAnsi="宋体" w:cs="宋体"/>
          <w:color w:val="auto"/>
          <w:sz w:val="21"/>
          <w:szCs w:val="21"/>
          <w:highlight w:val="none"/>
        </w:rPr>
      </w:pPr>
    </w:p>
    <w:p>
      <w:pPr>
        <w:rPr>
          <w:color w:val="auto"/>
          <w:highlight w:val="none"/>
        </w:rPr>
      </w:pPr>
    </w:p>
    <w:p>
      <w:pPr>
        <w:pStyle w:val="4"/>
        <w:adjustRightInd w:val="0"/>
        <w:snapToGrid w:val="0"/>
        <w:spacing w:line="320" w:lineRule="exact"/>
        <w:rPr>
          <w:rFonts w:ascii="宋体" w:hAnsi="宋体" w:cs="宋体"/>
          <w:color w:val="auto"/>
          <w:sz w:val="21"/>
          <w:szCs w:val="21"/>
          <w:highlight w:val="none"/>
        </w:rPr>
      </w:pPr>
    </w:p>
    <w:p>
      <w:pPr>
        <w:rPr>
          <w:color w:val="auto"/>
          <w:highlight w:val="none"/>
        </w:rPr>
      </w:pPr>
    </w:p>
    <w:p>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pPr>
        <w:adjustRightInd w:val="0"/>
        <w:snapToGrid w:val="0"/>
        <w:spacing w:line="320" w:lineRule="exact"/>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pPr>
        <w:autoSpaceDE w:val="0"/>
        <w:autoSpaceDN w:val="0"/>
        <w:adjustRightInd w:val="0"/>
        <w:snapToGrid w:val="0"/>
        <w:spacing w:line="310" w:lineRule="exact"/>
        <w:jc w:val="center"/>
        <w:rPr>
          <w:rFonts w:hint="default" w:ascii="宋体"/>
          <w:b/>
          <w:color w:val="auto"/>
          <w:szCs w:val="21"/>
          <w:highlight w:val="none"/>
          <w:lang w:val="zh-CN"/>
        </w:rPr>
      </w:pPr>
      <w:r>
        <w:rPr>
          <w:rFonts w:ascii="宋体"/>
          <w:b/>
          <w:color w:val="auto"/>
          <w:szCs w:val="21"/>
          <w:highlight w:val="none"/>
          <w:lang w:val="zh-CN"/>
        </w:rPr>
        <w:t>投 标 函</w:t>
      </w:r>
    </w:p>
    <w:p>
      <w:pPr>
        <w:autoSpaceDE w:val="0"/>
        <w:autoSpaceDN w:val="0"/>
        <w:adjustRightInd w:val="0"/>
        <w:snapToGrid w:val="0"/>
        <w:spacing w:line="310" w:lineRule="exact"/>
        <w:rPr>
          <w:rFonts w:hint="default" w:ascii="宋体"/>
          <w:color w:val="auto"/>
          <w:szCs w:val="21"/>
          <w:highlight w:val="none"/>
          <w:lang w:val="zh-CN"/>
        </w:rPr>
      </w:pPr>
      <w:r>
        <w:rPr>
          <w:rFonts w:ascii="宋体"/>
          <w:color w:val="auto"/>
          <w:szCs w:val="21"/>
          <w:highlight w:val="none"/>
          <w:lang w:val="zh-CN"/>
        </w:rPr>
        <w:t>致：</w:t>
      </w:r>
      <w:r>
        <w:rPr>
          <w:rFonts w:ascii="宋体" w:hAnsi="宋体" w:cs="Arial"/>
          <w:b/>
          <w:color w:val="auto"/>
          <w:szCs w:val="21"/>
          <w:highlight w:val="none"/>
          <w:u w:val="single"/>
        </w:rPr>
        <w:t xml:space="preserve">                     </w:t>
      </w:r>
      <w:r>
        <w:rPr>
          <w:rFonts w:ascii="宋体" w:hAnsi="宋体" w:cs="Arial"/>
          <w:b/>
          <w:color w:val="auto"/>
          <w:szCs w:val="21"/>
          <w:highlight w:val="none"/>
        </w:rPr>
        <w:t>（采购人名称）：</w:t>
      </w:r>
    </w:p>
    <w:p>
      <w:pPr>
        <w:autoSpaceDE w:val="0"/>
        <w:autoSpaceDN w:val="0"/>
        <w:adjustRightInd w:val="0"/>
        <w:snapToGrid w:val="0"/>
        <w:spacing w:line="310" w:lineRule="exact"/>
        <w:ind w:firstLine="420" w:firstLineChars="200"/>
        <w:rPr>
          <w:rFonts w:hint="default" w:ascii="宋体"/>
          <w:color w:val="auto"/>
          <w:szCs w:val="21"/>
          <w:highlight w:val="none"/>
          <w:lang w:val="zh-CN"/>
        </w:rPr>
      </w:pPr>
      <w:r>
        <w:rPr>
          <w:rFonts w:ascii="宋体"/>
          <w:color w:val="auto"/>
          <w:szCs w:val="21"/>
          <w:highlight w:val="none"/>
          <w:lang w:val="zh-CN"/>
        </w:rPr>
        <w:t>根据贵方为</w:t>
      </w:r>
      <w:r>
        <w:rPr>
          <w:rFonts w:ascii="宋体"/>
          <w:color w:val="auto"/>
          <w:szCs w:val="21"/>
          <w:highlight w:val="none"/>
          <w:u w:val="single"/>
          <w:lang w:val="zh-CN"/>
        </w:rPr>
        <w:t xml:space="preserve"> </w:t>
      </w:r>
      <w:r>
        <w:rPr>
          <w:rFonts w:hint="eastAsia" w:ascii="宋体"/>
          <w:color w:val="auto"/>
          <w:kern w:val="0"/>
          <w:szCs w:val="21"/>
          <w:highlight w:val="none"/>
          <w:u w:val="single"/>
          <w:lang w:val="zh-CN"/>
        </w:rPr>
        <w:t>长兴县卫生健康局县域医共体信息化示范提升及基层补偿机制改革二期项目</w:t>
      </w:r>
      <w:r>
        <w:rPr>
          <w:rFonts w:ascii="宋体"/>
          <w:color w:val="auto"/>
          <w:kern w:val="0"/>
          <w:szCs w:val="21"/>
          <w:highlight w:val="none"/>
          <w:u w:val="single"/>
          <w:lang w:val="zh-CN"/>
        </w:rPr>
        <w:t xml:space="preserve">  </w:t>
      </w:r>
      <w:r>
        <w:rPr>
          <w:rFonts w:ascii="宋体"/>
          <w:color w:val="auto"/>
          <w:szCs w:val="21"/>
          <w:highlight w:val="none"/>
          <w:lang w:val="zh-CN"/>
        </w:rPr>
        <w:t>的采购公告（项目编号：</w:t>
      </w:r>
      <w:r>
        <w:rPr>
          <w:rFonts w:hint="eastAsia" w:ascii="宋体" w:hAnsi="宋体" w:cs="Arial"/>
          <w:b/>
          <w:bCs/>
          <w:color w:val="auto"/>
          <w:szCs w:val="21"/>
          <w:highlight w:val="none"/>
          <w:lang w:eastAsia="zh-CN"/>
        </w:rPr>
        <w:t>ZJJWCG-2020-070</w:t>
      </w:r>
      <w:r>
        <w:rPr>
          <w:rFonts w:ascii="宋体" w:hAnsi="宋体" w:cs="Arial"/>
          <w:color w:val="auto"/>
          <w:szCs w:val="21"/>
          <w:highlight w:val="none"/>
        </w:rPr>
        <w:t>）</w:t>
      </w:r>
      <w:r>
        <w:rPr>
          <w:rFonts w:ascii="宋体"/>
          <w:color w:val="auto"/>
          <w:szCs w:val="21"/>
          <w:highlight w:val="none"/>
          <w:lang w:val="zh-CN"/>
        </w:rPr>
        <w:t>，签字代表</w:t>
      </w:r>
      <w:r>
        <w:rPr>
          <w:rFonts w:ascii="宋体"/>
          <w:color w:val="auto"/>
          <w:szCs w:val="21"/>
          <w:highlight w:val="none"/>
          <w:u w:val="single"/>
          <w:lang w:val="zh-CN"/>
        </w:rPr>
        <w:t xml:space="preserve">       </w:t>
      </w:r>
      <w:r>
        <w:rPr>
          <w:rFonts w:ascii="宋体"/>
          <w:color w:val="auto"/>
          <w:szCs w:val="21"/>
          <w:highlight w:val="none"/>
          <w:lang w:val="zh-CN"/>
        </w:rPr>
        <w:t>（全名）经正式授权并代表投标人</w:t>
      </w:r>
      <w:r>
        <w:rPr>
          <w:rFonts w:ascii="宋体"/>
          <w:color w:val="auto"/>
          <w:szCs w:val="21"/>
          <w:highlight w:val="none"/>
          <w:u w:val="single"/>
          <w:lang w:val="zh-CN"/>
        </w:rPr>
        <w:t xml:space="preserve">             </w:t>
      </w:r>
      <w:r>
        <w:rPr>
          <w:rFonts w:ascii="宋体"/>
          <w:color w:val="auto"/>
          <w:szCs w:val="21"/>
          <w:highlight w:val="none"/>
          <w:lang w:val="zh-CN"/>
        </w:rPr>
        <w:t>（投标人名称）提交</w:t>
      </w:r>
      <w:r>
        <w:rPr>
          <w:rFonts w:ascii="宋体" w:hAnsi="宋体"/>
          <w:color w:val="auto"/>
          <w:szCs w:val="21"/>
          <w:highlight w:val="none"/>
          <w:lang w:val="zh-CN"/>
        </w:rPr>
        <w:t>电子投标文件1份、以介质存储的数据电文形式的备份投标文件（U盘）1份、纸质备份投标文件1份</w:t>
      </w:r>
      <w:r>
        <w:rPr>
          <w:rFonts w:ascii="宋体" w:hAnsi="宋体" w:cs="宋体"/>
          <w:color w:val="auto"/>
          <w:szCs w:val="21"/>
          <w:highlight w:val="none"/>
          <w:lang w:val="zh-CN"/>
        </w:rPr>
        <w:t>。</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据此函，签字代表宣布同意如下：</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1.投标人已详细审查全部</w:t>
      </w:r>
      <w:r>
        <w:rPr>
          <w:rFonts w:hint="default"/>
          <w:color w:val="auto"/>
          <w:szCs w:val="21"/>
          <w:highlight w:val="none"/>
          <w:lang w:val="zh-CN"/>
        </w:rPr>
        <w:t>“</w:t>
      </w:r>
      <w:r>
        <w:rPr>
          <w:rFonts w:ascii="宋体"/>
          <w:color w:val="auto"/>
          <w:szCs w:val="21"/>
          <w:highlight w:val="none"/>
          <w:lang w:val="zh-CN"/>
        </w:rPr>
        <w:t>招标文件</w:t>
      </w:r>
      <w:r>
        <w:rPr>
          <w:rFonts w:hint="default"/>
          <w:color w:val="auto"/>
          <w:szCs w:val="21"/>
          <w:highlight w:val="none"/>
          <w:lang w:val="zh-CN"/>
        </w:rPr>
        <w:t>”</w:t>
      </w:r>
      <w:r>
        <w:rPr>
          <w:rFonts w:ascii="宋体"/>
          <w:color w:val="auto"/>
          <w:szCs w:val="21"/>
          <w:highlight w:val="none"/>
          <w:lang w:val="zh-CN"/>
        </w:rPr>
        <w:t>，包括修改文件（如有的话）以及全部参考资料和有关附件，已经了解我方对于招标文件、采购过程、采购结果有依法进行询问、质疑、投诉的权利及相关渠道和要求。</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2.投标人在投标之前已经与贵方进行了充分的沟通，完全理解并接受招标文件的各项规定和要求，对招标文件的合理性、合法性不再有异议。</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 xml:space="preserve">3.本投标有效期自开标日起 </w:t>
      </w:r>
      <w:r>
        <w:rPr>
          <w:rFonts w:ascii="宋体"/>
          <w:color w:val="auto"/>
          <w:szCs w:val="21"/>
          <w:highlight w:val="none"/>
          <w:u w:val="single"/>
          <w:lang w:val="zh-CN"/>
        </w:rPr>
        <w:t xml:space="preserve">                  </w:t>
      </w:r>
      <w:r>
        <w:rPr>
          <w:rFonts w:ascii="宋体"/>
          <w:color w:val="auto"/>
          <w:szCs w:val="21"/>
          <w:highlight w:val="none"/>
          <w:lang w:val="zh-CN"/>
        </w:rPr>
        <w:t>日。</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4.如中标，本投标文件至本项目合同履行完毕止均保持有效，本投标人将按</w:t>
      </w:r>
      <w:r>
        <w:rPr>
          <w:rFonts w:hint="default"/>
          <w:color w:val="auto"/>
          <w:szCs w:val="21"/>
          <w:highlight w:val="none"/>
          <w:lang w:val="zh-CN"/>
        </w:rPr>
        <w:t>“</w:t>
      </w:r>
      <w:r>
        <w:rPr>
          <w:rFonts w:ascii="宋体"/>
          <w:color w:val="auto"/>
          <w:szCs w:val="21"/>
          <w:highlight w:val="none"/>
          <w:lang w:val="zh-CN"/>
        </w:rPr>
        <w:t>招标文件</w:t>
      </w:r>
      <w:r>
        <w:rPr>
          <w:rFonts w:hint="default"/>
          <w:color w:val="auto"/>
          <w:szCs w:val="21"/>
          <w:highlight w:val="none"/>
          <w:lang w:val="zh-CN"/>
        </w:rPr>
        <w:t>”</w:t>
      </w:r>
      <w:r>
        <w:rPr>
          <w:rFonts w:ascii="宋体"/>
          <w:color w:val="auto"/>
          <w:szCs w:val="21"/>
          <w:highlight w:val="none"/>
          <w:lang w:val="zh-CN"/>
        </w:rPr>
        <w:t>及政府采购法律、法规的规定履行合同责任和义务。</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5.投标人同意按照贵方要求提供与投标有关的一切数据或资料。</w:t>
      </w:r>
    </w:p>
    <w:p>
      <w:pPr>
        <w:autoSpaceDE w:val="0"/>
        <w:autoSpaceDN w:val="0"/>
        <w:adjustRightInd w:val="0"/>
        <w:snapToGrid w:val="0"/>
        <w:spacing w:line="310" w:lineRule="exact"/>
        <w:ind w:firstLine="480"/>
        <w:rPr>
          <w:rFonts w:hint="default" w:ascii="宋体"/>
          <w:color w:val="auto"/>
          <w:szCs w:val="21"/>
          <w:highlight w:val="none"/>
          <w:lang w:val="zh-CN"/>
        </w:rPr>
      </w:pPr>
      <w:r>
        <w:rPr>
          <w:rFonts w:ascii="宋体"/>
          <w:color w:val="auto"/>
          <w:szCs w:val="21"/>
          <w:highlight w:val="none"/>
          <w:lang w:val="zh-CN"/>
        </w:rPr>
        <w:t>6.与本投标有关的一切正式往来信函请寄：</w:t>
      </w:r>
    </w:p>
    <w:p>
      <w:pPr>
        <w:autoSpaceDE w:val="0"/>
        <w:autoSpaceDN w:val="0"/>
        <w:adjustRightInd w:val="0"/>
        <w:snapToGrid w:val="0"/>
        <w:spacing w:line="310" w:lineRule="exact"/>
        <w:rPr>
          <w:rFonts w:hint="default" w:ascii="宋体"/>
          <w:color w:val="auto"/>
          <w:szCs w:val="21"/>
          <w:highlight w:val="none"/>
          <w:lang w:val="zh-CN"/>
        </w:rPr>
      </w:pPr>
      <w:r>
        <w:rPr>
          <w:rFonts w:ascii="宋体"/>
          <w:color w:val="auto"/>
          <w:szCs w:val="21"/>
          <w:highlight w:val="none"/>
          <w:lang w:val="zh-CN"/>
        </w:rPr>
        <w:t>地址：</w:t>
      </w:r>
      <w:r>
        <w:rPr>
          <w:rFonts w:ascii="宋体"/>
          <w:color w:val="auto"/>
          <w:szCs w:val="21"/>
          <w:highlight w:val="none"/>
          <w:u w:val="single"/>
          <w:lang w:val="zh-CN"/>
        </w:rPr>
        <w:t xml:space="preserve">                  </w:t>
      </w:r>
      <w:r>
        <w:rPr>
          <w:rFonts w:ascii="宋体"/>
          <w:color w:val="auto"/>
          <w:szCs w:val="21"/>
          <w:highlight w:val="none"/>
          <w:lang w:val="zh-CN"/>
        </w:rPr>
        <w:t>邮编：</w:t>
      </w:r>
      <w:r>
        <w:rPr>
          <w:rFonts w:ascii="宋体"/>
          <w:color w:val="auto"/>
          <w:szCs w:val="21"/>
          <w:highlight w:val="none"/>
          <w:u w:val="single"/>
          <w:lang w:val="zh-CN"/>
        </w:rPr>
        <w:t xml:space="preserve">                  </w:t>
      </w:r>
      <w:r>
        <w:rPr>
          <w:rFonts w:ascii="宋体"/>
          <w:color w:val="auto"/>
          <w:szCs w:val="21"/>
          <w:highlight w:val="none"/>
          <w:lang w:val="zh-CN"/>
        </w:rPr>
        <w:t xml:space="preserve">   电话：</w:t>
      </w:r>
      <w:r>
        <w:rPr>
          <w:rFonts w:ascii="宋体"/>
          <w:color w:val="auto"/>
          <w:szCs w:val="21"/>
          <w:highlight w:val="none"/>
          <w:u w:val="single"/>
          <w:lang w:val="zh-CN"/>
        </w:rPr>
        <w:t xml:space="preserve">                  </w:t>
      </w:r>
    </w:p>
    <w:p>
      <w:pPr>
        <w:autoSpaceDE w:val="0"/>
        <w:autoSpaceDN w:val="0"/>
        <w:adjustRightInd w:val="0"/>
        <w:snapToGrid w:val="0"/>
        <w:spacing w:line="310" w:lineRule="exact"/>
        <w:rPr>
          <w:rFonts w:hint="default" w:ascii="宋体"/>
          <w:color w:val="auto"/>
          <w:szCs w:val="21"/>
          <w:highlight w:val="none"/>
          <w:u w:val="single"/>
          <w:lang w:val="zh-CN"/>
        </w:rPr>
      </w:pPr>
      <w:r>
        <w:rPr>
          <w:rFonts w:ascii="宋体"/>
          <w:color w:val="auto"/>
          <w:szCs w:val="21"/>
          <w:highlight w:val="none"/>
          <w:lang w:val="zh-CN"/>
        </w:rPr>
        <w:t>传真：</w:t>
      </w:r>
      <w:r>
        <w:rPr>
          <w:rFonts w:ascii="宋体"/>
          <w:color w:val="auto"/>
          <w:szCs w:val="21"/>
          <w:highlight w:val="none"/>
          <w:u w:val="single"/>
          <w:lang w:val="zh-CN"/>
        </w:rPr>
        <w:t xml:space="preserve">                  </w:t>
      </w:r>
      <w:r>
        <w:rPr>
          <w:rFonts w:ascii="宋体"/>
          <w:color w:val="auto"/>
          <w:szCs w:val="21"/>
          <w:highlight w:val="none"/>
          <w:lang w:val="zh-CN"/>
        </w:rPr>
        <w:t>投标人代表姓名：</w:t>
      </w:r>
      <w:r>
        <w:rPr>
          <w:rFonts w:ascii="宋体"/>
          <w:color w:val="auto"/>
          <w:szCs w:val="21"/>
          <w:highlight w:val="none"/>
          <w:u w:val="single"/>
          <w:lang w:val="zh-CN"/>
        </w:rPr>
        <w:t xml:space="preserve">               </w:t>
      </w:r>
      <w:r>
        <w:rPr>
          <w:rFonts w:ascii="宋体"/>
          <w:color w:val="auto"/>
          <w:szCs w:val="21"/>
          <w:highlight w:val="none"/>
          <w:lang w:val="zh-CN"/>
        </w:rPr>
        <w:t xml:space="preserve">  职务：</w:t>
      </w:r>
      <w:r>
        <w:rPr>
          <w:rFonts w:ascii="宋体"/>
          <w:color w:val="auto"/>
          <w:szCs w:val="21"/>
          <w:highlight w:val="none"/>
          <w:u w:val="single"/>
          <w:lang w:val="zh-CN"/>
        </w:rPr>
        <w:t xml:space="preserve">                  </w:t>
      </w:r>
    </w:p>
    <w:p>
      <w:pPr>
        <w:autoSpaceDE w:val="0"/>
        <w:autoSpaceDN w:val="0"/>
        <w:adjustRightInd w:val="0"/>
        <w:snapToGrid w:val="0"/>
        <w:spacing w:line="310" w:lineRule="exact"/>
        <w:rPr>
          <w:rFonts w:hint="default" w:ascii="宋体"/>
          <w:color w:val="auto"/>
          <w:szCs w:val="21"/>
          <w:highlight w:val="none"/>
          <w:lang w:val="zh-CN"/>
        </w:rPr>
      </w:pPr>
      <w:r>
        <w:rPr>
          <w:rFonts w:ascii="宋体"/>
          <w:color w:val="auto"/>
          <w:szCs w:val="21"/>
          <w:highlight w:val="none"/>
          <w:lang w:val="zh-CN"/>
        </w:rPr>
        <w:t>投标人名称(公章):</w:t>
      </w:r>
      <w:r>
        <w:rPr>
          <w:rFonts w:ascii="宋体"/>
          <w:color w:val="auto"/>
          <w:szCs w:val="21"/>
          <w:highlight w:val="none"/>
          <w:u w:val="single"/>
          <w:lang w:val="zh-CN"/>
        </w:rPr>
        <w:t xml:space="preserve">                  </w:t>
      </w:r>
    </w:p>
    <w:p>
      <w:pPr>
        <w:autoSpaceDE w:val="0"/>
        <w:autoSpaceDN w:val="0"/>
        <w:adjustRightInd w:val="0"/>
        <w:snapToGrid w:val="0"/>
        <w:spacing w:line="310" w:lineRule="exact"/>
        <w:rPr>
          <w:rFonts w:hint="default" w:ascii="宋体"/>
          <w:color w:val="auto"/>
          <w:szCs w:val="21"/>
          <w:highlight w:val="none"/>
          <w:lang w:val="zh-CN"/>
        </w:rPr>
      </w:pPr>
      <w:r>
        <w:rPr>
          <w:rFonts w:ascii="宋体"/>
          <w:color w:val="auto"/>
          <w:szCs w:val="21"/>
          <w:highlight w:val="none"/>
          <w:lang w:val="zh-CN"/>
        </w:rPr>
        <w:t>开户银行：</w:t>
      </w:r>
      <w:r>
        <w:rPr>
          <w:rFonts w:ascii="宋体"/>
          <w:color w:val="auto"/>
          <w:szCs w:val="21"/>
          <w:highlight w:val="none"/>
          <w:u w:val="single"/>
          <w:lang w:val="zh-CN"/>
        </w:rPr>
        <w:t xml:space="preserve">                      </w:t>
      </w:r>
      <w:r>
        <w:rPr>
          <w:rFonts w:ascii="宋体"/>
          <w:color w:val="auto"/>
          <w:szCs w:val="21"/>
          <w:highlight w:val="none"/>
          <w:lang w:val="zh-CN"/>
        </w:rPr>
        <w:t xml:space="preserve">   银行帐号：</w:t>
      </w:r>
      <w:r>
        <w:rPr>
          <w:rFonts w:ascii="宋体"/>
          <w:color w:val="auto"/>
          <w:szCs w:val="21"/>
          <w:highlight w:val="none"/>
          <w:u w:val="single"/>
          <w:lang w:val="zh-CN"/>
        </w:rPr>
        <w:t xml:space="preserve">                    </w:t>
      </w:r>
      <w:r>
        <w:rPr>
          <w:rFonts w:ascii="宋体"/>
          <w:color w:val="auto"/>
          <w:szCs w:val="21"/>
          <w:highlight w:val="none"/>
          <w:lang w:val="zh-CN"/>
        </w:rPr>
        <w:t xml:space="preserve"> </w:t>
      </w:r>
    </w:p>
    <w:p>
      <w:pPr>
        <w:autoSpaceDE w:val="0"/>
        <w:autoSpaceDN w:val="0"/>
        <w:adjustRightInd w:val="0"/>
        <w:snapToGrid w:val="0"/>
        <w:spacing w:line="310" w:lineRule="exact"/>
        <w:rPr>
          <w:rFonts w:hint="default" w:ascii="宋体"/>
          <w:color w:val="auto"/>
          <w:szCs w:val="21"/>
          <w:highlight w:val="none"/>
          <w:lang w:val="zh-CN"/>
        </w:rPr>
      </w:pPr>
      <w:r>
        <w:rPr>
          <w:rFonts w:ascii="宋体"/>
          <w:color w:val="auto"/>
          <w:szCs w:val="21"/>
          <w:highlight w:val="none"/>
          <w:lang w:val="zh-CN"/>
        </w:rPr>
        <w:t>授权代表签字:</w:t>
      </w:r>
      <w:r>
        <w:rPr>
          <w:rFonts w:ascii="宋体"/>
          <w:color w:val="auto"/>
          <w:szCs w:val="21"/>
          <w:highlight w:val="none"/>
          <w:u w:val="single"/>
          <w:lang w:val="zh-CN"/>
        </w:rPr>
        <w:t xml:space="preserve">                  </w:t>
      </w:r>
      <w:r>
        <w:rPr>
          <w:rFonts w:ascii="宋体"/>
          <w:color w:val="auto"/>
          <w:szCs w:val="21"/>
          <w:highlight w:val="none"/>
          <w:lang w:val="zh-CN"/>
        </w:rPr>
        <w:t xml:space="preserve">                     </w:t>
      </w:r>
    </w:p>
    <w:p>
      <w:pPr>
        <w:autoSpaceDE w:val="0"/>
        <w:autoSpaceDN w:val="0"/>
        <w:adjustRightInd w:val="0"/>
        <w:snapToGrid w:val="0"/>
        <w:spacing w:line="310" w:lineRule="exact"/>
        <w:rPr>
          <w:rFonts w:hint="default" w:ascii="宋体"/>
          <w:color w:val="auto"/>
          <w:szCs w:val="21"/>
          <w:highlight w:val="none"/>
          <w:u w:val="single"/>
          <w:lang w:val="zh-CN"/>
        </w:rPr>
      </w:pPr>
      <w:r>
        <w:rPr>
          <w:rFonts w:ascii="宋体"/>
          <w:color w:val="auto"/>
          <w:szCs w:val="21"/>
          <w:highlight w:val="none"/>
          <w:lang w:val="zh-CN"/>
        </w:rPr>
        <w:t>日        期:</w:t>
      </w:r>
      <w:r>
        <w:rPr>
          <w:rFonts w:ascii="宋体"/>
          <w:color w:val="auto"/>
          <w:szCs w:val="21"/>
          <w:highlight w:val="none"/>
          <w:u w:val="single"/>
          <w:lang w:val="zh-CN"/>
        </w:rPr>
        <w:t xml:space="preserve">  </w:t>
      </w:r>
      <w:r>
        <w:rPr>
          <w:rFonts w:ascii="宋体"/>
          <w:color w:val="auto"/>
          <w:szCs w:val="21"/>
          <w:highlight w:val="none"/>
          <w:u w:val="single"/>
        </w:rPr>
        <w:t xml:space="preserve">              </w:t>
      </w:r>
      <w:r>
        <w:rPr>
          <w:rFonts w:ascii="宋体"/>
          <w:color w:val="auto"/>
          <w:szCs w:val="21"/>
          <w:highlight w:val="none"/>
          <w:u w:val="single"/>
          <w:lang w:val="zh-CN"/>
        </w:rPr>
        <w:t xml:space="preserve">  </w:t>
      </w:r>
    </w:p>
    <w:p>
      <w:pPr>
        <w:adjustRightInd w:val="0"/>
        <w:snapToGrid w:val="0"/>
        <w:spacing w:line="310" w:lineRule="exac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小微企业声明函格式：（投标人必须在声明函后提供本单位“国家企业信用信息公示系统——小微企业名录”</w:t>
      </w:r>
      <w:r>
        <w:rPr>
          <w:rFonts w:ascii="宋体" w:hAnsi="宋体" w:cs="宋体"/>
          <w:b/>
          <w:color w:val="auto"/>
          <w:szCs w:val="21"/>
          <w:highlight w:val="none"/>
        </w:rPr>
        <w:t>（http://xwqy.gsxt.gov.cn/）</w:t>
      </w:r>
      <w:r>
        <w:rPr>
          <w:rFonts w:ascii="宋体" w:hAnsi="宋体" w:cs="宋体"/>
          <w:b/>
          <w:color w:val="auto"/>
          <w:szCs w:val="21"/>
          <w:highlight w:val="none"/>
          <w:lang w:val="zh-CN"/>
        </w:rPr>
        <w:t>页面查询结果（加盖投标人公章））</w:t>
      </w:r>
    </w:p>
    <w:p>
      <w:pPr>
        <w:adjustRightInd w:val="0"/>
        <w:snapToGrid w:val="0"/>
        <w:spacing w:line="310" w:lineRule="exact"/>
        <w:jc w:val="center"/>
        <w:rPr>
          <w:rFonts w:hint="default" w:ascii="宋体" w:hAnsi="宋体" w:cs="宋体"/>
          <w:b/>
          <w:bCs/>
          <w:color w:val="auto"/>
          <w:szCs w:val="21"/>
          <w:highlight w:val="none"/>
        </w:rPr>
      </w:pPr>
      <w:r>
        <w:rPr>
          <w:rFonts w:ascii="宋体" w:hAnsi="宋体" w:cs="宋体"/>
          <w:b/>
          <w:bCs/>
          <w:color w:val="auto"/>
          <w:szCs w:val="21"/>
          <w:highlight w:val="none"/>
        </w:rPr>
        <w:t>小微企业声明函</w:t>
      </w:r>
    </w:p>
    <w:p>
      <w:pPr>
        <w:adjustRightInd w:val="0"/>
        <w:snapToGrid w:val="0"/>
        <w:spacing w:line="310" w:lineRule="exact"/>
        <w:rPr>
          <w:rFonts w:hint="default" w:ascii="宋体" w:hAnsi="宋体" w:cs="宋体"/>
          <w:color w:val="auto"/>
          <w:szCs w:val="21"/>
          <w:highlight w:val="none"/>
        </w:rPr>
      </w:pPr>
      <w:r>
        <w:rPr>
          <w:rFonts w:ascii="宋体" w:hAnsi="宋体" w:cs="宋体"/>
          <w:color w:val="auto"/>
          <w:szCs w:val="21"/>
          <w:highlight w:val="none"/>
        </w:rPr>
        <w:t xml:space="preserve">    本公司郑重声明，根据《政府采购促进中小企业发展暂行办法》（财库〔2011〕181号）的规定，本公司为</w:t>
      </w:r>
      <w:r>
        <w:rPr>
          <w:rFonts w:ascii="宋体" w:hAnsi="宋体" w:cs="宋体"/>
          <w:color w:val="auto"/>
          <w:szCs w:val="21"/>
          <w:highlight w:val="none"/>
          <w:u w:val="single"/>
        </w:rPr>
        <w:t xml:space="preserve">                  </w:t>
      </w:r>
      <w:r>
        <w:rPr>
          <w:rFonts w:ascii="宋体" w:hAnsi="宋体" w:cs="宋体"/>
          <w:color w:val="auto"/>
          <w:szCs w:val="21"/>
          <w:highlight w:val="none"/>
        </w:rPr>
        <w:t>（请填写：小型、微型）企业。即，本公司同时满足以下条件：</w:t>
      </w:r>
    </w:p>
    <w:p>
      <w:pPr>
        <w:adjustRightInd w:val="0"/>
        <w:snapToGrid w:val="0"/>
        <w:spacing w:line="31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1.根据《工业和信息化部、国家统计局、国家发展和改革委员会、财政部关于印发中小企业划型标准规定的通知》（工信部联企业〔2011〕300号）规定的划分标准，本公司为</w:t>
      </w:r>
      <w:r>
        <w:rPr>
          <w:rFonts w:ascii="宋体" w:hAnsi="宋体" w:cs="宋体"/>
          <w:color w:val="auto"/>
          <w:szCs w:val="21"/>
          <w:highlight w:val="none"/>
          <w:u w:val="single"/>
        </w:rPr>
        <w:t xml:space="preserve">               </w:t>
      </w:r>
      <w:r>
        <w:rPr>
          <w:rFonts w:ascii="宋体" w:hAnsi="宋体" w:cs="宋体"/>
          <w:color w:val="auto"/>
          <w:szCs w:val="21"/>
          <w:highlight w:val="none"/>
        </w:rPr>
        <w:t>（请填写：小型、微型）企业。</w:t>
      </w:r>
    </w:p>
    <w:p>
      <w:pPr>
        <w:adjustRightInd w:val="0"/>
        <w:snapToGrid w:val="0"/>
        <w:spacing w:line="31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2.本公司参加</w:t>
      </w:r>
      <w:r>
        <w:rPr>
          <w:rFonts w:ascii="宋体" w:hAnsi="宋体" w:cs="宋体"/>
          <w:color w:val="auto"/>
          <w:szCs w:val="21"/>
          <w:highlight w:val="none"/>
          <w:u w:val="single"/>
        </w:rPr>
        <w:t xml:space="preserve">             </w:t>
      </w:r>
      <w:r>
        <w:rPr>
          <w:rFonts w:ascii="宋体" w:hAnsi="宋体" w:cs="宋体"/>
          <w:color w:val="auto"/>
          <w:szCs w:val="21"/>
          <w:highlight w:val="none"/>
        </w:rPr>
        <w:t>单位的</w:t>
      </w:r>
      <w:r>
        <w:rPr>
          <w:rFonts w:ascii="宋体" w:hAnsi="宋体" w:cs="宋体"/>
          <w:color w:val="auto"/>
          <w:szCs w:val="21"/>
          <w:highlight w:val="none"/>
          <w:u w:val="single"/>
        </w:rPr>
        <w:t xml:space="preserve">           </w:t>
      </w:r>
      <w:r>
        <w:rPr>
          <w:rFonts w:ascii="宋体" w:hAnsi="宋体" w:cs="宋体"/>
          <w:color w:val="auto"/>
          <w:szCs w:val="21"/>
          <w:highlight w:val="none"/>
        </w:rPr>
        <w:t>项目采购活动提供本企业制造的货物，由本企业承担工程、提供服务，或者提供其他</w:t>
      </w:r>
      <w:r>
        <w:rPr>
          <w:rFonts w:ascii="宋体" w:hAnsi="宋体" w:cs="宋体"/>
          <w:color w:val="auto"/>
          <w:szCs w:val="21"/>
          <w:highlight w:val="none"/>
          <w:u w:val="single"/>
        </w:rPr>
        <w:t xml:space="preserve">                     </w:t>
      </w:r>
      <w:r>
        <w:rPr>
          <w:rFonts w:ascii="宋体" w:hAnsi="宋体" w:cs="宋体"/>
          <w:color w:val="auto"/>
          <w:szCs w:val="21"/>
          <w:highlight w:val="none"/>
        </w:rPr>
        <w:t>（请填写：小型、微型）企业制造的货物。本条所称货物不包括使用大型企业注册商标的货物。</w:t>
      </w:r>
    </w:p>
    <w:p>
      <w:pPr>
        <w:adjustRightInd w:val="0"/>
        <w:snapToGrid w:val="0"/>
        <w:spacing w:line="31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本公司对上述声明的真实性负责。如有虚假，将依法承担相应责任。</w:t>
      </w:r>
    </w:p>
    <w:p>
      <w:pPr>
        <w:adjustRightInd w:val="0"/>
        <w:snapToGrid w:val="0"/>
        <w:spacing w:line="310" w:lineRule="exact"/>
        <w:jc w:val="center"/>
        <w:rPr>
          <w:rFonts w:hint="default" w:ascii="宋体" w:hAnsi="宋体" w:cs="宋体"/>
          <w:color w:val="auto"/>
          <w:szCs w:val="21"/>
          <w:highlight w:val="none"/>
        </w:rPr>
      </w:pPr>
      <w:r>
        <w:rPr>
          <w:rFonts w:ascii="宋体" w:hAnsi="宋体" w:cs="宋体"/>
          <w:color w:val="auto"/>
          <w:szCs w:val="21"/>
          <w:highlight w:val="none"/>
        </w:rPr>
        <w:t xml:space="preserve">                                                            企业名称（盖章）：</w:t>
      </w:r>
    </w:p>
    <w:p>
      <w:pPr>
        <w:adjustRightInd w:val="0"/>
        <w:snapToGrid w:val="0"/>
        <w:spacing w:line="310" w:lineRule="exact"/>
        <w:jc w:val="left"/>
        <w:rPr>
          <w:rFonts w:hint="default" w:ascii="宋体" w:hAnsi="宋体" w:cs="宋体"/>
          <w:color w:val="auto"/>
          <w:szCs w:val="21"/>
          <w:highlight w:val="none"/>
        </w:rPr>
      </w:pPr>
      <w:r>
        <w:rPr>
          <w:rFonts w:ascii="宋体" w:hAnsi="宋体" w:cs="宋体"/>
          <w:color w:val="auto"/>
          <w:szCs w:val="21"/>
          <w:highlight w:val="none"/>
        </w:rPr>
        <w:t xml:space="preserve">                                                                             日  期：</w:t>
      </w:r>
    </w:p>
    <w:p>
      <w:pPr>
        <w:adjustRightInd w:val="0"/>
        <w:snapToGrid w:val="0"/>
        <w:spacing w:line="310" w:lineRule="exact"/>
        <w:ind w:firstLine="527" w:firstLineChars="250"/>
        <w:rPr>
          <w:rFonts w:hint="default" w:ascii="宋体" w:hAnsi="宋体" w:cs="宋体"/>
          <w:b/>
          <w:bCs/>
          <w:color w:val="auto"/>
          <w:szCs w:val="21"/>
          <w:highlight w:val="none"/>
        </w:rPr>
      </w:pPr>
      <w:r>
        <w:rPr>
          <w:rFonts w:ascii="宋体" w:hAnsi="宋体" w:cs="宋体"/>
          <w:b/>
          <w:bCs/>
          <w:color w:val="auto"/>
          <w:szCs w:val="21"/>
          <w:highlight w:val="none"/>
        </w:rPr>
        <w:t>备注说明：</w:t>
      </w:r>
    </w:p>
    <w:p>
      <w:pPr>
        <w:adjustRightInd w:val="0"/>
        <w:snapToGrid w:val="0"/>
        <w:spacing w:line="300" w:lineRule="exact"/>
        <w:ind w:firstLine="525" w:firstLineChars="250"/>
        <w:rPr>
          <w:rFonts w:hint="default" w:ascii="宋体" w:hAnsi="宋体" w:cs="宋体"/>
          <w:color w:val="auto"/>
          <w:szCs w:val="21"/>
          <w:highlight w:val="none"/>
        </w:rPr>
      </w:pPr>
      <w:r>
        <w:rPr>
          <w:rFonts w:ascii="宋体" w:hAnsi="宋体" w:cs="宋体"/>
          <w:color w:val="auto"/>
          <w:szCs w:val="21"/>
          <w:highlight w:val="none"/>
        </w:rPr>
        <w:t>1、《小微企业声明函》中，须同时满足以上两个条件。如投标人提供非本企业制造的货物，须提供制造商“国家企业信用信息公示系统——小微企业名录”（http://xwqy.gsxt.gov.cn/）页面查询结果（加盖投标人公章）；</w:t>
      </w:r>
    </w:p>
    <w:p>
      <w:pPr>
        <w:adjustRightInd w:val="0"/>
        <w:snapToGrid w:val="0"/>
        <w:spacing w:line="300" w:lineRule="exact"/>
        <w:ind w:firstLine="525" w:firstLineChars="250"/>
        <w:rPr>
          <w:rFonts w:hint="default" w:ascii="宋体" w:hAnsi="宋体" w:cs="宋体"/>
          <w:color w:val="auto"/>
          <w:szCs w:val="21"/>
          <w:highlight w:val="none"/>
        </w:rPr>
      </w:pPr>
      <w:r>
        <w:rPr>
          <w:rFonts w:ascii="宋体" w:hAnsi="宋体" w:cs="宋体"/>
          <w:color w:val="auto"/>
          <w:szCs w:val="21"/>
          <w:highlight w:val="none"/>
        </w:rPr>
        <w:t>2、如联合体投标时，联合体各方均为小型、微型企业的，联合体各方须提供《小微企业声明函》以及“国家企业信用信息公示系统——小微企业名录”（http://xwqy.gsxt.gov.cn/）页面查询结果（加盖本单位公章）；联合体其中一方为小型、微型企业的，联合协议中须约定小型、微型企业的协议合同金额占到联合体协议合同总额30%以上。</w:t>
      </w:r>
    </w:p>
    <w:p>
      <w:pPr>
        <w:snapToGrid w:val="0"/>
        <w:spacing w:before="120" w:beforeLines="50" w:after="50"/>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残疾人福利性单位声明函格式：</w:t>
      </w:r>
    </w:p>
    <w:p>
      <w:pPr>
        <w:spacing w:line="320" w:lineRule="exact"/>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pPr>
        <w:spacing w:line="320" w:lineRule="exact"/>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单位名称（盖章）：</w:t>
      </w:r>
    </w:p>
    <w:p>
      <w:pPr>
        <w:spacing w:line="320" w:lineRule="exact"/>
        <w:ind w:firstLine="420" w:firstLineChars="200"/>
        <w:jc w:val="center"/>
        <w:rPr>
          <w:rFonts w:hint="default" w:ascii="宋体" w:hAnsi="宋体" w:cs="宋体"/>
          <w:color w:val="auto"/>
          <w:szCs w:val="21"/>
          <w:highlight w:val="none"/>
        </w:rPr>
      </w:pPr>
      <w:r>
        <w:rPr>
          <w:rFonts w:ascii="宋体" w:hAnsi="宋体" w:cs="宋体"/>
          <w:color w:val="auto"/>
          <w:szCs w:val="21"/>
          <w:highlight w:val="none"/>
        </w:rPr>
        <w:t xml:space="preserve">                                                    日  期：</w:t>
      </w:r>
    </w:p>
    <w:p>
      <w:pPr>
        <w:pStyle w:val="9"/>
        <w:ind w:firstLine="210"/>
        <w:rPr>
          <w:rFonts w:hint="default"/>
          <w:color w:val="auto"/>
          <w:highlight w:val="none"/>
        </w:rPr>
      </w:pPr>
    </w:p>
    <w:p>
      <w:pPr>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属于监狱企业的证明文件；（格式自拟）</w:t>
      </w:r>
    </w:p>
    <w:p>
      <w:pPr>
        <w:spacing w:line="360" w:lineRule="auto"/>
        <w:rPr>
          <w:rFonts w:hint="default" w:ascii="宋体" w:hAnsi="宋体"/>
          <w:b/>
          <w:color w:val="auto"/>
          <w:szCs w:val="21"/>
          <w:highlight w:val="none"/>
        </w:rPr>
      </w:pPr>
      <w:r>
        <w:rPr>
          <w:rFonts w:ascii="宋体" w:hAnsi="宋体"/>
          <w:b/>
          <w:color w:val="auto"/>
          <w:szCs w:val="21"/>
          <w:highlight w:val="none"/>
        </w:rPr>
        <w:t>5.招标代理服务费承诺函格式：</w:t>
      </w:r>
    </w:p>
    <w:p>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pPr>
        <w:autoSpaceDE w:val="0"/>
        <w:autoSpaceDN w:val="0"/>
        <w:spacing w:line="320" w:lineRule="exact"/>
        <w:rPr>
          <w:rFonts w:hint="default" w:ascii="宋体"/>
          <w:color w:val="auto"/>
          <w:szCs w:val="21"/>
          <w:highlight w:val="none"/>
          <w:lang w:val="zh-CN"/>
        </w:rPr>
      </w:pPr>
      <w:r>
        <w:rPr>
          <w:rFonts w:ascii="宋体"/>
          <w:color w:val="auto"/>
          <w:szCs w:val="21"/>
          <w:highlight w:val="none"/>
          <w:lang w:val="zh-CN"/>
        </w:rPr>
        <w:t>致：浙江经纬工程项目管理有限公司：</w:t>
      </w:r>
    </w:p>
    <w:p>
      <w:pPr>
        <w:autoSpaceDE w:val="0"/>
        <w:autoSpaceDN w:val="0"/>
        <w:spacing w:line="320" w:lineRule="exact"/>
        <w:ind w:firstLine="420" w:firstLineChars="200"/>
        <w:rPr>
          <w:rFonts w:hint="default" w:ascii="宋体"/>
          <w:color w:val="auto"/>
          <w:szCs w:val="21"/>
          <w:highlight w:val="none"/>
          <w:lang w:val="zh-CN"/>
        </w:rPr>
      </w:pPr>
      <w:r>
        <w:rPr>
          <w:rFonts w:ascii="宋体"/>
          <w:color w:val="auto"/>
          <w:szCs w:val="21"/>
          <w:highlight w:val="none"/>
          <w:lang w:val="zh-CN"/>
        </w:rPr>
        <w:t>根据招标文件的规定，一旦我公司中标，我公司同意按招标文件要求向贵公司交纳中标项目的招标代理服务费，在领取中标通知书时一次性付清。</w:t>
      </w:r>
    </w:p>
    <w:p>
      <w:pPr>
        <w:autoSpaceDE w:val="0"/>
        <w:autoSpaceDN w:val="0"/>
        <w:spacing w:line="320" w:lineRule="exact"/>
        <w:ind w:firstLine="420" w:firstLineChars="200"/>
        <w:rPr>
          <w:rFonts w:hint="default" w:ascii="宋体"/>
          <w:color w:val="auto"/>
          <w:szCs w:val="21"/>
          <w:highlight w:val="none"/>
          <w:lang w:val="zh-CN"/>
        </w:rPr>
      </w:pPr>
      <w:r>
        <w:rPr>
          <w:rFonts w:ascii="宋体"/>
          <w:color w:val="auto"/>
          <w:szCs w:val="21"/>
          <w:highlight w:val="none"/>
          <w:lang w:val="zh-CN"/>
        </w:rPr>
        <w:t>本承诺函自开标之日起至本次采购期满有效。</w:t>
      </w:r>
    </w:p>
    <w:p>
      <w:pPr>
        <w:autoSpaceDE w:val="0"/>
        <w:autoSpaceDN w:val="0"/>
        <w:spacing w:before="50" w:after="50"/>
        <w:rPr>
          <w:rFonts w:hint="default" w:ascii="宋体"/>
          <w:color w:val="auto"/>
          <w:szCs w:val="21"/>
          <w:highlight w:val="none"/>
          <w:u w:val="single"/>
          <w:lang w:val="zh-CN"/>
        </w:rPr>
      </w:pPr>
      <w:r>
        <w:rPr>
          <w:rFonts w:ascii="宋体"/>
          <w:color w:val="auto"/>
          <w:szCs w:val="21"/>
          <w:highlight w:val="none"/>
          <w:lang w:val="zh-CN"/>
        </w:rPr>
        <w:t>授权代表签名：</w:t>
      </w:r>
      <w:r>
        <w:rPr>
          <w:rFonts w:ascii="宋体"/>
          <w:color w:val="auto"/>
          <w:szCs w:val="21"/>
          <w:highlight w:val="none"/>
          <w:u w:val="single"/>
          <w:lang w:val="zh-CN"/>
        </w:rPr>
        <w:t xml:space="preserve">          </w:t>
      </w:r>
    </w:p>
    <w:p>
      <w:pPr>
        <w:autoSpaceDE w:val="0"/>
        <w:autoSpaceDN w:val="0"/>
        <w:spacing w:before="50" w:after="50"/>
        <w:rPr>
          <w:rFonts w:hint="default" w:ascii="宋体"/>
          <w:color w:val="auto"/>
          <w:szCs w:val="21"/>
          <w:highlight w:val="none"/>
          <w:u w:val="single"/>
          <w:lang w:val="zh-CN"/>
        </w:rPr>
      </w:pPr>
      <w:r>
        <w:rPr>
          <w:rFonts w:ascii="宋体"/>
          <w:color w:val="auto"/>
          <w:szCs w:val="21"/>
          <w:highlight w:val="none"/>
          <w:lang w:val="zh-CN"/>
        </w:rPr>
        <w:t>投标人盖章：</w:t>
      </w:r>
      <w:r>
        <w:rPr>
          <w:rFonts w:ascii="宋体"/>
          <w:color w:val="auto"/>
          <w:szCs w:val="21"/>
          <w:highlight w:val="none"/>
          <w:u w:val="single"/>
          <w:lang w:val="zh-CN"/>
        </w:rPr>
        <w:t xml:space="preserve">               </w:t>
      </w:r>
      <w:r>
        <w:rPr>
          <w:rFonts w:ascii="宋体"/>
          <w:color w:val="auto"/>
          <w:szCs w:val="21"/>
          <w:highlight w:val="none"/>
          <w:lang w:val="zh-CN"/>
        </w:rPr>
        <w:t xml:space="preserve">           日  期：</w:t>
      </w:r>
      <w:r>
        <w:rPr>
          <w:rFonts w:ascii="宋体"/>
          <w:color w:val="auto"/>
          <w:szCs w:val="21"/>
          <w:highlight w:val="none"/>
          <w:u w:val="single"/>
          <w:lang w:val="zh-CN"/>
        </w:rPr>
        <w:t xml:space="preserve"> </w:t>
      </w:r>
      <w:r>
        <w:rPr>
          <w:rFonts w:ascii="宋体"/>
          <w:color w:val="auto"/>
          <w:szCs w:val="21"/>
          <w:highlight w:val="none"/>
          <w:u w:val="single"/>
        </w:rPr>
        <w:t xml:space="preserve">                         </w:t>
      </w:r>
      <w:r>
        <w:rPr>
          <w:rFonts w:ascii="宋体"/>
          <w:color w:val="auto"/>
          <w:szCs w:val="21"/>
          <w:highlight w:val="none"/>
          <w:u w:val="single"/>
          <w:lang w:val="zh-CN"/>
        </w:rPr>
        <w:t xml:space="preserve"> </w:t>
      </w:r>
    </w:p>
    <w:p>
      <w:pPr>
        <w:rPr>
          <w:rFonts w:hint="default" w:ascii="宋体" w:hAnsi="宋体" w:cs="宋体"/>
          <w:b/>
          <w:color w:val="auto"/>
          <w:szCs w:val="21"/>
          <w:highlight w:val="none"/>
        </w:rPr>
      </w:pPr>
    </w:p>
    <w:p>
      <w:pPr>
        <w:autoSpaceDE w:val="0"/>
        <w:autoSpaceDN w:val="0"/>
        <w:spacing w:before="50" w:after="50"/>
        <w:rPr>
          <w:rFonts w:hint="default" w:ascii="宋体"/>
          <w:color w:val="auto"/>
          <w:szCs w:val="21"/>
          <w:highlight w:val="none"/>
          <w:u w:val="single"/>
          <w:lang w:val="zh-CN"/>
        </w:rPr>
      </w:pPr>
      <w:r>
        <w:rPr>
          <w:rFonts w:ascii="宋体" w:hAnsi="宋体" w:cs="宋体"/>
          <w:b/>
          <w:color w:val="auto"/>
          <w:szCs w:val="21"/>
          <w:highlight w:val="none"/>
        </w:rPr>
        <w:t>6.投标报价明细表：</w:t>
      </w:r>
      <w:r>
        <w:rPr>
          <w:rFonts w:ascii="宋体" w:hAnsi="宋体" w:cs="宋体"/>
          <w:b/>
          <w:color w:val="auto"/>
          <w:szCs w:val="21"/>
          <w:highlight w:val="none"/>
          <w:lang w:val="zh-CN"/>
        </w:rPr>
        <w:t>（格式自拟）</w:t>
      </w:r>
    </w:p>
    <w:p>
      <w:pPr>
        <w:pStyle w:val="4"/>
        <w:spacing w:line="240" w:lineRule="auto"/>
        <w:rPr>
          <w:rFonts w:hint="default" w:ascii="宋体" w:hAnsi="宋体" w:cs="宋体"/>
          <w:bCs/>
          <w:color w:val="auto"/>
          <w:sz w:val="21"/>
          <w:szCs w:val="21"/>
          <w:highlight w:val="none"/>
          <w:lang w:val="zh-CN"/>
        </w:rPr>
      </w:pPr>
      <w:r>
        <w:rPr>
          <w:rFonts w:ascii="宋体" w:hAnsi="宋体" w:cs="宋体"/>
          <w:bCs/>
          <w:color w:val="auto"/>
          <w:sz w:val="21"/>
          <w:szCs w:val="21"/>
          <w:highlight w:val="none"/>
        </w:rPr>
        <w:t>7.</w:t>
      </w:r>
      <w:r>
        <w:rPr>
          <w:rFonts w:ascii="宋体" w:hAnsi="宋体" w:cs="宋体"/>
          <w:bCs/>
          <w:color w:val="auto"/>
          <w:sz w:val="21"/>
          <w:szCs w:val="21"/>
          <w:highlight w:val="none"/>
          <w:lang w:val="zh-CN"/>
        </w:rPr>
        <w:t>投标人针对报价需要说明的其他文件和说明（格式自拟）</w:t>
      </w:r>
    </w:p>
    <w:p>
      <w:pPr>
        <w:rPr>
          <w:rFonts w:hint="default"/>
          <w:color w:val="auto"/>
          <w:highlight w:val="none"/>
          <w:lang w:val="zh-CN"/>
        </w:rPr>
      </w:pPr>
    </w:p>
    <w:p>
      <w:pPr>
        <w:rPr>
          <w:rFonts w:hint="default" w:ascii="宋体" w:hAnsi="宋体"/>
          <w:b/>
          <w:color w:val="auto"/>
          <w:szCs w:val="21"/>
          <w:highlight w:val="none"/>
        </w:rPr>
      </w:pPr>
    </w:p>
    <w:p>
      <w:pPr>
        <w:rPr>
          <w:rFonts w:hint="default" w:ascii="宋体" w:hAnsi="宋体"/>
          <w:b/>
          <w:color w:val="auto"/>
          <w:szCs w:val="21"/>
          <w:highlight w:val="none"/>
        </w:rPr>
      </w:pPr>
      <w:r>
        <w:rPr>
          <w:rFonts w:ascii="宋体" w:hAnsi="宋体"/>
          <w:b/>
          <w:color w:val="auto"/>
          <w:szCs w:val="21"/>
          <w:highlight w:val="none"/>
        </w:rPr>
        <w:t>8.开标一览表格式：</w:t>
      </w:r>
    </w:p>
    <w:p>
      <w:pPr>
        <w:jc w:val="center"/>
        <w:rPr>
          <w:rFonts w:hint="default" w:ascii="宋体" w:hAnsi="宋体"/>
          <w:b/>
          <w:color w:val="auto"/>
          <w:szCs w:val="21"/>
          <w:highlight w:val="none"/>
        </w:rPr>
      </w:pPr>
      <w:r>
        <w:rPr>
          <w:rFonts w:ascii="宋体" w:hAnsi="宋体"/>
          <w:b/>
          <w:color w:val="auto"/>
          <w:szCs w:val="21"/>
          <w:highlight w:val="none"/>
        </w:rPr>
        <w:t>开标一览表</w:t>
      </w:r>
    </w:p>
    <w:p>
      <w:pPr>
        <w:rPr>
          <w:rFonts w:hint="default" w:ascii="宋体" w:hAnsi="宋体"/>
          <w:color w:val="auto"/>
          <w:szCs w:val="21"/>
          <w:highlight w:val="none"/>
          <w:u w:val="single"/>
        </w:rPr>
      </w:pPr>
      <w:r>
        <w:rPr>
          <w:rFonts w:ascii="宋体" w:hAnsi="宋体"/>
          <w:color w:val="auto"/>
          <w:szCs w:val="21"/>
          <w:highlight w:val="none"/>
        </w:rPr>
        <w:t xml:space="preserve">  项目编号：</w:t>
      </w:r>
      <w:r>
        <w:rPr>
          <w:rFonts w:ascii="宋体" w:hAnsi="宋体"/>
          <w:color w:val="auto"/>
          <w:szCs w:val="21"/>
          <w:highlight w:val="none"/>
          <w:u w:val="single"/>
        </w:rPr>
        <w:t xml:space="preserve">                 </w:t>
      </w:r>
      <w:r>
        <w:rPr>
          <w:rFonts w:ascii="宋体" w:hAnsi="宋体"/>
          <w:color w:val="auto"/>
          <w:szCs w:val="21"/>
          <w:highlight w:val="none"/>
        </w:rPr>
        <w:t xml:space="preserve">  项目名称：</w:t>
      </w:r>
      <w:r>
        <w:rPr>
          <w:rFonts w:ascii="宋体" w:hAnsi="宋体"/>
          <w:color w:val="auto"/>
          <w:szCs w:val="21"/>
          <w:highlight w:val="none"/>
          <w:u w:val="single"/>
        </w:rPr>
        <w:t xml:space="preserve">                   </w:t>
      </w:r>
    </w:p>
    <w:p>
      <w:pPr>
        <w:ind w:firstLine="210" w:firstLineChars="100"/>
        <w:rPr>
          <w:rFonts w:hint="default"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单位：元</w:t>
      </w:r>
    </w:p>
    <w:tbl>
      <w:tblPr>
        <w:tblStyle w:val="21"/>
        <w:tblW w:w="9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3198"/>
        <w:gridCol w:w="2986"/>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b/>
                <w:color w:val="auto"/>
                <w:szCs w:val="21"/>
                <w:highlight w:val="none"/>
              </w:rPr>
            </w:pPr>
            <w:r>
              <w:rPr>
                <w:rFonts w:ascii="宋体" w:hAnsi="宋体"/>
                <w:b/>
                <w:color w:val="auto"/>
                <w:szCs w:val="21"/>
                <w:highlight w:val="none"/>
              </w:rPr>
              <w:t>序号</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b/>
                <w:color w:val="auto"/>
                <w:szCs w:val="21"/>
                <w:highlight w:val="none"/>
              </w:rPr>
            </w:pPr>
            <w:r>
              <w:rPr>
                <w:rFonts w:ascii="宋体" w:hAnsi="宋体"/>
                <w:b/>
                <w:color w:val="auto"/>
                <w:szCs w:val="21"/>
                <w:highlight w:val="none"/>
              </w:rPr>
              <w:t>项目名称</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b/>
                <w:color w:val="auto"/>
                <w:szCs w:val="21"/>
                <w:highlight w:val="none"/>
              </w:rPr>
            </w:pPr>
            <w:r>
              <w:rPr>
                <w:rFonts w:ascii="宋体" w:hAnsi="宋体"/>
                <w:b/>
                <w:color w:val="auto"/>
                <w:szCs w:val="21"/>
                <w:highlight w:val="none"/>
              </w:rPr>
              <w:t>投标报价</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b/>
                <w:color w:val="auto"/>
                <w:szCs w:val="21"/>
                <w:highlight w:val="none"/>
              </w:rPr>
            </w:pPr>
            <w:r>
              <w:rPr>
                <w:rFonts w:ascii="宋体"/>
                <w:b/>
                <w:color w:val="auto"/>
                <w:szCs w:val="21"/>
                <w:highlight w:val="none"/>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55"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olor w:val="auto"/>
                <w:szCs w:val="21"/>
                <w:highlight w:val="none"/>
              </w:rPr>
            </w:pPr>
            <w:r>
              <w:rPr>
                <w:rFonts w:ascii="宋体" w:hAnsi="宋体"/>
                <w:color w:val="auto"/>
                <w:szCs w:val="21"/>
                <w:highlight w:val="none"/>
              </w:rPr>
              <w:t>1</w:t>
            </w:r>
          </w:p>
        </w:tc>
        <w:tc>
          <w:tcPr>
            <w:tcW w:w="3198" w:type="dxa"/>
            <w:vMerge w:val="restart"/>
            <w:tcBorders>
              <w:top w:val="single" w:color="auto" w:sz="4" w:space="0"/>
              <w:left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r>
              <w:rPr>
                <w:rFonts w:hint="eastAsia" w:ascii="宋体" w:hAnsi="宋体"/>
                <w:color w:val="auto"/>
                <w:szCs w:val="21"/>
                <w:highlight w:val="none"/>
                <w:lang w:eastAsia="zh-CN"/>
              </w:rPr>
              <w:t>长兴县卫生健康局县域医共体信息化示范提升及基层补偿机制改革二期项目</w:t>
            </w:r>
            <w:r>
              <w:rPr>
                <w:rFonts w:ascii="宋体" w:hAnsi="宋体"/>
                <w:color w:val="auto"/>
                <w:szCs w:val="21"/>
                <w:highlight w:val="none"/>
              </w:rPr>
              <w:t xml:space="preserve">  </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r>
              <w:rPr>
                <w:rFonts w:ascii="宋体" w:hAnsi="宋体"/>
                <w:color w:val="auto"/>
                <w:szCs w:val="21"/>
                <w:highlight w:val="none"/>
              </w:rPr>
              <w:t>大写：</w:t>
            </w:r>
          </w:p>
        </w:tc>
        <w:tc>
          <w:tcPr>
            <w:tcW w:w="2681" w:type="dxa"/>
            <w:vMerge w:val="restart"/>
            <w:tcBorders>
              <w:top w:val="single" w:color="auto" w:sz="4" w:space="0"/>
              <w:left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55"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olor w:val="auto"/>
                <w:szCs w:val="21"/>
                <w:highlight w:val="none"/>
              </w:rPr>
            </w:pPr>
          </w:p>
        </w:tc>
        <w:tc>
          <w:tcPr>
            <w:tcW w:w="3198"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r>
              <w:rPr>
                <w:rFonts w:ascii="宋体" w:hAnsi="宋体"/>
                <w:color w:val="auto"/>
                <w:szCs w:val="21"/>
                <w:highlight w:val="none"/>
              </w:rPr>
              <w:t>小写：</w:t>
            </w:r>
          </w:p>
        </w:tc>
        <w:tc>
          <w:tcPr>
            <w:tcW w:w="2681"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olor w:val="auto"/>
                <w:szCs w:val="21"/>
                <w:highlight w:val="none"/>
              </w:rPr>
            </w:pPr>
          </w:p>
        </w:tc>
      </w:tr>
    </w:tbl>
    <w:p>
      <w:pPr>
        <w:snapToGrid w:val="0"/>
        <w:spacing w:before="50" w:after="50"/>
        <w:ind w:firstLine="420" w:firstLineChars="200"/>
        <w:jc w:val="left"/>
        <w:rPr>
          <w:rFonts w:hint="default" w:ascii="宋体" w:hAnsi="宋体"/>
          <w:color w:val="auto"/>
          <w:szCs w:val="21"/>
          <w:highlight w:val="none"/>
        </w:rPr>
      </w:pPr>
      <w:r>
        <w:rPr>
          <w:rFonts w:ascii="宋体" w:hAnsi="宋体"/>
          <w:color w:val="auto"/>
          <w:szCs w:val="21"/>
          <w:highlight w:val="none"/>
        </w:rPr>
        <w:t>注: 1.报价一经涂改，应在涂改处加盖单位公章或者由法定代表人或授权委托人签字或盖章，否则其投标作无效标处理。</w:t>
      </w:r>
    </w:p>
    <w:p>
      <w:pPr>
        <w:snapToGrid w:val="0"/>
        <w:spacing w:before="50" w:after="50"/>
        <w:ind w:firstLine="420" w:firstLineChars="200"/>
        <w:jc w:val="left"/>
        <w:rPr>
          <w:rFonts w:hint="default" w:ascii="宋体" w:hAnsi="宋体"/>
          <w:color w:val="auto"/>
          <w:szCs w:val="21"/>
          <w:highlight w:val="none"/>
        </w:rPr>
      </w:pPr>
      <w:r>
        <w:rPr>
          <w:rFonts w:ascii="宋体" w:hAnsi="宋体"/>
          <w:color w:val="auto"/>
          <w:szCs w:val="21"/>
          <w:highlight w:val="none"/>
        </w:rPr>
        <w:t>2.投标费用包括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w:t>
      </w:r>
    </w:p>
    <w:p>
      <w:pPr>
        <w:snapToGrid w:val="0"/>
        <w:spacing w:before="50" w:after="50"/>
        <w:ind w:left="-2" w:leftChars="-1" w:right="-817" w:rightChars="-389"/>
        <w:rPr>
          <w:rFonts w:hint="default" w:ascii="宋体" w:hAnsi="宋体"/>
          <w:color w:val="auto"/>
          <w:szCs w:val="21"/>
          <w:highlight w:val="none"/>
        </w:rPr>
      </w:pPr>
    </w:p>
    <w:p>
      <w:pPr>
        <w:snapToGrid w:val="0"/>
        <w:spacing w:before="50" w:after="50"/>
        <w:ind w:left="-2" w:leftChars="-1" w:right="-817" w:rightChars="-389"/>
        <w:rPr>
          <w:rFonts w:hint="default" w:ascii="宋体" w:hAnsi="宋体"/>
          <w:color w:val="auto"/>
          <w:szCs w:val="21"/>
          <w:highlight w:val="none"/>
        </w:rPr>
      </w:pPr>
      <w:r>
        <w:rPr>
          <w:rFonts w:ascii="宋体" w:hAnsi="宋体"/>
          <w:color w:val="auto"/>
          <w:szCs w:val="21"/>
          <w:highlight w:val="none"/>
        </w:rPr>
        <w:t xml:space="preserve">法定代表人签字：                    </w:t>
      </w:r>
    </w:p>
    <w:p>
      <w:pPr>
        <w:snapToGrid w:val="0"/>
        <w:spacing w:before="50" w:after="50"/>
        <w:ind w:right="-817" w:rightChars="-389"/>
        <w:rPr>
          <w:rFonts w:hint="default"/>
          <w:color w:val="auto"/>
          <w:highlight w:val="none"/>
        </w:rPr>
      </w:pPr>
      <w:r>
        <w:rPr>
          <w:rFonts w:ascii="宋体" w:hAnsi="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ymbolPS">
    <w:panose1 w:val="05050102010607020607"/>
    <w:charset w:val="00"/>
    <w:family w:val="auto"/>
    <w:pitch w:val="default"/>
    <w:sig w:usb0="00000000" w:usb1="00000000" w:usb2="00000000" w:usb3="00000000" w:csb0="00000000" w:csb1="00000000"/>
  </w:font>
  <w:font w:name="Courier">
    <w:panose1 w:val="02060409020205020404"/>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Cambria">
    <w:altName w:val="PMingLiU"/>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华文仿宋">
    <w:altName w:val="新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default"/>
                            </w:rPr>
                          </w:pPr>
                          <w:r>
                            <w:fldChar w:fldCharType="begin"/>
                          </w:r>
                          <w:r>
                            <w:instrText xml:space="preserve"> PAGE  \* MERGEFORMAT </w:instrText>
                          </w:r>
                          <w:r>
                            <w:fldChar w:fldCharType="separate"/>
                          </w:r>
                          <w:r>
                            <w:rPr>
                              <w:rFonts w:hint="default"/>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b5PcUBAACb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ijMrDD345eePy68/l9/f2TLJ&#10;03usqOreU10c3rmBlmaOIwUT66ENJn2JD6M8iXu+igtDZDJdWq/W65JSknKzQ/jFw3UfML4HZ1gy&#10;ah7o9bKo4vQR41g6l6Ru1t0prfMLavtPgDDHCOQVmG4nJuPEyYrDfpjo7V1zJnY9rUHNLW09Z/qD&#10;JZXTxsxGmI39ZKSO6G+PkcbI0yXUEYpYJYfeLPOb9istxWM/Vz38U9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2+T3FAQAAmwMAAA4AAAAAAAAAAQAgAAAAHgEAAGRycy9lMm9Eb2MueG1s&#10;UEsFBgAAAAAGAAYAWQEAAFUFAAAAAA==&#10;">
              <v:fill on="f" focussize="0,0"/>
              <v:stroke on="f"/>
              <v:imagedata o:title=""/>
              <o:lock v:ext="edit" aspectratio="f"/>
              <v:textbox inset="0mm,0mm,0mm,0mm" style="mso-fit-shape-to-text:t;">
                <w:txbxContent>
                  <w:p>
                    <w:pPr>
                      <w:pStyle w:val="14"/>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r>
      <w:t>浙江经纬工程项目管理有限公司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default"/>
                            </w:rPr>
                          </w:pPr>
                          <w:r>
                            <w:fldChar w:fldCharType="begin"/>
                          </w:r>
                          <w:r>
                            <w:instrText xml:space="preserve"> PAGE  \* MERGEFORMAT </w:instrText>
                          </w:r>
                          <w:r>
                            <w:fldChar w:fldCharType="separate"/>
                          </w:r>
                          <w:r>
                            <w:rPr>
                              <w:rFonts w:hint="default"/>
                            </w:rPr>
                            <w:t>43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14"/>
                      <w:rPr>
                        <w:rFonts w:hint="default"/>
                      </w:rPr>
                    </w:pPr>
                    <w:r>
                      <w:fldChar w:fldCharType="begin"/>
                    </w:r>
                    <w:r>
                      <w:instrText xml:space="preserve"> PAGE  \* MERGEFORMAT </w:instrText>
                    </w:r>
                    <w:r>
                      <w:fldChar w:fldCharType="separate"/>
                    </w:r>
                    <w:r>
                      <w:rPr>
                        <w:rFonts w:hint="default"/>
                      </w:rPr>
                      <w:t>43</w:t>
                    </w:r>
                    <w:r>
                      <w:fldChar w:fldCharType="end"/>
                    </w:r>
                  </w:p>
                </w:txbxContent>
              </v:textbox>
            </v:shape>
          </w:pict>
        </mc:Fallback>
      </mc:AlternateContent>
    </w:r>
    <w:r>
      <w:t>浙江经纬工程项目管理有限公司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default"/>
        <w:bCs/>
        <w:szCs w:val="18"/>
      </w:rPr>
    </w:pPr>
    <w:r>
      <w:rPr>
        <w:rFonts w:hint="eastAsia"/>
        <w:bCs/>
        <w:szCs w:val="18"/>
        <w:lang w:eastAsia="zh-CN"/>
      </w:rPr>
      <w:t>长兴县卫生健康局县域医共体信息化示范提升及基层补偿机制改革二期项目</w:t>
    </w:r>
    <w:r>
      <w:rPr>
        <w:bCs/>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default"/>
        <w:bCs/>
        <w:szCs w:val="18"/>
      </w:rPr>
    </w:pPr>
    <w:r>
      <w:rPr>
        <w:rFonts w:hint="eastAsia" w:ascii="宋体" w:hAnsi="宋体" w:cs="宋体"/>
        <w:bCs/>
        <w:szCs w:val="18"/>
        <w:lang w:eastAsia="zh-CN"/>
      </w:rPr>
      <w:t>长兴县卫生健康局县域医共体信息化示范提升及基层补偿机制改革二期项目</w:t>
    </w:r>
    <w:r>
      <w:rPr>
        <w:rFonts w:ascii="宋体" w:hAnsi="宋体" w:cs="宋体"/>
        <w:bCs/>
        <w:szCs w:val="18"/>
      </w:rPr>
      <w:t xml:space="preserve">  </w:t>
    </w:r>
    <w:r>
      <w:rPr>
        <w:bCs/>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C3271"/>
    <w:multiLevelType w:val="singleLevel"/>
    <w:tmpl w:val="C77C3271"/>
    <w:lvl w:ilvl="0" w:tentative="0">
      <w:start w:val="1"/>
      <w:numFmt w:val="decimal"/>
      <w:lvlText w:val="(%1)"/>
      <w:lvlJc w:val="left"/>
      <w:pPr>
        <w:ind w:left="425" w:hanging="425"/>
      </w:pPr>
      <w:rPr>
        <w:rFonts w:hint="default"/>
      </w:rPr>
    </w:lvl>
  </w:abstractNum>
  <w:abstractNum w:abstractNumId="1">
    <w:nsid w:val="FEAB4A50"/>
    <w:multiLevelType w:val="singleLevel"/>
    <w:tmpl w:val="FEAB4A50"/>
    <w:lvl w:ilvl="0" w:tentative="0">
      <w:start w:val="1"/>
      <w:numFmt w:val="decimal"/>
      <w:lvlText w:val="(%1)"/>
      <w:lvlJc w:val="left"/>
      <w:pPr>
        <w:ind w:left="425" w:hanging="425"/>
      </w:pPr>
      <w:rPr>
        <w:rFonts w:hint="default"/>
      </w:rPr>
    </w:lvl>
  </w:abstractNum>
  <w:abstractNum w:abstractNumId="2">
    <w:nsid w:val="00000010"/>
    <w:multiLevelType w:val="singleLevel"/>
    <w:tmpl w:val="00000010"/>
    <w:lvl w:ilvl="0" w:tentative="0">
      <w:start w:val="2"/>
      <w:numFmt w:val="decimal"/>
      <w:suff w:val="nothing"/>
      <w:lvlText w:val="（%1）"/>
      <w:lvlJc w:val="left"/>
    </w:lvl>
  </w:abstractNum>
  <w:abstractNum w:abstractNumId="3">
    <w:nsid w:val="06BD25D0"/>
    <w:multiLevelType w:val="singleLevel"/>
    <w:tmpl w:val="06BD25D0"/>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4">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1A281DB3"/>
    <w:multiLevelType w:val="singleLevel"/>
    <w:tmpl w:val="1A281DB3"/>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6">
    <w:nsid w:val="25CF22D5"/>
    <w:multiLevelType w:val="singleLevel"/>
    <w:tmpl w:val="25CF22D5"/>
    <w:lvl w:ilvl="0" w:tentative="0">
      <w:start w:val="1"/>
      <w:numFmt w:val="decimal"/>
      <w:lvlText w:val="(%1)"/>
      <w:lvlJc w:val="left"/>
      <w:pPr>
        <w:ind w:left="425" w:hanging="425"/>
      </w:pPr>
      <w:rPr>
        <w:rFonts w:hint="default"/>
      </w:rPr>
    </w:lvl>
  </w:abstractNum>
  <w:abstractNum w:abstractNumId="7">
    <w:nsid w:val="322858B6"/>
    <w:multiLevelType w:val="singleLevel"/>
    <w:tmpl w:val="322858B6"/>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8">
    <w:nsid w:val="34D33B61"/>
    <w:multiLevelType w:val="singleLevel"/>
    <w:tmpl w:val="34D33B61"/>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9">
    <w:nsid w:val="41A651F0"/>
    <w:multiLevelType w:val="singleLevel"/>
    <w:tmpl w:val="41A651F0"/>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0">
    <w:nsid w:val="43530809"/>
    <w:multiLevelType w:val="singleLevel"/>
    <w:tmpl w:val="43530809"/>
    <w:lvl w:ilvl="0" w:tentative="0">
      <w:start w:val="1"/>
      <w:numFmt w:val="decimal"/>
      <w:lvlText w:val="(%1)"/>
      <w:lvlJc w:val="left"/>
      <w:pPr>
        <w:ind w:left="425" w:hanging="425"/>
      </w:pPr>
      <w:rPr>
        <w:rFonts w:hint="default"/>
      </w:rPr>
    </w:lvl>
  </w:abstractNum>
  <w:abstractNum w:abstractNumId="11">
    <w:nsid w:val="46DE7071"/>
    <w:multiLevelType w:val="singleLevel"/>
    <w:tmpl w:val="46DE7071"/>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2">
    <w:nsid w:val="4C3730CC"/>
    <w:multiLevelType w:val="singleLevel"/>
    <w:tmpl w:val="4C3730CC"/>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3">
    <w:nsid w:val="57106323"/>
    <w:multiLevelType w:val="singleLevel"/>
    <w:tmpl w:val="57106323"/>
    <w:lvl w:ilvl="0" w:tentative="0">
      <w:start w:val="1"/>
      <w:numFmt w:val="chineseCounting"/>
      <w:suff w:val="space"/>
      <w:lvlText w:val="第%1章"/>
      <w:lvlJc w:val="left"/>
    </w:lvl>
  </w:abstractNum>
  <w:abstractNum w:abstractNumId="14">
    <w:nsid w:val="57703CB7"/>
    <w:multiLevelType w:val="singleLevel"/>
    <w:tmpl w:val="57703CB7"/>
    <w:lvl w:ilvl="0" w:tentative="0">
      <w:start w:val="1"/>
      <w:numFmt w:val="decimal"/>
      <w:lvlText w:val="(%1)"/>
      <w:lvlJc w:val="left"/>
      <w:pPr>
        <w:ind w:left="425" w:hanging="425"/>
      </w:pPr>
      <w:rPr>
        <w:rFonts w:hint="default"/>
      </w:rPr>
    </w:lvl>
  </w:abstractNum>
  <w:abstractNum w:abstractNumId="15">
    <w:nsid w:val="5CD06980"/>
    <w:multiLevelType w:val="singleLevel"/>
    <w:tmpl w:val="5CD06980"/>
    <w:lvl w:ilvl="0" w:tentative="0">
      <w:start w:val="1"/>
      <w:numFmt w:val="decimal"/>
      <w:lvlText w:val="(%1)"/>
      <w:lvlJc w:val="left"/>
      <w:pPr>
        <w:ind w:left="425" w:hanging="425"/>
      </w:pPr>
      <w:rPr>
        <w:rFonts w:hint="default"/>
      </w:rPr>
    </w:lvl>
  </w:abstractNum>
  <w:abstractNum w:abstractNumId="16">
    <w:nsid w:val="5FE52D0B"/>
    <w:multiLevelType w:val="multilevel"/>
    <w:tmpl w:val="5FE52D0B"/>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6AAA4D44"/>
    <w:multiLevelType w:val="singleLevel"/>
    <w:tmpl w:val="6AAA4D44"/>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8">
    <w:nsid w:val="6CE60E85"/>
    <w:multiLevelType w:val="multilevel"/>
    <w:tmpl w:val="6CE60E85"/>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6FB3D2E0"/>
    <w:multiLevelType w:val="singleLevel"/>
    <w:tmpl w:val="6FB3D2E0"/>
    <w:lvl w:ilvl="0" w:tentative="0">
      <w:start w:val="1"/>
      <w:numFmt w:val="decimal"/>
      <w:lvlText w:val="(%1)"/>
      <w:lvlJc w:val="left"/>
      <w:pPr>
        <w:ind w:left="425" w:hanging="425"/>
      </w:pPr>
      <w:rPr>
        <w:rFonts w:hint="default"/>
      </w:rPr>
    </w:lvl>
  </w:abstractNum>
  <w:abstractNum w:abstractNumId="20">
    <w:nsid w:val="786E5ACC"/>
    <w:multiLevelType w:val="multilevel"/>
    <w:tmpl w:val="786E5ACC"/>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4"/>
  </w:num>
  <w:num w:numId="2">
    <w:abstractNumId w:val="13"/>
  </w:num>
  <w:num w:numId="3">
    <w:abstractNumId w:val="16"/>
  </w:num>
  <w:num w:numId="4">
    <w:abstractNumId w:val="10"/>
  </w:num>
  <w:num w:numId="5">
    <w:abstractNumId w:val="1"/>
  </w:num>
  <w:num w:numId="6">
    <w:abstractNumId w:val="0"/>
  </w:num>
  <w:num w:numId="7">
    <w:abstractNumId w:val="6"/>
  </w:num>
  <w:num w:numId="8">
    <w:abstractNumId w:val="19"/>
  </w:num>
  <w:num w:numId="9">
    <w:abstractNumId w:val="15"/>
  </w:num>
  <w:num w:numId="10">
    <w:abstractNumId w:val="14"/>
  </w:num>
  <w:num w:numId="11">
    <w:abstractNumId w:val="7"/>
  </w:num>
  <w:num w:numId="12">
    <w:abstractNumId w:val="8"/>
  </w:num>
  <w:num w:numId="13">
    <w:abstractNumId w:val="11"/>
  </w:num>
  <w:num w:numId="14">
    <w:abstractNumId w:val="9"/>
  </w:num>
  <w:num w:numId="15">
    <w:abstractNumId w:val="12"/>
  </w:num>
  <w:num w:numId="16">
    <w:abstractNumId w:val="5"/>
  </w:num>
  <w:num w:numId="17">
    <w:abstractNumId w:val="17"/>
  </w:num>
  <w:num w:numId="18">
    <w:abstractNumId w:val="3"/>
  </w:num>
  <w:num w:numId="19">
    <w:abstractNumId w:val="18"/>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9C179E"/>
    <w:rsid w:val="000058DA"/>
    <w:rsid w:val="00040A1A"/>
    <w:rsid w:val="000947FB"/>
    <w:rsid w:val="000A3D8D"/>
    <w:rsid w:val="00120163"/>
    <w:rsid w:val="0017527F"/>
    <w:rsid w:val="001A2BF9"/>
    <w:rsid w:val="001B6325"/>
    <w:rsid w:val="00275371"/>
    <w:rsid w:val="002A4123"/>
    <w:rsid w:val="002D6A8E"/>
    <w:rsid w:val="003219CD"/>
    <w:rsid w:val="003304EE"/>
    <w:rsid w:val="003D13A5"/>
    <w:rsid w:val="003D43A8"/>
    <w:rsid w:val="005503C9"/>
    <w:rsid w:val="00557F93"/>
    <w:rsid w:val="00580E4B"/>
    <w:rsid w:val="0059661B"/>
    <w:rsid w:val="00663F33"/>
    <w:rsid w:val="006A5EA7"/>
    <w:rsid w:val="006D7279"/>
    <w:rsid w:val="006F4BE0"/>
    <w:rsid w:val="00712049"/>
    <w:rsid w:val="0072078D"/>
    <w:rsid w:val="00771B4F"/>
    <w:rsid w:val="007E1AF0"/>
    <w:rsid w:val="00800421"/>
    <w:rsid w:val="008353D4"/>
    <w:rsid w:val="00862D8D"/>
    <w:rsid w:val="008A4CA2"/>
    <w:rsid w:val="008D4269"/>
    <w:rsid w:val="008E4D32"/>
    <w:rsid w:val="00977271"/>
    <w:rsid w:val="009D4644"/>
    <w:rsid w:val="009D6828"/>
    <w:rsid w:val="009D68BC"/>
    <w:rsid w:val="00A05745"/>
    <w:rsid w:val="00A11026"/>
    <w:rsid w:val="00A304DC"/>
    <w:rsid w:val="00A3400A"/>
    <w:rsid w:val="00A37E45"/>
    <w:rsid w:val="00A61EBB"/>
    <w:rsid w:val="00A82AF1"/>
    <w:rsid w:val="00AB0448"/>
    <w:rsid w:val="00AC52F7"/>
    <w:rsid w:val="00AE053B"/>
    <w:rsid w:val="00AE53BA"/>
    <w:rsid w:val="00AF1080"/>
    <w:rsid w:val="00B64D38"/>
    <w:rsid w:val="00B77059"/>
    <w:rsid w:val="00B85C6E"/>
    <w:rsid w:val="00B94B7B"/>
    <w:rsid w:val="00BD2BAA"/>
    <w:rsid w:val="00C17B20"/>
    <w:rsid w:val="00C24EDB"/>
    <w:rsid w:val="00C44864"/>
    <w:rsid w:val="00C6185E"/>
    <w:rsid w:val="00C84CF0"/>
    <w:rsid w:val="00D12266"/>
    <w:rsid w:val="00DF038C"/>
    <w:rsid w:val="00E96874"/>
    <w:rsid w:val="00F7255C"/>
    <w:rsid w:val="00F7363C"/>
    <w:rsid w:val="01091B07"/>
    <w:rsid w:val="01717790"/>
    <w:rsid w:val="01933587"/>
    <w:rsid w:val="01C75DEB"/>
    <w:rsid w:val="01F14386"/>
    <w:rsid w:val="020D7E96"/>
    <w:rsid w:val="021B0367"/>
    <w:rsid w:val="02215589"/>
    <w:rsid w:val="022C431F"/>
    <w:rsid w:val="023F4F84"/>
    <w:rsid w:val="024D3401"/>
    <w:rsid w:val="0254430A"/>
    <w:rsid w:val="02A3294B"/>
    <w:rsid w:val="02A910F7"/>
    <w:rsid w:val="02AA597E"/>
    <w:rsid w:val="02F30DEC"/>
    <w:rsid w:val="02FB4D0C"/>
    <w:rsid w:val="0363464D"/>
    <w:rsid w:val="036F2ECB"/>
    <w:rsid w:val="039564ED"/>
    <w:rsid w:val="03C52279"/>
    <w:rsid w:val="03F16552"/>
    <w:rsid w:val="04114A69"/>
    <w:rsid w:val="04161369"/>
    <w:rsid w:val="045839BC"/>
    <w:rsid w:val="04644FF1"/>
    <w:rsid w:val="046D03D3"/>
    <w:rsid w:val="047630A0"/>
    <w:rsid w:val="04A0065F"/>
    <w:rsid w:val="04BF27F9"/>
    <w:rsid w:val="04C73020"/>
    <w:rsid w:val="04D813D4"/>
    <w:rsid w:val="04FA148E"/>
    <w:rsid w:val="05062B81"/>
    <w:rsid w:val="0513341E"/>
    <w:rsid w:val="051E2855"/>
    <w:rsid w:val="05201E81"/>
    <w:rsid w:val="05415F51"/>
    <w:rsid w:val="054C303D"/>
    <w:rsid w:val="055D4BEB"/>
    <w:rsid w:val="056E7017"/>
    <w:rsid w:val="05750060"/>
    <w:rsid w:val="057941B5"/>
    <w:rsid w:val="057F6C65"/>
    <w:rsid w:val="05801320"/>
    <w:rsid w:val="05900DC9"/>
    <w:rsid w:val="059D5366"/>
    <w:rsid w:val="05A31EE6"/>
    <w:rsid w:val="05A51452"/>
    <w:rsid w:val="05F409DD"/>
    <w:rsid w:val="06052BD6"/>
    <w:rsid w:val="061833C2"/>
    <w:rsid w:val="06246B78"/>
    <w:rsid w:val="062E4802"/>
    <w:rsid w:val="06415BD2"/>
    <w:rsid w:val="0643381A"/>
    <w:rsid w:val="06853272"/>
    <w:rsid w:val="068D204A"/>
    <w:rsid w:val="068F4F50"/>
    <w:rsid w:val="06982C09"/>
    <w:rsid w:val="06B25DFC"/>
    <w:rsid w:val="072B1C5D"/>
    <w:rsid w:val="07352F2E"/>
    <w:rsid w:val="07532853"/>
    <w:rsid w:val="076645CB"/>
    <w:rsid w:val="078F18C1"/>
    <w:rsid w:val="07B2270F"/>
    <w:rsid w:val="07CB3556"/>
    <w:rsid w:val="07F87631"/>
    <w:rsid w:val="082C79C6"/>
    <w:rsid w:val="085C0C65"/>
    <w:rsid w:val="0864666A"/>
    <w:rsid w:val="0865227C"/>
    <w:rsid w:val="086667F0"/>
    <w:rsid w:val="087355F5"/>
    <w:rsid w:val="08881295"/>
    <w:rsid w:val="08884326"/>
    <w:rsid w:val="0897788F"/>
    <w:rsid w:val="08A37924"/>
    <w:rsid w:val="08A92345"/>
    <w:rsid w:val="08C8409E"/>
    <w:rsid w:val="08D16932"/>
    <w:rsid w:val="090F4E62"/>
    <w:rsid w:val="090F6344"/>
    <w:rsid w:val="09133FE4"/>
    <w:rsid w:val="09334556"/>
    <w:rsid w:val="094527CC"/>
    <w:rsid w:val="09551590"/>
    <w:rsid w:val="096733DE"/>
    <w:rsid w:val="097B4315"/>
    <w:rsid w:val="097F33FB"/>
    <w:rsid w:val="0998013F"/>
    <w:rsid w:val="09BB0E1D"/>
    <w:rsid w:val="09CE00DF"/>
    <w:rsid w:val="09D75F2D"/>
    <w:rsid w:val="09DC5817"/>
    <w:rsid w:val="09E2267D"/>
    <w:rsid w:val="09EA3FFB"/>
    <w:rsid w:val="09FF6910"/>
    <w:rsid w:val="0A130E22"/>
    <w:rsid w:val="0A2C0839"/>
    <w:rsid w:val="0A5A1518"/>
    <w:rsid w:val="0A5A702A"/>
    <w:rsid w:val="0A7F2508"/>
    <w:rsid w:val="0A82384B"/>
    <w:rsid w:val="0AB76600"/>
    <w:rsid w:val="0AEA6F18"/>
    <w:rsid w:val="0AF26EE8"/>
    <w:rsid w:val="0AFE2252"/>
    <w:rsid w:val="0B021D91"/>
    <w:rsid w:val="0B044492"/>
    <w:rsid w:val="0B2C6FEE"/>
    <w:rsid w:val="0BF36476"/>
    <w:rsid w:val="0BFC24AD"/>
    <w:rsid w:val="0C2E19AC"/>
    <w:rsid w:val="0C3813E7"/>
    <w:rsid w:val="0C3A7A43"/>
    <w:rsid w:val="0C57217D"/>
    <w:rsid w:val="0C6A5478"/>
    <w:rsid w:val="0C74253D"/>
    <w:rsid w:val="0CA657CC"/>
    <w:rsid w:val="0CB760F2"/>
    <w:rsid w:val="0CDD4A50"/>
    <w:rsid w:val="0CEE601D"/>
    <w:rsid w:val="0CFF6C7A"/>
    <w:rsid w:val="0D0E7AF7"/>
    <w:rsid w:val="0D3F34E4"/>
    <w:rsid w:val="0D5033D9"/>
    <w:rsid w:val="0D6774EB"/>
    <w:rsid w:val="0DB8735C"/>
    <w:rsid w:val="0DCC57DF"/>
    <w:rsid w:val="0DDF0FC7"/>
    <w:rsid w:val="0DEB4371"/>
    <w:rsid w:val="0E092375"/>
    <w:rsid w:val="0E427247"/>
    <w:rsid w:val="0E4A7674"/>
    <w:rsid w:val="0E5F19FA"/>
    <w:rsid w:val="0E700383"/>
    <w:rsid w:val="0E873835"/>
    <w:rsid w:val="0EEF0F52"/>
    <w:rsid w:val="0EFE4988"/>
    <w:rsid w:val="0F052688"/>
    <w:rsid w:val="0F1D45FD"/>
    <w:rsid w:val="0F2B44AC"/>
    <w:rsid w:val="0F2D1658"/>
    <w:rsid w:val="0F35327C"/>
    <w:rsid w:val="0F6762DD"/>
    <w:rsid w:val="0F874D4C"/>
    <w:rsid w:val="0FBD34B7"/>
    <w:rsid w:val="0FBF0BBB"/>
    <w:rsid w:val="0FE94E2E"/>
    <w:rsid w:val="0FFC4624"/>
    <w:rsid w:val="102E14F1"/>
    <w:rsid w:val="10711094"/>
    <w:rsid w:val="10B85B63"/>
    <w:rsid w:val="10C678AA"/>
    <w:rsid w:val="10D87ECD"/>
    <w:rsid w:val="10E36818"/>
    <w:rsid w:val="111C489C"/>
    <w:rsid w:val="11370310"/>
    <w:rsid w:val="11395E0D"/>
    <w:rsid w:val="119D33EE"/>
    <w:rsid w:val="11A049EA"/>
    <w:rsid w:val="11C22C35"/>
    <w:rsid w:val="11D96B78"/>
    <w:rsid w:val="1201143B"/>
    <w:rsid w:val="120C65B1"/>
    <w:rsid w:val="12355A90"/>
    <w:rsid w:val="123829C5"/>
    <w:rsid w:val="128331B4"/>
    <w:rsid w:val="12B10B35"/>
    <w:rsid w:val="12B15F72"/>
    <w:rsid w:val="12C05F9C"/>
    <w:rsid w:val="13087FF1"/>
    <w:rsid w:val="134A372A"/>
    <w:rsid w:val="1385251D"/>
    <w:rsid w:val="13AD56F4"/>
    <w:rsid w:val="13AE03E3"/>
    <w:rsid w:val="13DA472D"/>
    <w:rsid w:val="13E7417C"/>
    <w:rsid w:val="13F65C64"/>
    <w:rsid w:val="141F76BA"/>
    <w:rsid w:val="14414A74"/>
    <w:rsid w:val="14424001"/>
    <w:rsid w:val="145F5E95"/>
    <w:rsid w:val="14A02ECC"/>
    <w:rsid w:val="14B10E19"/>
    <w:rsid w:val="14BC1AE4"/>
    <w:rsid w:val="14D45FFE"/>
    <w:rsid w:val="14E75779"/>
    <w:rsid w:val="14FE2676"/>
    <w:rsid w:val="1512665B"/>
    <w:rsid w:val="15304F6C"/>
    <w:rsid w:val="153A7B83"/>
    <w:rsid w:val="154118DB"/>
    <w:rsid w:val="15424B68"/>
    <w:rsid w:val="15502B95"/>
    <w:rsid w:val="15575092"/>
    <w:rsid w:val="155E4626"/>
    <w:rsid w:val="15AA147F"/>
    <w:rsid w:val="15C063B5"/>
    <w:rsid w:val="15C64795"/>
    <w:rsid w:val="15C66F13"/>
    <w:rsid w:val="15D5339E"/>
    <w:rsid w:val="16163057"/>
    <w:rsid w:val="162752C4"/>
    <w:rsid w:val="162B7441"/>
    <w:rsid w:val="163118C5"/>
    <w:rsid w:val="16351069"/>
    <w:rsid w:val="16415F4F"/>
    <w:rsid w:val="167920A5"/>
    <w:rsid w:val="168452D6"/>
    <w:rsid w:val="16980B1D"/>
    <w:rsid w:val="169F4F72"/>
    <w:rsid w:val="16DA218A"/>
    <w:rsid w:val="16FD3C8D"/>
    <w:rsid w:val="170D431B"/>
    <w:rsid w:val="171E3F27"/>
    <w:rsid w:val="17390AE0"/>
    <w:rsid w:val="176C7826"/>
    <w:rsid w:val="17AC4E29"/>
    <w:rsid w:val="17AF20B6"/>
    <w:rsid w:val="17C53DBC"/>
    <w:rsid w:val="17C7285C"/>
    <w:rsid w:val="17D246A2"/>
    <w:rsid w:val="17D95CDE"/>
    <w:rsid w:val="18410648"/>
    <w:rsid w:val="185D79BE"/>
    <w:rsid w:val="185F3F0B"/>
    <w:rsid w:val="18662C1C"/>
    <w:rsid w:val="18734287"/>
    <w:rsid w:val="187B678E"/>
    <w:rsid w:val="18B42DFC"/>
    <w:rsid w:val="18C76745"/>
    <w:rsid w:val="18CB096B"/>
    <w:rsid w:val="190714BF"/>
    <w:rsid w:val="19097C61"/>
    <w:rsid w:val="19272BA7"/>
    <w:rsid w:val="19321E4C"/>
    <w:rsid w:val="19666311"/>
    <w:rsid w:val="196C708A"/>
    <w:rsid w:val="19C40D7F"/>
    <w:rsid w:val="1A001515"/>
    <w:rsid w:val="1A0D711F"/>
    <w:rsid w:val="1A265973"/>
    <w:rsid w:val="1A3B2A74"/>
    <w:rsid w:val="1A425B23"/>
    <w:rsid w:val="1A6C4378"/>
    <w:rsid w:val="1A84783C"/>
    <w:rsid w:val="1A9D72F0"/>
    <w:rsid w:val="1AA648BC"/>
    <w:rsid w:val="1ABE50A5"/>
    <w:rsid w:val="1AC35EBE"/>
    <w:rsid w:val="1ACE6EB3"/>
    <w:rsid w:val="1AD901F6"/>
    <w:rsid w:val="1B127BB7"/>
    <w:rsid w:val="1B13491F"/>
    <w:rsid w:val="1B302B1E"/>
    <w:rsid w:val="1B6B0A01"/>
    <w:rsid w:val="1B6C4230"/>
    <w:rsid w:val="1B733D28"/>
    <w:rsid w:val="1B743582"/>
    <w:rsid w:val="1B7A676B"/>
    <w:rsid w:val="1B927D24"/>
    <w:rsid w:val="1B950128"/>
    <w:rsid w:val="1B9C179E"/>
    <w:rsid w:val="1B9E475B"/>
    <w:rsid w:val="1BA71D08"/>
    <w:rsid w:val="1BB8113F"/>
    <w:rsid w:val="1BCA12AE"/>
    <w:rsid w:val="1BD61CF0"/>
    <w:rsid w:val="1BE33598"/>
    <w:rsid w:val="1C007BA3"/>
    <w:rsid w:val="1C22664F"/>
    <w:rsid w:val="1C2F07A7"/>
    <w:rsid w:val="1C385F6A"/>
    <w:rsid w:val="1C3B3035"/>
    <w:rsid w:val="1C424836"/>
    <w:rsid w:val="1C435D8C"/>
    <w:rsid w:val="1C7F7BDA"/>
    <w:rsid w:val="1C8D5C1C"/>
    <w:rsid w:val="1C915017"/>
    <w:rsid w:val="1C9B0FF1"/>
    <w:rsid w:val="1CAC40D4"/>
    <w:rsid w:val="1CB909E7"/>
    <w:rsid w:val="1CCC31F3"/>
    <w:rsid w:val="1CE6480C"/>
    <w:rsid w:val="1CE67C4D"/>
    <w:rsid w:val="1D047F8F"/>
    <w:rsid w:val="1D064069"/>
    <w:rsid w:val="1D3D3D70"/>
    <w:rsid w:val="1D471B2F"/>
    <w:rsid w:val="1D4F4329"/>
    <w:rsid w:val="1D5107A1"/>
    <w:rsid w:val="1D587E2B"/>
    <w:rsid w:val="1D684C7F"/>
    <w:rsid w:val="1D722B62"/>
    <w:rsid w:val="1D755877"/>
    <w:rsid w:val="1D841EA3"/>
    <w:rsid w:val="1D9F192C"/>
    <w:rsid w:val="1DA311A3"/>
    <w:rsid w:val="1DA467A6"/>
    <w:rsid w:val="1E002183"/>
    <w:rsid w:val="1E3B0799"/>
    <w:rsid w:val="1E567EE4"/>
    <w:rsid w:val="1E9278B5"/>
    <w:rsid w:val="1E9D3803"/>
    <w:rsid w:val="1E9E4F48"/>
    <w:rsid w:val="1EB0172E"/>
    <w:rsid w:val="1EB056CB"/>
    <w:rsid w:val="1EE32352"/>
    <w:rsid w:val="1F290B84"/>
    <w:rsid w:val="1F2A001F"/>
    <w:rsid w:val="1F7A092C"/>
    <w:rsid w:val="1F8E658B"/>
    <w:rsid w:val="1F93683D"/>
    <w:rsid w:val="1FA55C72"/>
    <w:rsid w:val="1FE8434F"/>
    <w:rsid w:val="1FFE52ED"/>
    <w:rsid w:val="20007004"/>
    <w:rsid w:val="204B5330"/>
    <w:rsid w:val="204F3E74"/>
    <w:rsid w:val="2053130C"/>
    <w:rsid w:val="20540925"/>
    <w:rsid w:val="206D246A"/>
    <w:rsid w:val="20835FFF"/>
    <w:rsid w:val="209448B3"/>
    <w:rsid w:val="20977559"/>
    <w:rsid w:val="209B2D62"/>
    <w:rsid w:val="20BB1705"/>
    <w:rsid w:val="20BE1AD4"/>
    <w:rsid w:val="20CD410B"/>
    <w:rsid w:val="212C1FA5"/>
    <w:rsid w:val="21484306"/>
    <w:rsid w:val="216C7309"/>
    <w:rsid w:val="21CE21DF"/>
    <w:rsid w:val="220F0E51"/>
    <w:rsid w:val="22115AC4"/>
    <w:rsid w:val="221C3030"/>
    <w:rsid w:val="2226260E"/>
    <w:rsid w:val="223A42D8"/>
    <w:rsid w:val="22447B30"/>
    <w:rsid w:val="224C5BD7"/>
    <w:rsid w:val="22576A58"/>
    <w:rsid w:val="227071BD"/>
    <w:rsid w:val="22BE2303"/>
    <w:rsid w:val="22C23062"/>
    <w:rsid w:val="22DC1692"/>
    <w:rsid w:val="23311B6F"/>
    <w:rsid w:val="2336120B"/>
    <w:rsid w:val="234D2294"/>
    <w:rsid w:val="23673237"/>
    <w:rsid w:val="23704547"/>
    <w:rsid w:val="238B4FD2"/>
    <w:rsid w:val="239A1C8B"/>
    <w:rsid w:val="23C226B4"/>
    <w:rsid w:val="23CF13A9"/>
    <w:rsid w:val="23EF2777"/>
    <w:rsid w:val="240C2057"/>
    <w:rsid w:val="242401BA"/>
    <w:rsid w:val="24354BAA"/>
    <w:rsid w:val="244349D7"/>
    <w:rsid w:val="245956A4"/>
    <w:rsid w:val="2460623F"/>
    <w:rsid w:val="24706EF2"/>
    <w:rsid w:val="24CC189C"/>
    <w:rsid w:val="24FA22FE"/>
    <w:rsid w:val="25092061"/>
    <w:rsid w:val="250B1AA6"/>
    <w:rsid w:val="250C7D63"/>
    <w:rsid w:val="25266980"/>
    <w:rsid w:val="2529078F"/>
    <w:rsid w:val="252A7694"/>
    <w:rsid w:val="254F0762"/>
    <w:rsid w:val="255C4399"/>
    <w:rsid w:val="256D57DE"/>
    <w:rsid w:val="258372C4"/>
    <w:rsid w:val="25872DBE"/>
    <w:rsid w:val="25CC7C15"/>
    <w:rsid w:val="25CD7C57"/>
    <w:rsid w:val="25D75652"/>
    <w:rsid w:val="26491686"/>
    <w:rsid w:val="264B2F9C"/>
    <w:rsid w:val="26800A6A"/>
    <w:rsid w:val="26815AAE"/>
    <w:rsid w:val="26ED4743"/>
    <w:rsid w:val="26EE4679"/>
    <w:rsid w:val="27567DFE"/>
    <w:rsid w:val="275B49B9"/>
    <w:rsid w:val="279F26BA"/>
    <w:rsid w:val="27A024E8"/>
    <w:rsid w:val="27C70926"/>
    <w:rsid w:val="27DE76B0"/>
    <w:rsid w:val="27EC429F"/>
    <w:rsid w:val="28107A1C"/>
    <w:rsid w:val="281776C8"/>
    <w:rsid w:val="281D5663"/>
    <w:rsid w:val="28303F3A"/>
    <w:rsid w:val="28326EAE"/>
    <w:rsid w:val="2835626E"/>
    <w:rsid w:val="284274C6"/>
    <w:rsid w:val="28673F7C"/>
    <w:rsid w:val="287922EE"/>
    <w:rsid w:val="28825D43"/>
    <w:rsid w:val="288709FA"/>
    <w:rsid w:val="28AB1B51"/>
    <w:rsid w:val="28D24B5F"/>
    <w:rsid w:val="28F62B62"/>
    <w:rsid w:val="29201AE8"/>
    <w:rsid w:val="294B1F3F"/>
    <w:rsid w:val="29691E2F"/>
    <w:rsid w:val="29C92B9D"/>
    <w:rsid w:val="29CB1C75"/>
    <w:rsid w:val="29CB29C4"/>
    <w:rsid w:val="29CC580A"/>
    <w:rsid w:val="2A0E48B0"/>
    <w:rsid w:val="2A16533C"/>
    <w:rsid w:val="2A187751"/>
    <w:rsid w:val="2A28315D"/>
    <w:rsid w:val="2A305031"/>
    <w:rsid w:val="2A353339"/>
    <w:rsid w:val="2A501E26"/>
    <w:rsid w:val="2A517607"/>
    <w:rsid w:val="2A542A52"/>
    <w:rsid w:val="2ABC10A8"/>
    <w:rsid w:val="2ACA34DD"/>
    <w:rsid w:val="2AEF073F"/>
    <w:rsid w:val="2B197A40"/>
    <w:rsid w:val="2B626CEC"/>
    <w:rsid w:val="2B6B482B"/>
    <w:rsid w:val="2B745F9C"/>
    <w:rsid w:val="2B812F19"/>
    <w:rsid w:val="2B8A55AE"/>
    <w:rsid w:val="2B956E74"/>
    <w:rsid w:val="2BBF2B2C"/>
    <w:rsid w:val="2BD7342F"/>
    <w:rsid w:val="2BDD5CB8"/>
    <w:rsid w:val="2BEC546B"/>
    <w:rsid w:val="2C1A7B53"/>
    <w:rsid w:val="2C27212B"/>
    <w:rsid w:val="2C2B64D6"/>
    <w:rsid w:val="2C3257C2"/>
    <w:rsid w:val="2C6131A3"/>
    <w:rsid w:val="2C684258"/>
    <w:rsid w:val="2C7238BB"/>
    <w:rsid w:val="2C7B4A2B"/>
    <w:rsid w:val="2C8F4AD2"/>
    <w:rsid w:val="2C940B64"/>
    <w:rsid w:val="2CA23816"/>
    <w:rsid w:val="2CC1365C"/>
    <w:rsid w:val="2CC160AE"/>
    <w:rsid w:val="2CC56806"/>
    <w:rsid w:val="2CCD4B0F"/>
    <w:rsid w:val="2CE864EC"/>
    <w:rsid w:val="2CEB776B"/>
    <w:rsid w:val="2D033784"/>
    <w:rsid w:val="2D0A596A"/>
    <w:rsid w:val="2D267FA7"/>
    <w:rsid w:val="2D8B3DAC"/>
    <w:rsid w:val="2DA2535C"/>
    <w:rsid w:val="2DE0651A"/>
    <w:rsid w:val="2E18060E"/>
    <w:rsid w:val="2E2B423D"/>
    <w:rsid w:val="2E495FD3"/>
    <w:rsid w:val="2E5A4A6A"/>
    <w:rsid w:val="2E653D29"/>
    <w:rsid w:val="2E6D43D4"/>
    <w:rsid w:val="2E7C7762"/>
    <w:rsid w:val="2E8D7311"/>
    <w:rsid w:val="2E9A45C3"/>
    <w:rsid w:val="2E9A7F72"/>
    <w:rsid w:val="2EB77014"/>
    <w:rsid w:val="2EEC5DA1"/>
    <w:rsid w:val="2EF6065B"/>
    <w:rsid w:val="2F2847ED"/>
    <w:rsid w:val="2F5F5C88"/>
    <w:rsid w:val="2F7B3FC9"/>
    <w:rsid w:val="2FE51D52"/>
    <w:rsid w:val="2FF1294A"/>
    <w:rsid w:val="2FF64FD7"/>
    <w:rsid w:val="2FF870E4"/>
    <w:rsid w:val="30057EB0"/>
    <w:rsid w:val="303D65C8"/>
    <w:rsid w:val="30722C62"/>
    <w:rsid w:val="30744FEF"/>
    <w:rsid w:val="30831046"/>
    <w:rsid w:val="309155D4"/>
    <w:rsid w:val="30B50208"/>
    <w:rsid w:val="30CB59EF"/>
    <w:rsid w:val="30E87F18"/>
    <w:rsid w:val="30F473FB"/>
    <w:rsid w:val="31025DB5"/>
    <w:rsid w:val="312A6DB7"/>
    <w:rsid w:val="3166797B"/>
    <w:rsid w:val="317675B8"/>
    <w:rsid w:val="31770F76"/>
    <w:rsid w:val="318B7A69"/>
    <w:rsid w:val="31A15019"/>
    <w:rsid w:val="31C90E3F"/>
    <w:rsid w:val="323F32FA"/>
    <w:rsid w:val="324C4465"/>
    <w:rsid w:val="327C3AEC"/>
    <w:rsid w:val="32925726"/>
    <w:rsid w:val="329939DF"/>
    <w:rsid w:val="32B02800"/>
    <w:rsid w:val="32C223E2"/>
    <w:rsid w:val="32C40EC2"/>
    <w:rsid w:val="32CD3ADA"/>
    <w:rsid w:val="32F92D2A"/>
    <w:rsid w:val="33161375"/>
    <w:rsid w:val="33221D33"/>
    <w:rsid w:val="33495BB0"/>
    <w:rsid w:val="335B44B2"/>
    <w:rsid w:val="3398662C"/>
    <w:rsid w:val="33B42F7F"/>
    <w:rsid w:val="33C6112F"/>
    <w:rsid w:val="33CA3652"/>
    <w:rsid w:val="33CB577F"/>
    <w:rsid w:val="33D11076"/>
    <w:rsid w:val="33E32945"/>
    <w:rsid w:val="340E5D39"/>
    <w:rsid w:val="342464DC"/>
    <w:rsid w:val="34282136"/>
    <w:rsid w:val="342E48ED"/>
    <w:rsid w:val="345843A8"/>
    <w:rsid w:val="345E3B74"/>
    <w:rsid w:val="345E766E"/>
    <w:rsid w:val="34722142"/>
    <w:rsid w:val="347F0A35"/>
    <w:rsid w:val="348155C1"/>
    <w:rsid w:val="34911DE8"/>
    <w:rsid w:val="349504C8"/>
    <w:rsid w:val="35136694"/>
    <w:rsid w:val="352B48CC"/>
    <w:rsid w:val="35964D24"/>
    <w:rsid w:val="359F050C"/>
    <w:rsid w:val="35B33F2E"/>
    <w:rsid w:val="35E27934"/>
    <w:rsid w:val="35F25232"/>
    <w:rsid w:val="360F4D13"/>
    <w:rsid w:val="361A7EDB"/>
    <w:rsid w:val="3620523A"/>
    <w:rsid w:val="369A1CFE"/>
    <w:rsid w:val="36A57E7F"/>
    <w:rsid w:val="36CC35C8"/>
    <w:rsid w:val="36D97406"/>
    <w:rsid w:val="36DF7C6D"/>
    <w:rsid w:val="371E2D73"/>
    <w:rsid w:val="372B7E30"/>
    <w:rsid w:val="373628D7"/>
    <w:rsid w:val="37444327"/>
    <w:rsid w:val="376212ED"/>
    <w:rsid w:val="376D3CDD"/>
    <w:rsid w:val="378B1180"/>
    <w:rsid w:val="378B6B48"/>
    <w:rsid w:val="378C4907"/>
    <w:rsid w:val="378F0B0D"/>
    <w:rsid w:val="3792799A"/>
    <w:rsid w:val="37A548C2"/>
    <w:rsid w:val="37BA502B"/>
    <w:rsid w:val="37D10AF0"/>
    <w:rsid w:val="37D8560C"/>
    <w:rsid w:val="37E15433"/>
    <w:rsid w:val="37E445B6"/>
    <w:rsid w:val="37EF5C7B"/>
    <w:rsid w:val="37F5365E"/>
    <w:rsid w:val="37FB08ED"/>
    <w:rsid w:val="383079A9"/>
    <w:rsid w:val="38314670"/>
    <w:rsid w:val="38326BB5"/>
    <w:rsid w:val="38595A62"/>
    <w:rsid w:val="38600325"/>
    <w:rsid w:val="38685BDF"/>
    <w:rsid w:val="386D6059"/>
    <w:rsid w:val="388F0168"/>
    <w:rsid w:val="38A96D4F"/>
    <w:rsid w:val="38B745D2"/>
    <w:rsid w:val="38BA7B91"/>
    <w:rsid w:val="38C33E9C"/>
    <w:rsid w:val="38D34AA3"/>
    <w:rsid w:val="38E072C7"/>
    <w:rsid w:val="38E33B36"/>
    <w:rsid w:val="38FC1ED7"/>
    <w:rsid w:val="39494947"/>
    <w:rsid w:val="3949562C"/>
    <w:rsid w:val="394C3A06"/>
    <w:rsid w:val="396D587F"/>
    <w:rsid w:val="397D3766"/>
    <w:rsid w:val="39903C18"/>
    <w:rsid w:val="39A10F3D"/>
    <w:rsid w:val="39B10A6B"/>
    <w:rsid w:val="39B75EA7"/>
    <w:rsid w:val="39B80FB2"/>
    <w:rsid w:val="39BB4735"/>
    <w:rsid w:val="39D96E81"/>
    <w:rsid w:val="3A245A93"/>
    <w:rsid w:val="3A3876C4"/>
    <w:rsid w:val="3A402C7E"/>
    <w:rsid w:val="3A4F5FA1"/>
    <w:rsid w:val="3A7818BD"/>
    <w:rsid w:val="3AC76401"/>
    <w:rsid w:val="3B014272"/>
    <w:rsid w:val="3B0202C6"/>
    <w:rsid w:val="3B143E15"/>
    <w:rsid w:val="3B22304A"/>
    <w:rsid w:val="3B261E6C"/>
    <w:rsid w:val="3B4B50B9"/>
    <w:rsid w:val="3B6221FE"/>
    <w:rsid w:val="3B7B5B5B"/>
    <w:rsid w:val="3BA329F0"/>
    <w:rsid w:val="3BC6546C"/>
    <w:rsid w:val="3BDB4640"/>
    <w:rsid w:val="3BEC73D7"/>
    <w:rsid w:val="3C7336E5"/>
    <w:rsid w:val="3C8C59A8"/>
    <w:rsid w:val="3C972C88"/>
    <w:rsid w:val="3C9F36FD"/>
    <w:rsid w:val="3CA34C0A"/>
    <w:rsid w:val="3CC20823"/>
    <w:rsid w:val="3CE46EBC"/>
    <w:rsid w:val="3CF04D4E"/>
    <w:rsid w:val="3CFC1EAF"/>
    <w:rsid w:val="3D2D102A"/>
    <w:rsid w:val="3D4B7315"/>
    <w:rsid w:val="3D586208"/>
    <w:rsid w:val="3D6A1320"/>
    <w:rsid w:val="3D7C70A5"/>
    <w:rsid w:val="3D7F2C25"/>
    <w:rsid w:val="3DA520F0"/>
    <w:rsid w:val="3DF65B4C"/>
    <w:rsid w:val="3E1D396B"/>
    <w:rsid w:val="3E283E0F"/>
    <w:rsid w:val="3E2D2799"/>
    <w:rsid w:val="3E2E5143"/>
    <w:rsid w:val="3E2F75CB"/>
    <w:rsid w:val="3E3A2EDE"/>
    <w:rsid w:val="3E3F4898"/>
    <w:rsid w:val="3E4029AF"/>
    <w:rsid w:val="3E415AD0"/>
    <w:rsid w:val="3E4A0EBE"/>
    <w:rsid w:val="3E4B56C1"/>
    <w:rsid w:val="3E7B6CFA"/>
    <w:rsid w:val="3E7D6C93"/>
    <w:rsid w:val="3E974712"/>
    <w:rsid w:val="3E9A0487"/>
    <w:rsid w:val="3EA0796D"/>
    <w:rsid w:val="3ED53886"/>
    <w:rsid w:val="3EEE3E37"/>
    <w:rsid w:val="3EF65DBB"/>
    <w:rsid w:val="3F2628BA"/>
    <w:rsid w:val="3F27481A"/>
    <w:rsid w:val="3F2D42B0"/>
    <w:rsid w:val="3F3604D6"/>
    <w:rsid w:val="3F3B6BD2"/>
    <w:rsid w:val="3F554685"/>
    <w:rsid w:val="3F6F6DA1"/>
    <w:rsid w:val="3F996DFB"/>
    <w:rsid w:val="3FD34F5E"/>
    <w:rsid w:val="3FDB4C6B"/>
    <w:rsid w:val="3FDF60C8"/>
    <w:rsid w:val="3FEE7386"/>
    <w:rsid w:val="3FEF038A"/>
    <w:rsid w:val="3FFA3846"/>
    <w:rsid w:val="40032C81"/>
    <w:rsid w:val="400566C9"/>
    <w:rsid w:val="402C27F9"/>
    <w:rsid w:val="40307ED0"/>
    <w:rsid w:val="40381F17"/>
    <w:rsid w:val="403C48D4"/>
    <w:rsid w:val="40420BF6"/>
    <w:rsid w:val="404D018C"/>
    <w:rsid w:val="405C261A"/>
    <w:rsid w:val="40707081"/>
    <w:rsid w:val="40984E14"/>
    <w:rsid w:val="40E378FA"/>
    <w:rsid w:val="40F11D8A"/>
    <w:rsid w:val="41091D98"/>
    <w:rsid w:val="41256177"/>
    <w:rsid w:val="41257457"/>
    <w:rsid w:val="41274E55"/>
    <w:rsid w:val="413607BA"/>
    <w:rsid w:val="413F1131"/>
    <w:rsid w:val="413F17A8"/>
    <w:rsid w:val="413F48D6"/>
    <w:rsid w:val="413F5FB5"/>
    <w:rsid w:val="41585A25"/>
    <w:rsid w:val="417A0E32"/>
    <w:rsid w:val="417B382A"/>
    <w:rsid w:val="4189630F"/>
    <w:rsid w:val="41B406F7"/>
    <w:rsid w:val="41B967FA"/>
    <w:rsid w:val="41BD2D42"/>
    <w:rsid w:val="41C31AE0"/>
    <w:rsid w:val="41EE1310"/>
    <w:rsid w:val="41FC5F3D"/>
    <w:rsid w:val="423524B0"/>
    <w:rsid w:val="42594DE1"/>
    <w:rsid w:val="425A5674"/>
    <w:rsid w:val="428D5C61"/>
    <w:rsid w:val="429D0A68"/>
    <w:rsid w:val="42A25040"/>
    <w:rsid w:val="42A876CF"/>
    <w:rsid w:val="42AA6545"/>
    <w:rsid w:val="42B67F72"/>
    <w:rsid w:val="42B8658B"/>
    <w:rsid w:val="42E04EE7"/>
    <w:rsid w:val="42FB5BAB"/>
    <w:rsid w:val="430A7691"/>
    <w:rsid w:val="430C117D"/>
    <w:rsid w:val="4322368B"/>
    <w:rsid w:val="43501988"/>
    <w:rsid w:val="435D7190"/>
    <w:rsid w:val="43747C54"/>
    <w:rsid w:val="437907B7"/>
    <w:rsid w:val="43804DE3"/>
    <w:rsid w:val="438859CE"/>
    <w:rsid w:val="438E7737"/>
    <w:rsid w:val="43902A60"/>
    <w:rsid w:val="439A5F5F"/>
    <w:rsid w:val="43C509D7"/>
    <w:rsid w:val="43DE46A1"/>
    <w:rsid w:val="43E8210E"/>
    <w:rsid w:val="43EB1B0A"/>
    <w:rsid w:val="44006023"/>
    <w:rsid w:val="441C589C"/>
    <w:rsid w:val="44462809"/>
    <w:rsid w:val="44850A66"/>
    <w:rsid w:val="44857F7D"/>
    <w:rsid w:val="448A3A8E"/>
    <w:rsid w:val="448A4640"/>
    <w:rsid w:val="448F1A4E"/>
    <w:rsid w:val="44B83D21"/>
    <w:rsid w:val="44BA32C2"/>
    <w:rsid w:val="44CE0466"/>
    <w:rsid w:val="452414AD"/>
    <w:rsid w:val="452B7F6C"/>
    <w:rsid w:val="453155DC"/>
    <w:rsid w:val="45470C8C"/>
    <w:rsid w:val="455016E8"/>
    <w:rsid w:val="45605BCF"/>
    <w:rsid w:val="45930BBB"/>
    <w:rsid w:val="459E65C6"/>
    <w:rsid w:val="45D754B9"/>
    <w:rsid w:val="45E41C3B"/>
    <w:rsid w:val="45F26969"/>
    <w:rsid w:val="45FD1624"/>
    <w:rsid w:val="461B7E49"/>
    <w:rsid w:val="4630683A"/>
    <w:rsid w:val="46691F05"/>
    <w:rsid w:val="46712CA9"/>
    <w:rsid w:val="46717131"/>
    <w:rsid w:val="46A262AD"/>
    <w:rsid w:val="46C00EFD"/>
    <w:rsid w:val="46CD7850"/>
    <w:rsid w:val="46D63FAD"/>
    <w:rsid w:val="46DB3927"/>
    <w:rsid w:val="472B7D8C"/>
    <w:rsid w:val="473B5B7F"/>
    <w:rsid w:val="47447EA5"/>
    <w:rsid w:val="475A2703"/>
    <w:rsid w:val="477E4CF0"/>
    <w:rsid w:val="47995E78"/>
    <w:rsid w:val="47EE064E"/>
    <w:rsid w:val="47F002BB"/>
    <w:rsid w:val="47F144C9"/>
    <w:rsid w:val="482C71B1"/>
    <w:rsid w:val="484E5BBE"/>
    <w:rsid w:val="4857375D"/>
    <w:rsid w:val="486600FA"/>
    <w:rsid w:val="48717BF5"/>
    <w:rsid w:val="4883070B"/>
    <w:rsid w:val="488955BE"/>
    <w:rsid w:val="48AD45B9"/>
    <w:rsid w:val="492163CF"/>
    <w:rsid w:val="49324702"/>
    <w:rsid w:val="493F2ED7"/>
    <w:rsid w:val="494228DE"/>
    <w:rsid w:val="494E44EC"/>
    <w:rsid w:val="496E267C"/>
    <w:rsid w:val="499865AA"/>
    <w:rsid w:val="49A1482B"/>
    <w:rsid w:val="49A246D7"/>
    <w:rsid w:val="49AA16A6"/>
    <w:rsid w:val="49AB7155"/>
    <w:rsid w:val="49AE2B77"/>
    <w:rsid w:val="49DF471F"/>
    <w:rsid w:val="49E6170B"/>
    <w:rsid w:val="49E63200"/>
    <w:rsid w:val="49FC3D91"/>
    <w:rsid w:val="4A196D65"/>
    <w:rsid w:val="4A3240C0"/>
    <w:rsid w:val="4A3E2FB0"/>
    <w:rsid w:val="4A422221"/>
    <w:rsid w:val="4A565F73"/>
    <w:rsid w:val="4A5D2550"/>
    <w:rsid w:val="4A8470C5"/>
    <w:rsid w:val="4A957107"/>
    <w:rsid w:val="4AA735D1"/>
    <w:rsid w:val="4AB52017"/>
    <w:rsid w:val="4ABD4D8E"/>
    <w:rsid w:val="4AC2786F"/>
    <w:rsid w:val="4AE646DC"/>
    <w:rsid w:val="4AEB0CE7"/>
    <w:rsid w:val="4AF86D81"/>
    <w:rsid w:val="4B116E61"/>
    <w:rsid w:val="4B2225B5"/>
    <w:rsid w:val="4B452ACD"/>
    <w:rsid w:val="4B524A73"/>
    <w:rsid w:val="4B6551CB"/>
    <w:rsid w:val="4B9233A5"/>
    <w:rsid w:val="4B934237"/>
    <w:rsid w:val="4BA917D0"/>
    <w:rsid w:val="4BAB54B2"/>
    <w:rsid w:val="4BC055B8"/>
    <w:rsid w:val="4BC5727C"/>
    <w:rsid w:val="4BEF002E"/>
    <w:rsid w:val="4C0F7467"/>
    <w:rsid w:val="4C2E75A8"/>
    <w:rsid w:val="4C31168A"/>
    <w:rsid w:val="4C3F0A87"/>
    <w:rsid w:val="4C736A43"/>
    <w:rsid w:val="4C7663A2"/>
    <w:rsid w:val="4C785567"/>
    <w:rsid w:val="4CB02BBB"/>
    <w:rsid w:val="4CB72793"/>
    <w:rsid w:val="4CBA2530"/>
    <w:rsid w:val="4CBB7D13"/>
    <w:rsid w:val="4CBE7986"/>
    <w:rsid w:val="4CEC3E00"/>
    <w:rsid w:val="4D10034D"/>
    <w:rsid w:val="4D2B7FC5"/>
    <w:rsid w:val="4D485823"/>
    <w:rsid w:val="4D5C2118"/>
    <w:rsid w:val="4D5F19E1"/>
    <w:rsid w:val="4D7318DC"/>
    <w:rsid w:val="4D9C40F8"/>
    <w:rsid w:val="4D9D50E7"/>
    <w:rsid w:val="4DA96ACF"/>
    <w:rsid w:val="4DBF65F6"/>
    <w:rsid w:val="4DD92DD1"/>
    <w:rsid w:val="4DDF7997"/>
    <w:rsid w:val="4DF6480E"/>
    <w:rsid w:val="4DFB228E"/>
    <w:rsid w:val="4DFD527B"/>
    <w:rsid w:val="4DFF7216"/>
    <w:rsid w:val="4E0A4C49"/>
    <w:rsid w:val="4E0D529C"/>
    <w:rsid w:val="4E126AE1"/>
    <w:rsid w:val="4E1B2636"/>
    <w:rsid w:val="4E225F26"/>
    <w:rsid w:val="4E3278F8"/>
    <w:rsid w:val="4E4F4458"/>
    <w:rsid w:val="4E8075F2"/>
    <w:rsid w:val="4EDE7CBE"/>
    <w:rsid w:val="4EFC2740"/>
    <w:rsid w:val="4F212F37"/>
    <w:rsid w:val="4F55510A"/>
    <w:rsid w:val="4F57555F"/>
    <w:rsid w:val="4F8563A9"/>
    <w:rsid w:val="4FA81E62"/>
    <w:rsid w:val="4FAC2213"/>
    <w:rsid w:val="4FCE628E"/>
    <w:rsid w:val="4FE20351"/>
    <w:rsid w:val="4FF90DC3"/>
    <w:rsid w:val="500739B3"/>
    <w:rsid w:val="501B6CDA"/>
    <w:rsid w:val="502B7945"/>
    <w:rsid w:val="5057256A"/>
    <w:rsid w:val="50656902"/>
    <w:rsid w:val="50741BF1"/>
    <w:rsid w:val="507C7B3F"/>
    <w:rsid w:val="507E3168"/>
    <w:rsid w:val="50855337"/>
    <w:rsid w:val="50A10324"/>
    <w:rsid w:val="50A24C53"/>
    <w:rsid w:val="50A924D3"/>
    <w:rsid w:val="50B64ED1"/>
    <w:rsid w:val="50D216E6"/>
    <w:rsid w:val="50DE0989"/>
    <w:rsid w:val="50F06CB4"/>
    <w:rsid w:val="50F54CD9"/>
    <w:rsid w:val="50F560CF"/>
    <w:rsid w:val="511D24C4"/>
    <w:rsid w:val="51305B1F"/>
    <w:rsid w:val="5131068C"/>
    <w:rsid w:val="51353367"/>
    <w:rsid w:val="514D1D88"/>
    <w:rsid w:val="516D4725"/>
    <w:rsid w:val="517536B0"/>
    <w:rsid w:val="51A8225C"/>
    <w:rsid w:val="51AF3E31"/>
    <w:rsid w:val="51B15B14"/>
    <w:rsid w:val="51C22C62"/>
    <w:rsid w:val="51CD098E"/>
    <w:rsid w:val="51D05B20"/>
    <w:rsid w:val="52044B82"/>
    <w:rsid w:val="52062AC1"/>
    <w:rsid w:val="52070033"/>
    <w:rsid w:val="52253FD2"/>
    <w:rsid w:val="526603DE"/>
    <w:rsid w:val="52683F45"/>
    <w:rsid w:val="52857C4C"/>
    <w:rsid w:val="531753E5"/>
    <w:rsid w:val="533419D3"/>
    <w:rsid w:val="535223BF"/>
    <w:rsid w:val="53826ACA"/>
    <w:rsid w:val="53826DA3"/>
    <w:rsid w:val="53CA4B1B"/>
    <w:rsid w:val="53CF2A04"/>
    <w:rsid w:val="53F54E93"/>
    <w:rsid w:val="540631DB"/>
    <w:rsid w:val="5410404D"/>
    <w:rsid w:val="542C75EE"/>
    <w:rsid w:val="543278BB"/>
    <w:rsid w:val="544F7BAB"/>
    <w:rsid w:val="5459702E"/>
    <w:rsid w:val="545E26F8"/>
    <w:rsid w:val="54746B8B"/>
    <w:rsid w:val="54804FEA"/>
    <w:rsid w:val="552B4A22"/>
    <w:rsid w:val="553C6D07"/>
    <w:rsid w:val="555C5E4C"/>
    <w:rsid w:val="555E0B5C"/>
    <w:rsid w:val="55661071"/>
    <w:rsid w:val="556B7C3B"/>
    <w:rsid w:val="55731C3D"/>
    <w:rsid w:val="558F4E84"/>
    <w:rsid w:val="55960934"/>
    <w:rsid w:val="55C7052F"/>
    <w:rsid w:val="55CD7620"/>
    <w:rsid w:val="56040940"/>
    <w:rsid w:val="561531B8"/>
    <w:rsid w:val="561B6A04"/>
    <w:rsid w:val="56394061"/>
    <w:rsid w:val="56395354"/>
    <w:rsid w:val="56484C2F"/>
    <w:rsid w:val="56704ADF"/>
    <w:rsid w:val="568A3B00"/>
    <w:rsid w:val="56B46071"/>
    <w:rsid w:val="56C26350"/>
    <w:rsid w:val="56E77EC7"/>
    <w:rsid w:val="56EC0175"/>
    <w:rsid w:val="56F02523"/>
    <w:rsid w:val="56F50542"/>
    <w:rsid w:val="57083574"/>
    <w:rsid w:val="570D461A"/>
    <w:rsid w:val="572110B2"/>
    <w:rsid w:val="572B7502"/>
    <w:rsid w:val="57651468"/>
    <w:rsid w:val="578A3343"/>
    <w:rsid w:val="57990858"/>
    <w:rsid w:val="57B14B46"/>
    <w:rsid w:val="57BD4DAB"/>
    <w:rsid w:val="57DD532E"/>
    <w:rsid w:val="57F92D5D"/>
    <w:rsid w:val="581A7EE7"/>
    <w:rsid w:val="588F7B56"/>
    <w:rsid w:val="58B1424E"/>
    <w:rsid w:val="58BD0709"/>
    <w:rsid w:val="58D35753"/>
    <w:rsid w:val="58D46F07"/>
    <w:rsid w:val="58DB0192"/>
    <w:rsid w:val="58FE29CE"/>
    <w:rsid w:val="590B3A4C"/>
    <w:rsid w:val="591C300C"/>
    <w:rsid w:val="59300600"/>
    <w:rsid w:val="59411CA1"/>
    <w:rsid w:val="59450153"/>
    <w:rsid w:val="59566552"/>
    <w:rsid w:val="595E5543"/>
    <w:rsid w:val="597C215B"/>
    <w:rsid w:val="59846EEA"/>
    <w:rsid w:val="599937A2"/>
    <w:rsid w:val="59B148BA"/>
    <w:rsid w:val="59B54EA2"/>
    <w:rsid w:val="59D806D6"/>
    <w:rsid w:val="5A312AA0"/>
    <w:rsid w:val="5A824FB8"/>
    <w:rsid w:val="5AA834EC"/>
    <w:rsid w:val="5AAE354D"/>
    <w:rsid w:val="5AB05875"/>
    <w:rsid w:val="5AB15A64"/>
    <w:rsid w:val="5AC56BD1"/>
    <w:rsid w:val="5AD332CD"/>
    <w:rsid w:val="5AD52E57"/>
    <w:rsid w:val="5B1A116B"/>
    <w:rsid w:val="5B5A785B"/>
    <w:rsid w:val="5B5E7147"/>
    <w:rsid w:val="5B701BBB"/>
    <w:rsid w:val="5B743E0A"/>
    <w:rsid w:val="5B84345C"/>
    <w:rsid w:val="5B8E5D81"/>
    <w:rsid w:val="5BCA7287"/>
    <w:rsid w:val="5BCC55B3"/>
    <w:rsid w:val="5C2D336B"/>
    <w:rsid w:val="5C314CAF"/>
    <w:rsid w:val="5C5D0D76"/>
    <w:rsid w:val="5C820FFA"/>
    <w:rsid w:val="5C83298D"/>
    <w:rsid w:val="5CC74BC1"/>
    <w:rsid w:val="5D084FA6"/>
    <w:rsid w:val="5D1F10FB"/>
    <w:rsid w:val="5D342029"/>
    <w:rsid w:val="5D417A25"/>
    <w:rsid w:val="5D4E1F3A"/>
    <w:rsid w:val="5D4F6537"/>
    <w:rsid w:val="5D792DC4"/>
    <w:rsid w:val="5D823493"/>
    <w:rsid w:val="5DC84C48"/>
    <w:rsid w:val="5E00369B"/>
    <w:rsid w:val="5E1B1FA2"/>
    <w:rsid w:val="5E1D073D"/>
    <w:rsid w:val="5E3D2D59"/>
    <w:rsid w:val="5E57315D"/>
    <w:rsid w:val="5E71138B"/>
    <w:rsid w:val="5E877DF7"/>
    <w:rsid w:val="5EC01F4E"/>
    <w:rsid w:val="5EE215FD"/>
    <w:rsid w:val="5EF87FAA"/>
    <w:rsid w:val="5F007C29"/>
    <w:rsid w:val="5F3F47D9"/>
    <w:rsid w:val="5F497F68"/>
    <w:rsid w:val="5F5A7B94"/>
    <w:rsid w:val="5F615572"/>
    <w:rsid w:val="5F657137"/>
    <w:rsid w:val="5F6A07ED"/>
    <w:rsid w:val="5F8B76C9"/>
    <w:rsid w:val="5F9E27E8"/>
    <w:rsid w:val="5FA07E5D"/>
    <w:rsid w:val="5FA27372"/>
    <w:rsid w:val="5FAA21A2"/>
    <w:rsid w:val="5FD4663A"/>
    <w:rsid w:val="5FE30C3E"/>
    <w:rsid w:val="5FE34364"/>
    <w:rsid w:val="5FE643EF"/>
    <w:rsid w:val="60270461"/>
    <w:rsid w:val="602C4AE4"/>
    <w:rsid w:val="60332649"/>
    <w:rsid w:val="603D1618"/>
    <w:rsid w:val="60636C75"/>
    <w:rsid w:val="60A91730"/>
    <w:rsid w:val="60B438D9"/>
    <w:rsid w:val="60D00CE8"/>
    <w:rsid w:val="60D30368"/>
    <w:rsid w:val="60D84F47"/>
    <w:rsid w:val="60E20CEF"/>
    <w:rsid w:val="60F57FE3"/>
    <w:rsid w:val="60FA6190"/>
    <w:rsid w:val="60FB5BB9"/>
    <w:rsid w:val="612E7779"/>
    <w:rsid w:val="615757FA"/>
    <w:rsid w:val="6168715E"/>
    <w:rsid w:val="61690C85"/>
    <w:rsid w:val="61723041"/>
    <w:rsid w:val="61E96B48"/>
    <w:rsid w:val="61F12D7B"/>
    <w:rsid w:val="62216ADF"/>
    <w:rsid w:val="62387CAF"/>
    <w:rsid w:val="624E28F8"/>
    <w:rsid w:val="625823ED"/>
    <w:rsid w:val="62585785"/>
    <w:rsid w:val="62623B2D"/>
    <w:rsid w:val="62653EDC"/>
    <w:rsid w:val="62820895"/>
    <w:rsid w:val="628B70B1"/>
    <w:rsid w:val="628C07EF"/>
    <w:rsid w:val="62BE5B41"/>
    <w:rsid w:val="62D54A2C"/>
    <w:rsid w:val="62E574CA"/>
    <w:rsid w:val="62EC3FC3"/>
    <w:rsid w:val="62FE5438"/>
    <w:rsid w:val="631674BF"/>
    <w:rsid w:val="633415C0"/>
    <w:rsid w:val="63370849"/>
    <w:rsid w:val="63414317"/>
    <w:rsid w:val="636C0CFF"/>
    <w:rsid w:val="63CC1DBC"/>
    <w:rsid w:val="63F639E3"/>
    <w:rsid w:val="64196919"/>
    <w:rsid w:val="64447AF9"/>
    <w:rsid w:val="644E1280"/>
    <w:rsid w:val="646218B8"/>
    <w:rsid w:val="6489619F"/>
    <w:rsid w:val="64A946A2"/>
    <w:rsid w:val="64B15852"/>
    <w:rsid w:val="64BC3F68"/>
    <w:rsid w:val="64BF0FF8"/>
    <w:rsid w:val="64CC4D9D"/>
    <w:rsid w:val="64D058FF"/>
    <w:rsid w:val="64D97C99"/>
    <w:rsid w:val="64FE2714"/>
    <w:rsid w:val="650A6773"/>
    <w:rsid w:val="6523004A"/>
    <w:rsid w:val="65327958"/>
    <w:rsid w:val="65787D9E"/>
    <w:rsid w:val="659F1C77"/>
    <w:rsid w:val="65A22CA9"/>
    <w:rsid w:val="65BE7169"/>
    <w:rsid w:val="66384BE6"/>
    <w:rsid w:val="6661398A"/>
    <w:rsid w:val="66764391"/>
    <w:rsid w:val="667B2DEB"/>
    <w:rsid w:val="669A61A1"/>
    <w:rsid w:val="66F74254"/>
    <w:rsid w:val="66FE6A0D"/>
    <w:rsid w:val="6712664F"/>
    <w:rsid w:val="673C6A62"/>
    <w:rsid w:val="67772915"/>
    <w:rsid w:val="677B0287"/>
    <w:rsid w:val="67805701"/>
    <w:rsid w:val="6794471E"/>
    <w:rsid w:val="67A44F0E"/>
    <w:rsid w:val="67C3787F"/>
    <w:rsid w:val="680826EE"/>
    <w:rsid w:val="680A41F2"/>
    <w:rsid w:val="685C3B55"/>
    <w:rsid w:val="68986EC0"/>
    <w:rsid w:val="68EE5FA0"/>
    <w:rsid w:val="68EF221C"/>
    <w:rsid w:val="68F21942"/>
    <w:rsid w:val="691B5C3A"/>
    <w:rsid w:val="691B653D"/>
    <w:rsid w:val="691E6AA2"/>
    <w:rsid w:val="691E71BF"/>
    <w:rsid w:val="69232164"/>
    <w:rsid w:val="692353ED"/>
    <w:rsid w:val="69443F1A"/>
    <w:rsid w:val="69782AA8"/>
    <w:rsid w:val="69990CEA"/>
    <w:rsid w:val="6999125E"/>
    <w:rsid w:val="69C51FB3"/>
    <w:rsid w:val="69CA69EE"/>
    <w:rsid w:val="69DA708E"/>
    <w:rsid w:val="69DE611C"/>
    <w:rsid w:val="69EE57F5"/>
    <w:rsid w:val="69F04C38"/>
    <w:rsid w:val="6A171754"/>
    <w:rsid w:val="6A1A0491"/>
    <w:rsid w:val="6A6D28F2"/>
    <w:rsid w:val="6A921EA6"/>
    <w:rsid w:val="6AA16833"/>
    <w:rsid w:val="6ACC3F95"/>
    <w:rsid w:val="6AD659A7"/>
    <w:rsid w:val="6AD71DB0"/>
    <w:rsid w:val="6AE06644"/>
    <w:rsid w:val="6AF10E05"/>
    <w:rsid w:val="6AFF321F"/>
    <w:rsid w:val="6B072C8F"/>
    <w:rsid w:val="6B075C6D"/>
    <w:rsid w:val="6B30778B"/>
    <w:rsid w:val="6B5A3E05"/>
    <w:rsid w:val="6B645DD8"/>
    <w:rsid w:val="6B653EC3"/>
    <w:rsid w:val="6B774315"/>
    <w:rsid w:val="6B805BA9"/>
    <w:rsid w:val="6BAA00E3"/>
    <w:rsid w:val="6BBB2285"/>
    <w:rsid w:val="6BC73577"/>
    <w:rsid w:val="6BDA3203"/>
    <w:rsid w:val="6BE7481D"/>
    <w:rsid w:val="6C091B24"/>
    <w:rsid w:val="6C48781D"/>
    <w:rsid w:val="6C685AB7"/>
    <w:rsid w:val="6C890780"/>
    <w:rsid w:val="6C9316F7"/>
    <w:rsid w:val="6C9F2519"/>
    <w:rsid w:val="6CA51ED0"/>
    <w:rsid w:val="6CB81453"/>
    <w:rsid w:val="6CC4492E"/>
    <w:rsid w:val="6CD1161D"/>
    <w:rsid w:val="6CDF22FA"/>
    <w:rsid w:val="6CF3368C"/>
    <w:rsid w:val="6CFA426F"/>
    <w:rsid w:val="6D016455"/>
    <w:rsid w:val="6D0F0EDA"/>
    <w:rsid w:val="6D400D25"/>
    <w:rsid w:val="6D5B07D4"/>
    <w:rsid w:val="6D671019"/>
    <w:rsid w:val="6D770189"/>
    <w:rsid w:val="6D7936EE"/>
    <w:rsid w:val="6D865F4F"/>
    <w:rsid w:val="6D8E0B8E"/>
    <w:rsid w:val="6D991DDD"/>
    <w:rsid w:val="6DB334D0"/>
    <w:rsid w:val="6DC433FC"/>
    <w:rsid w:val="6DC628B0"/>
    <w:rsid w:val="6DED6F8E"/>
    <w:rsid w:val="6DF10C6B"/>
    <w:rsid w:val="6DFD49BD"/>
    <w:rsid w:val="6E191840"/>
    <w:rsid w:val="6E1A0634"/>
    <w:rsid w:val="6E1F4304"/>
    <w:rsid w:val="6E2A4ADB"/>
    <w:rsid w:val="6E3556AA"/>
    <w:rsid w:val="6EEC4437"/>
    <w:rsid w:val="6F0233E0"/>
    <w:rsid w:val="6F5F08BB"/>
    <w:rsid w:val="6F662B37"/>
    <w:rsid w:val="6F835692"/>
    <w:rsid w:val="6FC74534"/>
    <w:rsid w:val="6FCF2727"/>
    <w:rsid w:val="6FEE1189"/>
    <w:rsid w:val="6FFC52F7"/>
    <w:rsid w:val="70181B73"/>
    <w:rsid w:val="701D41E0"/>
    <w:rsid w:val="702C2D9D"/>
    <w:rsid w:val="70336F9A"/>
    <w:rsid w:val="7044404B"/>
    <w:rsid w:val="7045045F"/>
    <w:rsid w:val="70535814"/>
    <w:rsid w:val="70781F4B"/>
    <w:rsid w:val="70795506"/>
    <w:rsid w:val="707E1BF5"/>
    <w:rsid w:val="709728C0"/>
    <w:rsid w:val="70B02588"/>
    <w:rsid w:val="71013453"/>
    <w:rsid w:val="71015434"/>
    <w:rsid w:val="713612E6"/>
    <w:rsid w:val="71374A06"/>
    <w:rsid w:val="714F205F"/>
    <w:rsid w:val="71773641"/>
    <w:rsid w:val="717E6639"/>
    <w:rsid w:val="71A71C9B"/>
    <w:rsid w:val="71B420A9"/>
    <w:rsid w:val="71BB1607"/>
    <w:rsid w:val="71BC773D"/>
    <w:rsid w:val="71E86511"/>
    <w:rsid w:val="71FF6F43"/>
    <w:rsid w:val="72241383"/>
    <w:rsid w:val="722C1E03"/>
    <w:rsid w:val="72352E5C"/>
    <w:rsid w:val="72544155"/>
    <w:rsid w:val="725821AF"/>
    <w:rsid w:val="72680463"/>
    <w:rsid w:val="728F1BB3"/>
    <w:rsid w:val="72976CBE"/>
    <w:rsid w:val="729C0847"/>
    <w:rsid w:val="72A97D37"/>
    <w:rsid w:val="72AC33B4"/>
    <w:rsid w:val="72BD2035"/>
    <w:rsid w:val="72BF7367"/>
    <w:rsid w:val="72F7244C"/>
    <w:rsid w:val="72FB7091"/>
    <w:rsid w:val="72FF0817"/>
    <w:rsid w:val="73015AF1"/>
    <w:rsid w:val="731E10FD"/>
    <w:rsid w:val="732D0CAE"/>
    <w:rsid w:val="733C6782"/>
    <w:rsid w:val="73536A25"/>
    <w:rsid w:val="736816C8"/>
    <w:rsid w:val="736F6776"/>
    <w:rsid w:val="737D0BA6"/>
    <w:rsid w:val="738708A0"/>
    <w:rsid w:val="739253E3"/>
    <w:rsid w:val="73B44DCA"/>
    <w:rsid w:val="73D84324"/>
    <w:rsid w:val="73DE642C"/>
    <w:rsid w:val="742C2F31"/>
    <w:rsid w:val="74472019"/>
    <w:rsid w:val="746E3FC5"/>
    <w:rsid w:val="7472404D"/>
    <w:rsid w:val="74B547A1"/>
    <w:rsid w:val="74C345C1"/>
    <w:rsid w:val="74CD695B"/>
    <w:rsid w:val="74DB3382"/>
    <w:rsid w:val="74EE3663"/>
    <w:rsid w:val="74FA20FD"/>
    <w:rsid w:val="75085CDC"/>
    <w:rsid w:val="750C4907"/>
    <w:rsid w:val="750C6E71"/>
    <w:rsid w:val="75233BB0"/>
    <w:rsid w:val="753C4F6A"/>
    <w:rsid w:val="754F1F9F"/>
    <w:rsid w:val="75750E2D"/>
    <w:rsid w:val="758642B8"/>
    <w:rsid w:val="75D0430F"/>
    <w:rsid w:val="75F025A0"/>
    <w:rsid w:val="7646137A"/>
    <w:rsid w:val="764C5625"/>
    <w:rsid w:val="767325B1"/>
    <w:rsid w:val="76A91D84"/>
    <w:rsid w:val="76B12CCC"/>
    <w:rsid w:val="76C575B1"/>
    <w:rsid w:val="76C73B21"/>
    <w:rsid w:val="76DE4BCD"/>
    <w:rsid w:val="76E36A34"/>
    <w:rsid w:val="7734690C"/>
    <w:rsid w:val="774C4249"/>
    <w:rsid w:val="77574F1B"/>
    <w:rsid w:val="778B2EDE"/>
    <w:rsid w:val="77BA0533"/>
    <w:rsid w:val="7806354E"/>
    <w:rsid w:val="78246E34"/>
    <w:rsid w:val="7866665D"/>
    <w:rsid w:val="788620D5"/>
    <w:rsid w:val="788710C8"/>
    <w:rsid w:val="78966BA4"/>
    <w:rsid w:val="78FF5947"/>
    <w:rsid w:val="79061053"/>
    <w:rsid w:val="798876BF"/>
    <w:rsid w:val="798E248C"/>
    <w:rsid w:val="798E24D1"/>
    <w:rsid w:val="799E45A3"/>
    <w:rsid w:val="79A01E4C"/>
    <w:rsid w:val="79A33C08"/>
    <w:rsid w:val="79AC1651"/>
    <w:rsid w:val="79C6731D"/>
    <w:rsid w:val="79C937C0"/>
    <w:rsid w:val="79F61893"/>
    <w:rsid w:val="79FE5936"/>
    <w:rsid w:val="7A0123C9"/>
    <w:rsid w:val="7A0373C3"/>
    <w:rsid w:val="7A28038C"/>
    <w:rsid w:val="7A2A7505"/>
    <w:rsid w:val="7A3F03F1"/>
    <w:rsid w:val="7A464B94"/>
    <w:rsid w:val="7A4F5A5B"/>
    <w:rsid w:val="7A54443B"/>
    <w:rsid w:val="7A5A3040"/>
    <w:rsid w:val="7A604193"/>
    <w:rsid w:val="7A773D21"/>
    <w:rsid w:val="7A775A5C"/>
    <w:rsid w:val="7ADE7264"/>
    <w:rsid w:val="7AE86D18"/>
    <w:rsid w:val="7AE907BA"/>
    <w:rsid w:val="7AEB71E5"/>
    <w:rsid w:val="7AED30D1"/>
    <w:rsid w:val="7B212406"/>
    <w:rsid w:val="7B295198"/>
    <w:rsid w:val="7B2D3474"/>
    <w:rsid w:val="7B5B25DD"/>
    <w:rsid w:val="7B5C61B1"/>
    <w:rsid w:val="7B5F19AE"/>
    <w:rsid w:val="7B702958"/>
    <w:rsid w:val="7B881211"/>
    <w:rsid w:val="7B883A53"/>
    <w:rsid w:val="7BC71C51"/>
    <w:rsid w:val="7BCE3D75"/>
    <w:rsid w:val="7BFB497B"/>
    <w:rsid w:val="7BFF083F"/>
    <w:rsid w:val="7BFF0A24"/>
    <w:rsid w:val="7C1B1EF9"/>
    <w:rsid w:val="7C360595"/>
    <w:rsid w:val="7C3C17C4"/>
    <w:rsid w:val="7C5757EC"/>
    <w:rsid w:val="7C5974BC"/>
    <w:rsid w:val="7C5E19BC"/>
    <w:rsid w:val="7C68067E"/>
    <w:rsid w:val="7C6B74DC"/>
    <w:rsid w:val="7C845318"/>
    <w:rsid w:val="7C916BBF"/>
    <w:rsid w:val="7C9718ED"/>
    <w:rsid w:val="7CD52FEB"/>
    <w:rsid w:val="7D101675"/>
    <w:rsid w:val="7D124A74"/>
    <w:rsid w:val="7D1C6DA2"/>
    <w:rsid w:val="7D2F77ED"/>
    <w:rsid w:val="7D3D0250"/>
    <w:rsid w:val="7D530001"/>
    <w:rsid w:val="7DA52BAD"/>
    <w:rsid w:val="7DF60E2C"/>
    <w:rsid w:val="7E0A761A"/>
    <w:rsid w:val="7E2E62FD"/>
    <w:rsid w:val="7E6B7402"/>
    <w:rsid w:val="7EA6355E"/>
    <w:rsid w:val="7ED64786"/>
    <w:rsid w:val="7F0D6011"/>
    <w:rsid w:val="7F1127D7"/>
    <w:rsid w:val="7F153AA1"/>
    <w:rsid w:val="7F181A5A"/>
    <w:rsid w:val="7F253E62"/>
    <w:rsid w:val="7F273D3C"/>
    <w:rsid w:val="7F367F3D"/>
    <w:rsid w:val="7F371DD0"/>
    <w:rsid w:val="7F391BFC"/>
    <w:rsid w:val="7F4925F5"/>
    <w:rsid w:val="7F751AC2"/>
    <w:rsid w:val="7F7551A5"/>
    <w:rsid w:val="7F853872"/>
    <w:rsid w:val="7F8B40D7"/>
    <w:rsid w:val="7FA810BD"/>
    <w:rsid w:val="7FB02A3E"/>
    <w:rsid w:val="7FDC00AE"/>
    <w:rsid w:val="7FE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3">
    <w:name w:val="heading 2"/>
    <w:basedOn w:val="1"/>
    <w:next w:val="1"/>
    <w:link w:val="36"/>
    <w:qFormat/>
    <w:uiPriority w:val="0"/>
    <w:pPr>
      <w:keepNext/>
      <w:keepLines/>
      <w:spacing w:beforeLines="100" w:afterLines="50"/>
      <w:outlineLvl w:val="1"/>
    </w:pPr>
    <w:rPr>
      <w:rFonts w:hint="default" w:ascii="Cambria" w:hAnsi="Cambria"/>
      <w:b/>
      <w:bCs/>
      <w:sz w:val="28"/>
      <w:szCs w:val="32"/>
    </w:rPr>
  </w:style>
  <w:style w:type="paragraph" w:styleId="4">
    <w:name w:val="heading 3"/>
    <w:basedOn w:val="1"/>
    <w:next w:val="1"/>
    <w:link w:val="35"/>
    <w:qFormat/>
    <w:uiPriority w:val="0"/>
    <w:pPr>
      <w:keepNext/>
      <w:keepLines/>
      <w:spacing w:line="360" w:lineRule="auto"/>
      <w:outlineLvl w:val="2"/>
    </w:pPr>
    <w:rPr>
      <w:b/>
      <w:sz w:val="24"/>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33"/>
    <w:qFormat/>
    <w:uiPriority w:val="0"/>
    <w:pPr>
      <w:jc w:val="left"/>
    </w:pPr>
  </w:style>
  <w:style w:type="paragraph" w:styleId="8">
    <w:name w:val="Body Text"/>
    <w:basedOn w:val="1"/>
    <w:next w:val="9"/>
    <w:qFormat/>
    <w:uiPriority w:val="99"/>
    <w:pPr>
      <w:autoSpaceDE w:val="0"/>
      <w:autoSpaceDN w:val="0"/>
      <w:adjustRightInd w:val="0"/>
      <w:spacing w:line="360" w:lineRule="auto"/>
      <w:jc w:val="center"/>
    </w:pPr>
    <w:rPr>
      <w:kern w:val="0"/>
      <w:sz w:val="72"/>
    </w:rPr>
  </w:style>
  <w:style w:type="paragraph" w:styleId="9">
    <w:name w:val="Body Text First Indent"/>
    <w:basedOn w:val="8"/>
    <w:next w:val="1"/>
    <w:qFormat/>
    <w:uiPriority w:val="99"/>
    <w:pPr>
      <w:autoSpaceDE/>
      <w:autoSpaceDN/>
      <w:adjustRightInd/>
      <w:spacing w:after="120" w:line="240" w:lineRule="auto"/>
      <w:ind w:firstLine="420" w:firstLineChars="100"/>
      <w:jc w:val="both"/>
    </w:pPr>
    <w:rPr>
      <w:kern w:val="2"/>
      <w:sz w:val="21"/>
    </w:rPr>
  </w:style>
  <w:style w:type="paragraph" w:styleId="10">
    <w:name w:val="Body Text Indent"/>
    <w:basedOn w:val="1"/>
    <w:qFormat/>
    <w:uiPriority w:val="0"/>
    <w:pPr>
      <w:spacing w:line="200" w:lineRule="exact"/>
      <w:ind w:firstLine="301"/>
    </w:pPr>
    <w:rPr>
      <w:rFonts w:hint="default" w:ascii="宋体" w:hAnsi="Courier New"/>
      <w:spacing w:val="-4"/>
      <w:sz w:val="18"/>
    </w:rPr>
  </w:style>
  <w:style w:type="paragraph" w:styleId="11">
    <w:name w:val="Plain Text"/>
    <w:basedOn w:val="1"/>
    <w:next w:val="8"/>
    <w:qFormat/>
    <w:uiPriority w:val="0"/>
    <w:rPr>
      <w:rFonts w:hint="default" w:ascii="宋体" w:hAnsi="Courier New"/>
      <w:szCs w:val="21"/>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8296"/>
      </w:tabs>
      <w:jc w:val="left"/>
    </w:pPr>
    <w:rPr>
      <w:rFonts w:ascii="宋体" w:hAnsi="宋体"/>
      <w:b/>
      <w:sz w:val="32"/>
    </w:rPr>
  </w:style>
  <w:style w:type="paragraph" w:styleId="17">
    <w:name w:val="Body Text Indent 3"/>
    <w:basedOn w:val="1"/>
    <w:qFormat/>
    <w:uiPriority w:val="0"/>
    <w:pPr>
      <w:spacing w:after="120"/>
      <w:ind w:left="420" w:leftChars="200"/>
    </w:pPr>
    <w:rPr>
      <w:sz w:val="16"/>
      <w:szCs w:val="16"/>
    </w:rPr>
  </w:style>
  <w:style w:type="paragraph" w:styleId="18">
    <w:name w:val="Normal (Web)"/>
    <w:basedOn w:val="1"/>
    <w:qFormat/>
    <w:uiPriority w:val="99"/>
    <w:pPr>
      <w:widowControl/>
      <w:spacing w:line="300" w:lineRule="atLeast"/>
      <w:jc w:val="left"/>
    </w:pPr>
    <w:rPr>
      <w:rFonts w:ascii="宋体" w:hAnsi="宋体" w:cs="宋体"/>
      <w:kern w:val="0"/>
      <w:sz w:val="24"/>
    </w:rPr>
  </w:style>
  <w:style w:type="paragraph" w:styleId="19">
    <w:name w:val="Title"/>
    <w:next w:val="1"/>
    <w:qFormat/>
    <w:uiPriority w:val="0"/>
    <w:pPr>
      <w:widowControl w:val="0"/>
      <w:pBdr>
        <w:top w:val="single" w:color="A7BFDE" w:sz="8" w:space="10"/>
        <w:bottom w:val="single" w:color="9BBB59" w:sz="24" w:space="15"/>
      </w:pBdr>
      <w:jc w:val="center"/>
    </w:pPr>
    <w:rPr>
      <w:rFonts w:ascii="宋体" w:hAnsi="Courier New" w:eastAsia="宋体" w:cs="Courier New"/>
      <w:kern w:val="2"/>
      <w:sz w:val="21"/>
      <w:szCs w:val="21"/>
      <w:lang w:val="en-US" w:eastAsia="zh-CN" w:bidi="ar-SA"/>
    </w:rPr>
  </w:style>
  <w:style w:type="paragraph" w:styleId="20">
    <w:name w:val="annotation subject"/>
    <w:basedOn w:val="7"/>
    <w:next w:val="7"/>
    <w:link w:val="34"/>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rFonts w:hint="default"/>
      <w:color w:val="0000FF"/>
      <w:u w:val="single"/>
    </w:rPr>
  </w:style>
  <w:style w:type="character" w:styleId="25">
    <w:name w:val="annotation reference"/>
    <w:basedOn w:val="23"/>
    <w:qFormat/>
    <w:uiPriority w:val="0"/>
    <w:rPr>
      <w:sz w:val="21"/>
      <w:szCs w:val="21"/>
    </w:rPr>
  </w:style>
  <w:style w:type="paragraph" w:customStyle="1" w:styleId="2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7">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8">
    <w:name w:val="表格用"/>
    <w:basedOn w:val="1"/>
    <w:qFormat/>
    <w:uiPriority w:val="0"/>
    <w:rPr>
      <w:kern w:val="0"/>
    </w:rPr>
  </w:style>
  <w:style w:type="paragraph" w:customStyle="1" w:styleId="29">
    <w:name w:val="列出段落1"/>
    <w:basedOn w:val="1"/>
    <w:qFormat/>
    <w:uiPriority w:val="0"/>
    <w:pPr>
      <w:ind w:firstLine="420" w:firstLineChars="200"/>
    </w:pPr>
    <w:rPr>
      <w:szCs w:val="21"/>
    </w:rPr>
  </w:style>
  <w:style w:type="paragraph" w:customStyle="1" w:styleId="30">
    <w:name w:val="tony正文"/>
    <w:basedOn w:val="1"/>
    <w:qFormat/>
    <w:uiPriority w:val="0"/>
    <w:pPr>
      <w:spacing w:line="400" w:lineRule="exact"/>
    </w:pPr>
    <w:rPr>
      <w:sz w:val="24"/>
    </w:rPr>
  </w:style>
  <w:style w:type="paragraph" w:customStyle="1" w:styleId="31">
    <w:name w:val="CR正文"/>
    <w:basedOn w:val="1"/>
    <w:qFormat/>
    <w:uiPriority w:val="0"/>
    <w:pPr>
      <w:ind w:right="210" w:firstLine="420"/>
    </w:pPr>
    <w:rPr>
      <w:rFonts w:hint="default" w:eastAsia="微软雅黑"/>
      <w:sz w:val="24"/>
      <w:szCs w:val="21"/>
    </w:rPr>
  </w:style>
  <w:style w:type="character" w:customStyle="1" w:styleId="32">
    <w:name w:val="批注框文本 字符"/>
    <w:basedOn w:val="23"/>
    <w:link w:val="13"/>
    <w:qFormat/>
    <w:uiPriority w:val="0"/>
    <w:rPr>
      <w:kern w:val="2"/>
      <w:sz w:val="18"/>
      <w:szCs w:val="18"/>
    </w:rPr>
  </w:style>
  <w:style w:type="character" w:customStyle="1" w:styleId="33">
    <w:name w:val="批注文字 字符"/>
    <w:basedOn w:val="23"/>
    <w:link w:val="7"/>
    <w:qFormat/>
    <w:uiPriority w:val="0"/>
    <w:rPr>
      <w:kern w:val="2"/>
      <w:sz w:val="21"/>
      <w:szCs w:val="22"/>
    </w:rPr>
  </w:style>
  <w:style w:type="character" w:customStyle="1" w:styleId="34">
    <w:name w:val="批注主题 字符"/>
    <w:basedOn w:val="33"/>
    <w:link w:val="20"/>
    <w:qFormat/>
    <w:uiPriority w:val="0"/>
    <w:rPr>
      <w:b/>
      <w:bCs/>
      <w:kern w:val="2"/>
      <w:sz w:val="21"/>
      <w:szCs w:val="22"/>
    </w:rPr>
  </w:style>
  <w:style w:type="character" w:customStyle="1" w:styleId="35">
    <w:name w:val="标题 3 字符"/>
    <w:link w:val="4"/>
    <w:qFormat/>
    <w:uiPriority w:val="0"/>
    <w:rPr>
      <w:b/>
      <w:sz w:val="24"/>
    </w:rPr>
  </w:style>
  <w:style w:type="character" w:customStyle="1" w:styleId="36">
    <w:name w:val="标题 2 字符"/>
    <w:link w:val="3"/>
    <w:qFormat/>
    <w:uiPriority w:val="0"/>
    <w:rPr>
      <w:rFonts w:hint="default" w:ascii="Cambria" w:hAnsi="Cambria"/>
      <w:b/>
      <w:bCs/>
      <w:sz w:val="28"/>
      <w:szCs w:val="32"/>
    </w:rPr>
  </w:style>
  <w:style w:type="paragraph" w:customStyle="1" w:styleId="37">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8">
    <w:name w:val="font11"/>
    <w:basedOn w:val="23"/>
    <w:qFormat/>
    <w:uiPriority w:val="0"/>
    <w:rPr>
      <w:rFonts w:hint="eastAsia" w:ascii="宋体" w:hAnsi="宋体" w:eastAsia="宋体" w:cs="宋体"/>
      <w:color w:val="FF0000"/>
      <w:sz w:val="18"/>
      <w:szCs w:val="18"/>
      <w:u w:val="none"/>
    </w:rPr>
  </w:style>
  <w:style w:type="character" w:customStyle="1" w:styleId="39">
    <w:name w:val="font01"/>
    <w:basedOn w:val="23"/>
    <w:qFormat/>
    <w:uiPriority w:val="0"/>
    <w:rPr>
      <w:rFonts w:hint="eastAsia" w:ascii="宋体" w:hAnsi="宋体" w:eastAsia="宋体" w:cs="宋体"/>
      <w:color w:val="000000"/>
      <w:sz w:val="22"/>
      <w:szCs w:val="22"/>
      <w:u w:val="none"/>
    </w:rPr>
  </w:style>
  <w:style w:type="character" w:customStyle="1" w:styleId="40">
    <w:name w:val="bookmark-item uuid-1588129097073 code-23007 addword single-line-text-input-box-cls readonly"/>
    <w:basedOn w:val="23"/>
    <w:qFormat/>
    <w:uiPriority w:val="0"/>
  </w:style>
  <w:style w:type="character" w:customStyle="1" w:styleId="41">
    <w:name w:val="bookmark-item uuid-1591619842642 code-23011 addword date-time-selection-cls"/>
    <w:basedOn w:val="23"/>
    <w:qFormat/>
    <w:uiPriority w:val="0"/>
  </w:style>
  <w:style w:type="paragraph" w:styleId="42">
    <w:name w:val="List Paragraph"/>
    <w:basedOn w:val="1"/>
    <w:qFormat/>
    <w:uiPriority w:val="34"/>
    <w:pPr>
      <w:ind w:firstLine="420" w:firstLineChars="200"/>
    </w:pPr>
  </w:style>
  <w:style w:type="paragraph" w:styleId="43">
    <w:name w:val="No Spacing"/>
    <w:qFormat/>
    <w:uiPriority w:val="1"/>
    <w:rPr>
      <w:rFonts w:asciiTheme="minorHAnsi" w:hAnsiTheme="minorHAnsi" w:eastAsiaTheme="minorEastAsia" w:cstheme="minorBidi"/>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9597</Words>
  <Characters>54709</Characters>
  <Lines>455</Lines>
  <Paragraphs>128</Paragraphs>
  <TotalTime>30</TotalTime>
  <ScaleCrop>false</ScaleCrop>
  <LinksUpToDate>false</LinksUpToDate>
  <CharactersWithSpaces>64178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2020-09-21T03:02:00Z</dcterms:created>
  <dc:creator>小影子猪</dc:creator>
  <cp:lastModifiedBy>小影子猪</cp:lastModifiedBy>
  <cp:lastPrinted>2020-11-05T03:18:00Z</cp:lastPrinted>
  <dcterms:modified xsi:type="dcterms:W3CDTF">2020-11-16T09:19:13Z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