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jc w:val="center"/>
        <w:rPr>
          <w:rFonts w:ascii="华文新魏" w:hAnsi="Times New Roman" w:eastAsia="华文新魏"/>
          <w:color w:val="000000"/>
          <w:sz w:val="70"/>
          <w:szCs w:val="70"/>
        </w:rPr>
      </w:pPr>
      <w:bookmarkStart w:id="0" w:name="_Toc531358958"/>
      <w:bookmarkStart w:id="1" w:name="_Toc530551803"/>
    </w:p>
    <w:p>
      <w:pPr>
        <w:spacing w:after="120" w:afterLines="50" w:line="360" w:lineRule="auto"/>
        <w:jc w:val="center"/>
        <w:rPr>
          <w:rFonts w:ascii="华文新魏" w:hAnsi="Times New Roman" w:eastAsia="华文新魏"/>
          <w:color w:val="auto"/>
          <w:sz w:val="70"/>
          <w:szCs w:val="70"/>
        </w:rPr>
      </w:pPr>
      <w:r>
        <w:rPr>
          <w:rFonts w:hint="eastAsia" w:ascii="华文新魏" w:hAnsi="Times New Roman" w:eastAsia="华文新魏"/>
          <w:color w:val="auto"/>
          <w:sz w:val="70"/>
          <w:szCs w:val="70"/>
        </w:rPr>
        <w:t>青田县政府采购</w:t>
      </w:r>
    </w:p>
    <w:p>
      <w:pPr>
        <w:spacing w:line="360" w:lineRule="auto"/>
        <w:jc w:val="center"/>
        <w:rPr>
          <w:rFonts w:ascii="华文新魏" w:hAnsi="Times New Roman" w:eastAsia="华文新魏"/>
          <w:color w:val="auto"/>
          <w:sz w:val="90"/>
          <w:szCs w:val="90"/>
        </w:rPr>
      </w:pPr>
      <w:bookmarkStart w:id="2" w:name="_Toc493928401"/>
      <w:bookmarkStart w:id="3" w:name="_Toc493956011"/>
      <w:r>
        <w:rPr>
          <w:rFonts w:hint="eastAsia" w:ascii="华文新魏" w:hAnsi="Times New Roman" w:eastAsia="华文新魏"/>
          <w:color w:val="auto"/>
          <w:sz w:val="90"/>
          <w:szCs w:val="90"/>
        </w:rPr>
        <w:t>公开招标文件</w:t>
      </w:r>
      <w:bookmarkEnd w:id="2"/>
      <w:bookmarkEnd w:id="3"/>
    </w:p>
    <w:p>
      <w:pPr>
        <w:spacing w:line="480" w:lineRule="auto"/>
        <w:rPr>
          <w:color w:val="auto"/>
        </w:rPr>
      </w:pPr>
    </w:p>
    <w:p>
      <w:pPr>
        <w:spacing w:line="480" w:lineRule="auto"/>
        <w:rPr>
          <w:color w:val="auto"/>
        </w:rPr>
      </w:pPr>
      <w:bookmarkStart w:id="211" w:name="_GoBack"/>
      <w:bookmarkEnd w:id="211"/>
    </w:p>
    <w:p>
      <w:pPr>
        <w:spacing w:line="480" w:lineRule="auto"/>
        <w:rPr>
          <w:color w:val="auto"/>
        </w:rPr>
      </w:pPr>
    </w:p>
    <w:tbl>
      <w:tblPr>
        <w:tblStyle w:val="26"/>
        <w:tblW w:w="0" w:type="auto"/>
        <w:jc w:val="center"/>
        <w:tblLayout w:type="autofit"/>
        <w:tblCellMar>
          <w:top w:w="0" w:type="dxa"/>
          <w:left w:w="108" w:type="dxa"/>
          <w:bottom w:w="0" w:type="dxa"/>
          <w:right w:w="108" w:type="dxa"/>
        </w:tblCellMar>
      </w:tblPr>
      <w:tblGrid>
        <w:gridCol w:w="2311"/>
        <w:gridCol w:w="5142"/>
      </w:tblGrid>
      <w:tr>
        <w:tblPrEx>
          <w:tblCellMar>
            <w:top w:w="0" w:type="dxa"/>
            <w:left w:w="108" w:type="dxa"/>
            <w:bottom w:w="0" w:type="dxa"/>
            <w:right w:w="108" w:type="dxa"/>
          </w:tblCellMar>
        </w:tblPrEx>
        <w:trPr>
          <w:trHeight w:val="737" w:hRule="atLeast"/>
          <w:jc w:val="center"/>
        </w:trPr>
        <w:tc>
          <w:tcPr>
            <w:tcW w:w="2311" w:type="dxa"/>
            <w:vAlign w:val="center"/>
          </w:tcPr>
          <w:p>
            <w:pPr>
              <w:ind w:right="-109" w:rightChars="-52"/>
              <w:jc w:val="distribute"/>
              <w:rPr>
                <w:rFonts w:ascii="仿宋_GB2312" w:eastAsia="仿宋_GB2312"/>
                <w:b/>
                <w:color w:val="auto"/>
                <w:sz w:val="32"/>
                <w:szCs w:val="32"/>
              </w:rPr>
            </w:pPr>
            <w:bookmarkStart w:id="4" w:name="_Toc493956012"/>
            <w:bookmarkStart w:id="5" w:name="_Toc493928402"/>
            <w:r>
              <w:rPr>
                <w:rFonts w:hint="eastAsia" w:ascii="仿宋_GB2312" w:eastAsia="仿宋_GB2312"/>
                <w:b/>
                <w:color w:val="auto"/>
                <w:sz w:val="32"/>
                <w:szCs w:val="32"/>
              </w:rPr>
              <w:t>项目编号：</w:t>
            </w:r>
            <w:bookmarkEnd w:id="4"/>
            <w:bookmarkEnd w:id="5"/>
          </w:p>
        </w:tc>
        <w:tc>
          <w:tcPr>
            <w:tcW w:w="5142" w:type="dxa"/>
            <w:vAlign w:val="center"/>
          </w:tcPr>
          <w:p>
            <w:pPr>
              <w:ind w:left="-103" w:leftChars="-49"/>
              <w:rPr>
                <w:rFonts w:ascii="仿宋_GB2312" w:eastAsia="仿宋_GB2312"/>
                <w:b/>
                <w:color w:val="auto"/>
                <w:sz w:val="32"/>
                <w:szCs w:val="32"/>
              </w:rPr>
            </w:pPr>
            <w:r>
              <w:rPr>
                <w:rFonts w:hint="eastAsia" w:ascii="仿宋_GB2312" w:eastAsia="仿宋_GB2312"/>
                <w:b/>
                <w:color w:val="auto"/>
                <w:sz w:val="32"/>
                <w:szCs w:val="32"/>
              </w:rPr>
              <w:t>QTFSCG2022-125</w:t>
            </w:r>
          </w:p>
        </w:tc>
      </w:tr>
      <w:tr>
        <w:tblPrEx>
          <w:tblCellMar>
            <w:top w:w="0" w:type="dxa"/>
            <w:left w:w="108" w:type="dxa"/>
            <w:bottom w:w="0" w:type="dxa"/>
            <w:right w:w="108" w:type="dxa"/>
          </w:tblCellMar>
        </w:tblPrEx>
        <w:trPr>
          <w:trHeight w:val="737" w:hRule="atLeast"/>
          <w:jc w:val="center"/>
        </w:trPr>
        <w:tc>
          <w:tcPr>
            <w:tcW w:w="2311" w:type="dxa"/>
            <w:vAlign w:val="center"/>
          </w:tcPr>
          <w:p>
            <w:pPr>
              <w:ind w:right="-109" w:rightChars="-52"/>
              <w:jc w:val="distribute"/>
              <w:rPr>
                <w:rFonts w:ascii="仿宋_GB2312" w:eastAsia="仿宋_GB2312"/>
                <w:b/>
                <w:color w:val="auto"/>
                <w:sz w:val="32"/>
                <w:szCs w:val="32"/>
              </w:rPr>
            </w:pPr>
            <w:bookmarkStart w:id="6" w:name="_Toc493956014"/>
            <w:bookmarkStart w:id="7" w:name="_Toc493928404"/>
            <w:r>
              <w:rPr>
                <w:rFonts w:hint="eastAsia" w:ascii="仿宋_GB2312" w:eastAsia="仿宋_GB2312"/>
                <w:b/>
                <w:color w:val="auto"/>
                <w:sz w:val="32"/>
                <w:szCs w:val="32"/>
              </w:rPr>
              <w:t>项目名称：</w:t>
            </w:r>
            <w:bookmarkEnd w:id="6"/>
            <w:bookmarkEnd w:id="7"/>
          </w:p>
        </w:tc>
        <w:tc>
          <w:tcPr>
            <w:tcW w:w="5142" w:type="dxa"/>
            <w:vAlign w:val="center"/>
          </w:tcPr>
          <w:p>
            <w:pPr>
              <w:ind w:left="-103" w:leftChars="-49"/>
              <w:jc w:val="left"/>
              <w:rPr>
                <w:rFonts w:ascii="仿宋_GB2312" w:eastAsia="仿宋_GB2312"/>
                <w:b/>
                <w:color w:val="auto"/>
                <w:sz w:val="32"/>
                <w:szCs w:val="32"/>
              </w:rPr>
            </w:pPr>
            <w:r>
              <w:rPr>
                <w:rFonts w:hint="eastAsia" w:ascii="仿宋_GB2312" w:eastAsia="仿宋_GB2312"/>
                <w:b/>
                <w:color w:val="auto"/>
                <w:sz w:val="32"/>
                <w:szCs w:val="32"/>
              </w:rPr>
              <w:t>青田县集体土地所有权确权登记成果更新汇交项目</w:t>
            </w:r>
          </w:p>
        </w:tc>
      </w:tr>
      <w:tr>
        <w:tblPrEx>
          <w:tblCellMar>
            <w:top w:w="0" w:type="dxa"/>
            <w:left w:w="108" w:type="dxa"/>
            <w:bottom w:w="0" w:type="dxa"/>
            <w:right w:w="108" w:type="dxa"/>
          </w:tblCellMar>
        </w:tblPrEx>
        <w:trPr>
          <w:trHeight w:val="737" w:hRule="atLeast"/>
          <w:jc w:val="center"/>
        </w:trPr>
        <w:tc>
          <w:tcPr>
            <w:tcW w:w="2311" w:type="dxa"/>
            <w:vAlign w:val="center"/>
          </w:tcPr>
          <w:p>
            <w:pPr>
              <w:ind w:right="-109" w:rightChars="-52"/>
              <w:jc w:val="distribute"/>
              <w:rPr>
                <w:rFonts w:ascii="仿宋_GB2312" w:eastAsia="仿宋_GB2312"/>
                <w:b/>
                <w:color w:val="auto"/>
                <w:sz w:val="32"/>
                <w:szCs w:val="32"/>
              </w:rPr>
            </w:pPr>
            <w:bookmarkStart w:id="8" w:name="_Toc493928406"/>
            <w:bookmarkStart w:id="9" w:name="_Toc493956016"/>
            <w:r>
              <w:rPr>
                <w:rFonts w:hint="eastAsia" w:ascii="仿宋_GB2312" w:eastAsia="仿宋_GB2312"/>
                <w:b/>
                <w:color w:val="auto"/>
                <w:sz w:val="32"/>
                <w:szCs w:val="32"/>
              </w:rPr>
              <w:t>采 购 人：</w:t>
            </w:r>
            <w:bookmarkEnd w:id="8"/>
            <w:bookmarkEnd w:id="9"/>
          </w:p>
        </w:tc>
        <w:tc>
          <w:tcPr>
            <w:tcW w:w="5142" w:type="dxa"/>
            <w:vAlign w:val="center"/>
          </w:tcPr>
          <w:p>
            <w:pPr>
              <w:ind w:left="-103" w:leftChars="-49"/>
              <w:jc w:val="left"/>
              <w:rPr>
                <w:rFonts w:ascii="仿宋_GB2312" w:eastAsia="仿宋_GB2312"/>
                <w:b/>
                <w:color w:val="auto"/>
                <w:sz w:val="32"/>
                <w:szCs w:val="32"/>
              </w:rPr>
            </w:pPr>
            <w:r>
              <w:rPr>
                <w:rFonts w:hint="eastAsia" w:ascii="仿宋_GB2312" w:eastAsia="仿宋_GB2312"/>
                <w:b/>
                <w:color w:val="auto"/>
                <w:sz w:val="32"/>
                <w:szCs w:val="32"/>
              </w:rPr>
              <w:t>青田县自然资源和规划局</w:t>
            </w:r>
          </w:p>
        </w:tc>
      </w:tr>
      <w:tr>
        <w:tblPrEx>
          <w:tblCellMar>
            <w:top w:w="0" w:type="dxa"/>
            <w:left w:w="108" w:type="dxa"/>
            <w:bottom w:w="0" w:type="dxa"/>
            <w:right w:w="108" w:type="dxa"/>
          </w:tblCellMar>
        </w:tblPrEx>
        <w:trPr>
          <w:trHeight w:val="737" w:hRule="atLeast"/>
          <w:jc w:val="center"/>
        </w:trPr>
        <w:tc>
          <w:tcPr>
            <w:tcW w:w="2311" w:type="dxa"/>
            <w:vAlign w:val="center"/>
          </w:tcPr>
          <w:p>
            <w:pPr>
              <w:ind w:right="-109" w:rightChars="-52"/>
              <w:jc w:val="distribute"/>
              <w:rPr>
                <w:rFonts w:ascii="仿宋_GB2312" w:eastAsia="仿宋_GB2312"/>
                <w:b/>
                <w:color w:val="auto"/>
                <w:sz w:val="32"/>
                <w:szCs w:val="32"/>
              </w:rPr>
            </w:pPr>
          </w:p>
        </w:tc>
        <w:tc>
          <w:tcPr>
            <w:tcW w:w="5142" w:type="dxa"/>
            <w:vAlign w:val="center"/>
          </w:tcPr>
          <w:p>
            <w:pPr>
              <w:ind w:left="-103" w:leftChars="-49"/>
              <w:jc w:val="left"/>
              <w:rPr>
                <w:rFonts w:ascii="仿宋_GB2312" w:eastAsia="仿宋_GB2312"/>
                <w:b/>
                <w:color w:val="auto"/>
                <w:sz w:val="32"/>
                <w:szCs w:val="32"/>
              </w:rPr>
            </w:pPr>
          </w:p>
        </w:tc>
      </w:tr>
      <w:tr>
        <w:tblPrEx>
          <w:tblCellMar>
            <w:top w:w="0" w:type="dxa"/>
            <w:left w:w="108" w:type="dxa"/>
            <w:bottom w:w="0" w:type="dxa"/>
            <w:right w:w="108" w:type="dxa"/>
          </w:tblCellMar>
        </w:tblPrEx>
        <w:trPr>
          <w:trHeight w:val="737" w:hRule="atLeast"/>
          <w:jc w:val="center"/>
        </w:trPr>
        <w:tc>
          <w:tcPr>
            <w:tcW w:w="2311" w:type="dxa"/>
            <w:vAlign w:val="center"/>
          </w:tcPr>
          <w:p>
            <w:pPr>
              <w:ind w:right="-109" w:rightChars="-52"/>
              <w:jc w:val="distribute"/>
              <w:rPr>
                <w:rFonts w:ascii="仿宋_GB2312" w:eastAsia="仿宋_GB2312"/>
                <w:b/>
                <w:color w:val="auto"/>
                <w:sz w:val="32"/>
                <w:szCs w:val="32"/>
              </w:rPr>
            </w:pPr>
            <w:r>
              <w:rPr>
                <w:rFonts w:hint="eastAsia" w:ascii="仿宋_GB2312" w:eastAsia="仿宋_GB2312"/>
                <w:b/>
                <w:color w:val="auto"/>
                <w:sz w:val="32"/>
                <w:szCs w:val="32"/>
              </w:rPr>
              <w:t>采购代理机构：</w:t>
            </w:r>
          </w:p>
        </w:tc>
        <w:tc>
          <w:tcPr>
            <w:tcW w:w="5142" w:type="dxa"/>
            <w:vAlign w:val="center"/>
          </w:tcPr>
          <w:p>
            <w:pPr>
              <w:ind w:left="-103" w:leftChars="-49"/>
              <w:jc w:val="left"/>
              <w:rPr>
                <w:rFonts w:ascii="仿宋_GB2312" w:eastAsia="仿宋_GB2312"/>
                <w:b/>
                <w:color w:val="auto"/>
                <w:sz w:val="32"/>
                <w:szCs w:val="32"/>
              </w:rPr>
            </w:pPr>
            <w:r>
              <w:rPr>
                <w:rFonts w:hint="eastAsia" w:ascii="仿宋_GB2312" w:eastAsia="仿宋_GB2312"/>
                <w:b/>
                <w:color w:val="auto"/>
                <w:sz w:val="32"/>
                <w:szCs w:val="32"/>
              </w:rPr>
              <w:t>浙江浙坤工程管理有限公司</w:t>
            </w:r>
          </w:p>
        </w:tc>
      </w:tr>
      <w:tr>
        <w:tblPrEx>
          <w:tblCellMar>
            <w:top w:w="0" w:type="dxa"/>
            <w:left w:w="108" w:type="dxa"/>
            <w:bottom w:w="0" w:type="dxa"/>
            <w:right w:w="108" w:type="dxa"/>
          </w:tblCellMar>
        </w:tblPrEx>
        <w:trPr>
          <w:trHeight w:val="737" w:hRule="atLeast"/>
          <w:jc w:val="center"/>
        </w:trPr>
        <w:tc>
          <w:tcPr>
            <w:tcW w:w="2311" w:type="dxa"/>
            <w:vAlign w:val="center"/>
          </w:tcPr>
          <w:p>
            <w:pPr>
              <w:ind w:right="-109" w:rightChars="-52"/>
              <w:jc w:val="distribute"/>
              <w:rPr>
                <w:rFonts w:ascii="仿宋_GB2312" w:eastAsia="仿宋_GB2312"/>
                <w:b/>
                <w:color w:val="auto"/>
                <w:sz w:val="32"/>
                <w:szCs w:val="32"/>
              </w:rPr>
            </w:pPr>
            <w:r>
              <w:rPr>
                <w:rFonts w:hint="eastAsia" w:ascii="仿宋_GB2312" w:eastAsia="仿宋_GB2312"/>
                <w:b/>
                <w:color w:val="auto"/>
                <w:sz w:val="32"/>
                <w:szCs w:val="32"/>
              </w:rPr>
              <w:t xml:space="preserve">地    </w:t>
            </w:r>
            <w:r>
              <w:rPr>
                <w:rFonts w:ascii="仿宋_GB2312" w:eastAsia="仿宋_GB2312"/>
                <w:b/>
                <w:color w:val="auto"/>
                <w:sz w:val="32"/>
                <w:szCs w:val="32"/>
              </w:rPr>
              <w:t xml:space="preserve">    </w:t>
            </w:r>
            <w:r>
              <w:rPr>
                <w:rFonts w:hint="eastAsia" w:ascii="仿宋_GB2312" w:eastAsia="仿宋_GB2312"/>
                <w:b/>
                <w:color w:val="auto"/>
                <w:sz w:val="32"/>
                <w:szCs w:val="32"/>
              </w:rPr>
              <w:t>址</w:t>
            </w:r>
            <w:r>
              <w:rPr>
                <w:rFonts w:ascii="仿宋_GB2312" w:eastAsia="仿宋_GB2312"/>
                <w:b/>
                <w:color w:val="auto"/>
                <w:sz w:val="32"/>
                <w:szCs w:val="32"/>
              </w:rPr>
              <w:t>：</w:t>
            </w:r>
          </w:p>
        </w:tc>
        <w:tc>
          <w:tcPr>
            <w:tcW w:w="5142" w:type="dxa"/>
            <w:vAlign w:val="center"/>
          </w:tcPr>
          <w:p>
            <w:pPr>
              <w:ind w:left="-103" w:leftChars="-49"/>
              <w:jc w:val="left"/>
              <w:rPr>
                <w:rFonts w:ascii="仿宋_GB2312" w:eastAsia="仿宋_GB2312"/>
                <w:b/>
                <w:color w:val="auto"/>
                <w:sz w:val="32"/>
                <w:szCs w:val="32"/>
              </w:rPr>
            </w:pPr>
            <w:r>
              <w:rPr>
                <w:rFonts w:ascii="仿宋_GB2312" w:eastAsia="仿宋_GB2312"/>
                <w:b/>
                <w:color w:val="auto"/>
                <w:sz w:val="32"/>
                <w:szCs w:val="32"/>
              </w:rPr>
              <w:t>浙江省青田县鹤城街道龙东小区13幢一单元302室</w:t>
            </w:r>
          </w:p>
        </w:tc>
      </w:tr>
      <w:tr>
        <w:tblPrEx>
          <w:tblCellMar>
            <w:top w:w="0" w:type="dxa"/>
            <w:left w:w="108" w:type="dxa"/>
            <w:bottom w:w="0" w:type="dxa"/>
            <w:right w:w="108" w:type="dxa"/>
          </w:tblCellMar>
        </w:tblPrEx>
        <w:trPr>
          <w:trHeight w:val="737" w:hRule="atLeast"/>
          <w:jc w:val="center"/>
        </w:trPr>
        <w:tc>
          <w:tcPr>
            <w:tcW w:w="2311" w:type="dxa"/>
            <w:vAlign w:val="center"/>
          </w:tcPr>
          <w:p>
            <w:pPr>
              <w:ind w:right="-84" w:rightChars="-40"/>
              <w:rPr>
                <w:rFonts w:ascii="仿宋_GB2312" w:eastAsia="仿宋_GB2312"/>
                <w:b/>
                <w:color w:val="auto"/>
                <w:sz w:val="32"/>
                <w:szCs w:val="32"/>
              </w:rPr>
            </w:pPr>
          </w:p>
          <w:p>
            <w:pPr>
              <w:ind w:right="-84" w:rightChars="-40"/>
              <w:rPr>
                <w:rFonts w:ascii="仿宋_GB2312" w:eastAsia="仿宋_GB2312"/>
                <w:b/>
                <w:color w:val="auto"/>
                <w:sz w:val="32"/>
                <w:szCs w:val="32"/>
              </w:rPr>
            </w:pPr>
          </w:p>
        </w:tc>
        <w:tc>
          <w:tcPr>
            <w:tcW w:w="5142" w:type="dxa"/>
            <w:vAlign w:val="center"/>
          </w:tcPr>
          <w:p>
            <w:pPr>
              <w:ind w:right="-109" w:rightChars="-52"/>
              <w:jc w:val="distribute"/>
              <w:rPr>
                <w:rFonts w:ascii="仿宋_GB2312" w:eastAsia="仿宋_GB2312"/>
                <w:b/>
                <w:color w:val="auto"/>
                <w:sz w:val="32"/>
                <w:szCs w:val="32"/>
              </w:rPr>
            </w:pPr>
          </w:p>
        </w:tc>
      </w:tr>
      <w:tr>
        <w:tblPrEx>
          <w:tblCellMar>
            <w:top w:w="0" w:type="dxa"/>
            <w:left w:w="108" w:type="dxa"/>
            <w:bottom w:w="0" w:type="dxa"/>
            <w:right w:w="108" w:type="dxa"/>
          </w:tblCellMar>
        </w:tblPrEx>
        <w:trPr>
          <w:trHeight w:val="737" w:hRule="atLeast"/>
          <w:jc w:val="center"/>
        </w:trPr>
        <w:tc>
          <w:tcPr>
            <w:tcW w:w="7453" w:type="dxa"/>
            <w:gridSpan w:val="2"/>
            <w:vAlign w:val="center"/>
          </w:tcPr>
          <w:p>
            <w:pPr>
              <w:jc w:val="center"/>
              <w:rPr>
                <w:rFonts w:ascii="仿宋_GB2312" w:eastAsia="仿宋_GB2312"/>
                <w:b/>
                <w:color w:val="auto"/>
                <w:sz w:val="32"/>
                <w:szCs w:val="32"/>
              </w:rPr>
            </w:pPr>
            <w:r>
              <w:rPr>
                <w:rFonts w:hint="eastAsia" w:ascii="仿宋_GB2312" w:eastAsia="仿宋_GB2312"/>
                <w:b/>
                <w:color w:val="auto"/>
                <w:sz w:val="32"/>
                <w:szCs w:val="32"/>
              </w:rPr>
              <w:t>二</w:t>
            </w:r>
            <w:r>
              <w:rPr>
                <w:rFonts w:hint="eastAsia" w:ascii="宋体" w:hAnsi="宋体"/>
                <w:b/>
                <w:color w:val="auto"/>
                <w:sz w:val="32"/>
                <w:szCs w:val="32"/>
              </w:rPr>
              <w:t>○</w:t>
            </w:r>
            <w:r>
              <w:rPr>
                <w:rFonts w:hint="eastAsia" w:ascii="仿宋_GB2312" w:eastAsia="仿宋_GB2312"/>
                <w:b/>
                <w:color w:val="auto"/>
                <w:sz w:val="32"/>
                <w:szCs w:val="32"/>
              </w:rPr>
              <w:t>二</w:t>
            </w:r>
            <w:r>
              <w:rPr>
                <w:rFonts w:hint="eastAsia" w:ascii="宋体" w:hAnsi="宋体" w:eastAsia="仿宋_GB2312"/>
                <w:b/>
                <w:color w:val="auto"/>
                <w:sz w:val="32"/>
                <w:szCs w:val="32"/>
              </w:rPr>
              <w:t>二</w:t>
            </w:r>
            <w:r>
              <w:rPr>
                <w:rFonts w:hint="eastAsia" w:ascii="仿宋_GB2312" w:eastAsia="仿宋_GB2312"/>
                <w:b/>
                <w:color w:val="auto"/>
                <w:sz w:val="32"/>
                <w:szCs w:val="32"/>
              </w:rPr>
              <w:t>年八月</w:t>
            </w:r>
          </w:p>
        </w:tc>
      </w:tr>
      <w:tr>
        <w:tblPrEx>
          <w:tblCellMar>
            <w:top w:w="0" w:type="dxa"/>
            <w:left w:w="108" w:type="dxa"/>
            <w:bottom w:w="0" w:type="dxa"/>
            <w:right w:w="108" w:type="dxa"/>
          </w:tblCellMar>
        </w:tblPrEx>
        <w:trPr>
          <w:trHeight w:val="737" w:hRule="atLeast"/>
          <w:jc w:val="center"/>
        </w:trPr>
        <w:tc>
          <w:tcPr>
            <w:tcW w:w="7453" w:type="dxa"/>
            <w:gridSpan w:val="2"/>
            <w:vAlign w:val="center"/>
          </w:tcPr>
          <w:p>
            <w:pPr>
              <w:rPr>
                <w:rFonts w:ascii="仿宋_GB2312" w:eastAsia="仿宋_GB2312"/>
                <w:b/>
                <w:color w:val="auto"/>
                <w:sz w:val="32"/>
                <w:szCs w:val="32"/>
              </w:rPr>
            </w:pPr>
          </w:p>
        </w:tc>
      </w:tr>
      <w:bookmarkEnd w:id="0"/>
      <w:bookmarkEnd w:id="1"/>
    </w:tbl>
    <w:p>
      <w:pPr>
        <w:pStyle w:val="24"/>
        <w:spacing w:after="240"/>
        <w:rPr>
          <w:rFonts w:hint="eastAsia" w:ascii="宋体" w:hAnsi="宋体" w:cs="宋体"/>
          <w:color w:val="auto"/>
        </w:rPr>
      </w:pPr>
      <w:bookmarkStart w:id="10" w:name="_Toc105577170"/>
      <w:bookmarkStart w:id="11" w:name="_Toc11095"/>
    </w:p>
    <w:p>
      <w:pPr>
        <w:pStyle w:val="24"/>
        <w:spacing w:after="240"/>
        <w:rPr>
          <w:rFonts w:hint="eastAsia" w:ascii="宋体" w:hAnsi="宋体" w:cs="宋体"/>
          <w:color w:val="auto"/>
        </w:rPr>
        <w:sectPr>
          <w:headerReference r:id="rId4" w:type="first"/>
          <w:headerReference r:id="rId3" w:type="default"/>
          <w:pgSz w:w="11906" w:h="16838"/>
          <w:pgMar w:top="1418" w:right="1418" w:bottom="1418" w:left="1418" w:header="851" w:footer="851" w:gutter="0"/>
          <w:pgNumType w:fmt="decimal"/>
          <w:cols w:space="720" w:num="1"/>
          <w:docGrid w:linePitch="312" w:charSpace="0"/>
        </w:sectPr>
      </w:pPr>
    </w:p>
    <w:p>
      <w:pPr>
        <w:pStyle w:val="24"/>
        <w:spacing w:after="240"/>
        <w:rPr>
          <w:rFonts w:ascii="宋体" w:hAnsi="宋体" w:cs="宋体"/>
          <w:color w:val="auto"/>
        </w:rPr>
      </w:pPr>
      <w:bookmarkStart w:id="12" w:name="_Toc29951"/>
      <w:r>
        <w:rPr>
          <w:rFonts w:hint="eastAsia" w:ascii="宋体" w:hAnsi="宋体" w:cs="宋体"/>
          <w:color w:val="auto"/>
        </w:rPr>
        <w:t>目  录</w:t>
      </w:r>
      <w:bookmarkEnd w:id="10"/>
      <w:bookmarkEnd w:id="11"/>
      <w:bookmarkEnd w:id="12"/>
    </w:p>
    <w:p>
      <w:pPr>
        <w:pStyle w:val="18"/>
        <w:tabs>
          <w:tab w:val="right" w:leader="dot" w:pos="8296"/>
        </w:tabs>
        <w:rPr>
          <w:rFonts w:ascii="仿宋_GB2312"/>
          <w:color w:val="auto"/>
          <w:szCs w:val="24"/>
        </w:rPr>
      </w:pPr>
    </w:p>
    <w:p>
      <w:pPr>
        <w:pStyle w:val="18"/>
        <w:tabs>
          <w:tab w:val="right" w:leader="dot" w:pos="9070"/>
        </w:tabs>
        <w:rPr>
          <w:color w:val="auto"/>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_Toc29951 </w:instrText>
      </w:r>
      <w:r>
        <w:rPr>
          <w:color w:val="auto"/>
        </w:rPr>
        <w:fldChar w:fldCharType="separate"/>
      </w:r>
      <w:r>
        <w:rPr>
          <w:rFonts w:hint="eastAsia" w:ascii="宋体" w:hAnsi="宋体" w:cs="宋体"/>
          <w:color w:val="auto"/>
        </w:rPr>
        <w:t>目  录</w:t>
      </w:r>
      <w:r>
        <w:rPr>
          <w:color w:val="auto"/>
        </w:rPr>
        <w:tab/>
      </w:r>
      <w:r>
        <w:rPr>
          <w:color w:val="auto"/>
        </w:rPr>
        <w:fldChar w:fldCharType="begin"/>
      </w:r>
      <w:r>
        <w:rPr>
          <w:color w:val="auto"/>
        </w:rPr>
        <w:instrText xml:space="preserve"> PAGEREF _Toc29951 \h </w:instrText>
      </w:r>
      <w:r>
        <w:rPr>
          <w:color w:val="auto"/>
        </w:rPr>
        <w:fldChar w:fldCharType="separate"/>
      </w:r>
      <w:r>
        <w:rPr>
          <w:color w:val="auto"/>
        </w:rPr>
        <w:t>1</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_Toc13638 </w:instrText>
      </w:r>
      <w:r>
        <w:rPr>
          <w:color w:val="auto"/>
        </w:rPr>
        <w:fldChar w:fldCharType="separate"/>
      </w:r>
      <w:r>
        <w:rPr>
          <w:rFonts w:hint="eastAsia" w:ascii="仿宋" w:hAnsi="仿宋" w:eastAsia="仿宋" w:cs="宋体"/>
          <w:color w:val="auto"/>
          <w:szCs w:val="48"/>
        </w:rPr>
        <w:t>第一章  公开招标公告</w:t>
      </w:r>
      <w:r>
        <w:rPr>
          <w:color w:val="auto"/>
        </w:rPr>
        <w:tab/>
      </w:r>
      <w:r>
        <w:rPr>
          <w:color w:val="auto"/>
        </w:rPr>
        <w:fldChar w:fldCharType="begin"/>
      </w:r>
      <w:r>
        <w:rPr>
          <w:color w:val="auto"/>
        </w:rPr>
        <w:instrText xml:space="preserve"> PAGEREF _Toc13638 \h </w:instrText>
      </w:r>
      <w:r>
        <w:rPr>
          <w:color w:val="auto"/>
        </w:rPr>
        <w:fldChar w:fldCharType="separate"/>
      </w:r>
      <w:r>
        <w:rPr>
          <w:color w:val="auto"/>
        </w:rPr>
        <w:t>2</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_Toc4281 </w:instrText>
      </w:r>
      <w:r>
        <w:rPr>
          <w:color w:val="auto"/>
        </w:rPr>
        <w:fldChar w:fldCharType="separate"/>
      </w:r>
      <w:r>
        <w:rPr>
          <w:rFonts w:hint="eastAsia" w:ascii="仿宋" w:hAnsi="仿宋" w:eastAsia="仿宋" w:cs="宋体"/>
          <w:color w:val="auto"/>
          <w:szCs w:val="48"/>
        </w:rPr>
        <w:t>第二章  招标需求</w:t>
      </w:r>
      <w:r>
        <w:rPr>
          <w:color w:val="auto"/>
        </w:rPr>
        <w:tab/>
      </w:r>
      <w:r>
        <w:rPr>
          <w:color w:val="auto"/>
        </w:rPr>
        <w:fldChar w:fldCharType="begin"/>
      </w:r>
      <w:r>
        <w:rPr>
          <w:color w:val="auto"/>
        </w:rPr>
        <w:instrText xml:space="preserve"> PAGEREF _Toc4281 \h </w:instrText>
      </w:r>
      <w:r>
        <w:rPr>
          <w:color w:val="auto"/>
        </w:rPr>
        <w:fldChar w:fldCharType="separate"/>
      </w:r>
      <w:r>
        <w:rPr>
          <w:color w:val="auto"/>
        </w:rPr>
        <w:t>5</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_Toc6779 </w:instrText>
      </w:r>
      <w:r>
        <w:rPr>
          <w:color w:val="auto"/>
        </w:rPr>
        <w:fldChar w:fldCharType="separate"/>
      </w:r>
      <w:r>
        <w:rPr>
          <w:rFonts w:hint="eastAsia" w:ascii="仿宋" w:hAnsi="仿宋" w:eastAsia="仿宋" w:cs="宋体"/>
          <w:color w:val="auto"/>
          <w:szCs w:val="48"/>
        </w:rPr>
        <w:t>第三章 投标人须知</w:t>
      </w:r>
      <w:r>
        <w:rPr>
          <w:color w:val="auto"/>
        </w:rPr>
        <w:tab/>
      </w:r>
      <w:r>
        <w:rPr>
          <w:color w:val="auto"/>
        </w:rPr>
        <w:fldChar w:fldCharType="begin"/>
      </w:r>
      <w:r>
        <w:rPr>
          <w:color w:val="auto"/>
        </w:rPr>
        <w:instrText xml:space="preserve"> PAGEREF _Toc6779 \h </w:instrText>
      </w:r>
      <w:r>
        <w:rPr>
          <w:color w:val="auto"/>
        </w:rPr>
        <w:fldChar w:fldCharType="separate"/>
      </w:r>
      <w:r>
        <w:rPr>
          <w:color w:val="auto"/>
        </w:rPr>
        <w:t>8</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_Toc5654 </w:instrText>
      </w:r>
      <w:r>
        <w:rPr>
          <w:color w:val="auto"/>
        </w:rPr>
        <w:fldChar w:fldCharType="separate"/>
      </w:r>
      <w:r>
        <w:rPr>
          <w:rFonts w:hint="eastAsia" w:ascii="仿宋_GB2312" w:eastAsia="仿宋_GB2312"/>
          <w:color w:val="auto"/>
          <w:szCs w:val="30"/>
        </w:rPr>
        <w:t>第四章 投标人须知前附表（一）</w:t>
      </w:r>
      <w:r>
        <w:rPr>
          <w:color w:val="auto"/>
        </w:rPr>
        <w:tab/>
      </w:r>
      <w:r>
        <w:rPr>
          <w:color w:val="auto"/>
        </w:rPr>
        <w:fldChar w:fldCharType="begin"/>
      </w:r>
      <w:r>
        <w:rPr>
          <w:color w:val="auto"/>
        </w:rPr>
        <w:instrText xml:space="preserve"> PAGEREF _Toc5654 \h </w:instrText>
      </w:r>
      <w:r>
        <w:rPr>
          <w:color w:val="auto"/>
        </w:rPr>
        <w:fldChar w:fldCharType="separate"/>
      </w:r>
      <w:r>
        <w:rPr>
          <w:color w:val="auto"/>
        </w:rPr>
        <w:t>8</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_Toc20747 </w:instrText>
      </w:r>
      <w:r>
        <w:rPr>
          <w:color w:val="auto"/>
        </w:rPr>
        <w:fldChar w:fldCharType="separate"/>
      </w:r>
      <w:r>
        <w:rPr>
          <w:rFonts w:hint="eastAsia" w:ascii="仿宋_GB2312" w:eastAsia="仿宋_GB2312"/>
          <w:color w:val="auto"/>
          <w:szCs w:val="30"/>
        </w:rPr>
        <w:t>投标人须知前附表（二）</w:t>
      </w:r>
      <w:r>
        <w:rPr>
          <w:color w:val="auto"/>
        </w:rPr>
        <w:tab/>
      </w:r>
      <w:r>
        <w:rPr>
          <w:color w:val="auto"/>
        </w:rPr>
        <w:fldChar w:fldCharType="begin"/>
      </w:r>
      <w:r>
        <w:rPr>
          <w:color w:val="auto"/>
        </w:rPr>
        <w:instrText xml:space="preserve"> PAGEREF _Toc20747 \h </w:instrText>
      </w:r>
      <w:r>
        <w:rPr>
          <w:color w:val="auto"/>
        </w:rPr>
        <w:fldChar w:fldCharType="separate"/>
      </w:r>
      <w:r>
        <w:rPr>
          <w:color w:val="auto"/>
        </w:rPr>
        <w:t>10</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_Toc28043 </w:instrText>
      </w:r>
      <w:r>
        <w:rPr>
          <w:color w:val="auto"/>
        </w:rPr>
        <w:fldChar w:fldCharType="separate"/>
      </w:r>
      <w:r>
        <w:rPr>
          <w:rFonts w:hint="eastAsia" w:ascii="仿宋_GB2312" w:eastAsia="仿宋_GB2312"/>
          <w:color w:val="auto"/>
          <w:szCs w:val="30"/>
        </w:rPr>
        <w:t>一    总则</w:t>
      </w:r>
      <w:r>
        <w:rPr>
          <w:color w:val="auto"/>
        </w:rPr>
        <w:tab/>
      </w:r>
      <w:r>
        <w:rPr>
          <w:color w:val="auto"/>
        </w:rPr>
        <w:fldChar w:fldCharType="begin"/>
      </w:r>
      <w:r>
        <w:rPr>
          <w:color w:val="auto"/>
        </w:rPr>
        <w:instrText xml:space="preserve"> PAGEREF _Toc28043 \h </w:instrText>
      </w:r>
      <w:r>
        <w:rPr>
          <w:color w:val="auto"/>
        </w:rPr>
        <w:fldChar w:fldCharType="separate"/>
      </w:r>
      <w:r>
        <w:rPr>
          <w:color w:val="auto"/>
        </w:rPr>
        <w:t>11</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_Toc27618 </w:instrText>
      </w:r>
      <w:r>
        <w:rPr>
          <w:color w:val="auto"/>
        </w:rPr>
        <w:fldChar w:fldCharType="separate"/>
      </w:r>
      <w:r>
        <w:rPr>
          <w:rFonts w:hint="eastAsia" w:ascii="仿宋_GB2312" w:eastAsia="仿宋_GB2312"/>
          <w:color w:val="auto"/>
          <w:szCs w:val="30"/>
        </w:rPr>
        <w:t>二    招标文件</w:t>
      </w:r>
      <w:r>
        <w:rPr>
          <w:color w:val="auto"/>
        </w:rPr>
        <w:tab/>
      </w:r>
      <w:r>
        <w:rPr>
          <w:color w:val="auto"/>
        </w:rPr>
        <w:fldChar w:fldCharType="begin"/>
      </w:r>
      <w:r>
        <w:rPr>
          <w:color w:val="auto"/>
        </w:rPr>
        <w:instrText xml:space="preserve"> PAGEREF _Toc27618 \h </w:instrText>
      </w:r>
      <w:r>
        <w:rPr>
          <w:color w:val="auto"/>
        </w:rPr>
        <w:fldChar w:fldCharType="separate"/>
      </w:r>
      <w:r>
        <w:rPr>
          <w:color w:val="auto"/>
        </w:rPr>
        <w:t>16</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_Toc397 </w:instrText>
      </w:r>
      <w:r>
        <w:rPr>
          <w:color w:val="auto"/>
        </w:rPr>
        <w:fldChar w:fldCharType="separate"/>
      </w:r>
      <w:r>
        <w:rPr>
          <w:rFonts w:hint="eastAsia" w:ascii="仿宋_GB2312" w:eastAsia="仿宋_GB2312"/>
          <w:color w:val="auto"/>
          <w:szCs w:val="30"/>
        </w:rPr>
        <w:t>三    投标文件</w:t>
      </w:r>
      <w:r>
        <w:rPr>
          <w:color w:val="auto"/>
        </w:rPr>
        <w:tab/>
      </w:r>
      <w:r>
        <w:rPr>
          <w:color w:val="auto"/>
        </w:rPr>
        <w:fldChar w:fldCharType="begin"/>
      </w:r>
      <w:r>
        <w:rPr>
          <w:color w:val="auto"/>
        </w:rPr>
        <w:instrText xml:space="preserve"> PAGEREF _Toc397 \h </w:instrText>
      </w:r>
      <w:r>
        <w:rPr>
          <w:color w:val="auto"/>
        </w:rPr>
        <w:fldChar w:fldCharType="separate"/>
      </w:r>
      <w:r>
        <w:rPr>
          <w:color w:val="auto"/>
        </w:rPr>
        <w:t>17</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_Toc10730 </w:instrText>
      </w:r>
      <w:r>
        <w:rPr>
          <w:color w:val="auto"/>
        </w:rPr>
        <w:fldChar w:fldCharType="separate"/>
      </w:r>
      <w:r>
        <w:rPr>
          <w:rFonts w:hint="eastAsia" w:ascii="仿宋_GB2312" w:eastAsia="仿宋_GB2312"/>
          <w:color w:val="auto"/>
          <w:szCs w:val="30"/>
        </w:rPr>
        <w:t>四    投标文件的编制</w:t>
      </w:r>
      <w:r>
        <w:rPr>
          <w:color w:val="auto"/>
        </w:rPr>
        <w:tab/>
      </w:r>
      <w:r>
        <w:rPr>
          <w:color w:val="auto"/>
        </w:rPr>
        <w:fldChar w:fldCharType="begin"/>
      </w:r>
      <w:r>
        <w:rPr>
          <w:color w:val="auto"/>
        </w:rPr>
        <w:instrText xml:space="preserve"> PAGEREF _Toc10730 \h </w:instrText>
      </w:r>
      <w:r>
        <w:rPr>
          <w:color w:val="auto"/>
        </w:rPr>
        <w:fldChar w:fldCharType="separate"/>
      </w:r>
      <w:r>
        <w:rPr>
          <w:color w:val="auto"/>
        </w:rPr>
        <w:t>17</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_Toc25188 </w:instrText>
      </w:r>
      <w:r>
        <w:rPr>
          <w:color w:val="auto"/>
        </w:rPr>
        <w:fldChar w:fldCharType="separate"/>
      </w:r>
      <w:r>
        <w:rPr>
          <w:rFonts w:hint="eastAsia" w:ascii="仿宋_GB2312" w:eastAsia="仿宋_GB2312"/>
          <w:color w:val="auto"/>
          <w:szCs w:val="30"/>
        </w:rPr>
        <w:t>五    投标文件的提交</w:t>
      </w:r>
      <w:r>
        <w:rPr>
          <w:color w:val="auto"/>
        </w:rPr>
        <w:tab/>
      </w:r>
      <w:r>
        <w:rPr>
          <w:color w:val="auto"/>
        </w:rPr>
        <w:fldChar w:fldCharType="begin"/>
      </w:r>
      <w:r>
        <w:rPr>
          <w:color w:val="auto"/>
        </w:rPr>
        <w:instrText xml:space="preserve"> PAGEREF _Toc25188 \h </w:instrText>
      </w:r>
      <w:r>
        <w:rPr>
          <w:color w:val="auto"/>
        </w:rPr>
        <w:fldChar w:fldCharType="separate"/>
      </w:r>
      <w:r>
        <w:rPr>
          <w:color w:val="auto"/>
        </w:rPr>
        <w:t>18</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_Toc6962 </w:instrText>
      </w:r>
      <w:r>
        <w:rPr>
          <w:color w:val="auto"/>
        </w:rPr>
        <w:fldChar w:fldCharType="separate"/>
      </w:r>
      <w:r>
        <w:rPr>
          <w:rFonts w:hint="eastAsia" w:ascii="仿宋_GB2312" w:eastAsia="仿宋_GB2312"/>
          <w:color w:val="auto"/>
          <w:szCs w:val="30"/>
        </w:rPr>
        <w:t>六    开标和评标</w:t>
      </w:r>
      <w:r>
        <w:rPr>
          <w:color w:val="auto"/>
        </w:rPr>
        <w:tab/>
      </w:r>
      <w:r>
        <w:rPr>
          <w:color w:val="auto"/>
        </w:rPr>
        <w:fldChar w:fldCharType="begin"/>
      </w:r>
      <w:r>
        <w:rPr>
          <w:color w:val="auto"/>
        </w:rPr>
        <w:instrText xml:space="preserve"> PAGEREF _Toc6962 \h </w:instrText>
      </w:r>
      <w:r>
        <w:rPr>
          <w:color w:val="auto"/>
        </w:rPr>
        <w:fldChar w:fldCharType="separate"/>
      </w:r>
      <w:r>
        <w:rPr>
          <w:color w:val="auto"/>
        </w:rPr>
        <w:t>20</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_Toc9538 </w:instrText>
      </w:r>
      <w:r>
        <w:rPr>
          <w:color w:val="auto"/>
        </w:rPr>
        <w:fldChar w:fldCharType="separate"/>
      </w:r>
      <w:r>
        <w:rPr>
          <w:rFonts w:hint="eastAsia" w:ascii="仿宋_GB2312" w:eastAsia="仿宋_GB2312"/>
          <w:color w:val="auto"/>
          <w:szCs w:val="30"/>
        </w:rPr>
        <w:t>七    投标无效的情形</w:t>
      </w:r>
      <w:r>
        <w:rPr>
          <w:color w:val="auto"/>
        </w:rPr>
        <w:tab/>
      </w:r>
      <w:r>
        <w:rPr>
          <w:color w:val="auto"/>
        </w:rPr>
        <w:fldChar w:fldCharType="begin"/>
      </w:r>
      <w:r>
        <w:rPr>
          <w:color w:val="auto"/>
        </w:rPr>
        <w:instrText xml:space="preserve"> PAGEREF _Toc9538 \h </w:instrText>
      </w:r>
      <w:r>
        <w:rPr>
          <w:color w:val="auto"/>
        </w:rPr>
        <w:fldChar w:fldCharType="separate"/>
      </w:r>
      <w:r>
        <w:rPr>
          <w:color w:val="auto"/>
        </w:rPr>
        <w:t>23</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_Toc6168 </w:instrText>
      </w:r>
      <w:r>
        <w:rPr>
          <w:color w:val="auto"/>
        </w:rPr>
        <w:fldChar w:fldCharType="separate"/>
      </w:r>
      <w:r>
        <w:rPr>
          <w:rFonts w:hint="eastAsia" w:ascii="仿宋_GB2312" w:eastAsia="仿宋_GB2312"/>
          <w:color w:val="auto"/>
          <w:szCs w:val="30"/>
        </w:rPr>
        <w:t>八    中标和合同</w:t>
      </w:r>
      <w:r>
        <w:rPr>
          <w:color w:val="auto"/>
        </w:rPr>
        <w:tab/>
      </w:r>
      <w:r>
        <w:rPr>
          <w:color w:val="auto"/>
        </w:rPr>
        <w:fldChar w:fldCharType="begin"/>
      </w:r>
      <w:r>
        <w:rPr>
          <w:color w:val="auto"/>
        </w:rPr>
        <w:instrText xml:space="preserve"> PAGEREF _Toc6168 \h </w:instrText>
      </w:r>
      <w:r>
        <w:rPr>
          <w:color w:val="auto"/>
        </w:rPr>
        <w:fldChar w:fldCharType="separate"/>
      </w:r>
      <w:r>
        <w:rPr>
          <w:color w:val="auto"/>
        </w:rPr>
        <w:t>25</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_Toc16694 </w:instrText>
      </w:r>
      <w:r>
        <w:rPr>
          <w:color w:val="auto"/>
        </w:rPr>
        <w:fldChar w:fldCharType="separate"/>
      </w:r>
      <w:r>
        <w:rPr>
          <w:rFonts w:hint="eastAsia" w:ascii="仿宋_GB2312" w:eastAsia="仿宋_GB2312"/>
          <w:color w:val="auto"/>
          <w:szCs w:val="30"/>
        </w:rPr>
        <w:t>九    其他事项</w:t>
      </w:r>
      <w:r>
        <w:rPr>
          <w:color w:val="auto"/>
        </w:rPr>
        <w:tab/>
      </w:r>
      <w:r>
        <w:rPr>
          <w:color w:val="auto"/>
        </w:rPr>
        <w:fldChar w:fldCharType="begin"/>
      </w:r>
      <w:r>
        <w:rPr>
          <w:color w:val="auto"/>
        </w:rPr>
        <w:instrText xml:space="preserve"> PAGEREF _Toc16694 \h </w:instrText>
      </w:r>
      <w:r>
        <w:rPr>
          <w:color w:val="auto"/>
        </w:rPr>
        <w:fldChar w:fldCharType="separate"/>
      </w:r>
      <w:r>
        <w:rPr>
          <w:color w:val="auto"/>
        </w:rPr>
        <w:t>26</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_Toc25326 </w:instrText>
      </w:r>
      <w:r>
        <w:rPr>
          <w:color w:val="auto"/>
        </w:rPr>
        <w:fldChar w:fldCharType="separate"/>
      </w:r>
      <w:r>
        <w:rPr>
          <w:rFonts w:hint="eastAsia" w:ascii="仿宋" w:hAnsi="仿宋" w:eastAsia="仿宋" w:cs="宋体"/>
          <w:color w:val="auto"/>
          <w:szCs w:val="48"/>
        </w:rPr>
        <w:t>第四章  合同主要条款</w:t>
      </w:r>
      <w:r>
        <w:rPr>
          <w:color w:val="auto"/>
        </w:rPr>
        <w:tab/>
      </w:r>
      <w:r>
        <w:rPr>
          <w:color w:val="auto"/>
        </w:rPr>
        <w:fldChar w:fldCharType="begin"/>
      </w:r>
      <w:r>
        <w:rPr>
          <w:color w:val="auto"/>
        </w:rPr>
        <w:instrText xml:space="preserve"> PAGEREF _Toc25326 \h </w:instrText>
      </w:r>
      <w:r>
        <w:rPr>
          <w:color w:val="auto"/>
        </w:rPr>
        <w:fldChar w:fldCharType="separate"/>
      </w:r>
      <w:r>
        <w:rPr>
          <w:color w:val="auto"/>
        </w:rPr>
        <w:t>27</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_Toc195 </w:instrText>
      </w:r>
      <w:r>
        <w:rPr>
          <w:color w:val="auto"/>
        </w:rPr>
        <w:fldChar w:fldCharType="separate"/>
      </w:r>
      <w:r>
        <w:rPr>
          <w:rFonts w:hint="eastAsia" w:ascii="仿宋" w:hAnsi="仿宋" w:eastAsia="仿宋" w:cs="宋体"/>
          <w:color w:val="auto"/>
          <w:szCs w:val="48"/>
        </w:rPr>
        <w:t>第五章  投标文件格式</w:t>
      </w:r>
      <w:r>
        <w:rPr>
          <w:color w:val="auto"/>
        </w:rPr>
        <w:tab/>
      </w:r>
      <w:r>
        <w:rPr>
          <w:color w:val="auto"/>
        </w:rPr>
        <w:fldChar w:fldCharType="begin"/>
      </w:r>
      <w:r>
        <w:rPr>
          <w:color w:val="auto"/>
        </w:rPr>
        <w:instrText xml:space="preserve"> PAGEREF _Toc195 \h </w:instrText>
      </w:r>
      <w:r>
        <w:rPr>
          <w:color w:val="auto"/>
        </w:rPr>
        <w:fldChar w:fldCharType="separate"/>
      </w:r>
      <w:r>
        <w:rPr>
          <w:color w:val="auto"/>
        </w:rPr>
        <w:t>32</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_Toc20410 </w:instrText>
      </w:r>
      <w:r>
        <w:rPr>
          <w:color w:val="auto"/>
        </w:rPr>
        <w:fldChar w:fldCharType="separate"/>
      </w:r>
      <w:r>
        <w:rPr>
          <w:rFonts w:hint="eastAsia" w:ascii="仿宋_GB2312" w:eastAsia="仿宋_GB2312"/>
          <w:color w:val="auto"/>
          <w:szCs w:val="44"/>
        </w:rPr>
        <w:t>一  资格审查文件格式</w:t>
      </w:r>
      <w:r>
        <w:rPr>
          <w:color w:val="auto"/>
        </w:rPr>
        <w:tab/>
      </w:r>
      <w:r>
        <w:rPr>
          <w:color w:val="auto"/>
        </w:rPr>
        <w:fldChar w:fldCharType="begin"/>
      </w:r>
      <w:r>
        <w:rPr>
          <w:color w:val="auto"/>
        </w:rPr>
        <w:instrText xml:space="preserve"> PAGEREF _Toc20410 \h </w:instrText>
      </w:r>
      <w:r>
        <w:rPr>
          <w:color w:val="auto"/>
        </w:rPr>
        <w:fldChar w:fldCharType="separate"/>
      </w:r>
      <w:r>
        <w:rPr>
          <w:color w:val="auto"/>
        </w:rPr>
        <w:t>32</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_Toc5408 </w:instrText>
      </w:r>
      <w:r>
        <w:rPr>
          <w:color w:val="auto"/>
        </w:rPr>
        <w:fldChar w:fldCharType="separate"/>
      </w:r>
      <w:r>
        <w:rPr>
          <w:rFonts w:hint="eastAsia" w:ascii="仿宋_GB2312" w:eastAsia="仿宋_GB2312"/>
          <w:color w:val="auto"/>
          <w:szCs w:val="44"/>
        </w:rPr>
        <w:t>二  资信商务及技术文件格式</w:t>
      </w:r>
      <w:r>
        <w:rPr>
          <w:color w:val="auto"/>
        </w:rPr>
        <w:tab/>
      </w:r>
      <w:r>
        <w:rPr>
          <w:color w:val="auto"/>
        </w:rPr>
        <w:fldChar w:fldCharType="begin"/>
      </w:r>
      <w:r>
        <w:rPr>
          <w:color w:val="auto"/>
        </w:rPr>
        <w:instrText xml:space="preserve"> PAGEREF _Toc5408 \h </w:instrText>
      </w:r>
      <w:r>
        <w:rPr>
          <w:color w:val="auto"/>
        </w:rPr>
        <w:fldChar w:fldCharType="separate"/>
      </w:r>
      <w:r>
        <w:rPr>
          <w:color w:val="auto"/>
        </w:rPr>
        <w:t>36</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_Toc27390 </w:instrText>
      </w:r>
      <w:r>
        <w:rPr>
          <w:color w:val="auto"/>
        </w:rPr>
        <w:fldChar w:fldCharType="separate"/>
      </w:r>
      <w:r>
        <w:rPr>
          <w:rFonts w:hint="eastAsia" w:ascii="仿宋_GB2312" w:eastAsia="仿宋_GB2312"/>
          <w:color w:val="auto"/>
          <w:szCs w:val="44"/>
        </w:rPr>
        <w:t>三  报价文件格式</w:t>
      </w:r>
      <w:r>
        <w:rPr>
          <w:color w:val="auto"/>
        </w:rPr>
        <w:tab/>
      </w:r>
      <w:r>
        <w:rPr>
          <w:color w:val="auto"/>
        </w:rPr>
        <w:fldChar w:fldCharType="begin"/>
      </w:r>
      <w:r>
        <w:rPr>
          <w:color w:val="auto"/>
        </w:rPr>
        <w:instrText xml:space="preserve"> PAGEREF _Toc27390 \h </w:instrText>
      </w:r>
      <w:r>
        <w:rPr>
          <w:color w:val="auto"/>
        </w:rPr>
        <w:fldChar w:fldCharType="separate"/>
      </w:r>
      <w:r>
        <w:rPr>
          <w:color w:val="auto"/>
        </w:rPr>
        <w:t>42</w:t>
      </w:r>
      <w:r>
        <w:rPr>
          <w:color w:val="auto"/>
        </w:rPr>
        <w:fldChar w:fldCharType="end"/>
      </w:r>
      <w:r>
        <w:rPr>
          <w:color w:val="auto"/>
        </w:rPr>
        <w:fldChar w:fldCharType="end"/>
      </w:r>
    </w:p>
    <w:p>
      <w:pPr>
        <w:pStyle w:val="18"/>
        <w:tabs>
          <w:tab w:val="right" w:leader="dot" w:pos="9070"/>
        </w:tabs>
        <w:rPr>
          <w:color w:val="auto"/>
        </w:rPr>
      </w:pPr>
      <w:r>
        <w:rPr>
          <w:color w:val="auto"/>
        </w:rPr>
        <w:fldChar w:fldCharType="begin"/>
      </w:r>
      <w:r>
        <w:rPr>
          <w:color w:val="auto"/>
        </w:rPr>
        <w:instrText xml:space="preserve"> HYPERLINK \l _Toc99 </w:instrText>
      </w:r>
      <w:r>
        <w:rPr>
          <w:color w:val="auto"/>
        </w:rPr>
        <w:fldChar w:fldCharType="separate"/>
      </w:r>
      <w:r>
        <w:rPr>
          <w:rFonts w:hint="eastAsia" w:ascii="仿宋" w:hAnsi="仿宋" w:eastAsia="仿宋" w:cs="宋体"/>
          <w:color w:val="auto"/>
          <w:szCs w:val="48"/>
        </w:rPr>
        <w:t>第六章  评标办法和细则</w:t>
      </w:r>
      <w:r>
        <w:rPr>
          <w:color w:val="auto"/>
        </w:rPr>
        <w:tab/>
      </w:r>
      <w:r>
        <w:rPr>
          <w:color w:val="auto"/>
        </w:rPr>
        <w:fldChar w:fldCharType="begin"/>
      </w:r>
      <w:r>
        <w:rPr>
          <w:color w:val="auto"/>
        </w:rPr>
        <w:instrText xml:space="preserve"> PAGEREF _Toc99 \h </w:instrText>
      </w:r>
      <w:r>
        <w:rPr>
          <w:color w:val="auto"/>
        </w:rPr>
        <w:fldChar w:fldCharType="separate"/>
      </w:r>
      <w:r>
        <w:rPr>
          <w:color w:val="auto"/>
        </w:rPr>
        <w:t>47</w:t>
      </w:r>
      <w:r>
        <w:rPr>
          <w:color w:val="auto"/>
        </w:rPr>
        <w:fldChar w:fldCharType="end"/>
      </w:r>
      <w:r>
        <w:rPr>
          <w:color w:val="auto"/>
        </w:rPr>
        <w:fldChar w:fldCharType="end"/>
      </w:r>
    </w:p>
    <w:p>
      <w:pPr>
        <w:pStyle w:val="8"/>
        <w:tabs>
          <w:tab w:val="right" w:leader="dot" w:pos="9070"/>
        </w:tabs>
        <w:rPr>
          <w:color w:val="auto"/>
        </w:rPr>
      </w:pPr>
      <w:r>
        <w:rPr>
          <w:color w:val="auto"/>
        </w:rPr>
        <w:fldChar w:fldCharType="begin"/>
      </w:r>
      <w:r>
        <w:rPr>
          <w:color w:val="auto"/>
        </w:rPr>
        <w:instrText xml:space="preserve"> HYPERLINK \l _Toc8103 </w:instrText>
      </w:r>
      <w:r>
        <w:rPr>
          <w:color w:val="auto"/>
        </w:rPr>
        <w:fldChar w:fldCharType="separate"/>
      </w:r>
      <w:r>
        <w:rPr>
          <w:rFonts w:hint="eastAsia" w:hAnsi="宋体"/>
          <w:color w:val="auto"/>
          <w:szCs w:val="28"/>
        </w:rPr>
        <w:t>附件一 政府采购活动现场确认声明书</w:t>
      </w:r>
      <w:r>
        <w:rPr>
          <w:color w:val="auto"/>
        </w:rPr>
        <w:tab/>
      </w:r>
      <w:r>
        <w:rPr>
          <w:color w:val="auto"/>
        </w:rPr>
        <w:fldChar w:fldCharType="begin"/>
      </w:r>
      <w:r>
        <w:rPr>
          <w:color w:val="auto"/>
        </w:rPr>
        <w:instrText xml:space="preserve"> PAGEREF _Toc8103 \h </w:instrText>
      </w:r>
      <w:r>
        <w:rPr>
          <w:color w:val="auto"/>
        </w:rPr>
        <w:fldChar w:fldCharType="separate"/>
      </w:r>
      <w:r>
        <w:rPr>
          <w:color w:val="auto"/>
        </w:rPr>
        <w:t>50</w:t>
      </w:r>
      <w:r>
        <w:rPr>
          <w:color w:val="auto"/>
        </w:rPr>
        <w:fldChar w:fldCharType="end"/>
      </w:r>
      <w:r>
        <w:rPr>
          <w:color w:val="auto"/>
        </w:rPr>
        <w:fldChar w:fldCharType="end"/>
      </w:r>
    </w:p>
    <w:p>
      <w:pPr>
        <w:pStyle w:val="8"/>
        <w:tabs>
          <w:tab w:val="right" w:leader="dot" w:pos="9070"/>
        </w:tabs>
        <w:rPr>
          <w:color w:val="auto"/>
        </w:rPr>
      </w:pPr>
      <w:r>
        <w:rPr>
          <w:color w:val="auto"/>
        </w:rPr>
        <w:fldChar w:fldCharType="begin"/>
      </w:r>
      <w:r>
        <w:rPr>
          <w:color w:val="auto"/>
        </w:rPr>
        <w:instrText xml:space="preserve"> HYPERLINK \l _Toc30253 </w:instrText>
      </w:r>
      <w:r>
        <w:rPr>
          <w:color w:val="auto"/>
        </w:rPr>
        <w:fldChar w:fldCharType="separate"/>
      </w:r>
      <w:r>
        <w:rPr>
          <w:rFonts w:hint="eastAsia" w:hAnsi="宋体"/>
          <w:color w:val="auto"/>
          <w:szCs w:val="28"/>
        </w:rPr>
        <w:t>附件二 启用备份投标文件申请书</w:t>
      </w:r>
      <w:r>
        <w:rPr>
          <w:color w:val="auto"/>
        </w:rPr>
        <w:tab/>
      </w:r>
      <w:r>
        <w:rPr>
          <w:color w:val="auto"/>
        </w:rPr>
        <w:fldChar w:fldCharType="begin"/>
      </w:r>
      <w:r>
        <w:rPr>
          <w:color w:val="auto"/>
        </w:rPr>
        <w:instrText xml:space="preserve"> PAGEREF _Toc30253 \h </w:instrText>
      </w:r>
      <w:r>
        <w:rPr>
          <w:color w:val="auto"/>
        </w:rPr>
        <w:fldChar w:fldCharType="separate"/>
      </w:r>
      <w:r>
        <w:rPr>
          <w:color w:val="auto"/>
        </w:rPr>
        <w:t>51</w:t>
      </w:r>
      <w:r>
        <w:rPr>
          <w:color w:val="auto"/>
        </w:rPr>
        <w:fldChar w:fldCharType="end"/>
      </w:r>
      <w:r>
        <w:rPr>
          <w:color w:val="auto"/>
        </w:rPr>
        <w:fldChar w:fldCharType="end"/>
      </w:r>
    </w:p>
    <w:p>
      <w:pPr>
        <w:tabs>
          <w:tab w:val="right" w:leader="dot" w:pos="9059"/>
        </w:tabs>
        <w:rPr>
          <w:color w:val="auto"/>
        </w:rPr>
      </w:pPr>
      <w:r>
        <w:rPr>
          <w:color w:val="auto"/>
        </w:rPr>
        <w:fldChar w:fldCharType="end"/>
      </w:r>
    </w:p>
    <w:p>
      <w:pPr>
        <w:tabs>
          <w:tab w:val="right" w:leader="dot" w:pos="9059"/>
        </w:tabs>
        <w:rPr>
          <w:color w:val="auto"/>
        </w:rPr>
      </w:pPr>
    </w:p>
    <w:p>
      <w:pPr>
        <w:tabs>
          <w:tab w:val="right" w:leader="dot" w:pos="9059"/>
        </w:tabs>
        <w:rPr>
          <w:color w:val="auto"/>
        </w:rPr>
      </w:pPr>
    </w:p>
    <w:p>
      <w:pPr>
        <w:rPr>
          <w:color w:val="auto"/>
        </w:rPr>
      </w:pPr>
    </w:p>
    <w:p>
      <w:pPr>
        <w:widowControl/>
        <w:jc w:val="left"/>
        <w:rPr>
          <w:color w:val="auto"/>
        </w:rPr>
      </w:pPr>
      <w:r>
        <w:rPr>
          <w:color w:val="auto"/>
        </w:rPr>
        <w:br w:type="page"/>
      </w:r>
    </w:p>
    <w:p>
      <w:pPr>
        <w:rPr>
          <w:color w:val="auto"/>
        </w:rPr>
      </w:pPr>
    </w:p>
    <w:p>
      <w:pPr>
        <w:pStyle w:val="24"/>
        <w:spacing w:before="0" w:after="0" w:line="360" w:lineRule="auto"/>
        <w:rPr>
          <w:rFonts w:ascii="仿宋" w:hAnsi="仿宋" w:eastAsia="仿宋" w:cs="宋体"/>
          <w:color w:val="auto"/>
          <w:sz w:val="48"/>
          <w:szCs w:val="48"/>
        </w:rPr>
      </w:pPr>
      <w:bookmarkStart w:id="13" w:name="_Toc493956018"/>
      <w:bookmarkStart w:id="14" w:name="_Toc13638"/>
      <w:bookmarkStart w:id="15" w:name="_Toc531358959"/>
      <w:bookmarkStart w:id="16" w:name="_Toc530551804"/>
      <w:bookmarkStart w:id="17" w:name="_Toc13778"/>
      <w:bookmarkStart w:id="18" w:name="_Toc105577171"/>
      <w:r>
        <w:rPr>
          <w:rFonts w:hint="eastAsia" w:ascii="仿宋" w:hAnsi="仿宋" w:eastAsia="仿宋" w:cs="宋体"/>
          <w:color w:val="auto"/>
          <w:sz w:val="48"/>
          <w:szCs w:val="48"/>
        </w:rPr>
        <w:t xml:space="preserve">第一章  </w:t>
      </w:r>
      <w:bookmarkEnd w:id="13"/>
      <w:r>
        <w:rPr>
          <w:rFonts w:hint="eastAsia" w:ascii="仿宋" w:hAnsi="仿宋" w:eastAsia="仿宋" w:cs="宋体"/>
          <w:color w:val="auto"/>
          <w:sz w:val="48"/>
          <w:szCs w:val="48"/>
        </w:rPr>
        <w:t>公开招标公告</w:t>
      </w:r>
      <w:bookmarkEnd w:id="14"/>
      <w:bookmarkEnd w:id="15"/>
      <w:bookmarkEnd w:id="16"/>
      <w:bookmarkEnd w:id="17"/>
      <w:bookmarkEnd w:id="18"/>
    </w:p>
    <w:p>
      <w:pPr>
        <w:pBdr>
          <w:top w:val="single" w:color="auto" w:sz="4" w:space="1"/>
          <w:left w:val="single" w:color="auto" w:sz="4" w:space="4"/>
          <w:bottom w:val="single" w:color="auto" w:sz="4" w:space="1"/>
          <w:right w:val="single" w:color="auto" w:sz="4" w:space="2"/>
        </w:pBdr>
        <w:wordWrap w:val="0"/>
        <w:spacing w:line="440" w:lineRule="exact"/>
        <w:rPr>
          <w:rFonts w:ascii="宋体" w:hAnsi="宋体" w:cs="宋体"/>
          <w:color w:val="auto"/>
          <w:sz w:val="24"/>
          <w:szCs w:val="24"/>
        </w:rPr>
      </w:pPr>
      <w:r>
        <w:rPr>
          <w:rFonts w:hint="eastAsia" w:ascii="宋体" w:hAnsi="宋体" w:cs="宋体"/>
          <w:color w:val="auto"/>
          <w:sz w:val="24"/>
          <w:szCs w:val="24"/>
        </w:rPr>
        <w:t>项目概况：</w:t>
      </w:r>
    </w:p>
    <w:p>
      <w:pPr>
        <w:pBdr>
          <w:top w:val="single" w:color="auto" w:sz="4" w:space="1"/>
          <w:left w:val="single" w:color="auto" w:sz="4" w:space="4"/>
          <w:bottom w:val="single" w:color="auto" w:sz="4" w:space="1"/>
          <w:right w:val="single" w:color="auto" w:sz="4" w:space="2"/>
        </w:pBdr>
        <w:wordWrap w:val="0"/>
        <w:spacing w:line="440" w:lineRule="exact"/>
        <w:ind w:firstLine="480" w:firstLineChars="200"/>
        <w:jc w:val="left"/>
        <w:rPr>
          <w:rFonts w:ascii="宋体" w:hAnsi="宋体" w:cs="宋体"/>
          <w:color w:val="auto"/>
          <w:szCs w:val="21"/>
        </w:rPr>
      </w:pPr>
      <w:r>
        <w:rPr>
          <w:rFonts w:hint="eastAsia" w:ascii="宋体" w:hAnsi="宋体" w:cs="Arial"/>
          <w:bCs/>
          <w:color w:val="auto"/>
          <w:kern w:val="0"/>
          <w:sz w:val="24"/>
          <w:szCs w:val="24"/>
          <w:u w:val="single"/>
        </w:rPr>
        <w:t>青田县集体土地所有权确权登记成果更新汇交项目</w:t>
      </w:r>
      <w:r>
        <w:rPr>
          <w:rFonts w:hint="eastAsia" w:ascii="宋体" w:hAnsi="宋体" w:cs="Arial"/>
          <w:b/>
          <w:color w:val="auto"/>
          <w:kern w:val="0"/>
          <w:sz w:val="24"/>
          <w:szCs w:val="24"/>
          <w:u w:val="single"/>
        </w:rPr>
        <w:t xml:space="preserve"> </w:t>
      </w:r>
      <w:r>
        <w:rPr>
          <w:rFonts w:hint="eastAsia" w:ascii="宋体" w:hAnsi="宋体" w:cs="Arial"/>
          <w:color w:val="auto"/>
          <w:kern w:val="0"/>
          <w:sz w:val="24"/>
          <w:szCs w:val="24"/>
        </w:rPr>
        <w:t>招标项目的潜在投标人应在浙江政府采购网（zfcg.czt.zj.gov.cn/）</w:t>
      </w:r>
      <w:r>
        <w:rPr>
          <w:rFonts w:hint="eastAsia" w:ascii="宋体" w:hAnsi="宋体" w:cs="Arial"/>
          <w:color w:val="auto"/>
          <w:kern w:val="0"/>
          <w:sz w:val="24"/>
          <w:szCs w:val="24"/>
          <w:lang w:eastAsia="zh-CN"/>
        </w:rPr>
        <w:t>，</w:t>
      </w:r>
      <w:r>
        <w:rPr>
          <w:rFonts w:hint="eastAsia" w:ascii="宋体" w:hAnsi="宋体" w:cs="Arial"/>
          <w:color w:val="auto"/>
          <w:kern w:val="0"/>
          <w:sz w:val="24"/>
          <w:szCs w:val="24"/>
        </w:rPr>
        <w:t>丽水市公共资源交易网（www.lssggzy.com）获取（下载）招标文件，并于</w:t>
      </w:r>
      <w:r>
        <w:rPr>
          <w:rFonts w:hint="eastAsia" w:ascii="宋体" w:hAnsi="宋体" w:cs="Arial"/>
          <w:color w:val="auto"/>
          <w:kern w:val="0"/>
          <w:sz w:val="24"/>
          <w:szCs w:val="24"/>
          <w:u w:val="single"/>
        </w:rPr>
        <w:t>2022年09 月08日 09:00</w:t>
      </w:r>
      <w:r>
        <w:rPr>
          <w:rFonts w:hint="eastAsia" w:ascii="宋体" w:hAnsi="宋体" w:cs="Arial"/>
          <w:color w:val="auto"/>
          <w:kern w:val="0"/>
          <w:sz w:val="24"/>
          <w:szCs w:val="24"/>
        </w:rPr>
        <w:t>（北京时间）前递交（上传）投标文件。</w:t>
      </w:r>
    </w:p>
    <w:p>
      <w:pPr>
        <w:spacing w:line="400" w:lineRule="exact"/>
        <w:rPr>
          <w:rFonts w:ascii="宋体" w:hAnsi="宋体"/>
          <w:b/>
          <w:color w:val="auto"/>
          <w:sz w:val="24"/>
          <w:szCs w:val="24"/>
        </w:rPr>
      </w:pPr>
      <w:r>
        <w:rPr>
          <w:rFonts w:hint="eastAsia" w:ascii="宋体" w:hAnsi="宋体"/>
          <w:b/>
          <w:color w:val="auto"/>
          <w:sz w:val="24"/>
          <w:szCs w:val="24"/>
        </w:rPr>
        <w:t>一、项目基本情况</w:t>
      </w:r>
      <w:r>
        <w:rPr>
          <w:rFonts w:ascii="宋体" w:hAnsi="宋体"/>
          <w:b/>
          <w:color w:val="auto"/>
          <w:sz w:val="24"/>
          <w:szCs w:val="24"/>
        </w:rPr>
        <w:t xml:space="preserve">                              </w:t>
      </w:r>
    </w:p>
    <w:p>
      <w:pPr>
        <w:spacing w:line="400" w:lineRule="exact"/>
        <w:ind w:firstLine="420" w:firstLineChars="200"/>
        <w:rPr>
          <w:rFonts w:ascii="宋体" w:hAnsi="宋体"/>
          <w:color w:val="auto"/>
          <w:szCs w:val="21"/>
        </w:rPr>
      </w:pPr>
      <w:r>
        <w:rPr>
          <w:rFonts w:hint="eastAsia" w:ascii="宋体" w:hAnsi="宋体"/>
          <w:color w:val="auto"/>
          <w:szCs w:val="21"/>
        </w:rPr>
        <w:t>项目编号：QTFSCG2022-125</w:t>
      </w:r>
    </w:p>
    <w:p>
      <w:pPr>
        <w:spacing w:line="400" w:lineRule="exact"/>
        <w:ind w:firstLine="420" w:firstLineChars="200"/>
        <w:rPr>
          <w:rFonts w:ascii="宋体" w:hAnsi="宋体"/>
          <w:color w:val="auto"/>
          <w:szCs w:val="21"/>
        </w:rPr>
      </w:pPr>
      <w:r>
        <w:rPr>
          <w:rFonts w:hint="eastAsia" w:ascii="宋体" w:hAnsi="宋体"/>
          <w:color w:val="auto"/>
          <w:szCs w:val="21"/>
        </w:rPr>
        <w:t>项目名称：青田县集体土地所有权确权登记成果更新汇交项目 </w:t>
      </w:r>
    </w:p>
    <w:p>
      <w:pPr>
        <w:spacing w:line="400" w:lineRule="exact"/>
        <w:ind w:firstLine="420" w:firstLineChars="200"/>
        <w:rPr>
          <w:rFonts w:ascii="宋体" w:hAnsi="宋体"/>
          <w:color w:val="auto"/>
          <w:szCs w:val="21"/>
        </w:rPr>
      </w:pPr>
      <w:r>
        <w:rPr>
          <w:rFonts w:hint="eastAsia" w:ascii="宋体" w:hAnsi="宋体"/>
          <w:color w:val="auto"/>
          <w:szCs w:val="21"/>
        </w:rPr>
        <w:t>预算金额（元）：3000000 </w:t>
      </w:r>
    </w:p>
    <w:p>
      <w:pPr>
        <w:spacing w:line="400" w:lineRule="exact"/>
        <w:ind w:firstLine="420" w:firstLineChars="200"/>
        <w:rPr>
          <w:rFonts w:ascii="宋体" w:hAnsi="宋体"/>
          <w:color w:val="auto"/>
          <w:szCs w:val="21"/>
        </w:rPr>
      </w:pPr>
      <w:r>
        <w:rPr>
          <w:rFonts w:hint="eastAsia" w:ascii="宋体" w:hAnsi="宋体"/>
          <w:color w:val="auto"/>
          <w:szCs w:val="21"/>
        </w:rPr>
        <w:t>最高限价（元）：3000000</w:t>
      </w:r>
    </w:p>
    <w:p>
      <w:pPr>
        <w:spacing w:line="400" w:lineRule="exact"/>
        <w:ind w:firstLine="420" w:firstLineChars="200"/>
        <w:rPr>
          <w:rFonts w:ascii="宋体" w:hAnsi="宋体"/>
          <w:color w:val="auto"/>
          <w:szCs w:val="21"/>
        </w:rPr>
      </w:pPr>
      <w:r>
        <w:rPr>
          <w:rFonts w:hint="eastAsia" w:ascii="宋体" w:hAnsi="宋体"/>
          <w:color w:val="auto"/>
          <w:szCs w:val="21"/>
        </w:rPr>
        <w:t>采购需求：    </w:t>
      </w:r>
    </w:p>
    <w:p>
      <w:pPr>
        <w:spacing w:line="400" w:lineRule="exact"/>
        <w:ind w:firstLine="420" w:firstLineChars="200"/>
        <w:rPr>
          <w:rFonts w:ascii="宋体" w:hAnsi="宋体"/>
          <w:color w:val="auto"/>
          <w:szCs w:val="21"/>
        </w:rPr>
      </w:pPr>
      <w:r>
        <w:rPr>
          <w:rFonts w:hint="eastAsia" w:ascii="宋体" w:hAnsi="宋体"/>
          <w:color w:val="auto"/>
          <w:szCs w:val="21"/>
        </w:rPr>
        <w:t>标项名称: 青田县集体土地所有权确权登记成果更新汇交项目   </w:t>
      </w:r>
    </w:p>
    <w:p>
      <w:pPr>
        <w:spacing w:line="400" w:lineRule="exact"/>
        <w:ind w:firstLine="420" w:firstLineChars="200"/>
        <w:rPr>
          <w:rFonts w:ascii="宋体" w:hAnsi="宋体"/>
          <w:color w:val="auto"/>
          <w:szCs w:val="21"/>
        </w:rPr>
      </w:pPr>
      <w:r>
        <w:rPr>
          <w:rFonts w:hint="eastAsia" w:ascii="宋体" w:hAnsi="宋体"/>
          <w:color w:val="auto"/>
          <w:szCs w:val="21"/>
        </w:rPr>
        <w:t>数量: 1  </w:t>
      </w:r>
    </w:p>
    <w:p>
      <w:pPr>
        <w:spacing w:line="400" w:lineRule="exact"/>
        <w:ind w:firstLine="420" w:firstLineChars="200"/>
        <w:rPr>
          <w:rFonts w:ascii="宋体" w:hAnsi="宋体"/>
          <w:color w:val="auto"/>
          <w:szCs w:val="21"/>
        </w:rPr>
      </w:pPr>
      <w:r>
        <w:rPr>
          <w:rFonts w:hint="eastAsia" w:ascii="宋体" w:hAnsi="宋体"/>
          <w:color w:val="auto"/>
          <w:szCs w:val="21"/>
        </w:rPr>
        <w:t>预算金额（元）:3000000</w:t>
      </w:r>
    </w:p>
    <w:p>
      <w:pPr>
        <w:spacing w:line="400" w:lineRule="exact"/>
        <w:ind w:firstLine="420" w:firstLineChars="200"/>
        <w:rPr>
          <w:rFonts w:ascii="宋体" w:hAnsi="宋体"/>
          <w:color w:val="auto"/>
          <w:szCs w:val="21"/>
        </w:rPr>
      </w:pPr>
      <w:r>
        <w:rPr>
          <w:rFonts w:hint="eastAsia" w:ascii="宋体" w:hAnsi="宋体"/>
          <w:color w:val="auto"/>
          <w:szCs w:val="21"/>
        </w:rPr>
        <w:t>简要规格描述：详见招标文件第二章招标需求</w:t>
      </w:r>
    </w:p>
    <w:p>
      <w:pPr>
        <w:spacing w:line="400" w:lineRule="exact"/>
        <w:ind w:firstLine="420" w:firstLineChars="200"/>
        <w:rPr>
          <w:rFonts w:ascii="宋体" w:hAnsi="宋体"/>
          <w:color w:val="auto"/>
          <w:szCs w:val="21"/>
        </w:rPr>
      </w:pPr>
      <w:r>
        <w:rPr>
          <w:rFonts w:hint="eastAsia" w:ascii="宋体" w:hAnsi="宋体"/>
          <w:color w:val="auto"/>
          <w:szCs w:val="21"/>
        </w:rPr>
        <w:t>备注： </w:t>
      </w:r>
    </w:p>
    <w:p>
      <w:pPr>
        <w:spacing w:line="400" w:lineRule="exact"/>
        <w:ind w:firstLine="420" w:firstLineChars="200"/>
        <w:rPr>
          <w:rFonts w:hint="eastAsia" w:ascii="宋体" w:hAnsi="宋体"/>
          <w:color w:val="auto"/>
          <w:szCs w:val="21"/>
        </w:rPr>
      </w:pPr>
      <w:r>
        <w:rPr>
          <w:rFonts w:hint="eastAsia" w:ascii="宋体" w:hAnsi="宋体"/>
          <w:color w:val="auto"/>
          <w:szCs w:val="21"/>
        </w:rPr>
        <w:t>合同履约期限：见招标文件第二章</w:t>
      </w:r>
    </w:p>
    <w:p>
      <w:pPr>
        <w:spacing w:line="400" w:lineRule="exact"/>
        <w:ind w:firstLine="420" w:firstLineChars="200"/>
        <w:rPr>
          <w:rFonts w:ascii="宋体" w:hAnsi="宋体"/>
          <w:color w:val="auto"/>
          <w:szCs w:val="21"/>
        </w:rPr>
      </w:pPr>
      <w:r>
        <w:rPr>
          <w:rFonts w:hint="eastAsia" w:ascii="宋体" w:hAnsi="宋体"/>
          <w:color w:val="auto"/>
          <w:szCs w:val="21"/>
        </w:rPr>
        <w:t>本项目（否）接受联合体投标。</w:t>
      </w:r>
    </w:p>
    <w:p>
      <w:pPr>
        <w:spacing w:line="400" w:lineRule="exact"/>
        <w:rPr>
          <w:rFonts w:ascii="宋体" w:hAnsi="宋体"/>
          <w:b/>
          <w:color w:val="auto"/>
          <w:sz w:val="24"/>
          <w:szCs w:val="24"/>
        </w:rPr>
      </w:pPr>
      <w:r>
        <w:rPr>
          <w:rFonts w:hint="eastAsia" w:ascii="宋体" w:hAnsi="宋体"/>
          <w:b/>
          <w:color w:val="auto"/>
          <w:sz w:val="24"/>
          <w:szCs w:val="24"/>
        </w:rPr>
        <w:t>二、申请人的资格要求</w:t>
      </w:r>
    </w:p>
    <w:p>
      <w:pPr>
        <w:spacing w:line="400" w:lineRule="exact"/>
        <w:ind w:firstLine="420" w:firstLineChars="200"/>
        <w:rPr>
          <w:rFonts w:ascii="宋体" w:hAnsi="宋体"/>
          <w:color w:val="auto"/>
          <w:szCs w:val="21"/>
        </w:rPr>
      </w:pPr>
      <w:r>
        <w:rPr>
          <w:rFonts w:hint="eastAsia" w:ascii="宋体" w:hAnsi="宋体"/>
          <w:color w:val="auto"/>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420" w:firstLineChars="200"/>
        <w:rPr>
          <w:rFonts w:ascii="宋体" w:hAnsi="宋体"/>
          <w:color w:val="auto"/>
          <w:szCs w:val="21"/>
        </w:rPr>
      </w:pPr>
      <w:r>
        <w:rPr>
          <w:rFonts w:hint="eastAsia" w:ascii="宋体" w:hAnsi="宋体"/>
          <w:color w:val="auto"/>
          <w:szCs w:val="21"/>
        </w:rPr>
        <w:t>2.落实政府采购政策需满足的资格要求：无。</w:t>
      </w:r>
    </w:p>
    <w:p>
      <w:pPr>
        <w:spacing w:line="400" w:lineRule="exact"/>
        <w:ind w:firstLine="420" w:firstLineChars="200"/>
        <w:rPr>
          <w:rFonts w:hint="eastAsia" w:ascii="宋体" w:hAnsi="宋体"/>
          <w:color w:val="auto"/>
          <w:szCs w:val="21"/>
        </w:rPr>
      </w:pPr>
      <w:r>
        <w:rPr>
          <w:rFonts w:hint="eastAsia" w:ascii="宋体" w:hAnsi="宋体"/>
          <w:color w:val="auto"/>
          <w:szCs w:val="21"/>
        </w:rPr>
        <w:t>3.本项目的特定资格要求：投标人应同时具备地理信息系统工程专业和界线与不动产测绘专业乙级及以上测绘资质。</w:t>
      </w:r>
    </w:p>
    <w:p>
      <w:pPr>
        <w:spacing w:line="400" w:lineRule="exact"/>
        <w:rPr>
          <w:rFonts w:ascii="宋体" w:hAnsi="宋体"/>
          <w:b/>
          <w:color w:val="auto"/>
          <w:sz w:val="24"/>
          <w:szCs w:val="24"/>
        </w:rPr>
      </w:pPr>
      <w:r>
        <w:rPr>
          <w:rFonts w:hint="eastAsia" w:ascii="宋体" w:hAnsi="宋体"/>
          <w:b/>
          <w:color w:val="auto"/>
          <w:sz w:val="24"/>
          <w:szCs w:val="24"/>
        </w:rPr>
        <w:t>三、获取招标文件 </w:t>
      </w:r>
    </w:p>
    <w:p>
      <w:pPr>
        <w:spacing w:line="400" w:lineRule="exact"/>
        <w:ind w:firstLine="420" w:firstLineChars="200"/>
        <w:rPr>
          <w:rFonts w:ascii="宋体" w:hAnsi="宋体"/>
          <w:color w:val="auto"/>
          <w:szCs w:val="21"/>
        </w:rPr>
      </w:pPr>
      <w:r>
        <w:rPr>
          <w:rFonts w:hint="eastAsia" w:ascii="宋体" w:hAnsi="宋体"/>
          <w:color w:val="auto"/>
          <w:szCs w:val="21"/>
        </w:rPr>
        <w:t>时间：/至2022年09月08日，每天上午00:00至12:00，下午12:00至23:59（北京时间，线上获取法定节假日均可，线下获取文件法定节假日除外）</w:t>
      </w:r>
    </w:p>
    <w:p>
      <w:pPr>
        <w:spacing w:line="400" w:lineRule="exact"/>
        <w:ind w:firstLine="420" w:firstLineChars="200"/>
        <w:rPr>
          <w:rFonts w:ascii="宋体" w:hAnsi="宋体"/>
          <w:color w:val="auto"/>
          <w:szCs w:val="21"/>
        </w:rPr>
      </w:pPr>
      <w:r>
        <w:rPr>
          <w:rFonts w:hint="eastAsia" w:ascii="宋体" w:hAnsi="宋体"/>
          <w:color w:val="auto"/>
          <w:szCs w:val="21"/>
        </w:rPr>
        <w:t>地点（网址）：</w:t>
      </w:r>
      <w:r>
        <w:rPr>
          <w:rFonts w:ascii="宋体" w:hAnsi="宋体"/>
          <w:color w:val="auto"/>
          <w:szCs w:val="21"/>
        </w:rPr>
        <w:t>浙江政府采购网（http://zfcg.czt.zj.gov.cn），丽水市公共资源交易网（www.lssggzy.com）公告附件</w:t>
      </w:r>
      <w:r>
        <w:rPr>
          <w:rFonts w:hint="eastAsia" w:ascii="宋体" w:hAnsi="宋体"/>
          <w:color w:val="auto"/>
          <w:szCs w:val="21"/>
        </w:rPr>
        <w:t> </w:t>
      </w:r>
    </w:p>
    <w:p>
      <w:pPr>
        <w:spacing w:line="400" w:lineRule="exact"/>
        <w:ind w:firstLine="420" w:firstLineChars="200"/>
        <w:rPr>
          <w:rFonts w:ascii="宋体" w:hAnsi="宋体"/>
          <w:color w:val="auto"/>
          <w:szCs w:val="21"/>
        </w:rPr>
      </w:pPr>
      <w:r>
        <w:rPr>
          <w:rFonts w:hint="eastAsia" w:ascii="宋体" w:hAnsi="宋体"/>
          <w:color w:val="auto"/>
          <w:szCs w:val="21"/>
        </w:rPr>
        <w:t>方式：供应商登录政采云平台https://www.zcygov.cn/在线申请获取采购文件（进入“项目采购”应用，在获取采购文件菜单中选择项目，申请获取采购文件）</w:t>
      </w:r>
    </w:p>
    <w:p>
      <w:pPr>
        <w:spacing w:line="400" w:lineRule="exact"/>
        <w:ind w:firstLine="420" w:firstLineChars="200"/>
        <w:rPr>
          <w:rFonts w:ascii="宋体" w:hAnsi="宋体"/>
          <w:color w:val="auto"/>
          <w:szCs w:val="21"/>
        </w:rPr>
      </w:pPr>
      <w:r>
        <w:rPr>
          <w:rFonts w:hint="eastAsia" w:ascii="宋体" w:hAnsi="宋体"/>
          <w:color w:val="auto"/>
          <w:szCs w:val="21"/>
        </w:rPr>
        <w:t>售价（元）：0 </w:t>
      </w:r>
    </w:p>
    <w:p>
      <w:pPr>
        <w:spacing w:line="400" w:lineRule="exact"/>
        <w:rPr>
          <w:rFonts w:ascii="宋体" w:hAnsi="宋体"/>
          <w:b/>
          <w:color w:val="auto"/>
          <w:sz w:val="24"/>
          <w:szCs w:val="24"/>
        </w:rPr>
      </w:pPr>
      <w:r>
        <w:rPr>
          <w:rFonts w:hint="eastAsia" w:ascii="宋体" w:hAnsi="宋体"/>
          <w:b/>
          <w:color w:val="auto"/>
          <w:sz w:val="24"/>
          <w:szCs w:val="24"/>
        </w:rPr>
        <w:t>四、提交投标文件截止时间、开标时间和地点</w:t>
      </w:r>
    </w:p>
    <w:p>
      <w:pPr>
        <w:spacing w:line="400" w:lineRule="exact"/>
        <w:ind w:firstLine="420" w:firstLineChars="200"/>
        <w:rPr>
          <w:rFonts w:ascii="宋体" w:hAnsi="宋体"/>
          <w:color w:val="auto"/>
          <w:szCs w:val="21"/>
        </w:rPr>
      </w:pPr>
      <w:r>
        <w:rPr>
          <w:rFonts w:hint="eastAsia" w:ascii="宋体" w:hAnsi="宋体"/>
          <w:color w:val="auto"/>
          <w:szCs w:val="21"/>
        </w:rPr>
        <w:t>提交投标文件截止时间：2022年09月08日 09:00（北京时间）</w:t>
      </w:r>
    </w:p>
    <w:p>
      <w:pPr>
        <w:spacing w:line="400" w:lineRule="exact"/>
        <w:ind w:firstLine="420" w:firstLineChars="200"/>
        <w:rPr>
          <w:rFonts w:ascii="宋体" w:hAnsi="宋体"/>
          <w:color w:val="auto"/>
          <w:szCs w:val="21"/>
        </w:rPr>
      </w:pPr>
      <w:r>
        <w:rPr>
          <w:rFonts w:hint="eastAsia" w:ascii="宋体" w:hAnsi="宋体"/>
          <w:color w:val="auto"/>
          <w:szCs w:val="21"/>
        </w:rPr>
        <w:t>投标地点（网址）：在“政府采购云平台”上传提交，“电子投标文件”成功上传提交后，投标人自行打印投标文件接收回执  </w:t>
      </w:r>
    </w:p>
    <w:p>
      <w:pPr>
        <w:spacing w:line="400" w:lineRule="exact"/>
        <w:ind w:firstLine="420" w:firstLineChars="200"/>
        <w:rPr>
          <w:rFonts w:ascii="宋体" w:hAnsi="宋体"/>
          <w:color w:val="auto"/>
          <w:szCs w:val="21"/>
        </w:rPr>
      </w:pPr>
      <w:r>
        <w:rPr>
          <w:rFonts w:hint="eastAsia" w:ascii="宋体" w:hAnsi="宋体"/>
          <w:color w:val="auto"/>
          <w:szCs w:val="21"/>
        </w:rPr>
        <w:t>开标时间：2022年09月08日 09:00 </w:t>
      </w:r>
    </w:p>
    <w:p>
      <w:pPr>
        <w:spacing w:line="400" w:lineRule="exact"/>
        <w:ind w:firstLine="420" w:firstLineChars="200"/>
        <w:rPr>
          <w:rFonts w:hint="eastAsia" w:ascii="宋体" w:hAnsi="宋体" w:eastAsia="宋体"/>
          <w:color w:val="auto"/>
          <w:szCs w:val="21"/>
          <w:lang w:eastAsia="zh-CN"/>
        </w:rPr>
      </w:pPr>
      <w:r>
        <w:rPr>
          <w:rFonts w:hint="eastAsia" w:ascii="宋体" w:hAnsi="宋体"/>
          <w:color w:val="auto"/>
          <w:szCs w:val="21"/>
        </w:rPr>
        <w:t>开标地点（网址）：</w:t>
      </w:r>
      <w:r>
        <w:rPr>
          <w:rFonts w:ascii="宋体" w:hAnsi="宋体"/>
          <w:color w:val="auto"/>
          <w:szCs w:val="21"/>
        </w:rPr>
        <w:t>政采云平台（https://www.zcygov.cn）、</w:t>
      </w:r>
      <w:r>
        <w:rPr>
          <w:rFonts w:hint="eastAsia" w:ascii="宋体" w:hAnsi="宋体"/>
          <w:color w:val="auto"/>
          <w:szCs w:val="21"/>
          <w:lang w:eastAsia="zh-CN"/>
        </w:rPr>
        <w:t>青田县政府采购招投标交易中心（塔山路101号）二楼开标室三</w:t>
      </w:r>
    </w:p>
    <w:p>
      <w:pPr>
        <w:spacing w:line="400" w:lineRule="exact"/>
        <w:rPr>
          <w:rFonts w:ascii="宋体" w:hAnsi="宋体"/>
          <w:b/>
          <w:color w:val="auto"/>
          <w:sz w:val="24"/>
          <w:szCs w:val="24"/>
        </w:rPr>
      </w:pPr>
      <w:r>
        <w:rPr>
          <w:rFonts w:hint="eastAsia" w:ascii="宋体" w:hAnsi="宋体"/>
          <w:b/>
          <w:color w:val="auto"/>
          <w:sz w:val="24"/>
          <w:szCs w:val="24"/>
        </w:rPr>
        <w:t>五、公告期限</w:t>
      </w:r>
      <w:r>
        <w:rPr>
          <w:rFonts w:ascii="宋体" w:hAnsi="宋体"/>
          <w:b/>
          <w:color w:val="auto"/>
          <w:sz w:val="24"/>
          <w:szCs w:val="24"/>
        </w:rPr>
        <w:t> </w:t>
      </w:r>
    </w:p>
    <w:p>
      <w:pPr>
        <w:spacing w:line="400" w:lineRule="exact"/>
        <w:ind w:firstLine="420" w:firstLineChars="200"/>
        <w:rPr>
          <w:rFonts w:ascii="宋体" w:hAnsi="宋体"/>
          <w:color w:val="auto"/>
          <w:szCs w:val="21"/>
        </w:rPr>
      </w:pPr>
      <w:r>
        <w:rPr>
          <w:rFonts w:hint="eastAsia" w:ascii="宋体" w:hAnsi="宋体"/>
          <w:color w:val="auto"/>
          <w:szCs w:val="21"/>
        </w:rPr>
        <w:t>自本公告发布之日起5个工作日。</w:t>
      </w:r>
    </w:p>
    <w:p>
      <w:pPr>
        <w:spacing w:line="400" w:lineRule="exact"/>
        <w:rPr>
          <w:rFonts w:ascii="宋体" w:hAnsi="宋体"/>
          <w:b/>
          <w:color w:val="auto"/>
          <w:sz w:val="24"/>
          <w:szCs w:val="24"/>
        </w:rPr>
      </w:pPr>
      <w:r>
        <w:rPr>
          <w:rFonts w:hint="eastAsia" w:ascii="宋体" w:hAnsi="宋体"/>
          <w:b/>
          <w:color w:val="auto"/>
          <w:sz w:val="24"/>
          <w:szCs w:val="24"/>
        </w:rPr>
        <w:t>六、其他补充事宜</w:t>
      </w:r>
    </w:p>
    <w:p>
      <w:pPr>
        <w:spacing w:line="400" w:lineRule="exact"/>
        <w:ind w:firstLine="420" w:firstLineChars="200"/>
        <w:rPr>
          <w:rFonts w:ascii="宋体" w:hAnsi="宋体"/>
          <w:color w:val="auto"/>
          <w:szCs w:val="21"/>
        </w:rPr>
      </w:pPr>
      <w:r>
        <w:rPr>
          <w:rFonts w:ascii="宋体" w:hAnsi="宋体"/>
          <w:color w:val="auto"/>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00" w:lineRule="exact"/>
        <w:ind w:firstLine="420" w:firstLineChars="200"/>
        <w:rPr>
          <w:rFonts w:ascii="宋体" w:hAnsi="宋体"/>
          <w:color w:val="auto"/>
          <w:szCs w:val="21"/>
        </w:rPr>
      </w:pPr>
      <w:r>
        <w:rPr>
          <w:rFonts w:ascii="宋体" w:hAnsi="宋体"/>
          <w:color w:val="auto"/>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00" w:lineRule="exact"/>
        <w:ind w:firstLine="420" w:firstLineChars="200"/>
        <w:rPr>
          <w:rFonts w:ascii="宋体" w:hAnsi="宋体"/>
          <w:color w:val="auto"/>
          <w:szCs w:val="21"/>
        </w:rPr>
      </w:pPr>
      <w:r>
        <w:rPr>
          <w:rFonts w:ascii="宋体" w:hAnsi="宋体"/>
          <w:color w:val="auto"/>
          <w:szCs w:val="21"/>
        </w:rPr>
        <w:t xml:space="preserve">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 </w:t>
      </w:r>
    </w:p>
    <w:p>
      <w:pPr>
        <w:spacing w:line="400" w:lineRule="exact"/>
        <w:ind w:firstLine="420" w:firstLineChars="200"/>
        <w:rPr>
          <w:rFonts w:ascii="宋体" w:hAnsi="宋体"/>
          <w:color w:val="auto"/>
          <w:szCs w:val="21"/>
        </w:rPr>
      </w:pPr>
      <w:r>
        <w:rPr>
          <w:rFonts w:ascii="宋体" w:hAnsi="宋体"/>
          <w:color w:val="auto"/>
          <w:szCs w:val="21"/>
        </w:rPr>
        <w:t>4.其他事项：</w:t>
      </w:r>
      <w:r>
        <w:rPr>
          <w:rFonts w:hint="eastAsia" w:ascii="宋体" w:hAnsi="宋体"/>
          <w:color w:val="auto"/>
          <w:szCs w:val="21"/>
        </w:rPr>
        <w:t>（1）潜在供应商应当依照本公告第三条第3款规定方式获取招标文件，其他渠道获取招标文件的，不得对招标文件提起质疑投诉。</w:t>
      </w:r>
    </w:p>
    <w:p>
      <w:pPr>
        <w:spacing w:line="400" w:lineRule="exact"/>
        <w:ind w:firstLine="420" w:firstLineChars="200"/>
        <w:rPr>
          <w:rFonts w:ascii="宋体" w:hAnsi="宋体"/>
          <w:color w:val="auto"/>
          <w:szCs w:val="21"/>
        </w:rPr>
      </w:pPr>
      <w:r>
        <w:rPr>
          <w:rFonts w:hint="eastAsia" w:ascii="宋体" w:hAnsi="宋体"/>
          <w:color w:val="auto"/>
          <w:szCs w:val="21"/>
        </w:rPr>
        <w:t>（2）备份响应文件：供应商自行确定是否提交；若提交请在响应文件截止时间前将备份响应文件打包压缩加密后（未加密造成泄密的由供应商自行承担）以电子邮件的形式发送至971977757@qq.com，备份响应文件在“电子响应文件”在线解密失败后启用，否则不予以启用。</w:t>
      </w:r>
    </w:p>
    <w:p>
      <w:pPr>
        <w:spacing w:line="400" w:lineRule="exact"/>
        <w:rPr>
          <w:rFonts w:ascii="宋体" w:hAnsi="宋体"/>
          <w:color w:val="auto"/>
          <w:szCs w:val="21"/>
        </w:rPr>
      </w:pPr>
      <w:r>
        <w:rPr>
          <w:rFonts w:hint="eastAsia" w:ascii="宋体" w:hAnsi="宋体"/>
          <w:b/>
          <w:color w:val="auto"/>
          <w:sz w:val="24"/>
          <w:szCs w:val="24"/>
        </w:rPr>
        <w:t>七、凡对本次招标提出询问、质疑、投诉，请按以下方式联系</w:t>
      </w:r>
    </w:p>
    <w:p>
      <w:pPr>
        <w:spacing w:line="400" w:lineRule="exact"/>
        <w:ind w:firstLine="420" w:firstLineChars="200"/>
        <w:rPr>
          <w:rFonts w:ascii="宋体" w:hAnsi="宋体"/>
          <w:color w:val="auto"/>
          <w:szCs w:val="21"/>
        </w:rPr>
      </w:pPr>
      <w:r>
        <w:rPr>
          <w:rFonts w:ascii="宋体" w:hAnsi="宋体"/>
          <w:color w:val="auto"/>
          <w:szCs w:val="21"/>
        </w:rPr>
        <w:t>1.采购人信息</w:t>
      </w:r>
    </w:p>
    <w:p>
      <w:pPr>
        <w:spacing w:line="400" w:lineRule="exact"/>
        <w:ind w:firstLine="420" w:firstLineChars="200"/>
        <w:rPr>
          <w:rFonts w:hint="eastAsia" w:ascii="宋体" w:hAnsi="宋体"/>
          <w:color w:val="auto"/>
          <w:szCs w:val="21"/>
        </w:rPr>
      </w:pPr>
      <w:r>
        <w:rPr>
          <w:rFonts w:ascii="宋体" w:hAnsi="宋体"/>
          <w:color w:val="auto"/>
          <w:szCs w:val="21"/>
        </w:rPr>
        <w:t>名</w:t>
      </w:r>
      <w:r>
        <w:rPr>
          <w:rFonts w:hint="eastAsia" w:ascii="宋体" w:hAnsi="宋体"/>
          <w:color w:val="auto"/>
          <w:szCs w:val="21"/>
        </w:rPr>
        <w:t xml:space="preserve">   </w:t>
      </w:r>
      <w:r>
        <w:rPr>
          <w:rFonts w:ascii="宋体" w:hAnsi="宋体"/>
          <w:color w:val="auto"/>
          <w:szCs w:val="21"/>
        </w:rPr>
        <w:t>称：</w:t>
      </w:r>
      <w:r>
        <w:rPr>
          <w:rFonts w:hint="eastAsia" w:ascii="宋体" w:hAnsi="宋体"/>
          <w:color w:val="auto"/>
          <w:szCs w:val="21"/>
        </w:rPr>
        <w:t>青田县自然资源和规划局</w:t>
      </w:r>
    </w:p>
    <w:p>
      <w:pPr>
        <w:spacing w:line="400" w:lineRule="exact"/>
        <w:ind w:firstLine="420" w:firstLineChars="200"/>
        <w:rPr>
          <w:rFonts w:ascii="宋体" w:hAnsi="宋体"/>
          <w:color w:val="auto"/>
          <w:szCs w:val="21"/>
        </w:rPr>
      </w:pPr>
      <w:r>
        <w:rPr>
          <w:rFonts w:ascii="宋体" w:hAnsi="宋体"/>
          <w:color w:val="auto"/>
          <w:szCs w:val="21"/>
        </w:rPr>
        <w:t>地</w:t>
      </w:r>
      <w:r>
        <w:rPr>
          <w:rFonts w:hint="eastAsia" w:ascii="宋体" w:hAnsi="宋体"/>
          <w:color w:val="auto"/>
          <w:szCs w:val="21"/>
        </w:rPr>
        <w:t xml:space="preserve">   </w:t>
      </w:r>
      <w:r>
        <w:rPr>
          <w:rFonts w:ascii="宋体" w:hAnsi="宋体"/>
          <w:color w:val="auto"/>
          <w:szCs w:val="21"/>
        </w:rPr>
        <w:t>址：</w:t>
      </w:r>
      <w:r>
        <w:rPr>
          <w:rFonts w:hint="eastAsia" w:ascii="宋体" w:hAnsi="宋体"/>
          <w:color w:val="auto"/>
        </w:rPr>
        <w:t>青田县鹤城东路285号塔山大楼</w:t>
      </w:r>
    </w:p>
    <w:p>
      <w:pPr>
        <w:spacing w:line="400" w:lineRule="exact"/>
        <w:ind w:firstLine="420" w:firstLineChars="200"/>
        <w:rPr>
          <w:rFonts w:ascii="宋体" w:hAnsi="宋体"/>
          <w:color w:val="auto"/>
          <w:szCs w:val="21"/>
        </w:rPr>
      </w:pPr>
    </w:p>
    <w:p>
      <w:pPr>
        <w:spacing w:line="400" w:lineRule="exact"/>
        <w:ind w:firstLine="420" w:firstLineChars="200"/>
        <w:rPr>
          <w:rFonts w:ascii="宋体" w:hAnsi="宋体"/>
          <w:color w:val="auto"/>
          <w:szCs w:val="21"/>
        </w:rPr>
      </w:pPr>
      <w:r>
        <w:rPr>
          <w:rFonts w:ascii="宋体" w:hAnsi="宋体"/>
          <w:color w:val="auto"/>
          <w:szCs w:val="21"/>
        </w:rPr>
        <w:t>项目联系人（询问）：</w:t>
      </w:r>
      <w:r>
        <w:rPr>
          <w:rFonts w:hint="eastAsia" w:ascii="宋体" w:hAnsi="宋体"/>
          <w:color w:val="auto"/>
        </w:rPr>
        <w:t>杜晓阳</w:t>
      </w:r>
      <w:r>
        <w:rPr>
          <w:rFonts w:ascii="宋体" w:hAnsi="宋体"/>
          <w:color w:val="auto"/>
          <w:szCs w:val="21"/>
        </w:rPr>
        <w:t xml:space="preserve"> </w:t>
      </w:r>
    </w:p>
    <w:p>
      <w:pPr>
        <w:spacing w:line="400" w:lineRule="exact"/>
        <w:ind w:firstLine="420" w:firstLineChars="200"/>
        <w:rPr>
          <w:rFonts w:hint="default" w:ascii="宋体" w:hAnsi="宋体" w:eastAsia="宋体"/>
          <w:color w:val="auto"/>
          <w:szCs w:val="21"/>
          <w:lang w:val="en-US" w:eastAsia="zh-CN"/>
        </w:rPr>
      </w:pPr>
      <w:r>
        <w:rPr>
          <w:rFonts w:ascii="宋体" w:hAnsi="宋体"/>
          <w:color w:val="auto"/>
          <w:szCs w:val="21"/>
        </w:rPr>
        <w:t>项目联系方式（询问）：</w:t>
      </w:r>
      <w:r>
        <w:rPr>
          <w:rFonts w:hint="eastAsia" w:ascii="宋体" w:hAnsi="宋体"/>
          <w:color w:val="auto"/>
          <w:szCs w:val="21"/>
          <w:lang w:val="en-US" w:eastAsia="zh-CN"/>
        </w:rPr>
        <w:t>0578-6033861</w:t>
      </w:r>
    </w:p>
    <w:p>
      <w:pPr>
        <w:spacing w:line="400" w:lineRule="exact"/>
        <w:ind w:firstLine="420" w:firstLineChars="200"/>
        <w:rPr>
          <w:rFonts w:hint="eastAsia" w:ascii="宋体" w:hAnsi="宋体"/>
          <w:color w:val="auto"/>
        </w:rPr>
      </w:pPr>
      <w:r>
        <w:rPr>
          <w:rFonts w:ascii="宋体" w:hAnsi="宋体"/>
          <w:color w:val="auto"/>
          <w:szCs w:val="21"/>
        </w:rPr>
        <w:t>质疑联系人：</w:t>
      </w:r>
      <w:r>
        <w:rPr>
          <w:rFonts w:hint="eastAsia" w:ascii="宋体" w:hAnsi="宋体"/>
          <w:color w:val="auto"/>
          <w:szCs w:val="21"/>
          <w:lang w:eastAsia="zh-CN"/>
        </w:rPr>
        <w:t>项文杰</w:t>
      </w:r>
      <w:r>
        <w:rPr>
          <w:rFonts w:hint="eastAsia" w:ascii="宋体" w:hAnsi="宋体"/>
          <w:color w:val="auto"/>
        </w:rPr>
        <w:t xml:space="preserve"> </w:t>
      </w:r>
    </w:p>
    <w:p>
      <w:pPr>
        <w:spacing w:line="400" w:lineRule="exact"/>
        <w:ind w:firstLine="420" w:firstLineChars="200"/>
        <w:rPr>
          <w:rFonts w:ascii="宋体" w:hAnsi="宋体"/>
          <w:color w:val="auto"/>
        </w:rPr>
      </w:pPr>
      <w:r>
        <w:rPr>
          <w:rFonts w:ascii="宋体" w:hAnsi="宋体"/>
          <w:color w:val="auto"/>
          <w:szCs w:val="21"/>
        </w:rPr>
        <w:t>质疑联系方式：</w:t>
      </w:r>
      <w:r>
        <w:rPr>
          <w:rFonts w:hint="eastAsia" w:ascii="宋体" w:hAnsi="宋体"/>
          <w:color w:val="auto"/>
        </w:rPr>
        <w:t>0578-</w:t>
      </w:r>
      <w:r>
        <w:rPr>
          <w:rFonts w:hint="eastAsia" w:ascii="宋体" w:hAnsi="宋体"/>
          <w:color w:val="auto"/>
          <w:lang w:val="en-US" w:eastAsia="zh-CN"/>
        </w:rPr>
        <w:t>6033855</w:t>
      </w:r>
      <w:r>
        <w:rPr>
          <w:rFonts w:hint="eastAsia" w:ascii="宋体" w:hAnsi="宋体"/>
          <w:color w:val="auto"/>
        </w:rPr>
        <w:t xml:space="preserve"> </w:t>
      </w:r>
      <w:r>
        <w:rPr>
          <w:rFonts w:hint="eastAsia" w:ascii="宋体" w:hAnsi="宋体"/>
          <w:color w:val="auto"/>
          <w:szCs w:val="21"/>
        </w:rPr>
        <w:t xml:space="preserve">  </w:t>
      </w:r>
    </w:p>
    <w:p>
      <w:pPr>
        <w:spacing w:line="400" w:lineRule="exact"/>
        <w:ind w:firstLine="420" w:firstLineChars="200"/>
        <w:rPr>
          <w:rFonts w:ascii="宋体" w:hAnsi="宋体"/>
          <w:color w:val="auto"/>
          <w:szCs w:val="21"/>
        </w:rPr>
      </w:pPr>
      <w:r>
        <w:rPr>
          <w:rFonts w:ascii="宋体" w:hAnsi="宋体"/>
          <w:color w:val="auto"/>
          <w:szCs w:val="21"/>
        </w:rPr>
        <w:t>2.采购代理机构信息</w:t>
      </w:r>
    </w:p>
    <w:p>
      <w:pPr>
        <w:spacing w:line="400" w:lineRule="exact"/>
        <w:ind w:firstLine="420" w:firstLineChars="200"/>
        <w:rPr>
          <w:rFonts w:ascii="宋体" w:hAnsi="宋体"/>
          <w:color w:val="auto"/>
          <w:szCs w:val="21"/>
        </w:rPr>
      </w:pPr>
      <w:r>
        <w:rPr>
          <w:rFonts w:ascii="宋体" w:hAnsi="宋体"/>
          <w:color w:val="auto"/>
          <w:szCs w:val="21"/>
        </w:rPr>
        <w:t>名</w:t>
      </w:r>
      <w:r>
        <w:rPr>
          <w:rFonts w:hint="eastAsia" w:ascii="宋体" w:hAnsi="宋体"/>
          <w:color w:val="auto"/>
          <w:szCs w:val="21"/>
        </w:rPr>
        <w:t xml:space="preserve">   </w:t>
      </w:r>
      <w:r>
        <w:rPr>
          <w:rFonts w:ascii="宋体" w:hAnsi="宋体"/>
          <w:color w:val="auto"/>
          <w:szCs w:val="21"/>
        </w:rPr>
        <w:t>称：浙江浙坤工程管理有限公司</w:t>
      </w:r>
      <w:r>
        <w:rPr>
          <w:rFonts w:hint="eastAsia"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地</w:t>
      </w:r>
      <w:r>
        <w:rPr>
          <w:rFonts w:hint="eastAsia" w:ascii="宋体" w:hAnsi="宋体"/>
          <w:color w:val="auto"/>
          <w:szCs w:val="21"/>
        </w:rPr>
        <w:t xml:space="preserve">   </w:t>
      </w:r>
      <w:r>
        <w:rPr>
          <w:rFonts w:ascii="宋体" w:hAnsi="宋体"/>
          <w:color w:val="auto"/>
          <w:szCs w:val="21"/>
        </w:rPr>
        <w:t>址：浙江省青田县鹤城街道龙东小区13幢一单元302室</w:t>
      </w:r>
      <w:r>
        <w:rPr>
          <w:rFonts w:hint="eastAsia"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项目联系人（询问）：李淑</w:t>
      </w:r>
      <w:r>
        <w:rPr>
          <w:rFonts w:hint="eastAsia"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项目联系方式（询问）：13587132878</w:t>
      </w:r>
    </w:p>
    <w:p>
      <w:pPr>
        <w:spacing w:line="400" w:lineRule="exact"/>
        <w:ind w:firstLine="420" w:firstLineChars="200"/>
        <w:rPr>
          <w:rFonts w:hint="eastAsia" w:ascii="宋体" w:hAnsi="宋体" w:eastAsia="宋体"/>
          <w:color w:val="auto"/>
          <w:szCs w:val="21"/>
          <w:lang w:val="en-US" w:eastAsia="zh-CN"/>
        </w:rPr>
      </w:pPr>
      <w:r>
        <w:rPr>
          <w:rFonts w:ascii="宋体" w:hAnsi="宋体"/>
          <w:color w:val="auto"/>
          <w:szCs w:val="21"/>
        </w:rPr>
        <w:t>质疑联系人：</w:t>
      </w:r>
      <w:r>
        <w:rPr>
          <w:rFonts w:hint="eastAsia" w:ascii="宋体" w:hAnsi="宋体"/>
          <w:color w:val="auto"/>
          <w:szCs w:val="21"/>
          <w:lang w:eastAsia="zh-CN"/>
        </w:rPr>
        <w:t>夏琳</w:t>
      </w:r>
    </w:p>
    <w:p>
      <w:pPr>
        <w:spacing w:line="400" w:lineRule="exact"/>
        <w:ind w:firstLine="420" w:firstLineChars="200"/>
        <w:rPr>
          <w:rFonts w:ascii="宋体" w:hAnsi="宋体"/>
          <w:color w:val="auto"/>
          <w:szCs w:val="21"/>
        </w:rPr>
      </w:pPr>
      <w:r>
        <w:rPr>
          <w:rFonts w:ascii="宋体" w:hAnsi="宋体"/>
          <w:color w:val="auto"/>
          <w:szCs w:val="21"/>
        </w:rPr>
        <w:t>质疑联系方式：</w:t>
      </w:r>
      <w:r>
        <w:rPr>
          <w:rFonts w:hint="eastAsia" w:ascii="宋体" w:hAnsi="宋体"/>
          <w:color w:val="auto"/>
          <w:szCs w:val="21"/>
        </w:rPr>
        <w:t>15990835897 </w:t>
      </w:r>
    </w:p>
    <w:p>
      <w:pPr>
        <w:spacing w:line="400" w:lineRule="exact"/>
        <w:ind w:firstLine="420" w:firstLineChars="200"/>
        <w:rPr>
          <w:rFonts w:ascii="宋体" w:hAnsi="宋体"/>
          <w:color w:val="auto"/>
          <w:szCs w:val="21"/>
        </w:rPr>
      </w:pPr>
      <w:r>
        <w:rPr>
          <w:rFonts w:ascii="宋体" w:hAnsi="宋体"/>
          <w:color w:val="auto"/>
          <w:szCs w:val="21"/>
        </w:rPr>
        <w:t>3.同级政府采购监督管理部门</w:t>
      </w:r>
    </w:p>
    <w:p>
      <w:pPr>
        <w:spacing w:line="400" w:lineRule="exact"/>
        <w:ind w:firstLine="420" w:firstLineChars="200"/>
        <w:rPr>
          <w:rFonts w:ascii="宋体" w:hAnsi="宋体"/>
          <w:color w:val="auto"/>
          <w:szCs w:val="21"/>
        </w:rPr>
      </w:pPr>
      <w:r>
        <w:rPr>
          <w:rFonts w:hint="eastAsia" w:ascii="宋体" w:hAnsi="宋体"/>
          <w:color w:val="auto"/>
          <w:szCs w:val="21"/>
        </w:rPr>
        <w:t>名   称：青田县财政局政府采购监管科 </w:t>
      </w:r>
    </w:p>
    <w:p>
      <w:pPr>
        <w:spacing w:line="400" w:lineRule="exact"/>
        <w:ind w:firstLine="420" w:firstLineChars="200"/>
        <w:rPr>
          <w:rFonts w:ascii="宋体" w:hAnsi="宋体"/>
          <w:color w:val="auto"/>
          <w:szCs w:val="21"/>
        </w:rPr>
      </w:pPr>
      <w:r>
        <w:rPr>
          <w:rFonts w:ascii="宋体" w:hAnsi="宋体"/>
          <w:color w:val="auto"/>
          <w:szCs w:val="21"/>
        </w:rPr>
        <w:t>地</w:t>
      </w:r>
      <w:r>
        <w:rPr>
          <w:rFonts w:hint="eastAsia" w:ascii="宋体" w:hAnsi="宋体"/>
          <w:color w:val="auto"/>
          <w:szCs w:val="21"/>
        </w:rPr>
        <w:t xml:space="preserve">   </w:t>
      </w:r>
      <w:r>
        <w:rPr>
          <w:rFonts w:ascii="宋体" w:hAnsi="宋体"/>
          <w:color w:val="auto"/>
          <w:szCs w:val="21"/>
        </w:rPr>
        <w:t>址：浙江省青田县临江东路1号</w:t>
      </w:r>
      <w:r>
        <w:rPr>
          <w:rFonts w:hint="eastAsia"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传</w:t>
      </w:r>
      <w:r>
        <w:rPr>
          <w:rFonts w:hint="eastAsia" w:ascii="宋体" w:hAnsi="宋体"/>
          <w:color w:val="auto"/>
          <w:szCs w:val="21"/>
        </w:rPr>
        <w:t xml:space="preserve">   </w:t>
      </w:r>
      <w:r>
        <w:rPr>
          <w:rFonts w:ascii="宋体" w:hAnsi="宋体"/>
          <w:color w:val="auto"/>
          <w:szCs w:val="21"/>
        </w:rPr>
        <w:t>真：0578-6830575</w:t>
      </w:r>
      <w:r>
        <w:rPr>
          <w:rFonts w:hint="eastAsia"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联系人 ：吴建飞</w:t>
      </w:r>
      <w:r>
        <w:rPr>
          <w:rFonts w:hint="eastAsia" w:ascii="宋体" w:hAnsi="宋体"/>
          <w:color w:val="auto"/>
          <w:szCs w:val="21"/>
        </w:rPr>
        <w:t> </w:t>
      </w:r>
    </w:p>
    <w:p>
      <w:pPr>
        <w:spacing w:line="400" w:lineRule="exact"/>
        <w:ind w:firstLine="420" w:firstLineChars="200"/>
        <w:rPr>
          <w:rFonts w:ascii="宋体" w:hAnsi="宋体"/>
          <w:color w:val="auto"/>
          <w:szCs w:val="21"/>
        </w:rPr>
      </w:pPr>
      <w:r>
        <w:rPr>
          <w:rFonts w:ascii="宋体" w:hAnsi="宋体"/>
          <w:color w:val="auto"/>
          <w:szCs w:val="21"/>
        </w:rPr>
        <w:t>监督投诉电话：0578-6826642</w:t>
      </w:r>
    </w:p>
    <w:p>
      <w:pPr>
        <w:pStyle w:val="23"/>
        <w:spacing w:before="75" w:beforeAutospacing="0" w:after="75" w:afterAutospacing="0"/>
        <w:rPr>
          <w:color w:val="auto"/>
        </w:rPr>
      </w:pPr>
    </w:p>
    <w:p>
      <w:pPr>
        <w:pStyle w:val="24"/>
        <w:spacing w:before="0" w:after="0" w:line="360" w:lineRule="auto"/>
        <w:rPr>
          <w:rFonts w:ascii="仿宋" w:hAnsi="仿宋" w:eastAsia="仿宋" w:cs="宋体"/>
          <w:color w:val="auto"/>
          <w:sz w:val="48"/>
          <w:szCs w:val="48"/>
        </w:rPr>
      </w:pPr>
      <w:r>
        <w:rPr>
          <w:rFonts w:ascii="仿宋" w:hAnsi="仿宋" w:eastAsia="仿宋" w:cs="宋体"/>
          <w:color w:val="auto"/>
          <w:kern w:val="0"/>
          <w:sz w:val="24"/>
        </w:rPr>
        <w:br w:type="page"/>
      </w:r>
      <w:bookmarkStart w:id="19" w:name="_Toc4281"/>
      <w:bookmarkStart w:id="20" w:name="_Toc105577172"/>
      <w:bookmarkStart w:id="21" w:name="_Toc530551805"/>
      <w:bookmarkStart w:id="22" w:name="_Toc531358960"/>
      <w:bookmarkStart w:id="23" w:name="_Toc100322204"/>
      <w:r>
        <w:rPr>
          <w:rFonts w:hint="eastAsia" w:ascii="仿宋" w:hAnsi="仿宋" w:eastAsia="仿宋" w:cs="宋体"/>
          <w:color w:val="auto"/>
          <w:sz w:val="48"/>
          <w:szCs w:val="48"/>
        </w:rPr>
        <w:t>第二章  招标需求</w:t>
      </w:r>
      <w:bookmarkEnd w:id="19"/>
      <w:bookmarkEnd w:id="20"/>
      <w:bookmarkEnd w:id="21"/>
      <w:bookmarkEnd w:id="22"/>
      <w:bookmarkEnd w:id="23"/>
    </w:p>
    <w:p>
      <w:pPr>
        <w:spacing w:line="360" w:lineRule="auto"/>
        <w:rPr>
          <w:rFonts w:ascii="宋体" w:hAnsi="宋体" w:cs="宋体"/>
          <w:b/>
          <w:color w:val="auto"/>
          <w:sz w:val="24"/>
        </w:rPr>
      </w:pPr>
      <w:bookmarkStart w:id="24" w:name="_Toc105577173"/>
      <w:r>
        <w:rPr>
          <w:rFonts w:hint="eastAsia" w:ascii="宋体" w:hAnsi="宋体" w:cs="宋体"/>
          <w:b/>
          <w:color w:val="auto"/>
          <w:sz w:val="24"/>
        </w:rPr>
        <w:t>一、项目背景</w:t>
      </w:r>
    </w:p>
    <w:p>
      <w:pPr>
        <w:spacing w:line="360" w:lineRule="auto"/>
        <w:ind w:right="-197" w:rightChars="-94" w:firstLine="420" w:firstLineChars="200"/>
        <w:jc w:val="left"/>
        <w:rPr>
          <w:rFonts w:ascii="宋体" w:hAnsi="宋体"/>
          <w:color w:val="auto"/>
          <w:szCs w:val="21"/>
        </w:rPr>
      </w:pPr>
      <w:r>
        <w:rPr>
          <w:rFonts w:hint="eastAsia" w:ascii="宋体" w:hAnsi="宋体"/>
          <w:color w:val="auto"/>
          <w:szCs w:val="21"/>
        </w:rPr>
        <w:t>为全面贯彻落实《自然资源部关于加快完成集体土地所有权确权登记成果更新汇交的通知》和《浙江省自然资源厅关于印发〈浙江省集体土地所有权确权登记成果更新汇交工作实施方案〉的通知》文件精神，为依法维护农民土地权益,支撑集体经营性建设用地入市等自然资源改革工作,在2012年完成的我县集体土地所有权确权登记成果的基础上，计划用两年时间全面更新汇交集体土地所有权确权登记成果，高标准完成我县集体土地所有权更新任务，结合青田县实际情况，实施本次招标。</w:t>
      </w:r>
    </w:p>
    <w:p>
      <w:pPr>
        <w:pStyle w:val="59"/>
        <w:spacing w:line="360" w:lineRule="auto"/>
        <w:ind w:firstLine="198" w:firstLineChars="82"/>
        <w:jc w:val="left"/>
        <w:rPr>
          <w:rFonts w:ascii="宋体" w:hAnsi="宋体" w:cs="宋体"/>
          <w:b/>
          <w:color w:val="auto"/>
          <w:sz w:val="24"/>
        </w:rPr>
      </w:pPr>
      <w:r>
        <w:rPr>
          <w:rFonts w:hint="eastAsia" w:ascii="宋体" w:hAnsi="宋体" w:cs="宋体"/>
          <w:b/>
          <w:color w:val="auto"/>
          <w:sz w:val="24"/>
        </w:rPr>
        <w:t>二、总体要求</w:t>
      </w:r>
    </w:p>
    <w:p>
      <w:pPr>
        <w:pStyle w:val="59"/>
        <w:numPr>
          <w:ilvl w:val="0"/>
          <w:numId w:val="1"/>
        </w:numPr>
        <w:spacing w:line="360" w:lineRule="auto"/>
        <w:ind w:firstLine="420"/>
        <w:jc w:val="left"/>
        <w:rPr>
          <w:rFonts w:ascii="宋体" w:hAnsi="宋体"/>
          <w:color w:val="auto"/>
          <w:szCs w:val="21"/>
        </w:rPr>
      </w:pPr>
      <w:r>
        <w:rPr>
          <w:rFonts w:hint="eastAsia" w:ascii="宋体" w:hAnsi="宋体"/>
          <w:color w:val="auto"/>
          <w:szCs w:val="21"/>
        </w:rPr>
        <w:t>工作范围</w:t>
      </w:r>
    </w:p>
    <w:p>
      <w:pPr>
        <w:pStyle w:val="59"/>
        <w:spacing w:line="360" w:lineRule="auto"/>
        <w:ind w:firstLine="472" w:firstLineChars="225"/>
        <w:jc w:val="left"/>
        <w:rPr>
          <w:rFonts w:ascii="宋体" w:hAnsi="宋体"/>
          <w:color w:val="auto"/>
          <w:szCs w:val="21"/>
        </w:rPr>
      </w:pPr>
      <w:r>
        <w:rPr>
          <w:rFonts w:hint="eastAsia" w:ascii="宋体" w:hAnsi="宋体"/>
          <w:color w:val="auto"/>
          <w:szCs w:val="21"/>
        </w:rPr>
        <w:t>青田县辖区范围内全部集体所有土地。充分利用集体土地所有权确权登记成果，分类开展成果整理入库、更新、汇交等工作。登记信息补录要严格依据法定登记资料，不得随意修改已有登记成果。存在错误的，须通过法定程序才能更正。暂时无法解决的，保持原有数据现状，在备注中予以标注。</w:t>
      </w:r>
    </w:p>
    <w:p>
      <w:pPr>
        <w:pStyle w:val="59"/>
        <w:spacing w:line="360" w:lineRule="auto"/>
        <w:ind w:firstLine="367" w:firstLineChars="175"/>
        <w:jc w:val="left"/>
        <w:rPr>
          <w:rFonts w:ascii="宋体" w:hAnsi="宋体"/>
          <w:color w:val="auto"/>
          <w:szCs w:val="21"/>
        </w:rPr>
      </w:pPr>
      <w:r>
        <w:rPr>
          <w:rFonts w:hint="eastAsia" w:ascii="宋体" w:hAnsi="宋体"/>
          <w:color w:val="auto"/>
          <w:szCs w:val="21"/>
        </w:rPr>
        <w:t>（二）工作依据</w:t>
      </w:r>
    </w:p>
    <w:p>
      <w:pPr>
        <w:spacing w:line="360" w:lineRule="auto"/>
        <w:ind w:firstLine="371" w:firstLineChars="177"/>
        <w:jc w:val="left"/>
        <w:rPr>
          <w:rFonts w:ascii="宋体" w:hAnsi="宋体"/>
          <w:color w:val="auto"/>
          <w:szCs w:val="21"/>
        </w:rPr>
      </w:pPr>
      <w:r>
        <w:rPr>
          <w:rFonts w:hint="eastAsia" w:ascii="宋体" w:hAnsi="宋体"/>
          <w:color w:val="auto"/>
          <w:szCs w:val="21"/>
        </w:rPr>
        <w:t>1.法规和政策文件</w:t>
      </w:r>
    </w:p>
    <w:p>
      <w:pPr>
        <w:spacing w:line="360" w:lineRule="auto"/>
        <w:ind w:firstLine="420" w:firstLineChars="200"/>
        <w:jc w:val="left"/>
        <w:rPr>
          <w:rFonts w:ascii="宋体" w:hAnsi="宋体"/>
          <w:color w:val="auto"/>
          <w:szCs w:val="21"/>
        </w:rPr>
      </w:pPr>
      <w:r>
        <w:rPr>
          <w:rFonts w:hint="eastAsia" w:ascii="宋体" w:hAnsi="宋体"/>
          <w:color w:val="auto"/>
          <w:szCs w:val="21"/>
        </w:rPr>
        <w:t>《不动产登记暂行条例》（国务院令第656号）、《土地管理法实施条例》（国务院令第743号），《土地权属争议调查处理办法》（国土资源部令第17号）、《不动产登记暂行条例实施细则》（国土资源部令第63号）、《国土资源部 财政部 农业部关于加快推进农村集体土地确权登记发证工作的通知》（国土资发〔2011〕60号）、《国土资源部 中央农村工作领导小组办公室 财政部 农业部关于农村集体土地确权登记发证的若干意见》（国土资发〔2011〕178号）、《自然资源部关于加快完成集体土地所有权确权登记成果更新汇交的通知》（自然资发〔2022〕19 号)、《浙江省集体土地所有权确权登记成果更新汇交工作实施方案》等。</w:t>
      </w:r>
    </w:p>
    <w:p>
      <w:pPr>
        <w:spacing w:line="360" w:lineRule="auto"/>
        <w:ind w:firstLine="420" w:firstLineChars="200"/>
        <w:jc w:val="left"/>
        <w:rPr>
          <w:rFonts w:ascii="宋体" w:hAnsi="宋体"/>
          <w:color w:val="auto"/>
          <w:szCs w:val="21"/>
        </w:rPr>
      </w:pPr>
      <w:r>
        <w:rPr>
          <w:rFonts w:hint="eastAsia" w:ascii="宋体" w:hAnsi="宋体"/>
          <w:color w:val="auto"/>
          <w:szCs w:val="21"/>
        </w:rPr>
        <w:t>2.技术标准规范</w:t>
      </w:r>
    </w:p>
    <w:p>
      <w:pPr>
        <w:spacing w:line="360" w:lineRule="auto"/>
        <w:ind w:firstLine="420" w:firstLineChars="200"/>
        <w:jc w:val="left"/>
        <w:rPr>
          <w:rFonts w:ascii="宋体" w:hAnsi="宋体" w:cs="宋体"/>
          <w:color w:val="auto"/>
          <w:sz w:val="24"/>
        </w:rPr>
      </w:pPr>
      <w:r>
        <w:rPr>
          <w:rFonts w:hint="eastAsia" w:ascii="宋体" w:hAnsi="宋体"/>
          <w:color w:val="auto"/>
          <w:szCs w:val="21"/>
        </w:rPr>
        <w:t>《不动产登记数据库标准》（TD/T1066—2021）、《不动产登记数据整合建库技术规范》（TD/T1067—202l）、《不动产登记存量数据成果汇交规范（202l年修订版）》《不动产登记信息管理基础平台接入技术规范（2021年修订版）》《地籍调查规程》（TD/T100l—2012）、《不动产单元设定与代码编制规则》</w:t>
      </w:r>
      <w:r>
        <w:rPr>
          <w:rFonts w:hint="eastAsia" w:ascii="宋体" w:hAnsi="宋体" w:cs="宋体"/>
          <w:color w:val="auto"/>
          <w:sz w:val="24"/>
        </w:rPr>
        <w:t>（GB/T37346—2019）等。</w:t>
      </w:r>
    </w:p>
    <w:p>
      <w:pPr>
        <w:spacing w:line="360" w:lineRule="auto"/>
        <w:ind w:firstLine="420" w:firstLineChars="200"/>
        <w:jc w:val="left"/>
        <w:rPr>
          <w:rFonts w:ascii="宋体" w:hAnsi="宋体"/>
          <w:color w:val="auto"/>
          <w:szCs w:val="21"/>
        </w:rPr>
      </w:pPr>
      <w:r>
        <w:rPr>
          <w:rFonts w:hint="eastAsia" w:ascii="宋体" w:hAnsi="宋体"/>
          <w:color w:val="auto"/>
          <w:szCs w:val="21"/>
        </w:rPr>
        <w:t>3.其他规范要求</w:t>
      </w:r>
    </w:p>
    <w:p>
      <w:pPr>
        <w:spacing w:line="360" w:lineRule="auto"/>
        <w:ind w:firstLine="420" w:firstLineChars="200"/>
        <w:jc w:val="left"/>
        <w:rPr>
          <w:rFonts w:ascii="宋体" w:hAnsi="宋体"/>
          <w:color w:val="auto"/>
          <w:szCs w:val="21"/>
        </w:rPr>
      </w:pPr>
      <w:r>
        <w:rPr>
          <w:rFonts w:hint="eastAsia" w:ascii="宋体" w:hAnsi="宋体"/>
          <w:color w:val="auto"/>
          <w:szCs w:val="21"/>
        </w:rPr>
        <w:t>执行自然资源部和浙江省自然资源厅最新规范和工作要求。</w:t>
      </w:r>
    </w:p>
    <w:p>
      <w:pPr>
        <w:spacing w:line="360" w:lineRule="auto"/>
        <w:ind w:firstLine="420" w:firstLineChars="200"/>
        <w:jc w:val="left"/>
        <w:rPr>
          <w:rFonts w:ascii="宋体" w:hAnsi="宋体"/>
          <w:color w:val="auto"/>
          <w:szCs w:val="21"/>
        </w:rPr>
      </w:pPr>
      <w:r>
        <w:rPr>
          <w:rFonts w:hint="eastAsia" w:ascii="宋体" w:hAnsi="宋体"/>
          <w:color w:val="auto"/>
          <w:szCs w:val="21"/>
        </w:rPr>
        <w:t>（三）数学基础</w:t>
      </w:r>
    </w:p>
    <w:p>
      <w:pPr>
        <w:spacing w:line="360" w:lineRule="auto"/>
        <w:ind w:firstLine="420" w:firstLineChars="200"/>
        <w:jc w:val="left"/>
        <w:rPr>
          <w:rFonts w:ascii="宋体" w:hAnsi="宋体"/>
          <w:color w:val="auto"/>
          <w:szCs w:val="21"/>
        </w:rPr>
      </w:pPr>
      <w:r>
        <w:rPr>
          <w:rFonts w:hint="eastAsia" w:ascii="宋体" w:hAnsi="宋体"/>
          <w:color w:val="auto"/>
          <w:szCs w:val="21"/>
        </w:rPr>
        <w:t>1.坐标系统:采用2000国家大地坐标系，高斯-克吕格投影，3°分带。</w:t>
      </w:r>
    </w:p>
    <w:p>
      <w:pPr>
        <w:spacing w:line="360" w:lineRule="auto"/>
        <w:ind w:firstLine="420" w:firstLineChars="200"/>
        <w:jc w:val="left"/>
        <w:rPr>
          <w:rFonts w:ascii="宋体" w:hAnsi="宋体"/>
          <w:color w:val="auto"/>
          <w:szCs w:val="21"/>
        </w:rPr>
      </w:pPr>
      <w:r>
        <w:rPr>
          <w:rFonts w:hint="eastAsia" w:ascii="宋体" w:hAnsi="宋体"/>
          <w:color w:val="auto"/>
          <w:szCs w:val="21"/>
        </w:rPr>
        <w:t>2.高程基准:采用1985国家高程基准。</w:t>
      </w:r>
    </w:p>
    <w:p>
      <w:pPr>
        <w:spacing w:line="360" w:lineRule="auto"/>
        <w:ind w:firstLine="840" w:firstLineChars="400"/>
        <w:jc w:val="left"/>
        <w:rPr>
          <w:rFonts w:ascii="宋体" w:hAnsi="宋体"/>
          <w:color w:val="auto"/>
          <w:szCs w:val="21"/>
        </w:rPr>
      </w:pPr>
      <w:r>
        <w:rPr>
          <w:rFonts w:hint="eastAsia" w:ascii="宋体" w:hAnsi="宋体"/>
          <w:color w:val="auto"/>
          <w:szCs w:val="21"/>
        </w:rPr>
        <w:t>3.比例尺：更新部分调查比例尺不小于1∶2000，权属未发生变化部分按原有调查比例尺。</w:t>
      </w:r>
    </w:p>
    <w:p>
      <w:pPr>
        <w:spacing w:line="360" w:lineRule="auto"/>
        <w:ind w:firstLine="840" w:firstLineChars="400"/>
        <w:jc w:val="left"/>
        <w:rPr>
          <w:rFonts w:ascii="宋体" w:hAnsi="宋体"/>
          <w:color w:val="auto"/>
          <w:szCs w:val="21"/>
        </w:rPr>
      </w:pPr>
      <w:r>
        <w:rPr>
          <w:rFonts w:hint="eastAsia" w:ascii="宋体" w:hAnsi="宋体"/>
          <w:color w:val="auto"/>
          <w:szCs w:val="21"/>
        </w:rPr>
        <w:t>4.计量单位：</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（1）长度单位采用米（m），保留两位小数。</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（2）面积单位采用平方米（㎡），保留两位小数。</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（3）面积统计汇总单位采用公顷（</w:t>
      </w:r>
      <w:r>
        <w:rPr>
          <w:rFonts w:ascii="宋体" w:hAnsi="宋体"/>
          <w:color w:val="auto"/>
          <w:szCs w:val="21"/>
        </w:rPr>
        <w:t>h</w:t>
      </w:r>
      <w:r>
        <w:rPr>
          <w:rFonts w:hint="eastAsia" w:ascii="宋体" w:hAnsi="宋体"/>
          <w:color w:val="auto"/>
          <w:szCs w:val="21"/>
        </w:rPr>
        <w:t>㎡），保留两位小数，可将亩（mu）作为辅助单位，保留两位小数。</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（4）界址点坐标单位采用米（m），保留三位小数。</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（5）界址点边长单位采用米（m），保留两位小数。</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5.精度要求：</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（1）图解界址点点位中误差不超过±1.5m，图解界址点误差为±3m，山地、森林及隐蔽地区可放宽至1.5倍。</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（2）实测界址点点位中误差不超过±0.1m，实测界址点误差为0.2m，山地、森林及隐蔽地区可放宽至1.5倍。</w:t>
      </w:r>
    </w:p>
    <w:p>
      <w:pPr>
        <w:spacing w:line="360" w:lineRule="auto"/>
        <w:ind w:left="424" w:leftChars="202" w:firstLine="371" w:firstLineChars="177"/>
        <w:jc w:val="left"/>
        <w:rPr>
          <w:rFonts w:ascii="宋体" w:hAnsi="宋体"/>
          <w:color w:val="auto"/>
          <w:szCs w:val="21"/>
        </w:rPr>
      </w:pPr>
      <w:r>
        <w:rPr>
          <w:rFonts w:hint="eastAsia" w:ascii="宋体" w:hAnsi="宋体"/>
          <w:color w:val="auto"/>
          <w:szCs w:val="21"/>
        </w:rPr>
        <w:t>（四）工作内容</w:t>
      </w:r>
    </w:p>
    <w:tbl>
      <w:tblPr>
        <w:tblStyle w:val="26"/>
        <w:tblW w:w="7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241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83" w:type="dxa"/>
            <w:shd w:val="clear" w:color="auto" w:fill="D9D9D9"/>
            <w:vAlign w:val="center"/>
          </w:tcPr>
          <w:p>
            <w:pPr>
              <w:spacing w:line="380" w:lineRule="exact"/>
              <w:jc w:val="center"/>
              <w:rPr>
                <w:rFonts w:ascii="宋体" w:hAnsi="宋体" w:cs="仿宋"/>
                <w:bCs/>
                <w:color w:val="auto"/>
                <w:sz w:val="24"/>
                <w:lang w:val="en"/>
              </w:rPr>
            </w:pPr>
            <w:r>
              <w:rPr>
                <w:rFonts w:hint="eastAsia" w:ascii="宋体" w:hAnsi="宋体" w:cs="仿宋"/>
                <w:bCs/>
                <w:color w:val="auto"/>
                <w:sz w:val="24"/>
                <w:lang w:val="en"/>
              </w:rPr>
              <w:t>序号</w:t>
            </w:r>
          </w:p>
        </w:tc>
        <w:tc>
          <w:tcPr>
            <w:tcW w:w="2410" w:type="dxa"/>
            <w:shd w:val="clear" w:color="auto" w:fill="D9D9D9"/>
            <w:vAlign w:val="center"/>
          </w:tcPr>
          <w:p>
            <w:pPr>
              <w:spacing w:line="380" w:lineRule="exact"/>
              <w:jc w:val="center"/>
              <w:rPr>
                <w:rFonts w:ascii="宋体" w:hAnsi="宋体" w:cs="仿宋"/>
                <w:bCs/>
                <w:color w:val="auto"/>
                <w:sz w:val="24"/>
                <w:lang w:val="en"/>
              </w:rPr>
            </w:pPr>
            <w:r>
              <w:rPr>
                <w:rFonts w:hint="eastAsia" w:ascii="宋体" w:hAnsi="宋体" w:cs="仿宋"/>
                <w:bCs/>
                <w:color w:val="auto"/>
                <w:sz w:val="24"/>
                <w:lang w:val="en"/>
              </w:rPr>
              <w:t>服务内容</w:t>
            </w:r>
          </w:p>
        </w:tc>
        <w:tc>
          <w:tcPr>
            <w:tcW w:w="4410" w:type="dxa"/>
            <w:shd w:val="clear" w:color="auto" w:fill="D9D9D9"/>
            <w:vAlign w:val="center"/>
          </w:tcPr>
          <w:p>
            <w:pPr>
              <w:spacing w:line="380" w:lineRule="exact"/>
              <w:jc w:val="center"/>
              <w:rPr>
                <w:rFonts w:ascii="宋体" w:hAnsi="宋体" w:cs="仿宋"/>
                <w:bCs/>
                <w:color w:val="auto"/>
                <w:sz w:val="24"/>
                <w:lang w:val="en"/>
              </w:rPr>
            </w:pPr>
            <w:r>
              <w:rPr>
                <w:rFonts w:hint="eastAsia" w:ascii="宋体" w:hAnsi="宋体" w:cs="仿宋"/>
                <w:bCs/>
                <w:color w:val="auto"/>
                <w:sz w:val="24"/>
                <w:lang w:val="en"/>
              </w:rPr>
              <w:t>分项内容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83" w:type="dxa"/>
            <w:vMerge w:val="restart"/>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1</w:t>
            </w:r>
          </w:p>
        </w:tc>
        <w:tc>
          <w:tcPr>
            <w:tcW w:w="2410" w:type="dxa"/>
            <w:vMerge w:val="restart"/>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数据收集分析、转换</w:t>
            </w:r>
          </w:p>
        </w:tc>
        <w:tc>
          <w:tcPr>
            <w:tcW w:w="4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数据收集与分析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83" w:type="dxa"/>
            <w:vMerge w:val="continue"/>
            <w:shd w:val="clear" w:color="auto" w:fill="auto"/>
            <w:vAlign w:val="center"/>
          </w:tcPr>
          <w:p>
            <w:pPr>
              <w:spacing w:line="380" w:lineRule="exact"/>
              <w:jc w:val="center"/>
              <w:rPr>
                <w:rFonts w:ascii="宋体" w:hAnsi="宋体"/>
                <w:color w:val="auto"/>
                <w:szCs w:val="21"/>
              </w:rPr>
            </w:pPr>
          </w:p>
        </w:tc>
        <w:tc>
          <w:tcPr>
            <w:tcW w:w="2410" w:type="dxa"/>
            <w:vMerge w:val="continue"/>
            <w:shd w:val="clear" w:color="auto" w:fill="auto"/>
            <w:vAlign w:val="center"/>
          </w:tcPr>
          <w:p>
            <w:pPr>
              <w:spacing w:line="380" w:lineRule="exact"/>
              <w:jc w:val="center"/>
              <w:rPr>
                <w:rFonts w:ascii="宋体" w:hAnsi="宋体"/>
                <w:color w:val="auto"/>
                <w:szCs w:val="21"/>
              </w:rPr>
            </w:pPr>
          </w:p>
        </w:tc>
        <w:tc>
          <w:tcPr>
            <w:tcW w:w="4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原有数据转换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783"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2</w:t>
            </w:r>
          </w:p>
        </w:tc>
        <w:tc>
          <w:tcPr>
            <w:tcW w:w="2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农村集体土地所有权确权登记成果调查更新</w:t>
            </w:r>
          </w:p>
        </w:tc>
        <w:tc>
          <w:tcPr>
            <w:tcW w:w="4410" w:type="dxa"/>
            <w:shd w:val="clear" w:color="auto" w:fill="auto"/>
            <w:vAlign w:val="center"/>
          </w:tcPr>
          <w:p>
            <w:pPr>
              <w:spacing w:line="380" w:lineRule="exact"/>
              <w:jc w:val="left"/>
              <w:rPr>
                <w:rFonts w:ascii="宋体" w:hAnsi="宋体"/>
                <w:color w:val="auto"/>
                <w:szCs w:val="21"/>
              </w:rPr>
            </w:pPr>
            <w:r>
              <w:rPr>
                <w:rFonts w:hint="eastAsia" w:ascii="宋体" w:hAnsi="宋体"/>
                <w:color w:val="auto"/>
                <w:szCs w:val="21"/>
              </w:rPr>
              <w:t>对2012年以来发生权属变化的宗地，以及原有登记成果存在错误登记的宗地，按照不动产权籍调查和集体土地所有权确权登记相关规定，组织开展外业补充调查后，进行权属信息和登记成果更新。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83" w:type="dxa"/>
            <w:vMerge w:val="restart"/>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3</w:t>
            </w:r>
          </w:p>
        </w:tc>
        <w:tc>
          <w:tcPr>
            <w:tcW w:w="2410" w:type="dxa"/>
            <w:vMerge w:val="restart"/>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数据整合关联、入库</w:t>
            </w:r>
          </w:p>
        </w:tc>
        <w:tc>
          <w:tcPr>
            <w:tcW w:w="4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数据整合关联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83" w:type="dxa"/>
            <w:vMerge w:val="continue"/>
            <w:shd w:val="clear" w:color="auto" w:fill="auto"/>
            <w:vAlign w:val="center"/>
          </w:tcPr>
          <w:p>
            <w:pPr>
              <w:spacing w:line="380" w:lineRule="exact"/>
              <w:jc w:val="center"/>
              <w:rPr>
                <w:rFonts w:ascii="宋体" w:hAnsi="宋体"/>
                <w:color w:val="auto"/>
                <w:szCs w:val="21"/>
              </w:rPr>
            </w:pPr>
          </w:p>
        </w:tc>
        <w:tc>
          <w:tcPr>
            <w:tcW w:w="2410" w:type="dxa"/>
            <w:vMerge w:val="continue"/>
            <w:shd w:val="clear" w:color="auto" w:fill="auto"/>
            <w:vAlign w:val="center"/>
          </w:tcPr>
          <w:p>
            <w:pPr>
              <w:spacing w:line="380" w:lineRule="exact"/>
              <w:jc w:val="center"/>
              <w:rPr>
                <w:rFonts w:ascii="宋体" w:hAnsi="宋体"/>
                <w:color w:val="auto"/>
                <w:szCs w:val="21"/>
              </w:rPr>
            </w:pPr>
          </w:p>
        </w:tc>
        <w:tc>
          <w:tcPr>
            <w:tcW w:w="4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数据入库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3" w:type="dxa"/>
            <w:shd w:val="clear" w:color="auto" w:fill="auto"/>
            <w:vAlign w:val="center"/>
          </w:tcPr>
          <w:p>
            <w:pPr>
              <w:spacing w:line="380" w:lineRule="exact"/>
              <w:jc w:val="center"/>
              <w:rPr>
                <w:rFonts w:ascii="宋体" w:hAnsi="宋体" w:cs="仿宋"/>
                <w:color w:val="auto"/>
                <w:szCs w:val="21"/>
              </w:rPr>
            </w:pPr>
            <w:r>
              <w:rPr>
                <w:rFonts w:hint="eastAsia" w:ascii="宋体" w:hAnsi="宋体" w:cs="仿宋"/>
                <w:color w:val="auto"/>
                <w:szCs w:val="21"/>
              </w:rPr>
              <w:t>4</w:t>
            </w:r>
          </w:p>
        </w:tc>
        <w:tc>
          <w:tcPr>
            <w:tcW w:w="2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质检及成果汇交</w:t>
            </w:r>
          </w:p>
        </w:tc>
        <w:tc>
          <w:tcPr>
            <w:tcW w:w="4410" w:type="dxa"/>
            <w:shd w:val="clear" w:color="auto" w:fill="auto"/>
            <w:vAlign w:val="center"/>
          </w:tcPr>
          <w:p>
            <w:pPr>
              <w:spacing w:line="380" w:lineRule="exact"/>
              <w:jc w:val="left"/>
              <w:rPr>
                <w:rFonts w:ascii="宋体" w:hAnsi="宋体"/>
                <w:color w:val="auto"/>
                <w:szCs w:val="21"/>
              </w:rPr>
            </w:pPr>
            <w:r>
              <w:rPr>
                <w:rFonts w:hint="eastAsia" w:ascii="宋体" w:hAnsi="宋体"/>
                <w:color w:val="auto"/>
                <w:szCs w:val="21"/>
              </w:rPr>
              <w:t>按照上级方案和要求完成转换成果和更新汇交成果后开展自查和质检，对查出的问题进行修改完善，包括省级和国家级检查出来的问题。并协助招标人进行数据汇交。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3" w:type="dxa"/>
            <w:shd w:val="clear" w:color="auto" w:fill="auto"/>
            <w:vAlign w:val="center"/>
          </w:tcPr>
          <w:p>
            <w:pPr>
              <w:spacing w:line="380" w:lineRule="exact"/>
              <w:jc w:val="center"/>
              <w:rPr>
                <w:rFonts w:ascii="宋体" w:hAnsi="宋体" w:cs="仿宋"/>
                <w:color w:val="auto"/>
                <w:szCs w:val="21"/>
              </w:rPr>
            </w:pPr>
            <w:r>
              <w:rPr>
                <w:rFonts w:hint="eastAsia" w:ascii="宋体" w:hAnsi="宋体" w:cs="仿宋"/>
                <w:color w:val="auto"/>
                <w:szCs w:val="21"/>
              </w:rPr>
              <w:t>5</w:t>
            </w:r>
          </w:p>
        </w:tc>
        <w:tc>
          <w:tcPr>
            <w:tcW w:w="2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档案数字化</w:t>
            </w:r>
          </w:p>
        </w:tc>
        <w:tc>
          <w:tcPr>
            <w:tcW w:w="4410" w:type="dxa"/>
            <w:shd w:val="clear" w:color="auto" w:fill="auto"/>
            <w:vAlign w:val="center"/>
          </w:tcPr>
          <w:p>
            <w:pPr>
              <w:spacing w:line="380" w:lineRule="exact"/>
              <w:jc w:val="left"/>
              <w:rPr>
                <w:rFonts w:ascii="宋体" w:hAnsi="宋体"/>
                <w:color w:val="auto"/>
                <w:szCs w:val="21"/>
              </w:rPr>
            </w:pPr>
            <w:r>
              <w:rPr>
                <w:rFonts w:hint="eastAsia" w:ascii="宋体" w:hAnsi="宋体"/>
                <w:color w:val="auto"/>
                <w:szCs w:val="21"/>
              </w:rPr>
              <w:t>数据更新过程中产生的纸质档案（含登记档案）进行整理、装订和扫描数字化。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3" w:type="dxa"/>
            <w:shd w:val="clear" w:color="auto" w:fill="auto"/>
            <w:vAlign w:val="center"/>
          </w:tcPr>
          <w:p>
            <w:pPr>
              <w:spacing w:line="380" w:lineRule="exact"/>
              <w:jc w:val="center"/>
              <w:rPr>
                <w:rFonts w:ascii="宋体" w:hAnsi="宋体" w:cs="仿宋"/>
                <w:color w:val="auto"/>
                <w:szCs w:val="21"/>
              </w:rPr>
            </w:pPr>
            <w:r>
              <w:rPr>
                <w:rFonts w:hint="eastAsia" w:ascii="宋体" w:hAnsi="宋体" w:cs="仿宋"/>
                <w:color w:val="auto"/>
                <w:szCs w:val="21"/>
              </w:rPr>
              <w:t>6</w:t>
            </w:r>
          </w:p>
        </w:tc>
        <w:tc>
          <w:tcPr>
            <w:tcW w:w="2410" w:type="dxa"/>
            <w:shd w:val="clear" w:color="auto" w:fill="auto"/>
            <w:vAlign w:val="center"/>
          </w:tcPr>
          <w:p>
            <w:pPr>
              <w:spacing w:line="380" w:lineRule="exact"/>
              <w:jc w:val="center"/>
              <w:rPr>
                <w:rFonts w:ascii="宋体" w:hAnsi="宋体"/>
                <w:color w:val="auto"/>
                <w:szCs w:val="21"/>
              </w:rPr>
            </w:pPr>
            <w:r>
              <w:rPr>
                <w:rFonts w:hint="eastAsia" w:ascii="宋体" w:hAnsi="宋体"/>
                <w:color w:val="auto"/>
                <w:szCs w:val="21"/>
              </w:rPr>
              <w:t>其他</w:t>
            </w:r>
          </w:p>
        </w:tc>
        <w:tc>
          <w:tcPr>
            <w:tcW w:w="4410" w:type="dxa"/>
            <w:shd w:val="clear" w:color="auto" w:fill="auto"/>
            <w:vAlign w:val="center"/>
          </w:tcPr>
          <w:p>
            <w:pPr>
              <w:spacing w:line="380" w:lineRule="exact"/>
              <w:jc w:val="left"/>
              <w:rPr>
                <w:rFonts w:ascii="宋体" w:hAnsi="宋体"/>
                <w:color w:val="auto"/>
                <w:szCs w:val="21"/>
              </w:rPr>
            </w:pPr>
            <w:r>
              <w:rPr>
                <w:rFonts w:hint="eastAsia" w:ascii="宋体" w:hAnsi="宋体"/>
                <w:color w:val="auto"/>
                <w:szCs w:val="21"/>
              </w:rPr>
              <w:t>其他需要完成的涉及本项目工作。</w:t>
            </w:r>
          </w:p>
        </w:tc>
      </w:tr>
    </w:tbl>
    <w:p>
      <w:pPr>
        <w:pStyle w:val="59"/>
        <w:spacing w:line="360" w:lineRule="auto"/>
        <w:ind w:firstLine="420"/>
        <w:jc w:val="left"/>
        <w:rPr>
          <w:rFonts w:ascii="宋体" w:hAnsi="宋体"/>
          <w:color w:val="auto"/>
          <w:szCs w:val="21"/>
        </w:rPr>
      </w:pPr>
      <w:r>
        <w:rPr>
          <w:rFonts w:hint="eastAsia" w:ascii="宋体" w:hAnsi="宋体"/>
          <w:color w:val="auto"/>
          <w:szCs w:val="21"/>
        </w:rPr>
        <w:t>（五）时间要求</w:t>
      </w:r>
    </w:p>
    <w:p>
      <w:pPr>
        <w:pStyle w:val="59"/>
        <w:spacing w:line="360" w:lineRule="auto"/>
        <w:ind w:firstLine="420"/>
        <w:jc w:val="left"/>
        <w:rPr>
          <w:rFonts w:ascii="宋体" w:hAnsi="宋体"/>
          <w:color w:val="auto"/>
          <w:szCs w:val="21"/>
        </w:rPr>
      </w:pPr>
      <w:r>
        <w:rPr>
          <w:rFonts w:hint="eastAsia" w:ascii="宋体" w:hAnsi="宋体"/>
          <w:color w:val="auto"/>
          <w:szCs w:val="21"/>
        </w:rPr>
        <w:t>1.2023年2月底前，完成青田县现有集体土地所有权确权登记转换成果及县级自检上报。</w:t>
      </w:r>
    </w:p>
    <w:p>
      <w:pPr>
        <w:pStyle w:val="59"/>
        <w:spacing w:line="360" w:lineRule="auto"/>
        <w:ind w:firstLine="420"/>
        <w:jc w:val="left"/>
        <w:rPr>
          <w:rFonts w:ascii="宋体" w:hAnsi="宋体"/>
          <w:color w:val="auto"/>
          <w:szCs w:val="21"/>
        </w:rPr>
      </w:pPr>
      <w:r>
        <w:rPr>
          <w:rFonts w:hint="eastAsia" w:ascii="宋体" w:hAnsi="宋体"/>
          <w:color w:val="auto"/>
          <w:szCs w:val="21"/>
        </w:rPr>
        <w:t>2.2023年5月底前，完成青田县集体土地所有权确权登记更新成果的县市级质检，按要求汇交上报。</w:t>
      </w:r>
    </w:p>
    <w:p>
      <w:pPr>
        <w:pStyle w:val="59"/>
        <w:spacing w:line="360" w:lineRule="auto"/>
        <w:ind w:firstLine="420"/>
        <w:jc w:val="left"/>
        <w:rPr>
          <w:rFonts w:ascii="宋体" w:hAnsi="宋体"/>
          <w:color w:val="auto"/>
          <w:szCs w:val="21"/>
        </w:rPr>
      </w:pPr>
      <w:r>
        <w:rPr>
          <w:rFonts w:hint="eastAsia" w:ascii="宋体" w:hAnsi="宋体"/>
          <w:color w:val="auto"/>
          <w:szCs w:val="21"/>
        </w:rPr>
        <w:t>3.2023年8月底前,根据省厅制定的质量检查方案和质检结果，完善整改工作直至成果通过省厅质检，再按要求报部汇交。</w:t>
      </w:r>
    </w:p>
    <w:p>
      <w:pPr>
        <w:pStyle w:val="59"/>
        <w:spacing w:line="360" w:lineRule="auto"/>
        <w:ind w:firstLine="420"/>
        <w:jc w:val="left"/>
        <w:rPr>
          <w:rFonts w:ascii="宋体" w:hAnsi="宋体"/>
          <w:color w:val="auto"/>
          <w:szCs w:val="21"/>
        </w:rPr>
      </w:pPr>
      <w:r>
        <w:rPr>
          <w:rFonts w:hint="eastAsia" w:ascii="宋体" w:hAnsi="宋体"/>
          <w:color w:val="auto"/>
          <w:szCs w:val="21"/>
        </w:rPr>
        <w:t>4.2023年12月底前,根据部质检结果,开展整改完善工作,直至全部成果报部质检通过。</w:t>
      </w:r>
    </w:p>
    <w:p>
      <w:pPr>
        <w:pStyle w:val="59"/>
        <w:spacing w:line="360" w:lineRule="auto"/>
        <w:ind w:firstLine="420"/>
        <w:jc w:val="left"/>
        <w:rPr>
          <w:rFonts w:ascii="宋体" w:hAnsi="宋体"/>
          <w:color w:val="auto"/>
          <w:szCs w:val="21"/>
        </w:rPr>
      </w:pPr>
      <w:r>
        <w:rPr>
          <w:rFonts w:hint="eastAsia" w:ascii="宋体" w:hAnsi="宋体"/>
          <w:color w:val="auto"/>
          <w:szCs w:val="21"/>
        </w:rPr>
        <w:t>5.具体时间根据国家和省级要求进行调整</w:t>
      </w:r>
    </w:p>
    <w:p>
      <w:pPr>
        <w:pStyle w:val="59"/>
        <w:spacing w:line="360" w:lineRule="auto"/>
        <w:ind w:firstLine="210" w:firstLineChars="100"/>
        <w:jc w:val="left"/>
        <w:rPr>
          <w:rFonts w:ascii="宋体" w:hAnsi="宋体"/>
          <w:color w:val="auto"/>
          <w:szCs w:val="21"/>
        </w:rPr>
      </w:pPr>
      <w:r>
        <w:rPr>
          <w:rFonts w:hint="eastAsia" w:ascii="宋体" w:hAnsi="宋体"/>
          <w:color w:val="auto"/>
          <w:szCs w:val="21"/>
        </w:rPr>
        <w:t>（六）其他</w:t>
      </w:r>
    </w:p>
    <w:p>
      <w:pPr>
        <w:pStyle w:val="59"/>
        <w:spacing w:line="360" w:lineRule="auto"/>
        <w:ind w:firstLine="420"/>
        <w:rPr>
          <w:rFonts w:ascii="宋体" w:hAnsi="宋体"/>
          <w:color w:val="auto"/>
          <w:szCs w:val="21"/>
        </w:rPr>
      </w:pPr>
      <w:r>
        <w:rPr>
          <w:rFonts w:hint="eastAsia" w:ascii="宋体" w:hAnsi="宋体"/>
          <w:color w:val="auto"/>
          <w:szCs w:val="21"/>
        </w:rPr>
        <w:t>1.投标人实施项目过程中要确保各方面安全，包括人员、设备和数据等。</w:t>
      </w:r>
    </w:p>
    <w:p>
      <w:pPr>
        <w:pStyle w:val="59"/>
        <w:spacing w:line="360" w:lineRule="auto"/>
        <w:ind w:firstLine="420"/>
        <w:rPr>
          <w:rFonts w:ascii="宋体" w:hAnsi="宋体"/>
          <w:color w:val="auto"/>
          <w:szCs w:val="21"/>
        </w:rPr>
      </w:pPr>
      <w:r>
        <w:rPr>
          <w:rFonts w:hint="eastAsia" w:ascii="宋体" w:hAnsi="宋体"/>
          <w:color w:val="auto"/>
          <w:szCs w:val="21"/>
        </w:rPr>
        <w:t>2.本项目实施过程中的一切相关费用都由中标单位承担，包括项目技术评审、外业指界人的误工费、项目验收和税费等费用。</w:t>
      </w:r>
    </w:p>
    <w:p>
      <w:pPr>
        <w:pStyle w:val="59"/>
        <w:spacing w:line="360" w:lineRule="auto"/>
        <w:ind w:firstLine="420"/>
        <w:rPr>
          <w:rFonts w:ascii="宋体" w:hAnsi="宋体"/>
          <w:color w:val="auto"/>
          <w:szCs w:val="21"/>
        </w:rPr>
      </w:pPr>
      <w:r>
        <w:rPr>
          <w:rFonts w:hint="eastAsia" w:ascii="宋体" w:hAnsi="宋体"/>
          <w:color w:val="auto"/>
          <w:szCs w:val="21"/>
        </w:rPr>
        <w:t>3.本项目实施前需要中标单位缴纳中标金额的1%（以万为单位保留两位小数的金额）为履约保证金到招标人指定账户，待项目完成合同金额全部支付完毕后一个月内一次性无息退还。</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szCs w:val="24"/>
        </w:rPr>
        <w:t>三、服务期限</w:t>
      </w:r>
    </w:p>
    <w:p>
      <w:pPr>
        <w:pStyle w:val="59"/>
        <w:spacing w:line="360" w:lineRule="auto"/>
        <w:ind w:firstLine="315" w:firstLineChars="150"/>
        <w:jc w:val="left"/>
        <w:rPr>
          <w:rFonts w:ascii="宋体" w:hAnsi="宋体"/>
          <w:color w:val="auto"/>
          <w:szCs w:val="21"/>
        </w:rPr>
      </w:pPr>
      <w:r>
        <w:rPr>
          <w:rFonts w:hint="eastAsia" w:ascii="宋体" w:hAnsi="宋体"/>
          <w:color w:val="auto"/>
          <w:szCs w:val="21"/>
        </w:rPr>
        <w:t>本项目服务期限为2年，本项目完成时间暂定为2023年12月31日前，具体时限根据国家和省级要求调整。</w:t>
      </w:r>
    </w:p>
    <w:p>
      <w:pPr>
        <w:widowControl/>
        <w:tabs>
          <w:tab w:val="left" w:pos="525"/>
        </w:tabs>
        <w:snapToGrid w:val="0"/>
        <w:spacing w:line="360" w:lineRule="auto"/>
        <w:ind w:firstLine="482" w:firstLineChars="200"/>
        <w:jc w:val="left"/>
        <w:rPr>
          <w:rFonts w:ascii="宋体" w:hAnsi="宋体"/>
          <w:b/>
          <w:color w:val="auto"/>
          <w:sz w:val="24"/>
        </w:rPr>
      </w:pPr>
      <w:r>
        <w:rPr>
          <w:rFonts w:hint="eastAsia" w:ascii="宋体" w:hAnsi="宋体"/>
          <w:b/>
          <w:color w:val="auto"/>
          <w:sz w:val="24"/>
        </w:rPr>
        <w:t>四、款</w:t>
      </w:r>
      <w:r>
        <w:rPr>
          <w:rFonts w:ascii="宋体" w:hAnsi="宋体"/>
          <w:b/>
          <w:color w:val="auto"/>
          <w:sz w:val="24"/>
        </w:rPr>
        <w:t>项支付</w:t>
      </w:r>
    </w:p>
    <w:p>
      <w:pPr>
        <w:spacing w:line="360" w:lineRule="auto"/>
        <w:ind w:firstLine="420" w:firstLineChars="200"/>
        <w:jc w:val="left"/>
        <w:rPr>
          <w:rFonts w:ascii="宋体" w:hAnsi="宋体"/>
          <w:color w:val="auto"/>
          <w:szCs w:val="21"/>
        </w:rPr>
      </w:pPr>
      <w:r>
        <w:rPr>
          <w:rFonts w:hint="eastAsia" w:ascii="宋体" w:hAnsi="宋体"/>
          <w:color w:val="auto"/>
          <w:szCs w:val="21"/>
        </w:rPr>
        <w:t>付款</w:t>
      </w:r>
      <w:r>
        <w:rPr>
          <w:rFonts w:ascii="宋体" w:hAnsi="宋体"/>
          <w:color w:val="auto"/>
          <w:szCs w:val="21"/>
        </w:rPr>
        <w:t>条件：按照青田县自然资源和规划局的工作计划，根据工程进度进行分期付款。</w:t>
      </w:r>
    </w:p>
    <w:p>
      <w:pPr>
        <w:spacing w:line="360" w:lineRule="auto"/>
        <w:ind w:firstLine="420" w:firstLineChars="200"/>
        <w:jc w:val="left"/>
        <w:rPr>
          <w:rFonts w:ascii="宋体" w:hAnsi="宋体"/>
          <w:color w:val="auto"/>
          <w:szCs w:val="21"/>
        </w:rPr>
      </w:pPr>
      <w:r>
        <w:rPr>
          <w:rFonts w:hint="eastAsia" w:ascii="宋体" w:hAnsi="宋体"/>
          <w:color w:val="auto"/>
          <w:szCs w:val="21"/>
        </w:rPr>
        <w:t>1.合同</w:t>
      </w:r>
      <w:r>
        <w:rPr>
          <w:rFonts w:ascii="宋体" w:hAnsi="宋体"/>
          <w:color w:val="auto"/>
          <w:szCs w:val="21"/>
        </w:rPr>
        <w:t>生效</w:t>
      </w:r>
      <w:r>
        <w:rPr>
          <w:rFonts w:hint="eastAsia" w:ascii="宋体" w:hAnsi="宋体"/>
          <w:color w:val="auto"/>
          <w:szCs w:val="21"/>
        </w:rPr>
        <w:t>及中标单位组织人员进场开展项目工作一个月后</w:t>
      </w:r>
      <w:r>
        <w:rPr>
          <w:rFonts w:ascii="宋体" w:hAnsi="宋体"/>
          <w:color w:val="auto"/>
          <w:szCs w:val="21"/>
        </w:rPr>
        <w:t>支付合同</w:t>
      </w:r>
      <w:r>
        <w:rPr>
          <w:rFonts w:hint="eastAsia" w:ascii="宋体" w:hAnsi="宋体"/>
          <w:color w:val="auto"/>
          <w:szCs w:val="21"/>
        </w:rPr>
        <w:t>总金额</w:t>
      </w:r>
      <w:r>
        <w:rPr>
          <w:rFonts w:ascii="宋体" w:hAnsi="宋体"/>
          <w:color w:val="auto"/>
          <w:szCs w:val="21"/>
        </w:rPr>
        <w:t>的</w:t>
      </w:r>
      <w:r>
        <w:rPr>
          <w:rFonts w:hint="eastAsia" w:ascii="宋体" w:hAnsi="宋体"/>
          <w:color w:val="auto"/>
          <w:szCs w:val="21"/>
        </w:rPr>
        <w:t>30</w:t>
      </w:r>
      <w:r>
        <w:rPr>
          <w:rFonts w:ascii="宋体" w:hAnsi="宋体"/>
          <w:color w:val="auto"/>
          <w:szCs w:val="21"/>
        </w:rPr>
        <w:t>%</w:t>
      </w:r>
      <w:r>
        <w:rPr>
          <w:rFonts w:hint="eastAsia" w:ascii="宋体" w:hAnsi="宋体"/>
          <w:color w:val="auto"/>
          <w:szCs w:val="21"/>
        </w:rPr>
        <w:t>；</w:t>
      </w:r>
    </w:p>
    <w:p>
      <w:pPr>
        <w:spacing w:line="360" w:lineRule="auto"/>
        <w:ind w:firstLine="480" w:firstLineChars="200"/>
        <w:jc w:val="left"/>
        <w:rPr>
          <w:rFonts w:hint="eastAsia" w:ascii="宋体" w:hAnsi="宋体" w:cs="宋体"/>
          <w:color w:val="auto"/>
          <w:sz w:val="24"/>
        </w:rPr>
      </w:pPr>
      <w:r>
        <w:rPr>
          <w:rFonts w:hint="eastAsia" w:ascii="宋体" w:hAnsi="宋体" w:cs="宋体"/>
          <w:color w:val="auto"/>
          <w:sz w:val="24"/>
        </w:rPr>
        <w:t>2.中标单位完成数据成果更新并通过自检和市级检查后</w:t>
      </w:r>
      <w:r>
        <w:rPr>
          <w:rFonts w:ascii="宋体" w:hAnsi="宋体" w:cs="宋体"/>
          <w:color w:val="auto"/>
          <w:sz w:val="24"/>
        </w:rPr>
        <w:t>，支付</w:t>
      </w:r>
      <w:r>
        <w:rPr>
          <w:rFonts w:hint="eastAsia" w:ascii="宋体" w:hAnsi="宋体" w:cs="宋体"/>
          <w:color w:val="auto"/>
          <w:sz w:val="24"/>
        </w:rPr>
        <w:t>至项目</w:t>
      </w:r>
      <w:r>
        <w:rPr>
          <w:rFonts w:ascii="宋体" w:hAnsi="宋体" w:cs="宋体"/>
          <w:color w:val="auto"/>
          <w:sz w:val="24"/>
        </w:rPr>
        <w:t>合同</w:t>
      </w:r>
      <w:r>
        <w:rPr>
          <w:rFonts w:hint="eastAsia" w:ascii="宋体" w:hAnsi="宋体" w:cs="宋体"/>
          <w:color w:val="auto"/>
          <w:sz w:val="24"/>
        </w:rPr>
        <w:t>总金额</w:t>
      </w:r>
      <w:r>
        <w:rPr>
          <w:rFonts w:ascii="宋体" w:hAnsi="宋体" w:cs="宋体"/>
          <w:color w:val="auto"/>
          <w:sz w:val="24"/>
        </w:rPr>
        <w:t>的7</w:t>
      </w:r>
      <w:r>
        <w:rPr>
          <w:rFonts w:hint="eastAsia" w:ascii="宋体" w:hAnsi="宋体" w:cs="宋体"/>
          <w:color w:val="auto"/>
          <w:sz w:val="24"/>
        </w:rPr>
        <w:t>0</w:t>
      </w:r>
      <w:r>
        <w:rPr>
          <w:rFonts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3.成果通过省自然资源厅和自然资源部检查</w:t>
      </w:r>
      <w:r>
        <w:rPr>
          <w:rFonts w:ascii="宋体" w:hAnsi="宋体" w:cs="宋体"/>
          <w:color w:val="auto"/>
          <w:sz w:val="24"/>
        </w:rPr>
        <w:t>，</w:t>
      </w:r>
      <w:r>
        <w:rPr>
          <w:rFonts w:hint="eastAsia" w:ascii="宋体" w:hAnsi="宋体" w:cs="宋体"/>
          <w:color w:val="auto"/>
          <w:sz w:val="24"/>
        </w:rPr>
        <w:t>验收并汇交后</w:t>
      </w:r>
      <w:r>
        <w:rPr>
          <w:rFonts w:ascii="宋体" w:hAnsi="宋体" w:cs="宋体"/>
          <w:color w:val="auto"/>
          <w:sz w:val="24"/>
        </w:rPr>
        <w:t>支付项目尾款。</w:t>
      </w:r>
    </w:p>
    <w:p>
      <w:pPr>
        <w:pStyle w:val="24"/>
        <w:spacing w:before="0" w:after="0" w:line="360" w:lineRule="auto"/>
        <w:rPr>
          <w:rFonts w:hint="eastAsia" w:ascii="仿宋" w:hAnsi="仿宋" w:eastAsia="仿宋" w:cs="宋体"/>
          <w:color w:val="auto"/>
          <w:sz w:val="48"/>
          <w:szCs w:val="48"/>
        </w:rPr>
      </w:pPr>
    </w:p>
    <w:p>
      <w:pPr>
        <w:pStyle w:val="24"/>
        <w:spacing w:before="0" w:after="0" w:line="360" w:lineRule="auto"/>
        <w:rPr>
          <w:rFonts w:hint="eastAsia" w:ascii="仿宋" w:hAnsi="仿宋" w:eastAsia="仿宋" w:cs="宋体"/>
          <w:color w:val="auto"/>
          <w:sz w:val="48"/>
          <w:szCs w:val="48"/>
        </w:rPr>
      </w:pPr>
    </w:p>
    <w:p>
      <w:pPr>
        <w:pStyle w:val="24"/>
        <w:spacing w:before="0" w:after="0" w:line="360" w:lineRule="auto"/>
        <w:rPr>
          <w:rFonts w:hint="eastAsia" w:ascii="仿宋" w:hAnsi="仿宋" w:eastAsia="仿宋" w:cs="宋体"/>
          <w:color w:val="auto"/>
          <w:sz w:val="48"/>
          <w:szCs w:val="48"/>
        </w:rPr>
      </w:pPr>
    </w:p>
    <w:p>
      <w:pPr>
        <w:pStyle w:val="24"/>
        <w:spacing w:before="0" w:after="0" w:line="360" w:lineRule="auto"/>
        <w:rPr>
          <w:rFonts w:hint="eastAsia" w:ascii="仿宋" w:hAnsi="仿宋" w:eastAsia="仿宋" w:cs="宋体"/>
          <w:color w:val="auto"/>
          <w:sz w:val="48"/>
          <w:szCs w:val="48"/>
        </w:rPr>
      </w:pPr>
    </w:p>
    <w:p>
      <w:pPr>
        <w:pStyle w:val="24"/>
        <w:spacing w:before="0" w:after="0" w:line="360" w:lineRule="auto"/>
        <w:rPr>
          <w:rFonts w:hint="eastAsia" w:ascii="仿宋" w:hAnsi="仿宋" w:eastAsia="仿宋" w:cs="宋体"/>
          <w:color w:val="auto"/>
          <w:sz w:val="48"/>
          <w:szCs w:val="48"/>
        </w:rPr>
      </w:pPr>
    </w:p>
    <w:p>
      <w:pPr>
        <w:pStyle w:val="24"/>
        <w:spacing w:before="0" w:after="0" w:line="360" w:lineRule="auto"/>
        <w:rPr>
          <w:rFonts w:hint="eastAsia" w:ascii="仿宋" w:hAnsi="仿宋" w:eastAsia="仿宋" w:cs="宋体"/>
          <w:color w:val="auto"/>
          <w:sz w:val="48"/>
          <w:szCs w:val="48"/>
        </w:rPr>
      </w:pPr>
    </w:p>
    <w:p>
      <w:pPr>
        <w:pStyle w:val="24"/>
        <w:numPr>
          <w:ilvl w:val="0"/>
          <w:numId w:val="2"/>
        </w:numPr>
        <w:spacing w:before="0" w:after="0" w:line="360" w:lineRule="auto"/>
        <w:rPr>
          <w:rFonts w:hint="eastAsia" w:ascii="仿宋" w:hAnsi="仿宋" w:eastAsia="仿宋" w:cs="宋体"/>
          <w:color w:val="auto"/>
          <w:sz w:val="48"/>
          <w:szCs w:val="48"/>
        </w:rPr>
      </w:pPr>
      <w:r>
        <w:rPr>
          <w:rFonts w:hint="eastAsia" w:ascii="仿宋" w:hAnsi="仿宋" w:eastAsia="仿宋" w:cs="宋体"/>
          <w:color w:val="auto"/>
          <w:sz w:val="48"/>
          <w:szCs w:val="48"/>
        </w:rPr>
        <w:t xml:space="preserve"> </w:t>
      </w:r>
      <w:bookmarkStart w:id="25" w:name="_Toc6779"/>
      <w:r>
        <w:rPr>
          <w:rFonts w:hint="eastAsia" w:ascii="仿宋" w:hAnsi="仿宋" w:eastAsia="仿宋" w:cs="宋体"/>
          <w:color w:val="auto"/>
          <w:sz w:val="48"/>
          <w:szCs w:val="48"/>
        </w:rPr>
        <w:t>投标人须知</w:t>
      </w:r>
      <w:bookmarkEnd w:id="24"/>
      <w:bookmarkEnd w:id="25"/>
      <w:bookmarkStart w:id="26" w:name="_Toc531358975"/>
      <w:bookmarkEnd w:id="26"/>
      <w:bookmarkStart w:id="27" w:name="_Toc530551820"/>
      <w:bookmarkEnd w:id="27"/>
      <w:bookmarkStart w:id="28" w:name="_Toc493956032"/>
      <w:bookmarkEnd w:id="28"/>
      <w:bookmarkStart w:id="29" w:name="_Toc486423882"/>
      <w:bookmarkEnd w:id="29"/>
      <w:bookmarkStart w:id="30" w:name="_Toc104199088"/>
    </w:p>
    <w:p>
      <w:pPr>
        <w:pStyle w:val="24"/>
        <w:numPr>
          <w:ilvl w:val="0"/>
          <w:numId w:val="2"/>
        </w:numPr>
        <w:spacing w:before="0" w:after="0" w:line="360" w:lineRule="auto"/>
        <w:jc w:val="left"/>
        <w:rPr>
          <w:rFonts w:ascii="仿宋_GB2312" w:eastAsia="仿宋_GB2312"/>
          <w:color w:val="auto"/>
          <w:sz w:val="30"/>
          <w:szCs w:val="30"/>
        </w:rPr>
      </w:pPr>
      <w:bookmarkStart w:id="31" w:name="_Toc5654"/>
      <w:r>
        <w:rPr>
          <w:rFonts w:hint="eastAsia" w:ascii="仿宋_GB2312" w:eastAsia="仿宋_GB2312"/>
          <w:color w:val="auto"/>
          <w:sz w:val="30"/>
          <w:szCs w:val="30"/>
        </w:rPr>
        <w:t>投标人须知前附表（一）</w:t>
      </w:r>
      <w:bookmarkEnd w:id="30"/>
      <w:bookmarkEnd w:id="31"/>
    </w:p>
    <w:tbl>
      <w:tblPr>
        <w:tblStyle w:val="26"/>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442"/>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right="-86" w:rightChars="-41"/>
              <w:jc w:val="center"/>
              <w:rPr>
                <w:rFonts w:ascii="仿宋_GB2312" w:eastAsia="仿宋_GB2312" w:cs="Calibri"/>
                <w:b/>
                <w:color w:val="auto"/>
                <w:sz w:val="24"/>
                <w:szCs w:val="24"/>
              </w:rPr>
            </w:pPr>
            <w:bookmarkStart w:id="32" w:name="EB4c7125c6dc654ed08b5f32dccfe34746"/>
            <w:r>
              <w:rPr>
                <w:rFonts w:hint="eastAsia" w:ascii="仿宋_GB2312" w:eastAsia="仿宋_GB2312"/>
                <w:b/>
                <w:color w:val="auto"/>
                <w:sz w:val="24"/>
                <w:szCs w:val="24"/>
              </w:rPr>
              <w:t>条款号</w:t>
            </w:r>
            <w:bookmarkEnd w:id="32"/>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7" w:firstLineChars="11"/>
              <w:jc w:val="center"/>
              <w:rPr>
                <w:rFonts w:ascii="仿宋_GB2312" w:hAnsi="宋体" w:eastAsia="仿宋_GB2312" w:cs="Calibri"/>
                <w:b/>
                <w:bCs/>
                <w:color w:val="auto"/>
                <w:sz w:val="24"/>
                <w:szCs w:val="24"/>
              </w:rPr>
            </w:pPr>
            <w:r>
              <w:rPr>
                <w:rFonts w:hint="eastAsia" w:ascii="仿宋_GB2312" w:hAnsi="宋体" w:eastAsia="仿宋_GB2312"/>
                <w:b/>
                <w:bCs/>
                <w:color w:val="auto"/>
                <w:sz w:val="24"/>
                <w:szCs w:val="24"/>
              </w:rPr>
              <w:t>条款名称</w:t>
            </w:r>
          </w:p>
        </w:tc>
        <w:tc>
          <w:tcPr>
            <w:tcW w:w="692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Calibri"/>
                <w:b/>
                <w:color w:val="auto"/>
                <w:sz w:val="24"/>
                <w:szCs w:val="24"/>
              </w:rPr>
            </w:pPr>
            <w:r>
              <w:rPr>
                <w:rFonts w:hint="eastAsia" w:ascii="仿宋_GB2312" w:eastAsia="仿宋_GB2312"/>
                <w:b/>
                <w:color w:val="auto"/>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1.2.1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采购人</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1.2.2</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采购代理机构</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1.4.1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联合体投标</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ascii="Wingdings" w:hAnsi="Wingdings"/>
                <w:bCs/>
                <w:color w:val="auto"/>
                <w:sz w:val="24"/>
                <w:szCs w:val="24"/>
              </w:rPr>
              <w:t></w:t>
            </w:r>
            <w:r>
              <w:rPr>
                <w:rFonts w:hint="eastAsia" w:ascii="仿宋_GB2312" w:hAnsi="宋体" w:eastAsia="仿宋_GB2312"/>
                <w:bCs/>
                <w:color w:val="auto"/>
                <w:sz w:val="24"/>
                <w:szCs w:val="24"/>
              </w:rPr>
              <w:t xml:space="preserve"> 不接受；</w:t>
            </w:r>
          </w:p>
          <w:p>
            <w:pPr>
              <w:numPr>
                <w:ilvl w:val="0"/>
                <w:numId w:val="3"/>
              </w:numPr>
              <w:rPr>
                <w:rFonts w:ascii="仿宋_GB2312" w:hAnsi="宋体" w:eastAsia="仿宋_GB2312" w:cs="Calibri"/>
                <w:bCs/>
                <w:color w:val="auto"/>
                <w:sz w:val="24"/>
                <w:szCs w:val="24"/>
              </w:rPr>
            </w:pPr>
            <w:r>
              <w:rPr>
                <w:rFonts w:hint="eastAsia" w:ascii="仿宋_GB2312" w:hAnsi="宋体" w:eastAsia="仿宋_GB2312"/>
                <w:bCs/>
                <w:color w:val="auto"/>
                <w:sz w:val="24"/>
                <w:szCs w:val="24"/>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1.6</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投标费用</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hint="eastAsia" w:ascii="仿宋_GB2312" w:hAnsi="宋体" w:eastAsia="仿宋_GB2312"/>
                <w:color w:val="auto"/>
                <w:sz w:val="24"/>
                <w:szCs w:val="24"/>
              </w:rPr>
              <w:t>不论投标的结果如何，投标人均应自行承担所有与投标有关的全部费用。</w:t>
            </w:r>
            <w:r>
              <w:rPr>
                <w:rFonts w:hint="eastAsia" w:ascii="仿宋_GB2312" w:hAnsi="宋体" w:eastAsia="仿宋_GB2312"/>
                <w:b/>
                <w:bCs/>
                <w:color w:val="auto"/>
                <w:sz w:val="24"/>
                <w:szCs w:val="24"/>
              </w:rPr>
              <w:t>本项目采购咨询服务费由中标供应商支付，按照发改价格[2011]534号文件服务类费率标准计取，招标代理服务费经计算后少于5000元的按5000元收取。代理机构出具税务普通发票。中标供应商应在领取中标通知书前以转账形式支付给采购代理机构。户名：浙江浙坤工程管理有限公司丽水分公司  账号：19845801040001828开户行名称：农业银行青田县江南支行。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1.7.1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现场踏勘</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ascii="Wingdings" w:hAnsi="Wingdings"/>
                <w:bCs/>
                <w:color w:val="auto"/>
                <w:sz w:val="24"/>
                <w:szCs w:val="24"/>
              </w:rPr>
              <w:t></w:t>
            </w:r>
            <w:r>
              <w:rPr>
                <w:rFonts w:hint="eastAsia" w:ascii="仿宋_GB2312" w:hAnsi="宋体" w:eastAsia="仿宋_GB2312"/>
                <w:bCs/>
                <w:color w:val="auto"/>
                <w:sz w:val="24"/>
                <w:szCs w:val="24"/>
              </w:rPr>
              <w:t>不组织。</w:t>
            </w:r>
          </w:p>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 xml:space="preserve">□组织，详见第二章招标需求。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1.8.1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答疑会</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ascii="Wingdings" w:hAnsi="Wingdings"/>
                <w:bCs/>
                <w:color w:val="auto"/>
                <w:sz w:val="24"/>
                <w:szCs w:val="24"/>
              </w:rPr>
              <w:t></w:t>
            </w:r>
            <w:r>
              <w:rPr>
                <w:rFonts w:hint="eastAsia" w:ascii="仿宋_GB2312" w:hAnsi="宋体" w:eastAsia="仿宋_GB2312"/>
                <w:bCs/>
                <w:color w:val="auto"/>
                <w:sz w:val="24"/>
                <w:szCs w:val="24"/>
              </w:rPr>
              <w:t xml:space="preserve"> 不召开；</w:t>
            </w:r>
          </w:p>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 xml:space="preserve">□ 召开。时间：   年  月  日  时  分；地点：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1.9.1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分包</w:t>
            </w:r>
          </w:p>
        </w:tc>
        <w:tc>
          <w:tcPr>
            <w:tcW w:w="6922" w:type="dxa"/>
            <w:tcBorders>
              <w:top w:val="single" w:color="auto" w:sz="4" w:space="0"/>
              <w:left w:val="single" w:color="auto" w:sz="4" w:space="0"/>
              <w:bottom w:val="single" w:color="auto" w:sz="4" w:space="0"/>
              <w:right w:val="single" w:color="auto" w:sz="4" w:space="0"/>
            </w:tcBorders>
            <w:vAlign w:val="center"/>
          </w:tcPr>
          <w:p>
            <w:pPr>
              <w:ind w:left="-113" w:leftChars="-54" w:right="-107" w:rightChars="-51" w:firstLine="120" w:firstLineChars="50"/>
              <w:rPr>
                <w:rFonts w:ascii="仿宋_GB2312" w:hAnsi="宋体" w:eastAsia="仿宋_GB2312" w:cs="Calibri"/>
                <w:bCs/>
                <w:color w:val="auto"/>
                <w:sz w:val="24"/>
                <w:szCs w:val="24"/>
              </w:rPr>
            </w:pPr>
            <w:r>
              <w:rPr>
                <w:rFonts w:ascii="Wingdings" w:hAnsi="Wingdings"/>
                <w:bCs/>
                <w:color w:val="auto"/>
                <w:sz w:val="24"/>
                <w:szCs w:val="24"/>
              </w:rPr>
              <w:t></w:t>
            </w:r>
            <w:r>
              <w:rPr>
                <w:rFonts w:hint="eastAsia" w:ascii="仿宋_GB2312" w:hAnsi="宋体" w:eastAsia="仿宋_GB2312"/>
                <w:bCs/>
                <w:color w:val="auto"/>
                <w:sz w:val="24"/>
                <w:szCs w:val="24"/>
              </w:rPr>
              <w:t xml:space="preserve"> 1.不允许。</w:t>
            </w:r>
          </w:p>
          <w:p>
            <w:pPr>
              <w:ind w:left="-113" w:leftChars="-54" w:right="-107" w:rightChars="-51" w:firstLine="120" w:firstLineChars="50"/>
              <w:rPr>
                <w:rFonts w:ascii="仿宋_GB2312" w:hAnsi="宋体" w:eastAsia="仿宋_GB2312" w:cs="Calibri"/>
                <w:bCs/>
                <w:color w:val="auto"/>
                <w:sz w:val="24"/>
                <w:szCs w:val="24"/>
              </w:rPr>
            </w:pPr>
            <w:r>
              <w:rPr>
                <w:rFonts w:hint="eastAsia" w:ascii="仿宋_GB2312" w:hAnsi="宋体" w:eastAsia="仿宋_GB2312"/>
                <w:bCs/>
                <w:color w:val="auto"/>
                <w:sz w:val="24"/>
                <w:szCs w:val="24"/>
              </w:rPr>
              <w:t>□ 2.允许，但主体部分不得分包，详见第二章招标需求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Cs/>
                <w:color w:val="auto"/>
                <w:sz w:val="24"/>
                <w:szCs w:val="24"/>
              </w:rPr>
            </w:pPr>
            <w:r>
              <w:rPr>
                <w:rFonts w:hint="eastAsia" w:ascii="仿宋_GB2312" w:hAnsi="宋体" w:eastAsia="仿宋_GB2312"/>
                <w:bCs/>
                <w:color w:val="auto"/>
                <w:sz w:val="24"/>
                <w:szCs w:val="24"/>
              </w:rPr>
              <w:t>1.11.2</w:t>
            </w:r>
          </w:p>
        </w:tc>
        <w:tc>
          <w:tcPr>
            <w:tcW w:w="1442" w:type="dxa"/>
            <w:tcBorders>
              <w:top w:val="single" w:color="auto" w:sz="4" w:space="0"/>
              <w:left w:val="single" w:color="auto" w:sz="4" w:space="0"/>
              <w:bottom w:val="single" w:color="auto" w:sz="4" w:space="0"/>
              <w:right w:val="single" w:color="auto" w:sz="4" w:space="0"/>
            </w:tcBorders>
            <w:vAlign w:val="center"/>
          </w:tcPr>
          <w:p>
            <w:pPr>
              <w:ind w:left="67" w:hanging="67" w:hangingChars="28"/>
              <w:rPr>
                <w:rFonts w:ascii="仿宋_GB2312" w:hAnsi="宋体" w:eastAsia="仿宋_GB2312"/>
                <w:bCs/>
                <w:color w:val="auto"/>
                <w:sz w:val="24"/>
                <w:szCs w:val="24"/>
              </w:rPr>
            </w:pPr>
            <w:r>
              <w:rPr>
                <w:rFonts w:hint="eastAsia" w:ascii="仿宋_GB2312" w:hAnsi="宋体" w:eastAsia="仿宋_GB2312"/>
                <w:bCs/>
                <w:color w:val="auto"/>
                <w:sz w:val="24"/>
                <w:szCs w:val="24"/>
              </w:rPr>
              <w:t>小型、微型企业的价格扣除</w:t>
            </w:r>
          </w:p>
        </w:tc>
        <w:tc>
          <w:tcPr>
            <w:tcW w:w="6922" w:type="dxa"/>
            <w:tcBorders>
              <w:top w:val="single" w:color="auto" w:sz="4" w:space="0"/>
              <w:left w:val="single" w:color="auto" w:sz="4" w:space="0"/>
              <w:bottom w:val="single" w:color="auto" w:sz="4" w:space="0"/>
              <w:right w:val="single" w:color="auto" w:sz="4" w:space="0"/>
            </w:tcBorders>
            <w:vAlign w:val="center"/>
          </w:tcPr>
          <w:p>
            <w:pPr>
              <w:ind w:left="17" w:leftChars="8" w:right="-113" w:rightChars="-54"/>
              <w:rPr>
                <w:rFonts w:ascii="仿宋_GB2312" w:hAnsi="宋体" w:eastAsia="仿宋_GB2312"/>
                <w:b/>
                <w:color w:val="auto"/>
                <w:sz w:val="24"/>
                <w:u w:val="single"/>
              </w:rPr>
            </w:pPr>
            <w:r>
              <w:rPr>
                <w:rFonts w:hint="eastAsia" w:ascii="仿宋_GB2312" w:hAnsi="宋体" w:eastAsia="仿宋_GB2312"/>
                <w:bCs/>
                <w:snapToGrid w:val="0"/>
                <w:color w:val="auto"/>
                <w:sz w:val="24"/>
                <w:szCs w:val="24"/>
              </w:rPr>
              <w:t>1.本项目所属行业：</w:t>
            </w:r>
            <w:r>
              <w:rPr>
                <w:rFonts w:hint="eastAsia" w:ascii="仿宋_GB2312" w:hAnsi="宋体" w:eastAsia="仿宋_GB2312"/>
                <w:b/>
                <w:color w:val="auto"/>
                <w:sz w:val="24"/>
                <w:u w:val="single"/>
              </w:rPr>
              <w:t xml:space="preserve"> </w:t>
            </w:r>
            <w:r>
              <w:rPr>
                <w:rFonts w:hint="eastAsia" w:ascii="仿宋_GB2312" w:hAnsi="宋体" w:eastAsia="仿宋_GB2312"/>
                <w:bCs/>
                <w:color w:val="auto"/>
                <w:sz w:val="24"/>
                <w:szCs w:val="24"/>
                <w:u w:val="single"/>
              </w:rPr>
              <w:t xml:space="preserve"> </w:t>
            </w:r>
            <w:r>
              <w:rPr>
                <w:rFonts w:hint="eastAsia" w:ascii="仿宋_GB2312" w:hAnsi="宋体" w:eastAsia="仿宋_GB2312"/>
                <w:b/>
                <w:bCs/>
                <w:snapToGrid w:val="0"/>
                <w:color w:val="auto"/>
                <w:sz w:val="24"/>
                <w:szCs w:val="24"/>
                <w:u w:val="single"/>
              </w:rPr>
              <w:t>其他未列明行业</w:t>
            </w:r>
            <w:r>
              <w:rPr>
                <w:rFonts w:hint="eastAsia" w:ascii="仿宋_GB2312" w:hAnsi="宋体" w:eastAsia="仿宋_GB2312"/>
                <w:b/>
                <w:bCs/>
                <w:color w:val="auto"/>
                <w:sz w:val="24"/>
                <w:szCs w:val="24"/>
              </w:rPr>
              <w:t>。</w:t>
            </w:r>
          </w:p>
          <w:p>
            <w:pPr>
              <w:ind w:left="-88" w:leftChars="-42" w:right="-113" w:rightChars="-54" w:firstLine="120" w:firstLineChars="50"/>
              <w:rPr>
                <w:rFonts w:ascii="仿宋_GB2312" w:hAnsi="宋体" w:eastAsia="仿宋_GB2312"/>
                <w:b/>
                <w:bCs/>
                <w:snapToGrid w:val="0"/>
                <w:color w:val="auto"/>
                <w:sz w:val="24"/>
                <w:szCs w:val="24"/>
              </w:rPr>
            </w:pPr>
            <w:r>
              <w:rPr>
                <w:rFonts w:hint="eastAsia" w:ascii="仿宋_GB2312" w:hAnsi="宋体" w:eastAsia="仿宋_GB2312"/>
                <w:bCs/>
                <w:snapToGrid w:val="0"/>
                <w:color w:val="auto"/>
                <w:sz w:val="24"/>
                <w:szCs w:val="24"/>
              </w:rPr>
              <w:t>2.</w:t>
            </w:r>
            <w:r>
              <w:rPr>
                <w:rFonts w:hint="eastAsia" w:ascii="仿宋_GB2312" w:hAnsi="宋体" w:eastAsia="仿宋_GB2312"/>
                <w:b/>
                <w:bCs/>
                <w:snapToGrid w:val="0"/>
                <w:color w:val="auto"/>
                <w:sz w:val="24"/>
                <w:szCs w:val="24"/>
              </w:rPr>
              <w:t>本项目</w:t>
            </w:r>
            <w:r>
              <w:rPr>
                <w:rFonts w:hint="eastAsia" w:ascii="仿宋_GB2312" w:hAnsi="宋体" w:eastAsia="仿宋_GB2312"/>
                <w:b/>
                <w:bCs/>
                <w:snapToGrid w:val="0"/>
                <w:color w:val="auto"/>
                <w:sz w:val="24"/>
                <w:szCs w:val="24"/>
                <w:u w:val="single"/>
              </w:rPr>
              <w:t xml:space="preserve"> 非 </w:t>
            </w:r>
            <w:r>
              <w:rPr>
                <w:rFonts w:hint="eastAsia" w:ascii="仿宋_GB2312" w:hAnsi="宋体" w:eastAsia="仿宋_GB2312"/>
                <w:b/>
                <w:bCs/>
                <w:snapToGrid w:val="0"/>
                <w:color w:val="auto"/>
                <w:sz w:val="24"/>
                <w:szCs w:val="24"/>
              </w:rPr>
              <w:t>专门面向中小企业采购项目</w:t>
            </w:r>
          </w:p>
          <w:p>
            <w:pPr>
              <w:ind w:left="-88" w:leftChars="-42" w:right="-113" w:rightChars="-54" w:firstLine="120" w:firstLineChars="50"/>
              <w:rPr>
                <w:rFonts w:ascii="仿宋_GB2312" w:hAnsi="宋体" w:eastAsia="仿宋_GB2312"/>
                <w:bCs/>
                <w:color w:val="auto"/>
                <w:sz w:val="24"/>
                <w:szCs w:val="24"/>
              </w:rPr>
            </w:pPr>
            <w:r>
              <w:rPr>
                <w:rFonts w:hint="eastAsia" w:ascii="仿宋_GB2312" w:hAnsi="宋体" w:eastAsia="仿宋_GB2312"/>
                <w:bCs/>
                <w:snapToGrid w:val="0"/>
                <w:color w:val="auto"/>
                <w:sz w:val="24"/>
                <w:szCs w:val="24"/>
              </w:rPr>
              <w:t>3.非专门面向中小企业采购项目，小微企业享受以下</w:t>
            </w:r>
            <w:r>
              <w:rPr>
                <w:rFonts w:ascii="仿宋_GB2312" w:hAnsi="宋体" w:eastAsia="仿宋_GB2312"/>
                <w:bCs/>
                <w:snapToGrid w:val="0"/>
                <w:color w:val="auto"/>
                <w:sz w:val="24"/>
                <w:szCs w:val="24"/>
              </w:rPr>
              <w:t>价格扣除优惠政策</w:t>
            </w:r>
            <w:r>
              <w:rPr>
                <w:rFonts w:ascii="仿宋_GB2312" w:hAnsi="宋体" w:eastAsia="仿宋_GB2312"/>
                <w:b/>
                <w:bCs/>
                <w:snapToGrid w:val="0"/>
                <w:color w:val="auto"/>
                <w:sz w:val="24"/>
                <w:szCs w:val="24"/>
              </w:rPr>
              <w:t>。</w:t>
            </w:r>
          </w:p>
          <w:p>
            <w:pPr>
              <w:ind w:left="-88" w:leftChars="-42" w:right="-113" w:rightChars="-54" w:firstLine="120" w:firstLineChars="50"/>
              <w:rPr>
                <w:rFonts w:ascii="仿宋_GB2312" w:hAnsi="宋体" w:eastAsia="仿宋_GB2312" w:cs="Calibri"/>
                <w:bCs/>
                <w:color w:val="auto"/>
                <w:sz w:val="24"/>
                <w:szCs w:val="24"/>
              </w:rPr>
            </w:pPr>
            <w:r>
              <w:rPr>
                <w:rFonts w:hint="eastAsia" w:ascii="仿宋_GB2312" w:hAnsi="宋体" w:eastAsia="仿宋_GB2312"/>
                <w:bCs/>
                <w:color w:val="auto"/>
                <w:sz w:val="24"/>
                <w:szCs w:val="24"/>
              </w:rPr>
              <w:t>（1）对小型和微型企业产品服务给予</w:t>
            </w:r>
            <w:r>
              <w:rPr>
                <w:rFonts w:hint="eastAsia" w:ascii="仿宋_GB2312" w:hAnsi="宋体" w:eastAsia="仿宋_GB2312"/>
                <w:bCs/>
                <w:color w:val="auto"/>
                <w:sz w:val="24"/>
                <w:szCs w:val="24"/>
                <w:u w:val="single"/>
              </w:rPr>
              <w:t>20%</w:t>
            </w:r>
            <w:r>
              <w:rPr>
                <w:rFonts w:hint="eastAsia" w:ascii="仿宋_GB2312" w:hAnsi="宋体" w:eastAsia="仿宋_GB2312"/>
                <w:bCs/>
                <w:color w:val="auto"/>
                <w:sz w:val="24"/>
                <w:szCs w:val="24"/>
              </w:rPr>
              <w:t>的价格扣除；</w:t>
            </w:r>
          </w:p>
          <w:p>
            <w:pPr>
              <w:ind w:left="17" w:leftChars="8" w:right="-113" w:rightChars="-54"/>
              <w:rPr>
                <w:rFonts w:ascii="仿宋_GB2312" w:hAnsi="宋体" w:eastAsia="仿宋_GB2312"/>
                <w:bCs/>
                <w:color w:val="auto"/>
                <w:sz w:val="24"/>
                <w:szCs w:val="24"/>
              </w:rPr>
            </w:pPr>
            <w:r>
              <w:rPr>
                <w:rFonts w:hint="eastAsia" w:ascii="仿宋_GB2312" w:hAnsi="宋体" w:eastAsia="仿宋_GB2312"/>
                <w:bCs/>
                <w:color w:val="auto"/>
                <w:sz w:val="24"/>
                <w:szCs w:val="24"/>
              </w:rPr>
              <w:t>（2） 小型、微型企业的协议合同金额占到联合协议合同总金额30%以上的，给予联合体</w:t>
            </w:r>
            <w:r>
              <w:rPr>
                <w:rFonts w:hint="eastAsia" w:ascii="仿宋_GB2312" w:hAnsi="宋体" w:eastAsia="仿宋_GB2312"/>
                <w:bCs/>
                <w:color w:val="auto"/>
                <w:sz w:val="24"/>
                <w:szCs w:val="24"/>
                <w:u w:val="single"/>
              </w:rPr>
              <w:t>6%</w:t>
            </w:r>
            <w:r>
              <w:rPr>
                <w:rFonts w:hint="eastAsia" w:ascii="仿宋_GB2312" w:hAnsi="宋体" w:eastAsia="仿宋_GB2312"/>
                <w:bCs/>
                <w:color w:val="auto"/>
                <w:sz w:val="24"/>
                <w:szCs w:val="24"/>
              </w:rPr>
              <w:t>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1.13.6</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质疑联系人</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1. 采购需求及供应商资格条件质疑：</w:t>
            </w:r>
          </w:p>
          <w:p>
            <w:pPr>
              <w:rPr>
                <w:rFonts w:ascii="仿宋_GB2312" w:hAnsi="宋体" w:eastAsia="仿宋_GB2312"/>
                <w:bCs/>
                <w:color w:val="auto"/>
                <w:sz w:val="24"/>
                <w:szCs w:val="24"/>
              </w:rPr>
            </w:pPr>
            <w:r>
              <w:rPr>
                <w:rFonts w:hint="eastAsia" w:ascii="仿宋_GB2312" w:hAnsi="宋体" w:eastAsia="仿宋_GB2312"/>
                <w:bCs/>
                <w:color w:val="auto"/>
                <w:sz w:val="24"/>
                <w:szCs w:val="24"/>
              </w:rPr>
              <w:t xml:space="preserve">   单  位：青田县自然资源和规划局</w:t>
            </w:r>
          </w:p>
          <w:p>
            <w:pPr>
              <w:ind w:firstLine="360" w:firstLineChars="150"/>
              <w:rPr>
                <w:rFonts w:ascii="仿宋_GB2312" w:hAnsi="宋体" w:eastAsia="仿宋_GB2312"/>
                <w:bCs/>
                <w:color w:val="auto"/>
                <w:sz w:val="24"/>
                <w:szCs w:val="24"/>
              </w:rPr>
            </w:pPr>
            <w:r>
              <w:rPr>
                <w:rFonts w:hint="eastAsia" w:ascii="仿宋_GB2312" w:hAnsi="宋体" w:eastAsia="仿宋_GB2312"/>
                <w:bCs/>
                <w:color w:val="auto"/>
                <w:sz w:val="24"/>
                <w:szCs w:val="24"/>
              </w:rPr>
              <w:t>联系人</w:t>
            </w:r>
            <w:r>
              <w:rPr>
                <w:rFonts w:hint="eastAsia" w:ascii="仿宋_GB2312" w:eastAsia="仿宋_GB2312"/>
                <w:color w:val="auto"/>
                <w:sz w:val="24"/>
                <w:szCs w:val="24"/>
              </w:rPr>
              <w:t>：</w:t>
            </w:r>
            <w:r>
              <w:rPr>
                <w:rFonts w:hint="eastAsia" w:ascii="仿宋_GB2312" w:eastAsia="仿宋_GB2312"/>
                <w:color w:val="auto"/>
                <w:sz w:val="24"/>
                <w:szCs w:val="24"/>
                <w:lang w:eastAsia="zh-CN"/>
              </w:rPr>
              <w:t>杜晓阳</w:t>
            </w:r>
            <w:r>
              <w:rPr>
                <w:rFonts w:hint="eastAsia" w:ascii="仿宋_GB2312" w:eastAsia="仿宋_GB2312"/>
                <w:color w:val="auto"/>
                <w:sz w:val="24"/>
                <w:szCs w:val="24"/>
              </w:rPr>
              <w:t xml:space="preserve">        联系</w:t>
            </w:r>
            <w:r>
              <w:rPr>
                <w:rFonts w:hint="eastAsia" w:ascii="仿宋_GB2312" w:hAnsi="宋体" w:eastAsia="仿宋_GB2312"/>
                <w:bCs/>
                <w:color w:val="auto"/>
                <w:sz w:val="24"/>
                <w:szCs w:val="24"/>
              </w:rPr>
              <w:t>电话：</w:t>
            </w:r>
            <w:r>
              <w:rPr>
                <w:rFonts w:hint="eastAsia" w:ascii="仿宋_GB2312" w:hAnsi="宋体" w:eastAsia="仿宋_GB2312"/>
                <w:bCs/>
                <w:color w:val="auto"/>
                <w:sz w:val="24"/>
                <w:szCs w:val="24"/>
                <w:lang w:val="en-US" w:eastAsia="zh-CN"/>
              </w:rPr>
              <w:t>0578-6033861</w:t>
            </w:r>
            <w:r>
              <w:rPr>
                <w:rFonts w:hint="eastAsia" w:ascii="仿宋_GB2312" w:hAnsi="宋体" w:eastAsia="仿宋_GB2312"/>
                <w:bCs/>
                <w:color w:val="auto"/>
                <w:sz w:val="24"/>
                <w:szCs w:val="24"/>
              </w:rPr>
              <w:t xml:space="preserve">   </w:t>
            </w:r>
          </w:p>
          <w:p>
            <w:pPr>
              <w:rPr>
                <w:rFonts w:ascii="仿宋_GB2312" w:hAnsi="宋体" w:eastAsia="仿宋_GB2312"/>
                <w:bCs/>
                <w:color w:val="auto"/>
                <w:sz w:val="24"/>
                <w:szCs w:val="24"/>
              </w:rPr>
            </w:pPr>
            <w:r>
              <w:rPr>
                <w:rFonts w:hint="eastAsia" w:ascii="仿宋_GB2312" w:hAnsi="宋体" w:eastAsia="仿宋_GB2312"/>
                <w:bCs/>
                <w:color w:val="auto"/>
                <w:sz w:val="24"/>
                <w:szCs w:val="24"/>
              </w:rPr>
              <w:t>2. 其他事项质疑：</w:t>
            </w:r>
          </w:p>
          <w:p>
            <w:pPr>
              <w:rPr>
                <w:rFonts w:ascii="仿宋_GB2312" w:hAnsi="宋体" w:eastAsia="仿宋_GB2312"/>
                <w:bCs/>
                <w:color w:val="auto"/>
                <w:sz w:val="24"/>
                <w:szCs w:val="24"/>
              </w:rPr>
            </w:pPr>
            <w:r>
              <w:rPr>
                <w:rFonts w:hint="eastAsia" w:ascii="仿宋_GB2312" w:hAnsi="宋体" w:eastAsia="仿宋_GB2312"/>
                <w:bCs/>
                <w:color w:val="auto"/>
                <w:sz w:val="24"/>
                <w:szCs w:val="24"/>
              </w:rPr>
              <w:t xml:space="preserve">单  位：浙江浙坤工程管理有限公司  </w:t>
            </w:r>
          </w:p>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联系人：李淑       联系电话：</w:t>
            </w:r>
            <w:r>
              <w:rPr>
                <w:rFonts w:hint="eastAsia" w:ascii="仿宋_GB2312" w:eastAsia="仿宋_GB2312"/>
                <w:color w:val="auto"/>
                <w:sz w:val="24"/>
                <w:szCs w:val="24"/>
              </w:rPr>
              <w:t>13587132878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1.13.11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同级政府采购监督管理部门</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2.2.1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投标人要求提交澄清、修改截止时间</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Cs/>
                <w:color w:val="auto"/>
                <w:sz w:val="24"/>
                <w:szCs w:val="24"/>
              </w:rPr>
            </w:pPr>
            <w:r>
              <w:rPr>
                <w:rFonts w:hint="eastAsia" w:ascii="仿宋_GB2312" w:hAnsi="宋体" w:eastAsia="仿宋_GB2312"/>
                <w:bCs/>
                <w:color w:val="auto"/>
                <w:sz w:val="24"/>
                <w:szCs w:val="24"/>
              </w:rPr>
              <w:t>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2.2.2</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澄清、修改发布网址</w:t>
            </w:r>
          </w:p>
        </w:tc>
        <w:tc>
          <w:tcPr>
            <w:tcW w:w="69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bCs/>
                <w:color w:val="auto"/>
                <w:sz w:val="24"/>
                <w:szCs w:val="24"/>
              </w:rPr>
            </w:pPr>
            <w:r>
              <w:rPr>
                <w:rFonts w:hint="eastAsia" w:ascii="仿宋_GB2312" w:hAnsi="宋体" w:eastAsia="仿宋_GB2312"/>
                <w:bCs/>
                <w:color w:val="auto"/>
                <w:sz w:val="24"/>
                <w:szCs w:val="24"/>
              </w:rPr>
              <w:t>浙江政府采购网（</w:t>
            </w:r>
            <w:r>
              <w:rPr>
                <w:rStyle w:val="28"/>
                <w:rFonts w:hint="eastAsia" w:ascii="仿宋_GB2312" w:hAnsi="宋体" w:eastAsia="仿宋_GB2312"/>
                <w:bCs/>
                <w:color w:val="auto"/>
                <w:sz w:val="24"/>
                <w:szCs w:val="24"/>
              </w:rPr>
              <w:t xml:space="preserve"> </w:t>
            </w:r>
            <w:r>
              <w:rPr>
                <w:color w:val="auto"/>
              </w:rPr>
              <w:fldChar w:fldCharType="begin"/>
            </w:r>
            <w:r>
              <w:rPr>
                <w:color w:val="auto"/>
              </w:rPr>
              <w:instrText xml:space="preserve"> HYPERLINK "http://www.zjzfcg.gov.cn" </w:instrText>
            </w:r>
            <w:r>
              <w:rPr>
                <w:color w:val="auto"/>
              </w:rPr>
              <w:fldChar w:fldCharType="separate"/>
            </w:r>
            <w:r>
              <w:rPr>
                <w:rStyle w:val="28"/>
                <w:rFonts w:hint="eastAsia" w:ascii="仿宋_GB2312" w:hAnsi="宋体" w:eastAsia="仿宋_GB2312"/>
                <w:bCs/>
                <w:color w:val="auto"/>
                <w:sz w:val="24"/>
                <w:szCs w:val="24"/>
              </w:rPr>
              <w:t>zfcg.czt.zj.gov.cn</w:t>
            </w:r>
            <w:r>
              <w:rPr>
                <w:rStyle w:val="28"/>
                <w:rFonts w:hint="eastAsia" w:ascii="仿宋_GB2312" w:hAnsi="宋体" w:eastAsia="仿宋_GB2312"/>
                <w:bCs/>
                <w:color w:val="auto"/>
                <w:sz w:val="24"/>
                <w:szCs w:val="24"/>
              </w:rPr>
              <w:fldChar w:fldCharType="end"/>
            </w:r>
            <w:r>
              <w:rPr>
                <w:rFonts w:hint="eastAsia" w:ascii="仿宋_GB2312" w:hAnsi="宋体" w:eastAsia="仿宋_GB2312"/>
                <w:bCs/>
                <w:color w:val="auto"/>
                <w:sz w:val="24"/>
                <w:szCs w:val="24"/>
              </w:rPr>
              <w:t>）</w:t>
            </w:r>
          </w:p>
          <w:p>
            <w:pPr>
              <w:rPr>
                <w:rFonts w:ascii="仿宋_GB2312" w:hAnsi="宋体" w:eastAsia="仿宋_GB2312" w:cs="Calibri"/>
                <w:bCs/>
                <w:color w:val="auto"/>
                <w:sz w:val="24"/>
                <w:szCs w:val="24"/>
              </w:rPr>
            </w:pPr>
            <w:r>
              <w:rPr>
                <w:rStyle w:val="28"/>
                <w:rFonts w:hint="eastAsia" w:ascii="仿宋_GB2312" w:hAnsi="宋体" w:eastAsia="仿宋_GB2312"/>
                <w:bCs/>
                <w:color w:val="auto"/>
                <w:sz w:val="24"/>
                <w:szCs w:val="24"/>
              </w:rPr>
              <w:t>丽水市公共资源交易网（www.lssggzy.com）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3.3</w:t>
            </w:r>
          </w:p>
        </w:tc>
        <w:tc>
          <w:tcPr>
            <w:tcW w:w="1442" w:type="dxa"/>
            <w:tcBorders>
              <w:top w:val="single" w:color="auto" w:sz="4" w:space="0"/>
              <w:left w:val="single" w:color="auto" w:sz="4" w:space="0"/>
              <w:bottom w:val="single" w:color="auto" w:sz="4" w:space="0"/>
              <w:right w:val="single" w:color="auto" w:sz="4" w:space="0"/>
            </w:tcBorders>
            <w:vAlign w:val="center"/>
          </w:tcPr>
          <w:p>
            <w:pPr>
              <w:ind w:left="-44" w:leftChars="-53" w:right="-65" w:rightChars="-31" w:hanging="67" w:hangingChars="28"/>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资格审查文件组成</w:t>
            </w:r>
          </w:p>
        </w:tc>
        <w:tc>
          <w:tcPr>
            <w:tcW w:w="6922"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cs="Calibri"/>
                <w:color w:val="auto"/>
                <w:kern w:val="0"/>
                <w:sz w:val="24"/>
                <w:szCs w:val="24"/>
              </w:rPr>
            </w:pPr>
            <w:r>
              <w:rPr>
                <w:rFonts w:hint="eastAsia" w:ascii="宋体" w:hAnsi="宋体"/>
                <w:color w:val="auto"/>
                <w:sz w:val="24"/>
                <w:szCs w:val="24"/>
              </w:rPr>
              <w:t>▲</w:t>
            </w:r>
            <w:r>
              <w:rPr>
                <w:rFonts w:hint="eastAsia" w:ascii="仿宋_GB2312" w:hAnsi="宋体" w:eastAsia="仿宋_GB2312"/>
                <w:bCs/>
                <w:color w:val="auto"/>
                <w:sz w:val="24"/>
                <w:szCs w:val="24"/>
              </w:rPr>
              <w:t>1.有效的营业执照电子文档；</w:t>
            </w:r>
          </w:p>
          <w:p>
            <w:pPr>
              <w:jc w:val="left"/>
              <w:rPr>
                <w:rFonts w:ascii="仿宋_GB2312" w:hAnsi="宋体" w:eastAsia="仿宋_GB2312"/>
                <w:bCs/>
                <w:color w:val="auto"/>
                <w:sz w:val="24"/>
                <w:szCs w:val="24"/>
              </w:rPr>
            </w:pPr>
            <w:r>
              <w:rPr>
                <w:rFonts w:hint="eastAsia" w:ascii="宋体" w:hAnsi="宋体"/>
                <w:color w:val="auto"/>
                <w:sz w:val="24"/>
                <w:szCs w:val="24"/>
              </w:rPr>
              <w:t>▲</w:t>
            </w:r>
            <w:r>
              <w:rPr>
                <w:rFonts w:hint="eastAsia" w:ascii="仿宋_GB2312" w:hAnsi="宋体" w:eastAsia="仿宋_GB2312"/>
                <w:bCs/>
                <w:color w:val="auto"/>
                <w:sz w:val="24"/>
                <w:szCs w:val="24"/>
              </w:rPr>
              <w:t>2.负责人身份证电子文档；若有委托代理人的，则还应当提供授权委托书及委托代理人的身份证电子文档；</w:t>
            </w:r>
          </w:p>
          <w:p>
            <w:pPr>
              <w:jc w:val="left"/>
              <w:rPr>
                <w:rFonts w:hint="eastAsia" w:ascii="仿宋_GB2312" w:hAnsi="宋体" w:eastAsia="仿宋_GB2312"/>
                <w:bCs/>
                <w:color w:val="auto"/>
                <w:sz w:val="24"/>
                <w:szCs w:val="24"/>
              </w:rPr>
            </w:pPr>
            <w:r>
              <w:rPr>
                <w:rFonts w:hint="eastAsia" w:ascii="宋体" w:hAnsi="宋体"/>
                <w:color w:val="auto"/>
                <w:sz w:val="24"/>
                <w:szCs w:val="24"/>
              </w:rPr>
              <w:t>▲</w:t>
            </w:r>
            <w:r>
              <w:rPr>
                <w:rFonts w:hint="eastAsia" w:ascii="仿宋_GB2312" w:hAnsi="宋体" w:eastAsia="仿宋_GB2312"/>
                <w:bCs/>
                <w:color w:val="auto"/>
                <w:sz w:val="24"/>
                <w:szCs w:val="24"/>
              </w:rPr>
              <w:t>3.关于《中华人民共和国政府采购法》第二十二条规定的承诺函</w:t>
            </w:r>
          </w:p>
          <w:p>
            <w:pPr>
              <w:jc w:val="left"/>
              <w:rPr>
                <w:rFonts w:ascii="仿宋_GB2312" w:hAnsi="宋体" w:eastAsia="仿宋_GB2312"/>
                <w:bCs/>
                <w:color w:val="auto"/>
                <w:sz w:val="24"/>
                <w:szCs w:val="24"/>
              </w:rPr>
            </w:pPr>
            <w:r>
              <w:rPr>
                <w:rFonts w:hint="eastAsia" w:ascii="宋体" w:hAnsi="宋体"/>
                <w:color w:val="auto"/>
                <w:sz w:val="24"/>
                <w:szCs w:val="24"/>
              </w:rPr>
              <w:t>▲</w:t>
            </w:r>
            <w:r>
              <w:rPr>
                <w:rFonts w:hint="eastAsia" w:ascii="仿宋_GB2312" w:hAnsi="宋体" w:eastAsia="仿宋_GB2312"/>
                <w:bCs/>
                <w:color w:val="auto"/>
                <w:sz w:val="24"/>
                <w:szCs w:val="24"/>
              </w:rPr>
              <w:t>4.</w:t>
            </w:r>
            <w:r>
              <w:rPr>
                <w:rFonts w:hint="eastAsia" w:ascii="宋体" w:hAnsi="宋体" w:cs="宋体"/>
                <w:bCs/>
                <w:color w:val="auto"/>
                <w:sz w:val="24"/>
                <w:szCs w:val="24"/>
              </w:rPr>
              <w:t xml:space="preserve"> </w:t>
            </w:r>
            <w:r>
              <w:rPr>
                <w:rFonts w:hint="eastAsia" w:ascii="仿宋_GB2312" w:hAnsi="宋体" w:eastAsia="仿宋_GB2312"/>
                <w:bCs/>
                <w:color w:val="auto"/>
                <w:sz w:val="24"/>
                <w:szCs w:val="24"/>
              </w:rPr>
              <w:t>特定资格条件证明材料电子文档（若有</w:t>
            </w:r>
            <w:r>
              <w:rPr>
                <w:rFonts w:hint="eastAsia" w:ascii="宋体" w:hAnsi="宋体" w:cs="宋体"/>
                <w:bCs/>
                <w:color w:val="auto"/>
                <w:sz w:val="24"/>
                <w:szCs w:val="24"/>
              </w:rPr>
              <w:t>）</w:t>
            </w:r>
          </w:p>
          <w:p>
            <w:pPr>
              <w:jc w:val="left"/>
              <w:rPr>
                <w:rFonts w:ascii="仿宋_GB2312" w:hAnsi="宋体" w:eastAsia="仿宋_GB2312"/>
                <w:bCs/>
                <w:color w:val="auto"/>
                <w:sz w:val="24"/>
                <w:szCs w:val="24"/>
              </w:rPr>
            </w:pPr>
            <w:r>
              <w:rPr>
                <w:rFonts w:hint="eastAsia" w:ascii="宋体" w:hAnsi="宋体"/>
                <w:color w:val="auto"/>
                <w:sz w:val="24"/>
                <w:szCs w:val="24"/>
              </w:rPr>
              <w:t>▲</w:t>
            </w:r>
            <w:r>
              <w:rPr>
                <w:rFonts w:hint="eastAsia" w:ascii="仿宋_GB2312" w:hAnsi="宋体" w:eastAsia="仿宋_GB2312"/>
                <w:bCs/>
                <w:color w:val="auto"/>
                <w:sz w:val="24"/>
                <w:szCs w:val="24"/>
              </w:rPr>
              <w:t>5.其他。</w:t>
            </w:r>
          </w:p>
          <w:p>
            <w:pPr>
              <w:jc w:val="left"/>
              <w:rPr>
                <w:rFonts w:ascii="仿宋_GB2312" w:hAnsi="宋体" w:eastAsia="仿宋_GB2312" w:cs="Calibri"/>
                <w:bCs/>
                <w:color w:val="auto"/>
                <w:sz w:val="24"/>
                <w:szCs w:val="24"/>
              </w:rPr>
            </w:pPr>
            <w:r>
              <w:rPr>
                <w:rFonts w:hint="eastAsia" w:ascii="仿宋_GB2312" w:hAnsi="宋体" w:eastAsia="仿宋_GB2312"/>
                <w:bCs/>
                <w:color w:val="auto"/>
                <w:sz w:val="24"/>
                <w:szCs w:val="24"/>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3.4</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资信商务及技术文件组成</w:t>
            </w:r>
          </w:p>
        </w:tc>
        <w:tc>
          <w:tcPr>
            <w:tcW w:w="692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Calibri"/>
                <w:bCs/>
                <w:color w:val="auto"/>
                <w:sz w:val="24"/>
                <w:szCs w:val="24"/>
              </w:rPr>
            </w:pPr>
            <w:r>
              <w:rPr>
                <w:rFonts w:hint="eastAsia" w:ascii="仿宋_GB2312" w:hAnsi="宋体" w:eastAsia="仿宋_GB2312"/>
                <w:bCs/>
                <w:color w:val="auto"/>
                <w:sz w:val="24"/>
                <w:szCs w:val="24"/>
              </w:rPr>
              <w:t>1.投标函；</w:t>
            </w:r>
          </w:p>
          <w:p>
            <w:pPr>
              <w:jc w:val="left"/>
              <w:rPr>
                <w:rFonts w:ascii="仿宋_GB2312" w:hAnsi="宋体" w:eastAsia="仿宋_GB2312"/>
                <w:bCs/>
                <w:color w:val="auto"/>
                <w:sz w:val="24"/>
                <w:szCs w:val="24"/>
              </w:rPr>
            </w:pPr>
            <w:r>
              <w:rPr>
                <w:rFonts w:hint="eastAsia" w:ascii="仿宋_GB2312" w:hAnsi="宋体" w:eastAsia="仿宋_GB2312"/>
                <w:bCs/>
                <w:color w:val="auto"/>
                <w:sz w:val="24"/>
                <w:szCs w:val="24"/>
              </w:rPr>
              <w:t>2.类似案例成功的业绩（若有）；</w:t>
            </w:r>
          </w:p>
          <w:p>
            <w:pPr>
              <w:jc w:val="left"/>
              <w:rPr>
                <w:rFonts w:ascii="仿宋_GB2312" w:hAnsi="宋体" w:eastAsia="仿宋_GB2312"/>
                <w:bCs/>
                <w:color w:val="auto"/>
                <w:sz w:val="24"/>
                <w:szCs w:val="24"/>
              </w:rPr>
            </w:pPr>
            <w:r>
              <w:rPr>
                <w:rFonts w:hint="eastAsia" w:ascii="仿宋_GB2312" w:hAnsi="宋体" w:eastAsia="仿宋_GB2312"/>
                <w:bCs/>
                <w:color w:val="auto"/>
                <w:sz w:val="24"/>
                <w:szCs w:val="24"/>
              </w:rPr>
              <w:t>3.商务响应表；</w:t>
            </w:r>
          </w:p>
          <w:p>
            <w:pPr>
              <w:ind w:left="360" w:hanging="360" w:hangingChars="150"/>
              <w:jc w:val="left"/>
              <w:rPr>
                <w:rFonts w:hint="eastAsia" w:ascii="仿宋_GB2312" w:hAnsi="宋体" w:eastAsia="仿宋_GB2312"/>
                <w:bCs/>
                <w:color w:val="auto"/>
                <w:sz w:val="24"/>
                <w:szCs w:val="24"/>
              </w:rPr>
            </w:pPr>
            <w:r>
              <w:rPr>
                <w:rFonts w:hint="eastAsia" w:ascii="仿宋_GB2312" w:hAnsi="宋体" w:eastAsia="仿宋_GB2312"/>
                <w:bCs/>
                <w:color w:val="auto"/>
                <w:sz w:val="24"/>
                <w:szCs w:val="24"/>
              </w:rPr>
              <w:t>4.项目实施方案</w:t>
            </w:r>
            <w:r>
              <w:rPr>
                <w:rFonts w:hint="eastAsia" w:ascii="宋体" w:hAnsi="宋体" w:cs="宋体"/>
                <w:bCs/>
                <w:color w:val="auto"/>
                <w:sz w:val="24"/>
                <w:szCs w:val="24"/>
              </w:rPr>
              <w:t>（</w:t>
            </w:r>
            <w:r>
              <w:rPr>
                <w:rFonts w:hint="eastAsia" w:ascii="仿宋_GB2312" w:hAnsi="宋体" w:eastAsia="仿宋_GB2312"/>
                <w:bCs/>
                <w:color w:val="auto"/>
                <w:sz w:val="24"/>
                <w:szCs w:val="24"/>
              </w:rPr>
              <w:t>结合“第二章采购需求”和“第六章评审办法和细则”进行编制）；</w:t>
            </w:r>
          </w:p>
          <w:p>
            <w:pPr>
              <w:ind w:left="360" w:hanging="360" w:hangingChars="150"/>
              <w:jc w:val="left"/>
              <w:rPr>
                <w:rFonts w:ascii="仿宋_GB2312" w:hAnsi="宋体" w:eastAsia="仿宋_GB2312"/>
                <w:bCs/>
                <w:color w:val="auto"/>
                <w:sz w:val="24"/>
                <w:szCs w:val="24"/>
              </w:rPr>
            </w:pPr>
            <w:r>
              <w:rPr>
                <w:rFonts w:hint="eastAsia" w:ascii="仿宋_GB2312" w:hAnsi="宋体" w:eastAsia="仿宋_GB2312"/>
                <w:bCs/>
                <w:color w:val="auto"/>
                <w:sz w:val="24"/>
                <w:szCs w:val="24"/>
              </w:rPr>
              <w:t>5.拟投入的项目班子；</w:t>
            </w:r>
          </w:p>
          <w:p>
            <w:pPr>
              <w:ind w:left="360" w:hanging="360" w:hangingChars="150"/>
              <w:jc w:val="left"/>
              <w:rPr>
                <w:rFonts w:ascii="仿宋_GB2312" w:hAnsi="宋体" w:eastAsia="仿宋_GB2312"/>
                <w:bCs/>
                <w:color w:val="auto"/>
                <w:sz w:val="24"/>
                <w:szCs w:val="24"/>
              </w:rPr>
            </w:pPr>
            <w:r>
              <w:rPr>
                <w:rFonts w:hint="eastAsia" w:ascii="仿宋_GB2312" w:hAnsi="宋体" w:eastAsia="仿宋_GB2312"/>
                <w:bCs/>
                <w:color w:val="auto"/>
                <w:sz w:val="24"/>
                <w:szCs w:val="24"/>
              </w:rPr>
              <w:t>6.供应商需要说明的其他文件和证明。</w:t>
            </w:r>
          </w:p>
          <w:p>
            <w:pPr>
              <w:jc w:val="left"/>
              <w:rPr>
                <w:rFonts w:ascii="仿宋_GB2312" w:hAnsi="宋体" w:eastAsia="仿宋_GB2312" w:cs="Calibri"/>
                <w:bCs/>
                <w:color w:val="auto"/>
                <w:sz w:val="24"/>
                <w:szCs w:val="24"/>
              </w:rPr>
            </w:pPr>
            <w:r>
              <w:rPr>
                <w:rFonts w:hint="eastAsia" w:ascii="仿宋_GB2312" w:hAnsi="宋体" w:eastAsia="仿宋_GB2312"/>
                <w:bCs/>
                <w:color w:val="auto"/>
                <w:sz w:val="24"/>
                <w:szCs w:val="24"/>
              </w:rPr>
              <w:t>注：结合“第二章招标需求”和“第六章评审办法和细则”进行编制，编制格式要求见第五章投标文件格式，无格式的自行设计。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3.5</w:t>
            </w:r>
          </w:p>
        </w:tc>
        <w:tc>
          <w:tcPr>
            <w:tcW w:w="1442"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Calibri"/>
                <w:bCs/>
                <w:color w:val="auto"/>
                <w:sz w:val="24"/>
                <w:szCs w:val="24"/>
              </w:rPr>
            </w:pPr>
            <w:r>
              <w:rPr>
                <w:rFonts w:hint="eastAsia" w:ascii="仿宋_GB2312" w:hAnsi="宋体" w:eastAsia="仿宋_GB2312"/>
                <w:bCs/>
                <w:color w:val="auto"/>
                <w:sz w:val="24"/>
                <w:szCs w:val="24"/>
              </w:rPr>
              <w:t>报价文件组成</w:t>
            </w:r>
          </w:p>
        </w:tc>
        <w:tc>
          <w:tcPr>
            <w:tcW w:w="6922"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Calibri"/>
                <w:bCs/>
                <w:color w:val="auto"/>
                <w:sz w:val="24"/>
                <w:szCs w:val="24"/>
              </w:rPr>
            </w:pPr>
            <w:r>
              <w:rPr>
                <w:rFonts w:hint="eastAsia" w:ascii="仿宋_GB2312" w:hAnsi="宋体" w:eastAsia="仿宋_GB2312"/>
                <w:bCs/>
                <w:color w:val="auto"/>
                <w:sz w:val="24"/>
                <w:szCs w:val="24"/>
              </w:rPr>
              <w:t>1.开标一览表；</w:t>
            </w:r>
          </w:p>
          <w:p>
            <w:pPr>
              <w:jc w:val="left"/>
              <w:rPr>
                <w:rFonts w:ascii="仿宋_GB2312" w:hAnsi="宋体" w:eastAsia="仿宋_GB2312"/>
                <w:bCs/>
                <w:color w:val="auto"/>
                <w:sz w:val="24"/>
                <w:szCs w:val="24"/>
              </w:rPr>
            </w:pPr>
            <w:r>
              <w:rPr>
                <w:rFonts w:hint="eastAsia" w:ascii="仿宋_GB2312" w:hAnsi="宋体" w:eastAsia="仿宋_GB2312"/>
                <w:bCs/>
                <w:color w:val="auto"/>
                <w:sz w:val="24"/>
                <w:szCs w:val="24"/>
              </w:rPr>
              <w:t>2.投标报价明细表；</w:t>
            </w:r>
          </w:p>
          <w:p>
            <w:pPr>
              <w:jc w:val="left"/>
              <w:rPr>
                <w:rFonts w:ascii="仿宋_GB2312" w:hAnsi="宋体" w:eastAsia="仿宋_GB2312"/>
                <w:bCs/>
                <w:color w:val="auto"/>
                <w:sz w:val="24"/>
                <w:szCs w:val="24"/>
              </w:rPr>
            </w:pPr>
            <w:r>
              <w:rPr>
                <w:rFonts w:hint="eastAsia" w:ascii="仿宋_GB2312" w:hAnsi="宋体" w:eastAsia="仿宋_GB2312"/>
                <w:bCs/>
                <w:color w:val="auto"/>
                <w:sz w:val="24"/>
                <w:szCs w:val="24"/>
              </w:rPr>
              <w:t>3.供应商类型声明函（若有）。</w:t>
            </w:r>
          </w:p>
          <w:p>
            <w:pPr>
              <w:jc w:val="left"/>
              <w:rPr>
                <w:rFonts w:ascii="仿宋_GB2312" w:hAnsi="宋体" w:eastAsia="仿宋_GB2312" w:cs="Calibri"/>
                <w:bCs/>
                <w:color w:val="auto"/>
                <w:sz w:val="24"/>
                <w:szCs w:val="24"/>
              </w:rPr>
            </w:pPr>
            <w:r>
              <w:rPr>
                <w:rFonts w:hint="eastAsia" w:ascii="仿宋_GB2312" w:hAnsi="宋体" w:eastAsia="仿宋_GB2312"/>
                <w:bCs/>
                <w:color w:val="auto"/>
                <w:sz w:val="24"/>
                <w:szCs w:val="24"/>
              </w:rPr>
              <w:t>注：编制格式要求见第五章投标文件格式，无格式的自行设计。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4.3.1</w:t>
            </w:r>
          </w:p>
        </w:tc>
        <w:tc>
          <w:tcPr>
            <w:tcW w:w="1442" w:type="dxa"/>
            <w:tcBorders>
              <w:top w:val="single" w:color="auto" w:sz="4" w:space="0"/>
              <w:left w:val="nil"/>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投标有效期</w:t>
            </w:r>
          </w:p>
        </w:tc>
        <w:tc>
          <w:tcPr>
            <w:tcW w:w="6922" w:type="dxa"/>
            <w:tcBorders>
              <w:top w:val="single" w:color="auto" w:sz="4" w:space="0"/>
              <w:left w:val="nil"/>
              <w:bottom w:val="single" w:color="auto" w:sz="4" w:space="0"/>
              <w:right w:val="single" w:color="auto" w:sz="4" w:space="0"/>
            </w:tcBorders>
            <w:vAlign w:val="center"/>
          </w:tcPr>
          <w:p>
            <w:pPr>
              <w:rPr>
                <w:rFonts w:ascii="仿宋_GB2312" w:eastAsia="仿宋_GB2312" w:cs="Calibri"/>
                <w:color w:val="auto"/>
                <w:sz w:val="24"/>
                <w:szCs w:val="24"/>
              </w:rPr>
            </w:pPr>
            <w:r>
              <w:rPr>
                <w:rFonts w:hint="eastAsia" w:ascii="仿宋_GB2312" w:eastAsia="仿宋_GB2312"/>
                <w:color w:val="auto"/>
                <w:sz w:val="24"/>
                <w:szCs w:val="24"/>
                <w:u w:val="single"/>
              </w:rPr>
              <w:t xml:space="preserve"> 90 </w:t>
            </w:r>
            <w:r>
              <w:rPr>
                <w:rFonts w:hint="eastAsia" w:ascii="仿宋_GB2312" w:eastAsia="仿宋_GB2312"/>
                <w:color w:val="auto"/>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4.5.1</w:t>
            </w:r>
          </w:p>
        </w:tc>
        <w:tc>
          <w:tcPr>
            <w:tcW w:w="1442" w:type="dxa"/>
            <w:tcBorders>
              <w:top w:val="single" w:color="auto" w:sz="4" w:space="0"/>
              <w:left w:val="nil"/>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投标文件份数</w:t>
            </w:r>
          </w:p>
        </w:tc>
        <w:tc>
          <w:tcPr>
            <w:tcW w:w="6922" w:type="dxa"/>
            <w:tcBorders>
              <w:top w:val="single" w:color="auto" w:sz="4" w:space="0"/>
              <w:left w:val="nil"/>
              <w:bottom w:val="single" w:color="auto" w:sz="4" w:space="0"/>
              <w:right w:val="single" w:color="auto" w:sz="4" w:space="0"/>
            </w:tcBorders>
            <w:vAlign w:val="center"/>
          </w:tcPr>
          <w:p>
            <w:pPr>
              <w:wordWrap w:val="0"/>
              <w:rPr>
                <w:rFonts w:ascii="仿宋_GB2312" w:eastAsia="仿宋_GB2312" w:cs="Calibri"/>
                <w:b/>
                <w:color w:val="auto"/>
                <w:sz w:val="24"/>
                <w:szCs w:val="24"/>
              </w:rPr>
            </w:pPr>
            <w:r>
              <w:rPr>
                <w:rFonts w:hint="eastAsia" w:ascii="仿宋_GB2312" w:eastAsia="仿宋_GB2312"/>
                <w:b/>
                <w:color w:val="auto"/>
                <w:sz w:val="24"/>
                <w:szCs w:val="24"/>
              </w:rPr>
              <w:t>1. 电子加密投标文件：政府采购云平台在线提交、上传一份；</w:t>
            </w:r>
          </w:p>
          <w:p>
            <w:pPr>
              <w:wordWrap w:val="0"/>
              <w:ind w:left="361" w:hanging="361" w:hangingChars="150"/>
              <w:rPr>
                <w:rFonts w:ascii="仿宋_GB2312" w:hAnsi="宋体" w:eastAsia="仿宋_GB2312"/>
                <w:b/>
                <w:color w:val="auto"/>
                <w:sz w:val="24"/>
                <w:szCs w:val="24"/>
              </w:rPr>
            </w:pPr>
            <w:r>
              <w:rPr>
                <w:rFonts w:hint="eastAsia" w:ascii="仿宋_GB2312" w:eastAsia="仿宋_GB2312"/>
                <w:b/>
                <w:color w:val="auto"/>
                <w:sz w:val="24"/>
                <w:szCs w:val="24"/>
              </w:rPr>
              <w:t>2. 备份投标文件：电子邮件提交一份，由</w:t>
            </w:r>
            <w:r>
              <w:rPr>
                <w:rFonts w:hint="eastAsia" w:ascii="仿宋_GB2312" w:hAnsi="宋体" w:eastAsia="仿宋_GB2312"/>
                <w:b/>
                <w:color w:val="auto"/>
                <w:sz w:val="24"/>
                <w:szCs w:val="24"/>
              </w:rPr>
              <w:t>投标人自行确定是否提交；若提交请将备份投标文件打包压缩加密后以电子邮件的形式发送至（971977757@qq.com）。</w:t>
            </w:r>
          </w:p>
          <w:p>
            <w:pPr>
              <w:ind w:left="482" w:hanging="482" w:hangingChars="200"/>
              <w:rPr>
                <w:rFonts w:ascii="仿宋_GB2312" w:eastAsia="仿宋_GB2312"/>
                <w:b/>
                <w:color w:val="auto"/>
                <w:sz w:val="24"/>
                <w:szCs w:val="24"/>
              </w:rPr>
            </w:pPr>
            <w:r>
              <w:rPr>
                <w:rFonts w:hint="eastAsia" w:ascii="仿宋_GB2312" w:eastAsia="仿宋_GB2312"/>
                <w:b/>
                <w:color w:val="auto"/>
                <w:sz w:val="24"/>
                <w:szCs w:val="24"/>
              </w:rPr>
              <w:t>注：投标人在线解密失败后，启用备份投标文件，否则不启用备份投标文件。</w:t>
            </w:r>
          </w:p>
          <w:p>
            <w:pPr>
              <w:ind w:left="482" w:hanging="482" w:hangingChars="200"/>
              <w:rPr>
                <w:rFonts w:ascii="仿宋_GB2312" w:eastAsia="仿宋_GB2312" w:cs="Calibri"/>
                <w:color w:val="auto"/>
                <w:sz w:val="24"/>
                <w:szCs w:val="24"/>
              </w:rPr>
            </w:pPr>
            <w:r>
              <w:rPr>
                <w:rFonts w:hint="eastAsia" w:ascii="仿宋_GB2312" w:eastAsia="仿宋_GB2312"/>
                <w:b/>
                <w:color w:val="auto"/>
                <w:sz w:val="24"/>
                <w:szCs w:val="24"/>
              </w:rPr>
              <w:t>3.中标供应商在领取中标通知书时应提交纸质投标文件两份。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5.2.1</w:t>
            </w:r>
          </w:p>
        </w:tc>
        <w:tc>
          <w:tcPr>
            <w:tcW w:w="1442" w:type="dxa"/>
            <w:tcBorders>
              <w:top w:val="single" w:color="auto" w:sz="4" w:space="0"/>
              <w:left w:val="nil"/>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投标文件提交截止时间</w:t>
            </w:r>
          </w:p>
        </w:tc>
        <w:tc>
          <w:tcPr>
            <w:tcW w:w="6922" w:type="dxa"/>
            <w:tcBorders>
              <w:top w:val="single" w:color="auto" w:sz="4" w:space="0"/>
              <w:left w:val="nil"/>
              <w:bottom w:val="single" w:color="auto" w:sz="4" w:space="0"/>
              <w:right w:val="single" w:color="auto" w:sz="4" w:space="0"/>
            </w:tcBorders>
            <w:vAlign w:val="center"/>
          </w:tcPr>
          <w:p>
            <w:pPr>
              <w:rPr>
                <w:rFonts w:ascii="仿宋_GB2312" w:eastAsia="仿宋_GB2312" w:cs="Calibri"/>
                <w:color w:val="auto"/>
                <w:sz w:val="24"/>
                <w:szCs w:val="24"/>
              </w:rPr>
            </w:pPr>
            <w:r>
              <w:rPr>
                <w:rFonts w:hint="eastAsia" w:ascii="仿宋_GB2312" w:hAnsi="宋体" w:eastAsia="仿宋_GB2312"/>
                <w:bCs/>
                <w:color w:val="auto"/>
                <w:sz w:val="24"/>
                <w:szCs w:val="24"/>
              </w:rPr>
              <w:t>同投标截止时间，见第一章招标公告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5.2.2</w:t>
            </w:r>
          </w:p>
        </w:tc>
        <w:tc>
          <w:tcPr>
            <w:tcW w:w="1442" w:type="dxa"/>
            <w:tcBorders>
              <w:top w:val="single" w:color="auto" w:sz="4" w:space="0"/>
              <w:left w:val="nil"/>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投标文件提交地点</w:t>
            </w:r>
          </w:p>
        </w:tc>
        <w:tc>
          <w:tcPr>
            <w:tcW w:w="6922" w:type="dxa"/>
            <w:tcBorders>
              <w:top w:val="single" w:color="auto" w:sz="4" w:space="0"/>
              <w:left w:val="nil"/>
              <w:bottom w:val="single" w:color="auto" w:sz="4" w:space="0"/>
              <w:right w:val="single" w:color="auto" w:sz="4" w:space="0"/>
            </w:tcBorders>
            <w:vAlign w:val="center"/>
          </w:tcPr>
          <w:p>
            <w:pPr>
              <w:rPr>
                <w:rFonts w:ascii="仿宋_GB2312" w:eastAsia="仿宋_GB2312" w:cs="Calibri"/>
                <w:color w:val="auto"/>
                <w:sz w:val="24"/>
                <w:szCs w:val="24"/>
              </w:rPr>
            </w:pPr>
            <w:r>
              <w:rPr>
                <w:rFonts w:hint="eastAsia" w:ascii="仿宋_GB2312" w:hAnsi="宋体" w:eastAsia="仿宋_GB2312"/>
                <w:bCs/>
                <w:color w:val="auto"/>
                <w:sz w:val="24"/>
                <w:szCs w:val="24"/>
              </w:rPr>
              <w:t>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6.1.1</w:t>
            </w:r>
          </w:p>
        </w:tc>
        <w:tc>
          <w:tcPr>
            <w:tcW w:w="1442" w:type="dxa"/>
            <w:tcBorders>
              <w:top w:val="single" w:color="auto" w:sz="4" w:space="0"/>
              <w:left w:val="nil"/>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开标时间和地点</w:t>
            </w:r>
          </w:p>
        </w:tc>
        <w:tc>
          <w:tcPr>
            <w:tcW w:w="6922" w:type="dxa"/>
            <w:tcBorders>
              <w:top w:val="single" w:color="auto" w:sz="4" w:space="0"/>
              <w:left w:val="nil"/>
              <w:bottom w:val="single" w:color="auto" w:sz="4" w:space="0"/>
              <w:right w:val="single" w:color="auto" w:sz="4" w:space="0"/>
            </w:tcBorders>
            <w:vAlign w:val="center"/>
          </w:tcPr>
          <w:p>
            <w:pPr>
              <w:rPr>
                <w:rFonts w:ascii="仿宋_GB2312" w:eastAsia="仿宋_GB2312" w:cs="Calibri"/>
                <w:color w:val="auto"/>
                <w:sz w:val="24"/>
                <w:szCs w:val="24"/>
              </w:rPr>
            </w:pPr>
            <w:r>
              <w:rPr>
                <w:rFonts w:hint="eastAsia" w:ascii="仿宋_GB2312" w:hAnsi="宋体" w:eastAsia="仿宋_GB2312"/>
                <w:bCs/>
                <w:color w:val="auto"/>
                <w:sz w:val="24"/>
                <w:szCs w:val="24"/>
              </w:rPr>
              <w:t>见第一章招标公告，</w:t>
            </w:r>
            <w:r>
              <w:rPr>
                <w:rFonts w:hint="eastAsia" w:ascii="仿宋_GB2312" w:hAnsi="宋体" w:eastAsia="仿宋_GB2312"/>
                <w:b/>
                <w:bCs/>
                <w:color w:val="auto"/>
                <w:sz w:val="24"/>
                <w:szCs w:val="24"/>
              </w:rPr>
              <w:t>投标人可以远程在线参加，不必现场参加开标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6.3.1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评标方法</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Calibri"/>
                <w:color w:val="auto"/>
                <w:sz w:val="24"/>
                <w:szCs w:val="24"/>
              </w:rPr>
            </w:pPr>
            <w:r>
              <w:rPr>
                <w:rFonts w:ascii="Wingdings" w:hAnsi="Wingdings"/>
                <w:bCs/>
                <w:color w:val="auto"/>
                <w:sz w:val="24"/>
                <w:szCs w:val="24"/>
              </w:rPr>
              <w:t></w:t>
            </w:r>
            <w:r>
              <w:rPr>
                <w:rFonts w:hint="eastAsia" w:ascii="仿宋_GB2312" w:hAnsi="宋体" w:eastAsia="仿宋_GB2312"/>
                <w:bCs/>
                <w:color w:val="auto"/>
                <w:sz w:val="24"/>
                <w:szCs w:val="24"/>
              </w:rPr>
              <w:t xml:space="preserve"> </w:t>
            </w:r>
            <w:r>
              <w:rPr>
                <w:rFonts w:hint="eastAsia" w:ascii="仿宋_GB2312" w:eastAsia="仿宋_GB2312"/>
                <w:color w:val="auto"/>
                <w:sz w:val="24"/>
                <w:szCs w:val="24"/>
              </w:rPr>
              <w:t>综合评分法</w:t>
            </w:r>
          </w:p>
          <w:p>
            <w:pPr>
              <w:rPr>
                <w:rFonts w:ascii="仿宋_GB2312" w:eastAsia="仿宋_GB2312" w:cs="Calibri"/>
                <w:color w:val="auto"/>
                <w:sz w:val="24"/>
                <w:szCs w:val="24"/>
              </w:rPr>
            </w:pPr>
            <w:r>
              <w:rPr>
                <w:rFonts w:hint="eastAsia" w:ascii="仿宋_GB2312" w:hAnsi="宋体" w:eastAsia="仿宋_GB2312"/>
                <w:bCs/>
                <w:color w:val="auto"/>
                <w:sz w:val="24"/>
                <w:szCs w:val="24"/>
              </w:rPr>
              <w:t>□</w:t>
            </w:r>
            <w:r>
              <w:rPr>
                <w:rFonts w:hint="eastAsia" w:ascii="仿宋_GB2312" w:eastAsia="仿宋_GB2312"/>
                <w:color w:val="auto"/>
                <w:sz w:val="24"/>
                <w:szCs w:val="24"/>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7.3</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非实质性条款允许偏离项数</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Calibri"/>
                <w:color w:val="auto"/>
                <w:sz w:val="24"/>
                <w:szCs w:val="24"/>
              </w:rPr>
            </w:pPr>
            <w:r>
              <w:rPr>
                <w:rFonts w:hint="eastAsia" w:ascii="仿宋_GB2312" w:eastAsia="仿宋_GB2312"/>
                <w:color w:val="auto"/>
                <w:sz w:val="24"/>
                <w:szCs w:val="24"/>
                <w:u w:val="single"/>
              </w:rPr>
              <w:t xml:space="preserve">  /  </w:t>
            </w:r>
            <w:r>
              <w:rPr>
                <w:rFonts w:hint="eastAsia" w:ascii="仿宋_GB2312" w:eastAsia="仿宋_GB2312"/>
                <w:color w:val="auto"/>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eastAsia="仿宋_GB2312"/>
                <w:color w:val="auto"/>
                <w:sz w:val="24"/>
                <w:szCs w:val="24"/>
              </w:rPr>
              <w:t>8.2.1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中标公告发布网址</w:t>
            </w:r>
          </w:p>
        </w:tc>
        <w:tc>
          <w:tcPr>
            <w:tcW w:w="692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auto"/>
                <w:sz w:val="24"/>
                <w:szCs w:val="24"/>
              </w:rPr>
            </w:pPr>
            <w:r>
              <w:rPr>
                <w:rFonts w:hint="eastAsia" w:ascii="仿宋_GB2312" w:eastAsia="仿宋_GB2312"/>
                <w:color w:val="auto"/>
                <w:sz w:val="24"/>
                <w:szCs w:val="24"/>
              </w:rPr>
              <w:t>浙江政府采购网（</w:t>
            </w:r>
            <w:r>
              <w:rPr>
                <w:rFonts w:hint="eastAsia" w:ascii="仿宋_GB2312" w:eastAsia="仿宋_GB2312"/>
                <w:color w:val="auto"/>
                <w:sz w:val="24"/>
                <w:szCs w:val="24"/>
              </w:rPr>
              <w:fldChar w:fldCharType="begin"/>
            </w:r>
            <w:r>
              <w:rPr>
                <w:rFonts w:hint="eastAsia" w:ascii="仿宋_GB2312" w:eastAsia="仿宋_GB2312"/>
                <w:color w:val="auto"/>
                <w:sz w:val="24"/>
                <w:szCs w:val="24"/>
              </w:rPr>
              <w:instrText xml:space="preserve"> HYPERLINK "http://www.zjzfcg.gov.cn" </w:instrText>
            </w:r>
            <w:r>
              <w:rPr>
                <w:rFonts w:hint="eastAsia" w:ascii="仿宋_GB2312" w:eastAsia="仿宋_GB2312"/>
                <w:color w:val="auto"/>
                <w:sz w:val="24"/>
                <w:szCs w:val="24"/>
              </w:rPr>
              <w:fldChar w:fldCharType="separate"/>
            </w:r>
            <w:r>
              <w:rPr>
                <w:rFonts w:hint="eastAsia" w:ascii="仿宋_GB2312" w:eastAsia="仿宋_GB2312"/>
                <w:color w:val="auto"/>
                <w:sz w:val="24"/>
                <w:szCs w:val="24"/>
              </w:rPr>
              <w:t>zfcg.czt.zj.gov.cn</w:t>
            </w:r>
            <w:r>
              <w:rPr>
                <w:rFonts w:hint="eastAsia" w:ascii="仿宋_GB2312" w:eastAsia="仿宋_GB2312"/>
                <w:color w:val="auto"/>
                <w:sz w:val="24"/>
                <w:szCs w:val="24"/>
              </w:rPr>
              <w:fldChar w:fldCharType="end"/>
            </w:r>
            <w:r>
              <w:rPr>
                <w:rFonts w:hint="eastAsia" w:ascii="仿宋_GB2312" w:eastAsia="仿宋_GB2312"/>
                <w:color w:val="auto"/>
                <w:sz w:val="24"/>
                <w:szCs w:val="24"/>
              </w:rPr>
              <w:t>）</w:t>
            </w:r>
          </w:p>
          <w:p>
            <w:pPr>
              <w:rPr>
                <w:color w:val="auto"/>
              </w:rPr>
            </w:pPr>
            <w:r>
              <w:rPr>
                <w:rFonts w:hint="eastAsia" w:ascii="仿宋_GB2312" w:eastAsia="仿宋_GB2312"/>
                <w:color w:val="auto"/>
                <w:sz w:val="24"/>
                <w:szCs w:val="24"/>
              </w:rPr>
              <w:t>丽水市公共资源交易网（www.lssggzy.com）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0" w:type="dxa"/>
            <w:tcBorders>
              <w:top w:val="single" w:color="auto" w:sz="4" w:space="0"/>
              <w:left w:val="single" w:color="auto" w:sz="4" w:space="0"/>
              <w:bottom w:val="single" w:color="auto" w:sz="4" w:space="0"/>
              <w:right w:val="single" w:color="auto" w:sz="4" w:space="0"/>
            </w:tcBorders>
            <w:vAlign w:val="center"/>
          </w:tcPr>
          <w:p>
            <w:pPr>
              <w:ind w:left="-88" w:leftChars="-42" w:right="-113" w:rightChars="-54"/>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8.3.1</w:t>
            </w:r>
          </w:p>
        </w:tc>
        <w:tc>
          <w:tcPr>
            <w:tcW w:w="1442" w:type="dxa"/>
            <w:tcBorders>
              <w:top w:val="single" w:color="auto" w:sz="4" w:space="0"/>
              <w:left w:val="single" w:color="auto" w:sz="4" w:space="0"/>
              <w:bottom w:val="single" w:color="auto" w:sz="4" w:space="0"/>
              <w:right w:val="single" w:color="auto" w:sz="4" w:space="0"/>
            </w:tcBorders>
            <w:vAlign w:val="center"/>
          </w:tcPr>
          <w:p>
            <w:pPr>
              <w:ind w:left="-99" w:leftChars="-47" w:right="-65" w:rightChars="-31" w:firstLine="26" w:firstLineChars="11"/>
              <w:jc w:val="center"/>
              <w:rPr>
                <w:rFonts w:ascii="仿宋_GB2312" w:hAnsi="宋体" w:eastAsia="仿宋_GB2312" w:cs="Calibri"/>
                <w:bCs/>
                <w:color w:val="auto"/>
                <w:sz w:val="24"/>
                <w:szCs w:val="24"/>
              </w:rPr>
            </w:pPr>
            <w:r>
              <w:rPr>
                <w:rFonts w:hint="eastAsia" w:ascii="仿宋_GB2312" w:hAnsi="宋体" w:eastAsia="仿宋_GB2312"/>
                <w:bCs/>
                <w:color w:val="auto"/>
                <w:sz w:val="24"/>
                <w:szCs w:val="24"/>
              </w:rPr>
              <w:t>履约保证金</w:t>
            </w:r>
          </w:p>
        </w:tc>
        <w:tc>
          <w:tcPr>
            <w:tcW w:w="69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Calibri"/>
                <w:b/>
                <w:bCs/>
                <w:color w:val="auto"/>
                <w:sz w:val="24"/>
                <w:szCs w:val="24"/>
              </w:rPr>
            </w:pPr>
            <w:r>
              <w:rPr>
                <w:rFonts w:hint="eastAsia" w:ascii="仿宋_GB2312" w:hAnsi="宋体" w:eastAsia="仿宋_GB2312"/>
                <w:bCs/>
                <w:color w:val="auto"/>
                <w:sz w:val="24"/>
                <w:szCs w:val="24"/>
              </w:rPr>
              <w:t>履约保证金：</w:t>
            </w:r>
            <w:r>
              <w:rPr>
                <w:rFonts w:hint="eastAsia" w:ascii="仿宋_GB2312" w:hAnsi="宋体" w:eastAsia="仿宋_GB2312"/>
                <w:bCs/>
                <w:color w:val="auto"/>
                <w:sz w:val="24"/>
                <w:szCs w:val="24"/>
                <w:u w:val="single"/>
              </w:rPr>
              <w:t>合同价的</w:t>
            </w:r>
            <w:r>
              <w:rPr>
                <w:rFonts w:hint="eastAsia" w:ascii="仿宋_GB2312" w:hAnsi="宋体" w:eastAsia="仿宋_GB2312"/>
                <w:b/>
                <w:bCs/>
                <w:color w:val="auto"/>
                <w:sz w:val="24"/>
                <w:szCs w:val="24"/>
                <w:u w:val="single"/>
              </w:rPr>
              <w:t>1%</w:t>
            </w:r>
            <w:r>
              <w:rPr>
                <w:rFonts w:hint="eastAsia" w:ascii="仿宋_GB2312" w:hAnsi="宋体" w:eastAsia="仿宋_GB2312"/>
                <w:b/>
                <w:bCs/>
                <w:color w:val="auto"/>
                <w:sz w:val="24"/>
                <w:szCs w:val="24"/>
              </w:rPr>
              <w:t>。</w:t>
            </w:r>
          </w:p>
          <w:p>
            <w:pPr>
              <w:rPr>
                <w:rFonts w:ascii="仿宋_GB2312" w:hAnsi="宋体" w:eastAsia="仿宋_GB2312"/>
                <w:bCs/>
                <w:color w:val="auto"/>
                <w:sz w:val="24"/>
                <w:szCs w:val="24"/>
              </w:rPr>
            </w:pPr>
            <w:r>
              <w:rPr>
                <w:rFonts w:hint="eastAsia" w:ascii="仿宋_GB2312" w:hAnsi="宋体" w:eastAsia="仿宋_GB2312"/>
                <w:bCs/>
                <w:color w:val="auto"/>
                <w:sz w:val="24"/>
                <w:szCs w:val="24"/>
              </w:rPr>
              <w:t>缴纳方式：电汇、转账、银行或保险公司出具履约保函</w:t>
            </w:r>
          </w:p>
          <w:p>
            <w:pPr>
              <w:rPr>
                <w:rFonts w:ascii="仿宋_GB2312" w:hAnsi="宋体" w:eastAsia="仿宋_GB2312"/>
                <w:bCs/>
                <w:color w:val="auto"/>
                <w:sz w:val="24"/>
                <w:szCs w:val="24"/>
              </w:rPr>
            </w:pPr>
            <w:r>
              <w:rPr>
                <w:rFonts w:hint="eastAsia" w:ascii="仿宋_GB2312" w:hAnsi="宋体" w:eastAsia="仿宋_GB2312"/>
                <w:bCs/>
                <w:color w:val="auto"/>
                <w:sz w:val="24"/>
                <w:szCs w:val="24"/>
              </w:rPr>
              <w:t>缴纳时间：签订合同前缴纳</w:t>
            </w:r>
          </w:p>
          <w:p>
            <w:pPr>
              <w:rPr>
                <w:rFonts w:ascii="仿宋_GB2312" w:hAnsi="宋体" w:eastAsia="仿宋_GB2312"/>
                <w:bCs/>
                <w:color w:val="auto"/>
                <w:sz w:val="24"/>
                <w:szCs w:val="24"/>
              </w:rPr>
            </w:pPr>
            <w:r>
              <w:rPr>
                <w:rFonts w:hint="eastAsia" w:ascii="仿宋_GB2312" w:hAnsi="宋体" w:eastAsia="仿宋_GB2312"/>
                <w:bCs/>
                <w:color w:val="auto"/>
                <w:sz w:val="24"/>
                <w:szCs w:val="24"/>
              </w:rPr>
              <w:t>电汇、转账缴至采购人账户。</w:t>
            </w:r>
          </w:p>
          <w:p>
            <w:pPr>
              <w:rPr>
                <w:rFonts w:ascii="仿宋_GB2312" w:hAnsi="宋体" w:eastAsia="仿宋_GB2312"/>
                <w:bCs/>
                <w:color w:val="auto"/>
                <w:sz w:val="24"/>
                <w:szCs w:val="24"/>
              </w:rPr>
            </w:pPr>
            <w:r>
              <w:rPr>
                <w:rFonts w:hint="eastAsia" w:ascii="仿宋_GB2312" w:hAnsi="宋体" w:eastAsia="仿宋_GB2312"/>
                <w:bCs/>
                <w:color w:val="auto"/>
                <w:sz w:val="24"/>
                <w:szCs w:val="24"/>
              </w:rPr>
              <w:t>退还时间：合同履约完成、项目验收合格后无息退还。</w:t>
            </w:r>
          </w:p>
          <w:p>
            <w:pPr>
              <w:rPr>
                <w:rFonts w:ascii="仿宋_GB2312" w:eastAsia="仿宋_GB2312" w:cs="Calibri"/>
                <w:color w:val="auto"/>
                <w:sz w:val="24"/>
                <w:szCs w:val="24"/>
              </w:rPr>
            </w:pPr>
            <w:r>
              <w:rPr>
                <w:rFonts w:hint="eastAsia" w:ascii="仿宋_GB2312" w:hAnsi="宋体" w:eastAsia="仿宋_GB2312"/>
                <w:bCs/>
                <w:color w:val="auto"/>
                <w:sz w:val="24"/>
                <w:szCs w:val="24"/>
              </w:rPr>
              <w:t>履约保函：以各银行或保险公司出具的为准。</w:t>
            </w:r>
          </w:p>
        </w:tc>
      </w:tr>
    </w:tbl>
    <w:p>
      <w:pPr>
        <w:rPr>
          <w:color w:val="auto"/>
        </w:rPr>
      </w:pPr>
      <w:r>
        <w:rPr>
          <w:color w:val="auto"/>
        </w:rPr>
        <w:t xml:space="preserve"> </w:t>
      </w:r>
    </w:p>
    <w:p>
      <w:pPr>
        <w:rPr>
          <w:color w:val="auto"/>
        </w:rPr>
      </w:pPr>
    </w:p>
    <w:p>
      <w:pPr>
        <w:pStyle w:val="24"/>
        <w:spacing w:after="240"/>
        <w:jc w:val="left"/>
        <w:outlineLvl w:val="9"/>
        <w:rPr>
          <w:rFonts w:ascii="仿宋_GB2312" w:eastAsia="仿宋_GB2312"/>
          <w:color w:val="auto"/>
          <w:sz w:val="30"/>
          <w:szCs w:val="30"/>
        </w:rPr>
      </w:pPr>
      <w:bookmarkStart w:id="33" w:name="_Toc20747"/>
      <w:bookmarkStart w:id="34" w:name="_Toc104199089"/>
      <w:r>
        <w:rPr>
          <w:rFonts w:hint="eastAsia" w:ascii="仿宋_GB2312" w:eastAsia="仿宋_GB2312"/>
          <w:color w:val="auto"/>
          <w:sz w:val="30"/>
          <w:szCs w:val="30"/>
        </w:rPr>
        <w:t>投标人须知前附表（二）</w:t>
      </w:r>
      <w:bookmarkEnd w:id="33"/>
      <w:bookmarkEnd w:id="34"/>
    </w:p>
    <w:p>
      <w:pPr>
        <w:jc w:val="center"/>
        <w:rPr>
          <w:rFonts w:ascii="仿宋_GB2312" w:eastAsia="仿宋_GB2312"/>
          <w:b/>
          <w:color w:val="auto"/>
          <w:sz w:val="32"/>
          <w:szCs w:val="32"/>
        </w:rPr>
      </w:pPr>
      <w:r>
        <w:rPr>
          <w:rFonts w:hint="eastAsia" w:ascii="仿宋_GB2312" w:eastAsia="仿宋_GB2312"/>
          <w:b/>
          <w:color w:val="auto"/>
          <w:sz w:val="32"/>
          <w:szCs w:val="32"/>
        </w:rPr>
        <w:t>招标活动日程安排表</w:t>
      </w:r>
    </w:p>
    <w:tbl>
      <w:tblPr>
        <w:tblStyle w:val="26"/>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44"/>
        <w:gridCol w:w="38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序号</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工作内容</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时间安排</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发布招标公告</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u w:val="single"/>
              </w:rPr>
              <w:t>2022</w:t>
            </w:r>
            <w:r>
              <w:rPr>
                <w:rFonts w:hint="eastAsia" w:ascii="仿宋_GB2312" w:hAnsi="宋体" w:eastAsia="仿宋_GB2312" w:cs="宋体"/>
                <w:color w:val="auto"/>
                <w:sz w:val="24"/>
                <w:szCs w:val="24"/>
              </w:rPr>
              <w:t>年</w:t>
            </w:r>
            <w:r>
              <w:rPr>
                <w:rFonts w:hint="eastAsia" w:ascii="仿宋_GB2312" w:hAnsi="宋体" w:eastAsia="仿宋_GB2312" w:cs="宋体"/>
                <w:color w:val="auto"/>
                <w:sz w:val="24"/>
                <w:szCs w:val="24"/>
                <w:u w:val="single"/>
              </w:rPr>
              <w:t xml:space="preserve"> 8 </w:t>
            </w:r>
            <w:r>
              <w:rPr>
                <w:rFonts w:hint="eastAsia" w:ascii="仿宋_GB2312" w:hAnsi="宋体" w:eastAsia="仿宋_GB2312" w:cs="宋体"/>
                <w:color w:val="auto"/>
                <w:sz w:val="24"/>
                <w:szCs w:val="24"/>
              </w:rPr>
              <w:t>月</w:t>
            </w:r>
            <w:r>
              <w:rPr>
                <w:rFonts w:hint="eastAsia" w:ascii="仿宋_GB2312" w:hAnsi="宋体" w:eastAsia="仿宋_GB2312" w:cs="宋体"/>
                <w:color w:val="auto"/>
                <w:sz w:val="24"/>
                <w:szCs w:val="24"/>
                <w:u w:val="single"/>
              </w:rPr>
              <w:t xml:space="preserve"> 1</w:t>
            </w:r>
            <w:r>
              <w:rPr>
                <w:rFonts w:hint="eastAsia" w:ascii="仿宋_GB2312" w:hAnsi="宋体" w:eastAsia="仿宋_GB2312" w:cs="宋体"/>
                <w:color w:val="auto"/>
                <w:sz w:val="24"/>
                <w:szCs w:val="24"/>
                <w:u w:val="single"/>
                <w:lang w:val="en-US" w:eastAsia="zh-CN"/>
              </w:rPr>
              <w:t>9</w:t>
            </w:r>
            <w:r>
              <w:rPr>
                <w:rFonts w:hint="eastAsia" w:ascii="仿宋_GB2312" w:hAnsi="宋体" w:eastAsia="仿宋_GB2312" w:cs="宋体"/>
                <w:color w:val="auto"/>
                <w:sz w:val="24"/>
                <w:szCs w:val="24"/>
                <w:u w:val="single"/>
              </w:rPr>
              <w:t xml:space="preserve">  </w:t>
            </w:r>
            <w:r>
              <w:rPr>
                <w:rFonts w:hint="eastAsia" w:ascii="仿宋_GB2312" w:hAnsi="宋体" w:eastAsia="仿宋_GB2312" w:cs="宋体"/>
                <w:color w:val="auto"/>
                <w:sz w:val="24"/>
                <w:szCs w:val="24"/>
              </w:rPr>
              <w:t>日</w:t>
            </w:r>
          </w:p>
        </w:tc>
        <w:tc>
          <w:tcPr>
            <w:tcW w:w="2835" w:type="dxa"/>
            <w:tcBorders>
              <w:top w:val="single" w:color="auto" w:sz="4" w:space="0"/>
              <w:left w:val="single" w:color="auto" w:sz="4" w:space="0"/>
              <w:bottom w:val="single" w:color="auto" w:sz="4" w:space="0"/>
              <w:right w:val="single" w:color="auto" w:sz="4" w:space="0"/>
            </w:tcBorders>
            <w:vAlign w:val="center"/>
          </w:tcPr>
          <w:p>
            <w:pPr>
              <w:wordWrap w:val="0"/>
              <w:jc w:val="left"/>
              <w:rPr>
                <w:rFonts w:hint="eastAsia" w:ascii="仿宋_GB2312" w:hAnsi="宋体" w:eastAsia="仿宋_GB2312"/>
                <w:bCs/>
                <w:color w:val="auto"/>
                <w:sz w:val="24"/>
                <w:szCs w:val="24"/>
              </w:rPr>
            </w:pPr>
            <w:r>
              <w:rPr>
                <w:rFonts w:hint="eastAsia" w:ascii="仿宋_GB2312" w:hAnsi="宋体" w:eastAsia="仿宋_GB2312"/>
                <w:bCs/>
                <w:color w:val="auto"/>
                <w:sz w:val="24"/>
                <w:szCs w:val="24"/>
              </w:rPr>
              <w:t>浙江政府采购网（</w:t>
            </w:r>
            <w:r>
              <w:rPr>
                <w:color w:val="auto"/>
              </w:rPr>
              <w:fldChar w:fldCharType="begin"/>
            </w:r>
            <w:r>
              <w:rPr>
                <w:color w:val="auto"/>
              </w:rPr>
              <w:instrText xml:space="preserve"> HYPERLINK "http://www.zjzfcg.gov.cn" </w:instrText>
            </w:r>
            <w:r>
              <w:rPr>
                <w:color w:val="auto"/>
              </w:rPr>
              <w:fldChar w:fldCharType="separate"/>
            </w:r>
            <w:r>
              <w:rPr>
                <w:rFonts w:hint="eastAsia" w:ascii="仿宋_GB2312" w:hAnsi="宋体" w:eastAsia="仿宋_GB2312"/>
                <w:bCs/>
                <w:color w:val="auto"/>
                <w:sz w:val="24"/>
                <w:szCs w:val="24"/>
              </w:rPr>
              <w:t>zfcg.czt.zj.gov.cn</w:t>
            </w:r>
            <w:r>
              <w:rPr>
                <w:rFonts w:hint="eastAsia" w:ascii="仿宋_GB2312" w:hAnsi="宋体" w:eastAsia="仿宋_GB2312"/>
                <w:bCs/>
                <w:color w:val="auto"/>
                <w:sz w:val="24"/>
                <w:szCs w:val="24"/>
              </w:rPr>
              <w:fldChar w:fldCharType="end"/>
            </w:r>
            <w:r>
              <w:rPr>
                <w:rFonts w:hint="eastAsia" w:ascii="仿宋_GB2312" w:hAnsi="宋体" w:eastAsia="仿宋_GB2312"/>
                <w:bCs/>
                <w:color w:val="auto"/>
                <w:sz w:val="24"/>
                <w:szCs w:val="24"/>
              </w:rPr>
              <w:t>）</w:t>
            </w:r>
          </w:p>
          <w:p>
            <w:pPr>
              <w:wordWrap w:val="0"/>
              <w:jc w:val="left"/>
              <w:rPr>
                <w:rFonts w:hint="eastAsia" w:ascii="仿宋_GB2312" w:hAnsi="宋体" w:eastAsia="仿宋_GB2312" w:cs="宋体"/>
                <w:color w:val="auto"/>
                <w:sz w:val="24"/>
                <w:szCs w:val="24"/>
                <w:lang w:eastAsia="zh-CN"/>
              </w:rPr>
            </w:pPr>
            <w:r>
              <w:rPr>
                <w:rFonts w:hint="eastAsia" w:ascii="仿宋_GB2312" w:hAnsi="宋体" w:eastAsia="仿宋_GB2312"/>
                <w:bCs/>
                <w:color w:val="auto"/>
                <w:sz w:val="24"/>
                <w:szCs w:val="24"/>
              </w:rPr>
              <w:t>丽水市公共资源交易网（www.lssggzy.com）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2</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发放招标文件</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u w:val="single"/>
              </w:rPr>
              <w:t>2022</w:t>
            </w:r>
            <w:r>
              <w:rPr>
                <w:rFonts w:hint="eastAsia" w:ascii="仿宋_GB2312" w:hAnsi="宋体" w:eastAsia="仿宋_GB2312" w:cs="宋体"/>
                <w:color w:val="auto"/>
                <w:sz w:val="24"/>
                <w:szCs w:val="24"/>
              </w:rPr>
              <w:t>年</w:t>
            </w:r>
            <w:r>
              <w:rPr>
                <w:rFonts w:hint="eastAsia" w:ascii="仿宋_GB2312" w:hAnsi="宋体" w:eastAsia="仿宋_GB2312" w:cs="宋体"/>
                <w:color w:val="auto"/>
                <w:sz w:val="24"/>
                <w:szCs w:val="24"/>
                <w:u w:val="single"/>
              </w:rPr>
              <w:t xml:space="preserve"> 8 </w:t>
            </w:r>
            <w:r>
              <w:rPr>
                <w:rFonts w:hint="eastAsia" w:ascii="仿宋_GB2312" w:hAnsi="宋体" w:eastAsia="仿宋_GB2312" w:cs="宋体"/>
                <w:color w:val="auto"/>
                <w:sz w:val="24"/>
                <w:szCs w:val="24"/>
              </w:rPr>
              <w:t>月</w:t>
            </w:r>
            <w:r>
              <w:rPr>
                <w:rFonts w:hint="eastAsia" w:ascii="仿宋_GB2312" w:hAnsi="宋体" w:eastAsia="仿宋_GB2312" w:cs="宋体"/>
                <w:color w:val="auto"/>
                <w:sz w:val="24"/>
                <w:szCs w:val="24"/>
                <w:u w:val="single"/>
              </w:rPr>
              <w:t xml:space="preserve"> 1</w:t>
            </w:r>
            <w:r>
              <w:rPr>
                <w:rFonts w:hint="eastAsia" w:ascii="仿宋_GB2312" w:hAnsi="宋体" w:eastAsia="仿宋_GB2312" w:cs="宋体"/>
                <w:color w:val="auto"/>
                <w:sz w:val="24"/>
                <w:szCs w:val="24"/>
                <w:u w:val="single"/>
                <w:lang w:val="en-US" w:eastAsia="zh-CN"/>
              </w:rPr>
              <w:t>9</w:t>
            </w:r>
            <w:r>
              <w:rPr>
                <w:rFonts w:hint="eastAsia" w:ascii="仿宋_GB2312" w:hAnsi="宋体" w:eastAsia="仿宋_GB2312" w:cs="宋体"/>
                <w:color w:val="auto"/>
                <w:sz w:val="24"/>
                <w:szCs w:val="24"/>
                <w:u w:val="single"/>
              </w:rPr>
              <w:t xml:space="preserve"> </w:t>
            </w:r>
            <w:r>
              <w:rPr>
                <w:rFonts w:hint="eastAsia" w:ascii="仿宋_GB2312" w:hAnsi="宋体" w:eastAsia="仿宋_GB2312" w:cs="宋体"/>
                <w:color w:val="auto"/>
                <w:sz w:val="24"/>
                <w:szCs w:val="24"/>
              </w:rPr>
              <w:t>日起</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获取方式：招标公告附件自行下载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3</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现场踏勘和地点</w:t>
            </w:r>
          </w:p>
        </w:tc>
        <w:tc>
          <w:tcPr>
            <w:tcW w:w="386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r>
              <w:rPr>
                <w:rFonts w:ascii="Wingdings" w:hAnsi="Wingdings"/>
                <w:bCs/>
                <w:color w:val="auto"/>
                <w:sz w:val="24"/>
                <w:szCs w:val="24"/>
              </w:rPr>
              <w:t></w:t>
            </w:r>
            <w:r>
              <w:rPr>
                <w:rFonts w:hint="eastAsia" w:ascii="仿宋_GB2312" w:hAnsi="宋体" w:eastAsia="仿宋_GB2312" w:cs="宋体"/>
                <w:color w:val="auto"/>
                <w:sz w:val="24"/>
                <w:szCs w:val="24"/>
              </w:rPr>
              <w:t xml:space="preserve"> 无</w:t>
            </w:r>
          </w:p>
          <w:p>
            <w:pPr>
              <w:rPr>
                <w:rFonts w:ascii="仿宋_GB2312" w:hAnsi="宋体" w:eastAsia="仿宋_GB2312" w:cs="宋体"/>
                <w:color w:val="auto"/>
                <w:sz w:val="24"/>
                <w:szCs w:val="24"/>
              </w:rPr>
            </w:pPr>
            <w:r>
              <w:rPr>
                <w:rFonts w:hint="eastAsia" w:ascii="仿宋_GB2312" w:hAnsi="宋体" w:eastAsia="仿宋_GB2312"/>
                <w:bCs/>
                <w:color w:val="auto"/>
                <w:sz w:val="24"/>
                <w:szCs w:val="24"/>
              </w:rPr>
              <w:t>□</w:t>
            </w:r>
            <w:r>
              <w:rPr>
                <w:rFonts w:hint="eastAsia" w:ascii="仿宋_GB2312" w:hAnsi="宋体" w:eastAsia="仿宋_GB2312" w:cs="宋体"/>
                <w:color w:val="auto"/>
                <w:sz w:val="24"/>
                <w:szCs w:val="24"/>
              </w:rPr>
              <w:t xml:space="preserve"> </w:t>
            </w:r>
            <w:r>
              <w:rPr>
                <w:rFonts w:hint="eastAsia" w:ascii="仿宋_GB2312" w:hAnsi="宋体" w:eastAsia="仿宋_GB2312" w:cs="宋体"/>
                <w:color w:val="auto"/>
                <w:sz w:val="24"/>
                <w:szCs w:val="24"/>
                <w:u w:val="single"/>
              </w:rPr>
              <w:t>XXXX</w:t>
            </w:r>
            <w:r>
              <w:rPr>
                <w:rFonts w:hint="eastAsia" w:ascii="仿宋_GB2312" w:hAnsi="宋体" w:eastAsia="仿宋_GB2312" w:cs="宋体"/>
                <w:color w:val="auto"/>
                <w:sz w:val="24"/>
                <w:szCs w:val="24"/>
              </w:rPr>
              <w:t>年</w:t>
            </w:r>
            <w:r>
              <w:rPr>
                <w:rFonts w:hint="eastAsia" w:ascii="仿宋_GB2312" w:hAnsi="宋体" w:eastAsia="仿宋_GB2312" w:cs="宋体"/>
                <w:color w:val="auto"/>
                <w:sz w:val="24"/>
                <w:szCs w:val="24"/>
                <w:u w:val="single"/>
              </w:rPr>
              <w:t>XX</w:t>
            </w:r>
            <w:r>
              <w:rPr>
                <w:rFonts w:hint="eastAsia" w:ascii="仿宋_GB2312" w:hAnsi="宋体" w:eastAsia="仿宋_GB2312" w:cs="宋体"/>
                <w:color w:val="auto"/>
                <w:sz w:val="24"/>
                <w:szCs w:val="24"/>
              </w:rPr>
              <w:t>月</w:t>
            </w:r>
            <w:r>
              <w:rPr>
                <w:rFonts w:hint="eastAsia" w:ascii="仿宋_GB2312" w:hAnsi="宋体" w:eastAsia="仿宋_GB2312" w:cs="宋体"/>
                <w:color w:val="auto"/>
                <w:sz w:val="24"/>
                <w:szCs w:val="24"/>
                <w:u w:val="single"/>
              </w:rPr>
              <w:t>XX</w:t>
            </w:r>
            <w:r>
              <w:rPr>
                <w:rFonts w:hint="eastAsia" w:ascii="仿宋_GB2312" w:hAnsi="宋体" w:eastAsia="仿宋_GB2312" w:cs="宋体"/>
                <w:color w:val="auto"/>
                <w:sz w:val="24"/>
                <w:szCs w:val="24"/>
              </w:rPr>
              <w:t>日XX时，</w:t>
            </w:r>
          </w:p>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地点：</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投标人自行前往本次采购的项目所在地进行踏勘。本次招标文件提供的平面图仅供参考，实际情况需投标人在进行现场踏勘时自行核对。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4</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更正公告</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澄清或修改内容可能影响投标文件编制的，投标截止时间15日前，</w:t>
            </w:r>
            <w:r>
              <w:rPr>
                <w:rFonts w:hint="eastAsia" w:ascii="仿宋_GB2312" w:eastAsia="仿宋_GB2312"/>
                <w:color w:val="auto"/>
                <w:sz w:val="24"/>
                <w:szCs w:val="24"/>
              </w:rPr>
              <w:t>不足15日的，顺延</w:t>
            </w:r>
            <w:r>
              <w:rPr>
                <w:rFonts w:hint="eastAsia" w:ascii="仿宋_GB2312" w:hAnsi="宋体" w:eastAsia="仿宋_GB2312"/>
                <w:bCs/>
                <w:color w:val="auto"/>
                <w:sz w:val="24"/>
                <w:szCs w:val="24"/>
              </w:rPr>
              <w:t>投标截止时间</w:t>
            </w:r>
            <w:r>
              <w:rPr>
                <w:rFonts w:hint="eastAsia" w:ascii="仿宋_GB2312" w:eastAsia="仿宋_GB2312"/>
                <w:color w:val="auto"/>
                <w:sz w:val="24"/>
                <w:szCs w:val="24"/>
              </w:rPr>
              <w:t>；</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澄清或修改内容获取方式：更正公告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5</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投标文件提交截止时间</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同投标人须知前附表（一）</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6</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开标时间</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同投标截止时间</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7</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中标公告及中标通知书</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eastAsia="仿宋_GB2312"/>
                <w:color w:val="auto"/>
                <w:sz w:val="24"/>
                <w:szCs w:val="24"/>
              </w:rPr>
              <w:t>中标人确定之日起2个工作日内</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8</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质疑期限</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中标结果公告期限届满之日起7个工作日内</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9</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投诉期限</w:t>
            </w:r>
          </w:p>
        </w:tc>
        <w:tc>
          <w:tcPr>
            <w:tcW w:w="386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auto"/>
                <w:sz w:val="24"/>
                <w:szCs w:val="24"/>
              </w:rPr>
            </w:pPr>
            <w:r>
              <w:rPr>
                <w:rFonts w:hint="eastAsia" w:ascii="仿宋_GB2312" w:hAnsi="宋体" w:eastAsia="仿宋_GB2312" w:cs="宋体"/>
                <w:color w:val="auto"/>
                <w:sz w:val="24"/>
                <w:szCs w:val="24"/>
              </w:rPr>
              <w:t>质疑答复期满后15个工作日内</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ind w:left="-126" w:leftChars="-60" w:right="-99" w:rightChars="-47"/>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10</w:t>
            </w:r>
          </w:p>
        </w:tc>
        <w:tc>
          <w:tcPr>
            <w:tcW w:w="214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auto"/>
                <w:sz w:val="24"/>
                <w:szCs w:val="24"/>
              </w:rPr>
            </w:pPr>
            <w:r>
              <w:rPr>
                <w:rFonts w:hint="eastAsia" w:ascii="仿宋_GB2312" w:hAnsi="宋体" w:eastAsia="仿宋_GB2312" w:cs="宋体"/>
                <w:color w:val="auto"/>
                <w:sz w:val="24"/>
                <w:szCs w:val="24"/>
              </w:rPr>
              <w:t>签订合同</w:t>
            </w:r>
          </w:p>
        </w:tc>
        <w:tc>
          <w:tcPr>
            <w:tcW w:w="386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r>
              <w:rPr>
                <w:rFonts w:hint="eastAsia" w:ascii="仿宋_GB2312" w:hAnsi="宋体" w:eastAsia="仿宋_GB2312" w:cs="宋体"/>
                <w:color w:val="auto"/>
                <w:sz w:val="24"/>
                <w:szCs w:val="24"/>
              </w:rPr>
              <w:t>中标通知书发出之日起</w:t>
            </w:r>
            <w:r>
              <w:rPr>
                <w:rFonts w:hint="eastAsia" w:ascii="仿宋_GB2312" w:hAnsi="宋体" w:eastAsia="仿宋_GB2312" w:cs="宋体"/>
                <w:color w:val="auto"/>
                <w:sz w:val="24"/>
                <w:szCs w:val="24"/>
                <w:u w:val="single"/>
              </w:rPr>
              <w:t>30</w:t>
            </w:r>
            <w:r>
              <w:rPr>
                <w:rFonts w:hint="eastAsia" w:ascii="仿宋_GB2312" w:hAnsi="宋体" w:eastAsia="仿宋_GB2312" w:cs="宋体"/>
                <w:color w:val="auto"/>
                <w:sz w:val="24"/>
                <w:szCs w:val="24"/>
              </w:rPr>
              <w:t>日内，</w:t>
            </w:r>
            <w:r>
              <w:rPr>
                <w:rFonts w:hint="eastAsia" w:ascii="仿宋_GB2312" w:eastAsia="仿宋_GB2312"/>
                <w:color w:val="auto"/>
                <w:sz w:val="24"/>
                <w:szCs w:val="24"/>
              </w:rPr>
              <w:t>按照招标文件和中标人投标文件的规定，与中标人签订书面合同。</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auto"/>
                <w:sz w:val="24"/>
                <w:szCs w:val="24"/>
              </w:rPr>
            </w:pPr>
          </w:p>
        </w:tc>
      </w:tr>
    </w:tbl>
    <w:p>
      <w:pPr>
        <w:rPr>
          <w:color w:val="auto"/>
        </w:rPr>
      </w:pPr>
    </w:p>
    <w:p>
      <w:pPr>
        <w:pStyle w:val="24"/>
        <w:jc w:val="both"/>
        <w:rPr>
          <w:color w:val="auto"/>
        </w:rPr>
      </w:pPr>
    </w:p>
    <w:p>
      <w:pPr>
        <w:rPr>
          <w:color w:val="auto"/>
        </w:rPr>
      </w:pPr>
    </w:p>
    <w:p>
      <w:pPr>
        <w:pStyle w:val="24"/>
        <w:spacing w:beforeLines="100" w:after="240" w:afterLines="100"/>
        <w:jc w:val="left"/>
        <w:outlineLvl w:val="1"/>
        <w:rPr>
          <w:rFonts w:ascii="仿宋_GB2312" w:eastAsia="仿宋_GB2312"/>
          <w:color w:val="auto"/>
          <w:sz w:val="30"/>
          <w:szCs w:val="30"/>
        </w:rPr>
      </w:pPr>
      <w:r>
        <w:rPr>
          <w:rFonts w:hint="eastAsia" w:ascii="仿宋_GB2312" w:eastAsia="仿宋_GB2312"/>
          <w:color w:val="auto"/>
          <w:sz w:val="30"/>
          <w:szCs w:val="30"/>
        </w:rPr>
        <w:t xml:space="preserve"> </w:t>
      </w:r>
      <w:bookmarkStart w:id="35" w:name="_Toc28043"/>
      <w:bookmarkStart w:id="36" w:name="_Toc105577174"/>
      <w:r>
        <w:rPr>
          <w:rFonts w:hint="eastAsia" w:ascii="仿宋_GB2312" w:eastAsia="仿宋_GB2312"/>
          <w:color w:val="auto"/>
          <w:sz w:val="30"/>
          <w:szCs w:val="30"/>
        </w:rPr>
        <w:t>一    总则</w:t>
      </w:r>
      <w:bookmarkEnd w:id="35"/>
      <w:bookmarkEnd w:id="36"/>
    </w:p>
    <w:p>
      <w:pPr>
        <w:spacing w:line="360" w:lineRule="auto"/>
        <w:rPr>
          <w:rFonts w:ascii="仿宋" w:hAnsi="仿宋" w:eastAsia="仿宋" w:cs="仿宋"/>
          <w:b/>
          <w:bCs/>
          <w:color w:val="auto"/>
          <w:sz w:val="24"/>
          <w:szCs w:val="24"/>
        </w:rPr>
      </w:pPr>
      <w:bookmarkStart w:id="37" w:name="_Toc530551822"/>
      <w:bookmarkEnd w:id="37"/>
      <w:bookmarkStart w:id="38" w:name="_Toc531358977"/>
      <w:bookmarkEnd w:id="38"/>
      <w:r>
        <w:rPr>
          <w:rFonts w:hint="eastAsia" w:ascii="仿宋" w:hAnsi="仿宋" w:eastAsia="仿宋" w:cs="仿宋"/>
          <w:b/>
          <w:bCs/>
          <w:color w:val="auto"/>
          <w:sz w:val="24"/>
          <w:szCs w:val="24"/>
        </w:rPr>
        <w:t>1.1     适用范围</w:t>
      </w:r>
    </w:p>
    <w:p>
      <w:pPr>
        <w:spacing w:line="360" w:lineRule="auto"/>
        <w:ind w:firstLine="960" w:firstLineChars="400"/>
        <w:rPr>
          <w:rFonts w:ascii="仿宋_GB2312" w:hAnsi="宋体" w:eastAsia="仿宋_GB2312"/>
          <w:color w:val="auto"/>
          <w:sz w:val="24"/>
          <w:szCs w:val="24"/>
        </w:rPr>
      </w:pPr>
      <w:r>
        <w:rPr>
          <w:rFonts w:hint="eastAsia" w:ascii="仿宋_GB2312" w:hAnsi="宋体" w:eastAsia="仿宋_GB2312"/>
          <w:bCs/>
          <w:color w:val="auto"/>
          <w:sz w:val="24"/>
          <w:szCs w:val="24"/>
        </w:rPr>
        <w:t>招标文件</w:t>
      </w:r>
      <w:r>
        <w:rPr>
          <w:rFonts w:hint="eastAsia" w:ascii="仿宋_GB2312" w:hAnsi="宋体" w:eastAsia="仿宋_GB2312"/>
          <w:color w:val="auto"/>
          <w:sz w:val="24"/>
          <w:szCs w:val="24"/>
        </w:rPr>
        <w:t>适用于本次招标项目的采购行为，法律、法规另有规定的，从其规定。</w:t>
      </w:r>
    </w:p>
    <w:p>
      <w:pPr>
        <w:spacing w:line="360" w:lineRule="auto"/>
        <w:rPr>
          <w:rFonts w:ascii="仿宋" w:hAnsi="仿宋" w:eastAsia="仿宋" w:cs="仿宋"/>
          <w:b/>
          <w:bCs/>
          <w:color w:val="auto"/>
          <w:sz w:val="24"/>
          <w:szCs w:val="24"/>
        </w:rPr>
      </w:pPr>
      <w:bookmarkStart w:id="39" w:name="_Toc531358978"/>
      <w:bookmarkEnd w:id="39"/>
      <w:bookmarkStart w:id="40" w:name="_Toc530551823"/>
      <w:bookmarkEnd w:id="40"/>
      <w:r>
        <w:rPr>
          <w:rFonts w:hint="eastAsia" w:ascii="仿宋" w:hAnsi="仿宋" w:eastAsia="仿宋" w:cs="仿宋"/>
          <w:b/>
          <w:bCs/>
          <w:color w:val="auto"/>
          <w:sz w:val="24"/>
          <w:szCs w:val="24"/>
        </w:rPr>
        <w:t>1.2     定义</w:t>
      </w:r>
    </w:p>
    <w:p>
      <w:pPr>
        <w:spacing w:line="360" w:lineRule="auto"/>
        <w:rPr>
          <w:rFonts w:ascii="仿宋_GB2312" w:hAnsi="宋体" w:eastAsia="仿宋_GB2312"/>
          <w:color w:val="auto"/>
          <w:sz w:val="24"/>
          <w:szCs w:val="24"/>
        </w:rPr>
      </w:pPr>
      <w:r>
        <w:rPr>
          <w:rFonts w:hint="eastAsia" w:ascii="仿宋_GB2312" w:hAnsi="宋体" w:eastAsia="仿宋_GB2312"/>
          <w:color w:val="auto"/>
          <w:sz w:val="24"/>
          <w:szCs w:val="24"/>
        </w:rPr>
        <w:t>1.2.1   “采购人”是指：见投标人须知前附表（一）；</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1.2.2   “采购代理机构”系指招标公告中载明的本项目的采购代理机构，详见投标人须知前附表（一）；</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1.2.3   “投标人”系指按照本招标文件的规定参加并递交投标文件的自然人、法人或其他组织；</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1.2.4   “负责人”系指法人企业的法定代表人，或其他组织为法律、行政法规规定代表单位行使职权的主要负责人，或自然人本人；</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1.2.5   “投标人代表”系指负责人或其授权的委托代理人；</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1.2.6   “合同”系指采购人与中标人双方签署的规定双方权利与义务的协议，以及所有附件、附录、招标文件和投标文件所提到的构成合同的所有文件；</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1.2.7   “服务”系指投标人按招标文件规定应承担的服务内容，包括送货上门、安装、调试、技术协助、维修、产品三包制度、校准、培训、技术指导以及其他类似的附随义务；</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1.2.8   “产品”系指投标人按招标文件规定，须向采购人提供的一切产品（包括：虚拟产品），以及产品相关的保险、税金、备品备件、附件、耗材、工具、手册及其它有关技术资料和材料等；</w:t>
      </w:r>
    </w:p>
    <w:p>
      <w:pPr>
        <w:spacing w:line="360" w:lineRule="auto"/>
        <w:ind w:left="720" w:hanging="720" w:hangingChars="300"/>
        <w:rPr>
          <w:rFonts w:ascii="仿宋_GB2312" w:hAnsi="宋体" w:eastAsia="仿宋_GB2312"/>
          <w:color w:val="auto"/>
          <w:sz w:val="24"/>
          <w:szCs w:val="24"/>
        </w:rPr>
      </w:pPr>
      <w:r>
        <w:rPr>
          <w:rFonts w:hint="eastAsia" w:ascii="仿宋_GB2312" w:hAnsi="宋体" w:eastAsia="仿宋_GB2312"/>
          <w:color w:val="auto"/>
          <w:sz w:val="24"/>
          <w:szCs w:val="24"/>
        </w:rPr>
        <w:t>1.2.9   “项目”系指投标人按招标文件规定向采购人提供的服务和产品；</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1.2.10  标有“</w:t>
      </w:r>
      <w:r>
        <w:rPr>
          <w:rFonts w:hint="eastAsia" w:ascii="宋体" w:hAnsi="宋体"/>
          <w:color w:val="auto"/>
          <w:sz w:val="24"/>
          <w:szCs w:val="24"/>
        </w:rPr>
        <w:t>▲</w:t>
      </w:r>
      <w:r>
        <w:rPr>
          <w:rFonts w:hint="eastAsia" w:ascii="仿宋_GB2312" w:hAnsi="宋体" w:eastAsia="仿宋_GB2312"/>
          <w:color w:val="auto"/>
          <w:sz w:val="24"/>
          <w:szCs w:val="24"/>
        </w:rPr>
        <w:t xml:space="preserve">”符号均属于“实质性条款”，不允许负偏离； </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1.2.11  标有“★”系指项目关键核心产品，作为判断同品牌产品的依据。</w:t>
      </w:r>
    </w:p>
    <w:p>
      <w:pPr>
        <w:spacing w:line="360" w:lineRule="auto"/>
        <w:ind w:left="964" w:hanging="964" w:hangingChars="400"/>
        <w:rPr>
          <w:rFonts w:ascii="仿宋_GB2312" w:hAnsi="宋体" w:eastAsia="仿宋_GB2312"/>
          <w:b/>
          <w:color w:val="auto"/>
          <w:sz w:val="24"/>
          <w:szCs w:val="24"/>
        </w:rPr>
      </w:pPr>
      <w:r>
        <w:rPr>
          <w:rFonts w:hint="eastAsia" w:ascii="仿宋_GB2312" w:hAnsi="宋体" w:eastAsia="仿宋_GB2312"/>
          <w:b/>
          <w:color w:val="auto"/>
          <w:sz w:val="24"/>
          <w:szCs w:val="24"/>
        </w:rPr>
        <w:t>1.2.12  “电子投标文件”系指投标人通过“政采云电子交易客户端</w:t>
      </w:r>
      <w:r>
        <w:rPr>
          <w:rFonts w:hint="eastAsia" w:ascii="宋体" w:hAnsi="宋体"/>
          <w:b/>
          <w:color w:val="auto"/>
          <w:sz w:val="24"/>
          <w:szCs w:val="24"/>
        </w:rPr>
        <w:t>”</w:t>
      </w:r>
      <w:r>
        <w:rPr>
          <w:rFonts w:hint="eastAsia" w:ascii="仿宋_GB2312" w:hAnsi="宋体" w:eastAsia="仿宋_GB2312"/>
          <w:b/>
          <w:color w:val="auto"/>
          <w:sz w:val="24"/>
          <w:szCs w:val="24"/>
        </w:rPr>
        <w:t>编制的数据电文形式的“电子加密投标文件”。</w:t>
      </w:r>
    </w:p>
    <w:p>
      <w:pPr>
        <w:spacing w:line="360" w:lineRule="auto"/>
        <w:ind w:left="964" w:hanging="964" w:hangingChars="400"/>
        <w:rPr>
          <w:rFonts w:ascii="仿宋_GB2312" w:hAnsi="宋体" w:eastAsia="仿宋_GB2312"/>
          <w:color w:val="auto"/>
          <w:sz w:val="24"/>
          <w:szCs w:val="24"/>
        </w:rPr>
      </w:pPr>
      <w:r>
        <w:rPr>
          <w:rFonts w:hint="eastAsia" w:ascii="仿宋_GB2312" w:hAnsi="宋体" w:eastAsia="仿宋_GB2312"/>
          <w:b/>
          <w:color w:val="auto"/>
          <w:sz w:val="24"/>
          <w:szCs w:val="24"/>
        </w:rPr>
        <w:t>1.2.13  “备份投标文件”系指与“电子投标文件”同时生成的数据电文形式的电子文件。</w:t>
      </w:r>
    </w:p>
    <w:p>
      <w:pPr>
        <w:spacing w:line="360" w:lineRule="auto"/>
        <w:rPr>
          <w:rFonts w:ascii="仿宋" w:hAnsi="仿宋" w:eastAsia="仿宋" w:cs="仿宋"/>
          <w:b/>
          <w:bCs/>
          <w:color w:val="auto"/>
          <w:sz w:val="24"/>
          <w:szCs w:val="24"/>
        </w:rPr>
      </w:pPr>
      <w:bookmarkStart w:id="41" w:name="_Toc531358980"/>
      <w:bookmarkEnd w:id="41"/>
      <w:bookmarkStart w:id="42" w:name="_Toc530551825"/>
      <w:bookmarkEnd w:id="42"/>
      <w:r>
        <w:rPr>
          <w:rFonts w:hint="eastAsia" w:ascii="仿宋" w:hAnsi="仿宋" w:eastAsia="仿宋" w:cs="仿宋"/>
          <w:b/>
          <w:bCs/>
          <w:color w:val="auto"/>
          <w:sz w:val="24"/>
          <w:szCs w:val="24"/>
        </w:rPr>
        <w:t>1.3     投标人应具备资格条件</w:t>
      </w:r>
    </w:p>
    <w:p>
      <w:pPr>
        <w:spacing w:line="360" w:lineRule="auto"/>
        <w:ind w:firstLine="960" w:firstLineChars="400"/>
        <w:rPr>
          <w:rFonts w:ascii="仿宋_GB2312" w:hAnsi="宋体" w:eastAsia="仿宋_GB2312"/>
          <w:color w:val="auto"/>
          <w:sz w:val="24"/>
          <w:szCs w:val="24"/>
        </w:rPr>
      </w:pPr>
      <w:bookmarkStart w:id="43" w:name="_Toc530551826"/>
      <w:bookmarkEnd w:id="43"/>
      <w:r>
        <w:rPr>
          <w:rFonts w:hint="eastAsia" w:ascii="仿宋_GB2312" w:hAnsi="宋体" w:eastAsia="仿宋_GB2312"/>
          <w:color w:val="auto"/>
          <w:sz w:val="24"/>
          <w:szCs w:val="24"/>
        </w:rPr>
        <w:t>符合本文件第一章“第二条”的规定；</w:t>
      </w:r>
    </w:p>
    <w:p>
      <w:pPr>
        <w:spacing w:line="360" w:lineRule="auto"/>
        <w:rPr>
          <w:rFonts w:ascii="仿宋" w:hAnsi="仿宋" w:eastAsia="仿宋" w:cs="仿宋"/>
          <w:b/>
          <w:bCs/>
          <w:color w:val="auto"/>
          <w:sz w:val="24"/>
          <w:szCs w:val="24"/>
        </w:rPr>
      </w:pPr>
      <w:bookmarkStart w:id="44" w:name="_Toc531358981"/>
      <w:bookmarkEnd w:id="44"/>
      <w:r>
        <w:rPr>
          <w:rFonts w:hint="eastAsia" w:ascii="仿宋" w:hAnsi="仿宋" w:eastAsia="仿宋" w:cs="仿宋"/>
          <w:b/>
          <w:bCs/>
          <w:color w:val="auto"/>
          <w:sz w:val="24"/>
          <w:szCs w:val="24"/>
        </w:rPr>
        <w:t>1.4     联合体</w:t>
      </w:r>
    </w:p>
    <w:p>
      <w:pPr>
        <w:spacing w:line="360" w:lineRule="auto"/>
        <w:ind w:left="720" w:hanging="720" w:hangingChars="300"/>
        <w:rPr>
          <w:rFonts w:ascii="仿宋_GB2312" w:hAnsi="宋体" w:eastAsia="仿宋_GB2312"/>
          <w:color w:val="auto"/>
          <w:sz w:val="24"/>
          <w:szCs w:val="24"/>
        </w:rPr>
      </w:pPr>
      <w:r>
        <w:rPr>
          <w:rFonts w:hint="eastAsia" w:ascii="仿宋_GB2312" w:hAnsi="宋体" w:eastAsia="仿宋_GB2312"/>
          <w:color w:val="auto"/>
          <w:sz w:val="24"/>
          <w:szCs w:val="24"/>
        </w:rPr>
        <w:t>1.4.1   联合体：见投标人须知前附表（一）；</w:t>
      </w:r>
    </w:p>
    <w:p>
      <w:pPr>
        <w:spacing w:line="360" w:lineRule="auto"/>
        <w:ind w:left="720" w:hanging="720" w:hangingChars="300"/>
        <w:rPr>
          <w:rFonts w:ascii="仿宋_GB2312" w:hAnsi="宋体" w:eastAsia="仿宋_GB2312"/>
          <w:color w:val="auto"/>
          <w:sz w:val="24"/>
          <w:szCs w:val="24"/>
        </w:rPr>
      </w:pPr>
      <w:r>
        <w:rPr>
          <w:rFonts w:hint="eastAsia" w:ascii="仿宋_GB2312" w:hAnsi="宋体" w:eastAsia="仿宋_GB2312"/>
          <w:color w:val="auto"/>
          <w:sz w:val="24"/>
          <w:szCs w:val="24"/>
        </w:rPr>
        <w:t>1.4.2   联合体各方均符合政府采购法第二十二条第一款规定；</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1.4.3   联合体中至少有一方符合本文件规定的特定资质要求。但联合体中有同类资质的投标人按照联合体分工承担相同工作的，应当按照资质等级较低的投标人确定资质等级；</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1.4.4   以联合体形式参加政府采购活动的，联合体各方不得再单独参加或者与其他投标人另外组成联合体参加同一合同项下的政府采购活动；</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1.4.5   联合体参与的，必须提供《联合体协议书》。</w:t>
      </w:r>
    </w:p>
    <w:p>
      <w:pPr>
        <w:spacing w:line="360" w:lineRule="auto"/>
        <w:rPr>
          <w:rFonts w:ascii="仿宋" w:hAnsi="仿宋" w:eastAsia="仿宋" w:cs="仿宋"/>
          <w:b/>
          <w:bCs/>
          <w:color w:val="auto"/>
          <w:sz w:val="24"/>
          <w:szCs w:val="24"/>
        </w:rPr>
      </w:pPr>
      <w:bookmarkStart w:id="45" w:name="_Toc530551827"/>
      <w:bookmarkEnd w:id="45"/>
      <w:bookmarkStart w:id="46" w:name="_Toc531358982"/>
      <w:bookmarkEnd w:id="46"/>
      <w:r>
        <w:rPr>
          <w:rFonts w:hint="eastAsia" w:ascii="仿宋" w:hAnsi="仿宋" w:eastAsia="仿宋" w:cs="仿宋"/>
          <w:b/>
          <w:bCs/>
          <w:color w:val="auto"/>
          <w:sz w:val="24"/>
          <w:szCs w:val="24"/>
        </w:rPr>
        <w:t>1.5     投标文件的语言及计量</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1.5.1   投标文件以及投标人、采购人与采购代理机构就有关投标事宜的所有来往函电，均应以简体中文书写，除签名、盖章、专用名称等特殊情形外；</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1.5.2   投标资料提供外文证书或者外国语视听资料的，应当附有中文译本，由翻译机构盖章或者翻译人员签名；</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1.5.3   投标计量单位，招标文件已有明确规定的，使用招标文件规定的计量单位；招标文件没有规定的，应当采用中华人民共和国法定计量单位。</w:t>
      </w:r>
    </w:p>
    <w:p>
      <w:pPr>
        <w:spacing w:line="360" w:lineRule="auto"/>
        <w:rPr>
          <w:rFonts w:ascii="仿宋" w:hAnsi="仿宋" w:eastAsia="仿宋" w:cs="仿宋"/>
          <w:b/>
          <w:bCs/>
          <w:color w:val="auto"/>
          <w:sz w:val="24"/>
          <w:szCs w:val="24"/>
        </w:rPr>
      </w:pPr>
      <w:bookmarkStart w:id="47" w:name="_Toc530551828"/>
      <w:bookmarkEnd w:id="47"/>
      <w:bookmarkStart w:id="48" w:name="_Toc531358983"/>
      <w:bookmarkEnd w:id="48"/>
      <w:r>
        <w:rPr>
          <w:rFonts w:hint="eastAsia" w:ascii="仿宋" w:hAnsi="仿宋" w:eastAsia="仿宋" w:cs="仿宋"/>
          <w:b/>
          <w:bCs/>
          <w:color w:val="auto"/>
          <w:sz w:val="24"/>
          <w:szCs w:val="24"/>
        </w:rPr>
        <w:t>1.6     投标费用</w:t>
      </w:r>
    </w:p>
    <w:p>
      <w:pPr>
        <w:spacing w:line="360" w:lineRule="auto"/>
        <w:ind w:firstLine="960" w:firstLineChars="400"/>
        <w:rPr>
          <w:rFonts w:ascii="仿宋_GB2312" w:hAnsi="宋体" w:eastAsia="仿宋_GB2312"/>
          <w:color w:val="auto"/>
          <w:sz w:val="24"/>
          <w:szCs w:val="24"/>
        </w:rPr>
      </w:pPr>
      <w:r>
        <w:rPr>
          <w:rFonts w:hint="eastAsia" w:ascii="仿宋_GB2312" w:hAnsi="宋体" w:eastAsia="仿宋_GB2312"/>
          <w:color w:val="auto"/>
          <w:sz w:val="24"/>
          <w:szCs w:val="24"/>
        </w:rPr>
        <w:t>不论投标的结果如何，投标人均应自行承担所有与投标有关的全部费用。</w:t>
      </w:r>
    </w:p>
    <w:p>
      <w:pPr>
        <w:spacing w:line="360" w:lineRule="auto"/>
        <w:ind w:firstLine="960" w:firstLineChars="400"/>
        <w:rPr>
          <w:rFonts w:ascii="仿宋_GB2312" w:hAnsi="宋体" w:eastAsia="仿宋_GB2312"/>
          <w:color w:val="auto"/>
          <w:sz w:val="24"/>
          <w:szCs w:val="24"/>
        </w:rPr>
      </w:pPr>
      <w:r>
        <w:rPr>
          <w:rFonts w:hint="eastAsia" w:ascii="仿宋_GB2312" w:hAnsi="宋体" w:eastAsia="仿宋_GB2312"/>
          <w:color w:val="auto"/>
          <w:sz w:val="24"/>
          <w:szCs w:val="24"/>
        </w:rPr>
        <w:t>本项目采购服务费支付见前附表。</w:t>
      </w:r>
    </w:p>
    <w:p>
      <w:pPr>
        <w:spacing w:line="360" w:lineRule="auto"/>
        <w:rPr>
          <w:rFonts w:ascii="仿宋" w:hAnsi="仿宋" w:eastAsia="仿宋" w:cs="仿宋"/>
          <w:b/>
          <w:bCs/>
          <w:color w:val="auto"/>
          <w:sz w:val="24"/>
          <w:szCs w:val="24"/>
        </w:rPr>
      </w:pPr>
      <w:bookmarkStart w:id="49" w:name="_Toc531358984"/>
      <w:bookmarkEnd w:id="49"/>
      <w:bookmarkStart w:id="50" w:name="_Toc530551829"/>
      <w:bookmarkEnd w:id="50"/>
      <w:r>
        <w:rPr>
          <w:rFonts w:hint="eastAsia" w:ascii="仿宋" w:hAnsi="仿宋" w:eastAsia="仿宋" w:cs="仿宋"/>
          <w:b/>
          <w:bCs/>
          <w:color w:val="auto"/>
          <w:sz w:val="24"/>
          <w:szCs w:val="24"/>
        </w:rPr>
        <w:t>1.7     现场踏勘</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1.7.1   采购人或采购代理机构按投标人须知前附表（一）规定的时间、地点组织投标人现场踏勘；</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1.7.2   投标人踏勘现场发生的费用自理；</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1.7.3   除招标人的原因外，投标人自行负责在踏勘现场中所发生的人员伤亡和财产损失；</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1.7.4   招标人在现场踏勘中介绍的场地和相关的周边环境情况，供投标人在编制投标文件时参考，采购人不对投标人据此作出的判断和决策负责；</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1.7.5   投标人自身原因不参与现场踏勘的，不得就此提出质疑。</w:t>
      </w:r>
    </w:p>
    <w:p>
      <w:pPr>
        <w:spacing w:line="360" w:lineRule="auto"/>
        <w:rPr>
          <w:rFonts w:ascii="仿宋" w:hAnsi="仿宋" w:eastAsia="仿宋" w:cs="仿宋"/>
          <w:b/>
          <w:bCs/>
          <w:color w:val="auto"/>
          <w:sz w:val="24"/>
          <w:szCs w:val="24"/>
        </w:rPr>
      </w:pPr>
      <w:bookmarkStart w:id="51" w:name="_Toc531358985"/>
      <w:bookmarkEnd w:id="51"/>
      <w:bookmarkStart w:id="52" w:name="_Toc530551830"/>
      <w:bookmarkEnd w:id="52"/>
      <w:r>
        <w:rPr>
          <w:rFonts w:hint="eastAsia" w:ascii="仿宋" w:hAnsi="仿宋" w:eastAsia="仿宋" w:cs="仿宋"/>
          <w:b/>
          <w:bCs/>
          <w:color w:val="auto"/>
          <w:sz w:val="24"/>
          <w:szCs w:val="24"/>
        </w:rPr>
        <w:t>1.8     答疑会</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1.8.1   采购人或采购代理机构按投标人须知前附表（一）规定的时间和地点召开答疑会；</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1.8.2   答疑会后，采购人或采购代理机构按本章第2.2款规定对投标人所提问题进行澄清答复；</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1.8.3   投标人自身原因不参与答疑会的，不得就此提出质疑。</w:t>
      </w:r>
    </w:p>
    <w:p>
      <w:pPr>
        <w:spacing w:line="360" w:lineRule="auto"/>
        <w:rPr>
          <w:rFonts w:ascii="仿宋" w:hAnsi="仿宋" w:eastAsia="仿宋" w:cs="仿宋"/>
          <w:b/>
          <w:bCs/>
          <w:color w:val="auto"/>
          <w:sz w:val="24"/>
          <w:szCs w:val="24"/>
        </w:rPr>
      </w:pPr>
      <w:bookmarkStart w:id="53" w:name="_Toc530551831"/>
      <w:bookmarkEnd w:id="53"/>
      <w:bookmarkStart w:id="54" w:name="_Toc531358986"/>
      <w:bookmarkEnd w:id="54"/>
      <w:r>
        <w:rPr>
          <w:rFonts w:hint="eastAsia" w:ascii="仿宋" w:hAnsi="仿宋" w:eastAsia="仿宋" w:cs="仿宋"/>
          <w:b/>
          <w:bCs/>
          <w:color w:val="auto"/>
          <w:sz w:val="24"/>
          <w:szCs w:val="24"/>
        </w:rPr>
        <w:t>1.9     分包</w:t>
      </w:r>
    </w:p>
    <w:p>
      <w:pPr>
        <w:spacing w:line="360" w:lineRule="auto"/>
        <w:ind w:left="720" w:hanging="720" w:hangingChars="300"/>
        <w:rPr>
          <w:rFonts w:ascii="仿宋_GB2312" w:hAnsi="宋体" w:eastAsia="仿宋_GB2312"/>
          <w:color w:val="auto"/>
          <w:sz w:val="24"/>
          <w:szCs w:val="24"/>
        </w:rPr>
      </w:pPr>
      <w:r>
        <w:rPr>
          <w:rFonts w:hint="eastAsia" w:ascii="仿宋_GB2312" w:hAnsi="宋体" w:eastAsia="仿宋_GB2312"/>
          <w:color w:val="auto"/>
          <w:sz w:val="24"/>
          <w:szCs w:val="24"/>
        </w:rPr>
        <w:t>1.9.1   分包：见投标人须知前附表（一）；</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1.9.2   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rPr>
          <w:rFonts w:ascii="仿宋" w:hAnsi="仿宋" w:eastAsia="仿宋" w:cs="仿宋"/>
          <w:b/>
          <w:bCs/>
          <w:color w:val="auto"/>
          <w:sz w:val="24"/>
          <w:szCs w:val="24"/>
        </w:rPr>
      </w:pPr>
      <w:bookmarkStart w:id="55" w:name="_Toc530551832"/>
      <w:bookmarkEnd w:id="55"/>
      <w:bookmarkStart w:id="56" w:name="_Toc531358987"/>
      <w:bookmarkEnd w:id="56"/>
      <w:r>
        <w:rPr>
          <w:rFonts w:hint="eastAsia" w:ascii="仿宋" w:hAnsi="仿宋" w:eastAsia="仿宋" w:cs="仿宋"/>
          <w:b/>
          <w:bCs/>
          <w:color w:val="auto"/>
          <w:sz w:val="24"/>
          <w:szCs w:val="24"/>
        </w:rPr>
        <w:t>1.10    保密</w:t>
      </w:r>
    </w:p>
    <w:p>
      <w:pPr>
        <w:spacing w:line="360" w:lineRule="auto"/>
        <w:ind w:left="945" w:leftChars="450"/>
        <w:rPr>
          <w:rFonts w:ascii="仿宋_GB2312" w:hAnsi="宋体" w:eastAsia="仿宋_GB2312"/>
          <w:color w:val="auto"/>
          <w:sz w:val="24"/>
          <w:szCs w:val="24"/>
        </w:rPr>
      </w:pPr>
      <w:r>
        <w:rPr>
          <w:rFonts w:hint="eastAsia" w:ascii="仿宋_GB2312" w:hAnsi="宋体" w:eastAsia="仿宋_GB2312"/>
          <w:color w:val="auto"/>
          <w:sz w:val="24"/>
          <w:szCs w:val="24"/>
        </w:rPr>
        <w:t>参与招标投标活动的各方当事人应当对评标情况以及在评标过程中的获悉的国家秘密、商业秘密负有保密责任，违者应对由此造成的后果承担法律责任。</w:t>
      </w:r>
    </w:p>
    <w:p>
      <w:pPr>
        <w:spacing w:line="360" w:lineRule="auto"/>
        <w:rPr>
          <w:rFonts w:ascii="仿宋" w:hAnsi="仿宋" w:eastAsia="仿宋" w:cs="仿宋"/>
          <w:b/>
          <w:bCs/>
          <w:color w:val="auto"/>
          <w:sz w:val="24"/>
          <w:szCs w:val="24"/>
        </w:rPr>
      </w:pPr>
      <w:bookmarkStart w:id="57" w:name="_Toc530551833"/>
      <w:bookmarkEnd w:id="57"/>
      <w:bookmarkStart w:id="58" w:name="_Toc531358988"/>
      <w:bookmarkEnd w:id="58"/>
      <w:r>
        <w:rPr>
          <w:rFonts w:hint="eastAsia" w:ascii="仿宋" w:hAnsi="仿宋" w:eastAsia="仿宋" w:cs="仿宋"/>
          <w:b/>
          <w:bCs/>
          <w:color w:val="auto"/>
          <w:sz w:val="24"/>
          <w:szCs w:val="24"/>
        </w:rPr>
        <w:t>1.11    政府采购政策</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1.11.1  在政府采购活动中，供应商提供的货物、工程或者服务符合下列情形的，享受规定的中小企业扶持政策：</w:t>
      </w:r>
    </w:p>
    <w:p>
      <w:pPr>
        <w:spacing w:line="360" w:lineRule="auto"/>
        <w:ind w:left="838" w:leftChars="342" w:hanging="120" w:hangingChars="50"/>
        <w:rPr>
          <w:rFonts w:ascii="仿宋_GB2312" w:hAnsi="宋体" w:eastAsia="仿宋_GB2312"/>
          <w:color w:val="auto"/>
          <w:sz w:val="24"/>
          <w:szCs w:val="24"/>
        </w:rPr>
      </w:pPr>
      <w:r>
        <w:rPr>
          <w:rFonts w:hint="eastAsia" w:ascii="仿宋_GB2312" w:hAnsi="宋体" w:eastAsia="仿宋_GB2312"/>
          <w:color w:val="auto"/>
          <w:sz w:val="24"/>
          <w:szCs w:val="24"/>
        </w:rPr>
        <w:t xml:space="preserve">（一）在货物采购项目中，货物由中小企业制造，即货物由中小企业生产且使用该中小企业商号或者注册商标； </w:t>
      </w:r>
    </w:p>
    <w:p>
      <w:pPr>
        <w:spacing w:line="360" w:lineRule="auto"/>
        <w:ind w:left="838" w:leftChars="342" w:hanging="120" w:hangingChars="50"/>
        <w:rPr>
          <w:rFonts w:ascii="仿宋_GB2312" w:hAnsi="宋体" w:eastAsia="仿宋_GB2312"/>
          <w:color w:val="auto"/>
          <w:sz w:val="24"/>
          <w:szCs w:val="24"/>
        </w:rPr>
      </w:pPr>
      <w:r>
        <w:rPr>
          <w:rFonts w:hint="eastAsia" w:ascii="仿宋_GB2312" w:hAnsi="宋体" w:eastAsia="仿宋_GB2312"/>
          <w:color w:val="auto"/>
          <w:sz w:val="24"/>
          <w:szCs w:val="24"/>
        </w:rPr>
        <w:t xml:space="preserve">（二）在工程采购项目中，工程由中小企业承建，即工程施工单位为中小企业； </w:t>
      </w:r>
    </w:p>
    <w:p>
      <w:pPr>
        <w:spacing w:line="360" w:lineRule="auto"/>
        <w:ind w:left="838" w:leftChars="342" w:hanging="120" w:hangingChars="50"/>
        <w:jc w:val="left"/>
        <w:rPr>
          <w:rFonts w:ascii="仿宋_GB2312" w:hAnsi="宋体" w:eastAsia="仿宋_GB2312"/>
          <w:color w:val="auto"/>
          <w:sz w:val="24"/>
          <w:szCs w:val="24"/>
        </w:rPr>
      </w:pPr>
      <w:r>
        <w:rPr>
          <w:rFonts w:hint="eastAsia" w:ascii="仿宋_GB2312" w:hAnsi="宋体" w:eastAsia="仿宋_GB2312"/>
          <w:color w:val="auto"/>
          <w:sz w:val="24"/>
          <w:szCs w:val="24"/>
        </w:rPr>
        <w:t xml:space="preserve">（三）在服务采购项目中，服务由中小企业承接，即提供服务的人员为中小企业依照《中华人民共和国劳动合同法》订立劳动合同的从业人员。 </w:t>
      </w:r>
    </w:p>
    <w:p>
      <w:pPr>
        <w:spacing w:line="360" w:lineRule="auto"/>
        <w:ind w:left="836" w:leftChars="398"/>
        <w:jc w:val="left"/>
        <w:rPr>
          <w:rFonts w:ascii="仿宋_GB2312" w:hAnsi="宋体" w:eastAsia="仿宋_GB2312"/>
          <w:color w:val="auto"/>
          <w:sz w:val="24"/>
          <w:szCs w:val="24"/>
        </w:rPr>
      </w:pPr>
      <w:r>
        <w:rPr>
          <w:rFonts w:hint="eastAsia" w:ascii="仿宋_GB2312" w:hAnsi="宋体" w:eastAsia="仿宋_GB2312"/>
          <w:b/>
          <w:color w:val="auto"/>
          <w:sz w:val="24"/>
          <w:szCs w:val="24"/>
        </w:rPr>
        <w:t>在货物采购项目中，供应商提供的货物既有中小企业制造货物，也有大型企业制造货物的，不享受本办法规定的中小企业扶持政策</w:t>
      </w:r>
      <w:r>
        <w:rPr>
          <w:rFonts w:hint="eastAsia" w:ascii="仿宋_GB2312" w:hAnsi="宋体" w:eastAsia="仿宋_GB2312"/>
          <w:color w:val="auto"/>
          <w:sz w:val="24"/>
          <w:szCs w:val="24"/>
        </w:rPr>
        <w:t>。以联合体形式参加政府采购活动，联合体各方均为中小企业的，联合体视同中小企业。其中，联合体各方均为小微企业的，联合体视同小微企业。</w:t>
      </w:r>
    </w:p>
    <w:p>
      <w:pPr>
        <w:spacing w:line="360" w:lineRule="auto"/>
        <w:ind w:left="960" w:hanging="960" w:hangingChars="400"/>
        <w:rPr>
          <w:rFonts w:ascii="仿宋_GB2312" w:eastAsia="仿宋_GB2312"/>
          <w:bCs/>
          <w:color w:val="auto"/>
          <w:sz w:val="24"/>
          <w:szCs w:val="24"/>
        </w:rPr>
      </w:pPr>
      <w:r>
        <w:rPr>
          <w:rFonts w:hint="eastAsia" w:ascii="仿宋_GB2312" w:eastAsia="仿宋_GB2312"/>
          <w:bCs/>
          <w:color w:val="auto"/>
          <w:sz w:val="24"/>
          <w:szCs w:val="24"/>
        </w:rPr>
        <w:t>1.11.2 根据《政府采购促进中小企业发展管理办法》（财库﹝2020﹞46 号）文件要求，在政府采购活动按下列情形之一给予价格扣除：</w:t>
      </w:r>
    </w:p>
    <w:p>
      <w:pPr>
        <w:spacing w:line="360" w:lineRule="auto"/>
        <w:ind w:left="1185" w:leftChars="450" w:hanging="240" w:hangingChars="100"/>
        <w:rPr>
          <w:rFonts w:ascii="仿宋_GB2312" w:hAnsi="宋体" w:eastAsia="仿宋_GB2312"/>
          <w:color w:val="auto"/>
          <w:sz w:val="24"/>
          <w:szCs w:val="24"/>
        </w:rPr>
      </w:pPr>
      <w:r>
        <w:rPr>
          <w:rFonts w:hint="eastAsia" w:ascii="仿宋_GB2312" w:eastAsia="仿宋_GB2312"/>
          <w:bCs/>
          <w:color w:val="auto"/>
          <w:sz w:val="24"/>
          <w:szCs w:val="24"/>
        </w:rPr>
        <w:t>⑴对于非专门面向中小企业的项目，对小型和微型企业产品的价格给予</w:t>
      </w:r>
      <w:r>
        <w:rPr>
          <w:rFonts w:hint="eastAsia" w:ascii="仿宋_GB2312" w:hAnsi="宋体" w:eastAsia="仿宋_GB2312"/>
          <w:color w:val="auto"/>
          <w:sz w:val="24"/>
          <w:szCs w:val="24"/>
        </w:rPr>
        <w:t>扣除，用扣除后的价格参与评审，价格扣除比例见投标人须知前附表（一）；</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bCs/>
          <w:color w:val="auto"/>
          <w:sz w:val="24"/>
          <w:szCs w:val="24"/>
        </w:rPr>
        <w:t>⑵联合体协议约定，小型、微型企业的协议合同金额占到联合协议合同总金额30%以上的，可给予联合体价格扣除，用扣除后的价格参与评审。联合体各方均为小型、微型企业的，联合体视同为小型、微型企业。价格扣除比例见投标人须知前附表（一）；</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bCs/>
          <w:color w:val="auto"/>
          <w:sz w:val="24"/>
          <w:szCs w:val="24"/>
        </w:rPr>
        <w:t>⑶参加政府采购活动的中小企业应当提供相应的《中小企业声明函》或《监狱企业证明》或《残疾人福利性企业声明函》。</w:t>
      </w:r>
    </w:p>
    <w:p>
      <w:pPr>
        <w:spacing w:line="360" w:lineRule="auto"/>
        <w:ind w:left="960" w:hanging="960" w:hangingChars="400"/>
        <w:rPr>
          <w:rFonts w:ascii="仿宋_GB2312" w:eastAsia="仿宋_GB2312"/>
          <w:bCs/>
          <w:color w:val="auto"/>
          <w:sz w:val="24"/>
          <w:szCs w:val="24"/>
        </w:rPr>
      </w:pPr>
      <w:r>
        <w:rPr>
          <w:rFonts w:hint="eastAsia" w:ascii="仿宋_GB2312" w:eastAsia="仿宋_GB2312"/>
          <w:bCs/>
          <w:color w:val="auto"/>
          <w:sz w:val="24"/>
          <w:szCs w:val="24"/>
        </w:rPr>
        <w:t>1.11.3  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1.11.2条的扶持政策；</w:t>
      </w:r>
    </w:p>
    <w:p>
      <w:pPr>
        <w:spacing w:line="360" w:lineRule="auto"/>
        <w:ind w:left="960" w:hanging="960" w:hangingChars="400"/>
        <w:rPr>
          <w:rFonts w:ascii="仿宋_GB2312" w:eastAsia="仿宋_GB2312"/>
          <w:bCs/>
          <w:color w:val="auto"/>
          <w:sz w:val="24"/>
          <w:szCs w:val="24"/>
        </w:rPr>
      </w:pPr>
      <w:r>
        <w:rPr>
          <w:rFonts w:hint="eastAsia" w:ascii="仿宋_GB2312" w:eastAsia="仿宋_GB2312"/>
          <w:bCs/>
          <w:color w:val="auto"/>
          <w:sz w:val="24"/>
          <w:szCs w:val="24"/>
        </w:rPr>
        <w:t>1.11.4  投标人符合《三部门联合发布关于促进残疾人就业政府采购政策的通知》（财库〔2017〕141号）文件要求，并提供《残疾人福利性单位声明函》的，则视同小型、微型企业，享受第1.11.2条的扶持政策。</w:t>
      </w:r>
    </w:p>
    <w:p>
      <w:pPr>
        <w:spacing w:line="360" w:lineRule="auto"/>
        <w:ind w:left="960" w:hanging="960" w:hangingChars="400"/>
        <w:rPr>
          <w:color w:val="auto"/>
        </w:rPr>
      </w:pPr>
      <w:r>
        <w:rPr>
          <w:rFonts w:hint="eastAsia" w:ascii="仿宋_GB2312" w:eastAsia="仿宋_GB2312"/>
          <w:bCs/>
          <w:color w:val="auto"/>
          <w:sz w:val="24"/>
        </w:rPr>
        <w:t>1.11.5  按规定享受扶持政策获得政府采购合同的，小微企业不得将合同分包给大中型企业，中型企业不得将合同分包给大型企业。</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 xml:space="preserve">1.11.6  </w:t>
      </w:r>
      <w:r>
        <w:rPr>
          <w:rFonts w:hint="eastAsia" w:ascii="宋体" w:hAnsi="宋体" w:cs="宋体"/>
          <w:color w:val="auto"/>
          <w:sz w:val="24"/>
        </w:rPr>
        <w:t>▲</w:t>
      </w:r>
      <w:r>
        <w:rPr>
          <w:rFonts w:hint="eastAsia" w:ascii="仿宋_GB2312" w:hAnsi="宋体" w:eastAsia="仿宋_GB2312"/>
          <w:color w:val="auto"/>
          <w:sz w:val="24"/>
          <w:szCs w:val="24"/>
        </w:rPr>
        <w:t>采购进口产品：招标需求中未注明进口产品或允许进口产品，不得提供进口产品。</w:t>
      </w:r>
    </w:p>
    <w:p>
      <w:pPr>
        <w:spacing w:line="360" w:lineRule="auto"/>
        <w:rPr>
          <w:rFonts w:ascii="仿宋" w:hAnsi="仿宋" w:eastAsia="仿宋" w:cs="仿宋"/>
          <w:b/>
          <w:bCs/>
          <w:color w:val="auto"/>
          <w:sz w:val="24"/>
          <w:szCs w:val="24"/>
        </w:rPr>
      </w:pPr>
      <w:bookmarkStart w:id="59" w:name="_Toc530551835"/>
      <w:bookmarkEnd w:id="59"/>
      <w:bookmarkStart w:id="60" w:name="_Toc531358990"/>
      <w:bookmarkEnd w:id="60"/>
      <w:r>
        <w:rPr>
          <w:rFonts w:hint="eastAsia" w:ascii="仿宋" w:hAnsi="仿宋" w:eastAsia="仿宋" w:cs="仿宋"/>
          <w:b/>
          <w:bCs/>
          <w:color w:val="auto"/>
          <w:sz w:val="24"/>
          <w:szCs w:val="24"/>
        </w:rPr>
        <w:t>1.12    信用信息记录查询</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1.12.1  查询渠道：信用中国网站（</w:t>
      </w:r>
      <w:r>
        <w:rPr>
          <w:color w:val="auto"/>
        </w:rPr>
        <w:fldChar w:fldCharType="begin"/>
      </w:r>
      <w:r>
        <w:rPr>
          <w:color w:val="auto"/>
        </w:rPr>
        <w:instrText xml:space="preserve"> HYPERLINK "https://www.creditchina.gov.cn/" </w:instrText>
      </w:r>
      <w:r>
        <w:rPr>
          <w:color w:val="auto"/>
        </w:rPr>
        <w:fldChar w:fldCharType="separate"/>
      </w:r>
      <w:r>
        <w:rPr>
          <w:rStyle w:val="34"/>
          <w:rFonts w:hint="eastAsia" w:ascii="仿宋_GB2312" w:hAnsi="宋体" w:eastAsia="仿宋_GB2312"/>
          <w:color w:val="auto"/>
          <w:sz w:val="24"/>
          <w:szCs w:val="24"/>
        </w:rPr>
        <w:t>www.creditchina.gov.cn</w:t>
      </w:r>
      <w:r>
        <w:rPr>
          <w:rStyle w:val="34"/>
          <w:rFonts w:hint="eastAsia" w:ascii="仿宋_GB2312" w:hAnsi="宋体" w:eastAsia="仿宋_GB2312"/>
          <w:color w:val="auto"/>
          <w:sz w:val="24"/>
          <w:szCs w:val="24"/>
        </w:rPr>
        <w:fldChar w:fldCharType="end"/>
      </w:r>
      <w:r>
        <w:rPr>
          <w:rFonts w:hint="eastAsia" w:ascii="仿宋_GB2312" w:hAnsi="宋体" w:eastAsia="仿宋_GB2312"/>
          <w:color w:val="auto"/>
          <w:sz w:val="24"/>
          <w:szCs w:val="24"/>
        </w:rPr>
        <w:t>）、中国政府采购网（</w:t>
      </w:r>
      <w:r>
        <w:rPr>
          <w:color w:val="auto"/>
        </w:rPr>
        <w:fldChar w:fldCharType="begin"/>
      </w:r>
      <w:r>
        <w:rPr>
          <w:color w:val="auto"/>
        </w:rPr>
        <w:instrText xml:space="preserve"> HYPERLINK "http://www.ccgp.gov.cn" </w:instrText>
      </w:r>
      <w:r>
        <w:rPr>
          <w:color w:val="auto"/>
        </w:rPr>
        <w:fldChar w:fldCharType="separate"/>
      </w:r>
      <w:r>
        <w:rPr>
          <w:rStyle w:val="34"/>
          <w:rFonts w:hint="eastAsia" w:ascii="仿宋_GB2312" w:hAnsi="宋体" w:eastAsia="仿宋_GB2312"/>
          <w:color w:val="auto"/>
          <w:sz w:val="24"/>
          <w:szCs w:val="24"/>
        </w:rPr>
        <w:t>www.ccgp.gov.cn</w:t>
      </w:r>
      <w:r>
        <w:rPr>
          <w:rStyle w:val="34"/>
          <w:rFonts w:hint="eastAsia" w:ascii="仿宋_GB2312" w:hAnsi="宋体" w:eastAsia="仿宋_GB2312"/>
          <w:color w:val="auto"/>
          <w:sz w:val="24"/>
          <w:szCs w:val="24"/>
        </w:rPr>
        <w:fldChar w:fldCharType="end"/>
      </w:r>
      <w:r>
        <w:rPr>
          <w:rFonts w:hint="eastAsia" w:ascii="仿宋_GB2312" w:hAnsi="宋体" w:eastAsia="仿宋_GB2312"/>
          <w:color w:val="auto"/>
          <w:sz w:val="24"/>
          <w:szCs w:val="24"/>
        </w:rPr>
        <w:t>）；</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1.12.2  信用信息记录查询截止时间：同资格审查结束时间，网站显示的信用信息记录将作为投标人资格审查的依据；</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1.12.3  查询内容：列入失信被执行人、重大税收违法案件当事人名单、政府采购严重违法失信行为记录名单；</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1.12.4  信用信息留存方式：信用信息查询记录和证据以网页页面打印（或截图）等方式进行留存；</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1.12.5  联合体成员存在不良信用信息记录的，视同联合体存在不良信用记录。</w:t>
      </w:r>
    </w:p>
    <w:p>
      <w:pPr>
        <w:spacing w:line="360" w:lineRule="auto"/>
        <w:rPr>
          <w:rFonts w:ascii="仿宋" w:hAnsi="仿宋" w:eastAsia="仿宋" w:cs="仿宋"/>
          <w:b/>
          <w:bCs/>
          <w:color w:val="auto"/>
          <w:sz w:val="24"/>
          <w:szCs w:val="24"/>
        </w:rPr>
      </w:pPr>
      <w:bookmarkStart w:id="61" w:name="_Toc530551836"/>
      <w:bookmarkEnd w:id="61"/>
      <w:bookmarkStart w:id="62" w:name="_Toc531358991"/>
      <w:bookmarkEnd w:id="62"/>
      <w:r>
        <w:rPr>
          <w:rFonts w:hint="eastAsia" w:ascii="仿宋" w:hAnsi="仿宋" w:eastAsia="仿宋" w:cs="仿宋"/>
          <w:b/>
          <w:bCs/>
          <w:color w:val="auto"/>
          <w:sz w:val="24"/>
          <w:szCs w:val="24"/>
        </w:rPr>
        <w:t>1.13    质疑和投诉</w:t>
      </w:r>
    </w:p>
    <w:p>
      <w:pPr>
        <w:spacing w:line="360" w:lineRule="auto"/>
        <w:ind w:left="960" w:hanging="960" w:hangingChars="400"/>
        <w:jc w:val="left"/>
        <w:rPr>
          <w:rFonts w:ascii="仿宋_GB2312" w:eastAsia="仿宋_GB2312"/>
          <w:color w:val="auto"/>
          <w:sz w:val="24"/>
          <w:szCs w:val="24"/>
        </w:rPr>
      </w:pPr>
      <w:r>
        <w:rPr>
          <w:rFonts w:hint="eastAsia" w:ascii="仿宋_GB2312" w:eastAsia="仿宋_GB2312"/>
          <w:color w:val="auto"/>
          <w:sz w:val="24"/>
          <w:szCs w:val="24"/>
        </w:rPr>
        <w:t>1.13.1  投标人认为招标文件、招标过程、中标结果使自己的权益受到损害的，可以在知道或者应知其权益受到损害之日起7个工作日内，以书面形式向采购人、采购代理机构提出质疑。</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1.13.2  提出质疑的投标人应当是参与所质疑项目招标活动的投标人；</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潜在投标人已依法获取其可质疑的招标文件的，可以对该文件提出质疑。对招标文件提出质疑的，应当在获取招标文件或者招标文件公告期限届满之日起7个工作日内提出；</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1.13.3  同一招标程序环节的质疑，投标人须一次性提出，否则不予以答复；</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1.13.4  质疑主要内容应符合《政府采购质疑和投诉办法》（财政部94号令）等相关规定，质疑内容涉及保密事项，质疑人应提供有效的信息来源或有效证据；</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1.13.5  质疑人可直接提交、传真或邮寄方式提交质疑函（一式三份以上）。以其他方式提出的质疑，采购人或采购代理机构可不予接受、答复。</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⑴邮寄方式送达质疑函的，以采购人或采购代理机构实际收到邮件之日作为收到质疑的日期。</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⑵传真方式送达质疑函的，质疑人应当取得采购人或采购代理机构确认收到传真的意见，并及时将质疑函原件送达采购人或采购代理机构。采购人或采购代理机构以实际收到原件之日作为收到质疑的日期。</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⑶在质疑期限届满前，质疑函已经邮寄或传真成功的，质疑不视为过期。</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1.13.6  质疑联系人：见投标人须知前附表（一）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1.13.7  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1.13.8  采购人或采购代理机构在收到质疑人的书面质疑后7个工作日内作出答复，并以书面形式答复质疑人；</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1.13.9  质疑人捏造事实、提供虚假材料进行质疑的，采购人或采购代理机构报告同级政府采购监督管理部门，由同级政府采购监督管理部门审查，情况属实的，应列入不良行为记录，并在指定的媒体上公告；</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1.13.10 质疑人对采购人或采购代理机构的答复不满意或者采购人、采购代理机构未在规定时间内答复的，可以在答复期满后15个工作日内向同级政府采购监督管理部门提起投诉；</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1.13.11 同级政府采购监督管理部门：见投标人须知前附表（一）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1.13.12 质疑函、投诉书范本在浙江政府采购网（zfcg.czt.zj.gov.cn）-下载专区中下载。</w:t>
      </w:r>
    </w:p>
    <w:p>
      <w:pPr>
        <w:spacing w:line="360" w:lineRule="auto"/>
        <w:rPr>
          <w:rFonts w:ascii="仿宋" w:hAnsi="仿宋" w:eastAsia="仿宋" w:cs="仿宋"/>
          <w:b/>
          <w:bCs/>
          <w:color w:val="auto"/>
          <w:sz w:val="24"/>
          <w:szCs w:val="24"/>
        </w:rPr>
      </w:pPr>
      <w:bookmarkStart w:id="63" w:name="_Toc531358992"/>
      <w:bookmarkEnd w:id="63"/>
      <w:bookmarkStart w:id="64" w:name="_Toc530551837"/>
      <w:bookmarkEnd w:id="64"/>
      <w:r>
        <w:rPr>
          <w:rFonts w:hint="eastAsia" w:ascii="仿宋" w:hAnsi="仿宋" w:eastAsia="仿宋" w:cs="仿宋"/>
          <w:b/>
          <w:bCs/>
          <w:color w:val="auto"/>
          <w:sz w:val="24"/>
          <w:szCs w:val="24"/>
        </w:rPr>
        <w:t>1.14   特别声明</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 xml:space="preserve">1.14.1   </w:t>
      </w:r>
      <w:r>
        <w:rPr>
          <w:rFonts w:hint="eastAsia" w:ascii="宋体" w:hAnsi="宋体" w:cs="宋体"/>
          <w:color w:val="auto"/>
          <w:sz w:val="24"/>
        </w:rPr>
        <w:t>▲</w:t>
      </w:r>
      <w:r>
        <w:rPr>
          <w:rFonts w:hint="eastAsia" w:ascii="仿宋_GB2312" w:hAnsi="宋体" w:eastAsia="仿宋_GB2312"/>
          <w:color w:val="auto"/>
          <w:sz w:val="24"/>
          <w:szCs w:val="24"/>
        </w:rPr>
        <w:t>单位负责人为同一人或者存在直接控股、管理关系的不同投标人，以及属于同一母公司或集团的不同投标人不得参加同一合同项下的政府采购活动；</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 xml:space="preserve">1.14.2   </w:t>
      </w:r>
      <w:r>
        <w:rPr>
          <w:rFonts w:hint="eastAsia" w:ascii="宋体" w:hAnsi="宋体" w:cs="宋体"/>
          <w:color w:val="auto"/>
          <w:sz w:val="24"/>
        </w:rPr>
        <w:t>▲</w:t>
      </w:r>
      <w:r>
        <w:rPr>
          <w:rFonts w:hint="eastAsia" w:ascii="仿宋_GB2312" w:hAnsi="宋体" w:eastAsia="仿宋_GB2312"/>
          <w:color w:val="auto"/>
          <w:sz w:val="24"/>
          <w:szCs w:val="24"/>
        </w:rPr>
        <w:t>为采购项目提供整体设计、规范编制或者项目管理、监理、检测等服务的供应商，不得再参加该采购项目的其他采购活动；</w:t>
      </w:r>
    </w:p>
    <w:p>
      <w:pPr>
        <w:pStyle w:val="24"/>
        <w:spacing w:beforeLines="100" w:after="240" w:afterLines="100"/>
        <w:jc w:val="left"/>
        <w:outlineLvl w:val="1"/>
        <w:rPr>
          <w:rFonts w:ascii="仿宋_GB2312" w:eastAsia="仿宋_GB2312"/>
          <w:color w:val="auto"/>
          <w:sz w:val="30"/>
          <w:szCs w:val="30"/>
        </w:rPr>
      </w:pPr>
      <w:bookmarkStart w:id="65" w:name="_Toc493956034"/>
      <w:bookmarkEnd w:id="65"/>
      <w:bookmarkStart w:id="66" w:name="_Toc530551838"/>
      <w:bookmarkEnd w:id="66"/>
      <w:bookmarkStart w:id="67" w:name="_Toc531358993"/>
      <w:bookmarkEnd w:id="67"/>
      <w:bookmarkStart w:id="68" w:name="_Toc105577175"/>
      <w:bookmarkStart w:id="69" w:name="_Toc27618"/>
      <w:r>
        <w:rPr>
          <w:rFonts w:hint="eastAsia" w:ascii="仿宋_GB2312" w:eastAsia="仿宋_GB2312"/>
          <w:color w:val="auto"/>
          <w:sz w:val="30"/>
          <w:szCs w:val="30"/>
        </w:rPr>
        <w:t>二    招标文件</w:t>
      </w:r>
      <w:bookmarkEnd w:id="68"/>
      <w:bookmarkEnd w:id="69"/>
    </w:p>
    <w:p>
      <w:pPr>
        <w:spacing w:line="360" w:lineRule="auto"/>
        <w:rPr>
          <w:rFonts w:ascii="仿宋" w:hAnsi="仿宋" w:eastAsia="仿宋" w:cs="仿宋"/>
          <w:b/>
          <w:bCs/>
          <w:color w:val="auto"/>
          <w:sz w:val="24"/>
          <w:szCs w:val="24"/>
        </w:rPr>
      </w:pPr>
      <w:bookmarkStart w:id="70" w:name="_Toc530551839"/>
      <w:bookmarkEnd w:id="70"/>
      <w:bookmarkStart w:id="71" w:name="_Toc531358994"/>
      <w:bookmarkEnd w:id="71"/>
      <w:r>
        <w:rPr>
          <w:rFonts w:hint="eastAsia" w:ascii="仿宋" w:hAnsi="仿宋" w:eastAsia="仿宋" w:cs="仿宋"/>
          <w:b/>
          <w:bCs/>
          <w:color w:val="auto"/>
          <w:sz w:val="24"/>
          <w:szCs w:val="24"/>
        </w:rPr>
        <w:t>2.1     招标文件的组成</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2.1.1   第一章  招标公告；</w:t>
      </w:r>
    </w:p>
    <w:p>
      <w:pPr>
        <w:spacing w:line="360" w:lineRule="auto"/>
        <w:ind w:left="960" w:hanging="960" w:hangingChars="400"/>
        <w:rPr>
          <w:rFonts w:ascii="仿宋_GB2312" w:hAnsi="宋体" w:eastAsia="仿宋_GB2312"/>
          <w:color w:val="auto"/>
          <w:sz w:val="24"/>
          <w:szCs w:val="24"/>
        </w:rPr>
      </w:pPr>
      <w:bookmarkStart w:id="72" w:name="_Toc301187619"/>
      <w:bookmarkEnd w:id="72"/>
      <w:r>
        <w:rPr>
          <w:rFonts w:hint="eastAsia" w:ascii="仿宋_GB2312" w:hAnsi="宋体" w:eastAsia="仿宋_GB2312"/>
          <w:color w:val="auto"/>
          <w:sz w:val="24"/>
          <w:szCs w:val="24"/>
        </w:rPr>
        <w:t>2.1.2   第二章  招标需求；</w:t>
      </w:r>
    </w:p>
    <w:p>
      <w:pPr>
        <w:spacing w:line="360" w:lineRule="auto"/>
        <w:ind w:left="960" w:hanging="960" w:hangingChars="400"/>
        <w:rPr>
          <w:rFonts w:ascii="仿宋_GB2312" w:hAnsi="宋体" w:eastAsia="仿宋_GB2312"/>
          <w:color w:val="auto"/>
          <w:sz w:val="24"/>
          <w:szCs w:val="24"/>
        </w:rPr>
      </w:pPr>
      <w:bookmarkStart w:id="73" w:name="_Toc301187620"/>
      <w:bookmarkEnd w:id="73"/>
      <w:r>
        <w:rPr>
          <w:rFonts w:hint="eastAsia" w:ascii="仿宋_GB2312" w:hAnsi="宋体" w:eastAsia="仿宋_GB2312"/>
          <w:color w:val="auto"/>
          <w:sz w:val="24"/>
          <w:szCs w:val="24"/>
        </w:rPr>
        <w:t>2.1.3   第三章  投标人须知；</w:t>
      </w:r>
    </w:p>
    <w:p>
      <w:pPr>
        <w:spacing w:line="360" w:lineRule="auto"/>
        <w:ind w:left="960" w:hanging="960" w:hangingChars="400"/>
        <w:rPr>
          <w:rFonts w:ascii="仿宋_GB2312" w:hAnsi="宋体" w:eastAsia="仿宋_GB2312"/>
          <w:color w:val="auto"/>
          <w:sz w:val="24"/>
          <w:szCs w:val="24"/>
        </w:rPr>
      </w:pPr>
      <w:bookmarkStart w:id="74" w:name="_Toc301187621"/>
      <w:bookmarkEnd w:id="74"/>
      <w:r>
        <w:rPr>
          <w:rFonts w:hint="eastAsia" w:ascii="仿宋_GB2312" w:hAnsi="宋体" w:eastAsia="仿宋_GB2312"/>
          <w:color w:val="auto"/>
          <w:sz w:val="24"/>
          <w:szCs w:val="24"/>
        </w:rPr>
        <w:t>2.1.4   第四章  政府采购合同格式；</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2.1.5   第五章  投标文件格式；</w:t>
      </w:r>
    </w:p>
    <w:p>
      <w:pPr>
        <w:spacing w:line="360" w:lineRule="auto"/>
        <w:ind w:left="960" w:hanging="960" w:hangingChars="400"/>
        <w:rPr>
          <w:rFonts w:ascii="仿宋_GB2312" w:hAnsi="宋体" w:eastAsia="仿宋_GB2312"/>
          <w:color w:val="auto"/>
          <w:sz w:val="24"/>
          <w:szCs w:val="24"/>
        </w:rPr>
      </w:pPr>
      <w:bookmarkStart w:id="75" w:name="_Toc301187623"/>
      <w:bookmarkEnd w:id="75"/>
      <w:r>
        <w:rPr>
          <w:rFonts w:hint="eastAsia" w:ascii="仿宋_GB2312" w:hAnsi="宋体" w:eastAsia="仿宋_GB2312"/>
          <w:color w:val="auto"/>
          <w:sz w:val="24"/>
          <w:szCs w:val="24"/>
        </w:rPr>
        <w:t>2.1.6   第六章  评标办法及标准；</w:t>
      </w:r>
    </w:p>
    <w:p>
      <w:pPr>
        <w:spacing w:line="360" w:lineRule="auto"/>
        <w:ind w:left="960" w:hanging="960" w:hangingChars="400"/>
        <w:rPr>
          <w:rFonts w:ascii="仿宋_GB2312" w:hAnsi="宋体" w:eastAsia="仿宋_GB2312"/>
          <w:color w:val="auto"/>
          <w:sz w:val="24"/>
          <w:szCs w:val="24"/>
        </w:rPr>
      </w:pPr>
      <w:bookmarkStart w:id="76" w:name="_Toc301187624"/>
      <w:bookmarkEnd w:id="76"/>
      <w:r>
        <w:rPr>
          <w:rFonts w:hint="eastAsia" w:ascii="仿宋_GB2312" w:hAnsi="宋体" w:eastAsia="仿宋_GB2312"/>
          <w:color w:val="auto"/>
          <w:sz w:val="24"/>
          <w:szCs w:val="24"/>
        </w:rPr>
        <w:t>2.1.7   本项目招标文件的澄清、修改的内容。</w:t>
      </w:r>
    </w:p>
    <w:p>
      <w:pPr>
        <w:spacing w:line="360" w:lineRule="auto"/>
        <w:rPr>
          <w:rFonts w:ascii="仿宋" w:hAnsi="仿宋" w:eastAsia="仿宋" w:cs="仿宋"/>
          <w:b/>
          <w:bCs/>
          <w:color w:val="auto"/>
          <w:sz w:val="24"/>
          <w:szCs w:val="24"/>
        </w:rPr>
      </w:pPr>
      <w:bookmarkStart w:id="77" w:name="_Toc531358996"/>
      <w:bookmarkEnd w:id="77"/>
      <w:bookmarkStart w:id="78" w:name="_Toc530551841"/>
      <w:bookmarkEnd w:id="78"/>
      <w:r>
        <w:rPr>
          <w:rFonts w:hint="eastAsia" w:ascii="仿宋" w:hAnsi="仿宋" w:eastAsia="仿宋" w:cs="仿宋"/>
          <w:b/>
          <w:bCs/>
          <w:color w:val="auto"/>
          <w:sz w:val="24"/>
          <w:szCs w:val="24"/>
        </w:rPr>
        <w:t>2.2     招标文件的澄清、修改</w:t>
      </w:r>
    </w:p>
    <w:p>
      <w:pPr>
        <w:spacing w:line="360" w:lineRule="auto"/>
        <w:ind w:left="960" w:hanging="960" w:hangingChars="400"/>
        <w:rPr>
          <w:rFonts w:ascii="仿宋_GB2312" w:hAnsi="宋体" w:eastAsia="仿宋_GB2312"/>
          <w:bCs/>
          <w:color w:val="auto"/>
          <w:sz w:val="24"/>
          <w:szCs w:val="24"/>
        </w:rPr>
      </w:pPr>
      <w:r>
        <w:rPr>
          <w:rFonts w:hint="eastAsia" w:ascii="仿宋_GB2312" w:hAnsi="宋体" w:eastAsia="仿宋_GB2312"/>
          <w:bCs/>
          <w:color w:val="auto"/>
          <w:sz w:val="24"/>
          <w:szCs w:val="24"/>
        </w:rPr>
        <w:t xml:space="preserve">2.2.1   </w:t>
      </w:r>
      <w:r>
        <w:rPr>
          <w:rFonts w:hint="eastAsia" w:ascii="仿宋_GB2312" w:hAnsi="宋体" w:eastAsia="仿宋_GB2312"/>
          <w:color w:val="auto"/>
          <w:sz w:val="24"/>
          <w:szCs w:val="24"/>
        </w:rPr>
        <w:t>投标人应仔细阅读和检查招标文件的全部内容。发现其中有误或有不合理要求的，应当在招标文件的澄清、修改截止时间前以书面形式要求采购人或采购代理机构对招标文件予以澄清、修改；</w:t>
      </w:r>
    </w:p>
    <w:p>
      <w:pPr>
        <w:spacing w:line="360" w:lineRule="auto"/>
        <w:ind w:left="960" w:hanging="960" w:hangingChars="400"/>
        <w:rPr>
          <w:rFonts w:ascii="仿宋_GB2312" w:eastAsia="仿宋_GB2312"/>
          <w:color w:val="auto"/>
          <w:sz w:val="24"/>
          <w:szCs w:val="24"/>
        </w:rPr>
      </w:pPr>
      <w:r>
        <w:rPr>
          <w:rFonts w:hint="eastAsia" w:ascii="仿宋_GB2312" w:hAnsi="宋体" w:eastAsia="仿宋_GB2312"/>
          <w:bCs/>
          <w:color w:val="auto"/>
          <w:sz w:val="24"/>
          <w:szCs w:val="24"/>
        </w:rPr>
        <w:t>2.2.2   澄清或修改内容可能影响投标文件编制的，采购代理机构</w:t>
      </w:r>
      <w:r>
        <w:rPr>
          <w:rFonts w:hint="eastAsia" w:ascii="仿宋_GB2312" w:eastAsia="仿宋_GB2312"/>
          <w:color w:val="auto"/>
          <w:sz w:val="24"/>
          <w:szCs w:val="24"/>
        </w:rPr>
        <w:t>在提交</w:t>
      </w:r>
      <w:r>
        <w:rPr>
          <w:rFonts w:hint="eastAsia" w:ascii="仿宋_GB2312" w:hAnsi="宋体" w:eastAsia="仿宋_GB2312"/>
          <w:bCs/>
          <w:color w:val="auto"/>
          <w:sz w:val="24"/>
          <w:szCs w:val="24"/>
        </w:rPr>
        <w:t>投标截止时间</w:t>
      </w:r>
      <w:r>
        <w:rPr>
          <w:rFonts w:hint="eastAsia" w:ascii="仿宋_GB2312" w:eastAsia="仿宋_GB2312"/>
          <w:color w:val="auto"/>
          <w:sz w:val="24"/>
          <w:szCs w:val="24"/>
        </w:rPr>
        <w:t>15日前，将以发布更正公告的形式通知各潜在的投标人。不足15日的，采购代理机构有权顺延</w:t>
      </w:r>
      <w:r>
        <w:rPr>
          <w:rFonts w:hint="eastAsia" w:ascii="仿宋_GB2312" w:hAnsi="宋体" w:eastAsia="仿宋_GB2312"/>
          <w:bCs/>
          <w:color w:val="auto"/>
          <w:sz w:val="24"/>
          <w:szCs w:val="24"/>
        </w:rPr>
        <w:t>投标截止时间</w:t>
      </w:r>
      <w:r>
        <w:rPr>
          <w:rFonts w:hint="eastAsia" w:ascii="仿宋_GB2312" w:eastAsia="仿宋_GB2312"/>
          <w:color w:val="auto"/>
          <w:sz w:val="24"/>
          <w:szCs w:val="24"/>
        </w:rPr>
        <w:t>；</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2.2.3   投标截止时间前，采购代理机构可以对发出的招标文件进行必要的澄清或修改，澄清或修改后的补充文件，作为招标文件的组成部分，对各投标人起同等约束作用；</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2.2.4   澄清、修改等更正内容发布网址：见投标人须知前附表（一）；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2.2.5   当招标文件与澄清或修改文件就同一内容的表述不一致时，以最后发出的澄清或修改文件为准。</w:t>
      </w:r>
    </w:p>
    <w:p>
      <w:pPr>
        <w:pStyle w:val="24"/>
        <w:spacing w:beforeLines="100" w:after="240" w:afterLines="100"/>
        <w:jc w:val="left"/>
        <w:outlineLvl w:val="1"/>
        <w:rPr>
          <w:rFonts w:ascii="仿宋_GB2312" w:eastAsia="仿宋_GB2312"/>
          <w:color w:val="auto"/>
          <w:sz w:val="30"/>
          <w:szCs w:val="30"/>
        </w:rPr>
      </w:pPr>
      <w:bookmarkStart w:id="79" w:name="_Toc531358997"/>
      <w:bookmarkEnd w:id="79"/>
      <w:bookmarkStart w:id="80" w:name="_Toc530551842"/>
      <w:bookmarkEnd w:id="80"/>
      <w:bookmarkStart w:id="81" w:name="_Toc105577176"/>
      <w:bookmarkStart w:id="82" w:name="_Toc397"/>
      <w:r>
        <w:rPr>
          <w:rFonts w:hint="eastAsia" w:ascii="仿宋_GB2312" w:eastAsia="仿宋_GB2312"/>
          <w:color w:val="auto"/>
          <w:sz w:val="30"/>
          <w:szCs w:val="30"/>
        </w:rPr>
        <w:t>三    投标文件</w:t>
      </w:r>
      <w:bookmarkEnd w:id="81"/>
      <w:bookmarkEnd w:id="82"/>
    </w:p>
    <w:p>
      <w:pPr>
        <w:spacing w:line="360" w:lineRule="auto"/>
        <w:rPr>
          <w:rFonts w:ascii="仿宋" w:hAnsi="仿宋" w:eastAsia="仿宋" w:cs="仿宋"/>
          <w:b/>
          <w:bCs/>
          <w:color w:val="auto"/>
          <w:sz w:val="24"/>
          <w:szCs w:val="24"/>
        </w:rPr>
      </w:pPr>
      <w:bookmarkStart w:id="83" w:name="_Toc34895545"/>
      <w:bookmarkEnd w:id="83"/>
      <w:r>
        <w:rPr>
          <w:rFonts w:hint="eastAsia" w:ascii="仿宋" w:hAnsi="仿宋" w:eastAsia="仿宋" w:cs="仿宋"/>
          <w:b/>
          <w:bCs/>
          <w:color w:val="auto"/>
          <w:sz w:val="24"/>
          <w:szCs w:val="24"/>
        </w:rPr>
        <w:t xml:space="preserve">3.1   </w:t>
      </w:r>
      <w:bookmarkStart w:id="84" w:name="_Toc18592302"/>
      <w:bookmarkEnd w:id="84"/>
      <w:r>
        <w:rPr>
          <w:rFonts w:hint="eastAsia" w:ascii="仿宋" w:hAnsi="仿宋" w:eastAsia="仿宋" w:cs="仿宋"/>
          <w:b/>
          <w:bCs/>
          <w:color w:val="auto"/>
          <w:sz w:val="24"/>
          <w:szCs w:val="24"/>
        </w:rPr>
        <w:t xml:space="preserve">  投标文件的形式和效力</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3.1.1   投标文件形式：电子投标文件（包括“电子加密投标文件”和“备份投标文件”，“电子加密投标文件”和“备份投标文件”在投标文件编制完成后同时生成）。</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3.1.2   投标文件的效力：“电子加密投标文件”和“备份投标文件”具有同等效力，数据电文内容应完全一致。</w:t>
      </w:r>
    </w:p>
    <w:p>
      <w:pPr>
        <w:spacing w:line="360" w:lineRule="auto"/>
        <w:ind w:left="960" w:hanging="960" w:hangingChars="400"/>
        <w:rPr>
          <w:rFonts w:ascii="仿宋_GB2312" w:hAnsi="宋体" w:eastAsia="仿宋_GB2312"/>
          <w:color w:val="auto"/>
          <w:sz w:val="24"/>
          <w:szCs w:val="24"/>
        </w:rPr>
      </w:pPr>
      <w:r>
        <w:rPr>
          <w:rFonts w:hint="eastAsia" w:ascii="仿宋_GB2312" w:hAnsi="宋体" w:eastAsia="仿宋_GB2312"/>
          <w:color w:val="auto"/>
          <w:sz w:val="24"/>
          <w:szCs w:val="24"/>
        </w:rPr>
        <w:t>3.1.3   电子加密投标文件按时解密成功的，备份投标文件自动失效；电子加密投标文件解密失败，按时启动备份投标文件电子且有效的，以备份投标文件为准；电子加密投标文件解密失败，又未提交备份投标文件（包括提交备份投标文件未按时提供解密密码或密码错误的），视同放弃投标；</w:t>
      </w:r>
    </w:p>
    <w:p>
      <w:pPr>
        <w:spacing w:line="360" w:lineRule="auto"/>
        <w:rPr>
          <w:rFonts w:ascii="仿宋" w:hAnsi="仿宋" w:eastAsia="仿宋" w:cs="仿宋"/>
          <w:b/>
          <w:bCs/>
          <w:color w:val="auto"/>
          <w:sz w:val="24"/>
          <w:szCs w:val="24"/>
        </w:rPr>
      </w:pPr>
      <w:bookmarkStart w:id="85" w:name="_Toc530551843"/>
      <w:bookmarkEnd w:id="85"/>
      <w:bookmarkStart w:id="86" w:name="_Toc531358998"/>
      <w:bookmarkEnd w:id="86"/>
      <w:r>
        <w:rPr>
          <w:rFonts w:hint="eastAsia" w:ascii="仿宋" w:hAnsi="仿宋" w:eastAsia="仿宋" w:cs="仿宋"/>
          <w:b/>
          <w:bCs/>
          <w:color w:val="auto"/>
          <w:sz w:val="24"/>
          <w:szCs w:val="24"/>
        </w:rPr>
        <w:t>3.2     投标文件组成</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投标文件由【资格审查文件】、【资信商务及技术文件】、【报价文件】三部分组成。</w:t>
      </w:r>
    </w:p>
    <w:p>
      <w:pPr>
        <w:spacing w:line="360" w:lineRule="auto"/>
        <w:rPr>
          <w:rFonts w:ascii="仿宋" w:hAnsi="仿宋" w:eastAsia="仿宋" w:cs="仿宋"/>
          <w:b/>
          <w:bCs/>
          <w:color w:val="auto"/>
          <w:sz w:val="24"/>
          <w:szCs w:val="24"/>
        </w:rPr>
      </w:pPr>
      <w:bookmarkStart w:id="87" w:name="_Toc530551844"/>
      <w:bookmarkEnd w:id="87"/>
      <w:bookmarkStart w:id="88" w:name="_Toc531358999"/>
      <w:bookmarkEnd w:id="88"/>
      <w:r>
        <w:rPr>
          <w:rFonts w:hint="eastAsia" w:ascii="仿宋" w:hAnsi="仿宋" w:eastAsia="仿宋" w:cs="仿宋"/>
          <w:b/>
          <w:bCs/>
          <w:color w:val="auto"/>
          <w:sz w:val="24"/>
          <w:szCs w:val="24"/>
        </w:rPr>
        <w:t>3.3     资格审查文件的组成</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资格审查文件的组成：见投标人须知前附表（一）。</w:t>
      </w:r>
    </w:p>
    <w:p>
      <w:pPr>
        <w:spacing w:line="360" w:lineRule="auto"/>
        <w:rPr>
          <w:rFonts w:ascii="仿宋" w:hAnsi="仿宋" w:eastAsia="仿宋" w:cs="仿宋"/>
          <w:b/>
          <w:bCs/>
          <w:color w:val="auto"/>
          <w:sz w:val="24"/>
          <w:szCs w:val="24"/>
        </w:rPr>
      </w:pPr>
      <w:bookmarkStart w:id="89" w:name="_Toc531359000"/>
      <w:bookmarkEnd w:id="89"/>
      <w:bookmarkStart w:id="90" w:name="_Toc530551845"/>
      <w:bookmarkEnd w:id="90"/>
      <w:r>
        <w:rPr>
          <w:rFonts w:hint="eastAsia" w:ascii="仿宋" w:hAnsi="仿宋" w:eastAsia="仿宋" w:cs="仿宋"/>
          <w:b/>
          <w:bCs/>
          <w:color w:val="auto"/>
          <w:sz w:val="24"/>
          <w:szCs w:val="24"/>
        </w:rPr>
        <w:t>3.4     资信商务及技术文件的组成</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资信商务及技术文件的组成：见投标人须知前附表（一）。</w:t>
      </w:r>
    </w:p>
    <w:p>
      <w:pPr>
        <w:spacing w:line="360" w:lineRule="auto"/>
        <w:rPr>
          <w:rFonts w:ascii="仿宋" w:hAnsi="仿宋" w:eastAsia="仿宋" w:cs="仿宋"/>
          <w:b/>
          <w:bCs/>
          <w:color w:val="auto"/>
          <w:sz w:val="24"/>
          <w:szCs w:val="24"/>
        </w:rPr>
      </w:pPr>
      <w:bookmarkStart w:id="91" w:name="_Toc530551846"/>
      <w:bookmarkEnd w:id="91"/>
      <w:bookmarkStart w:id="92" w:name="_Toc531359001"/>
      <w:bookmarkEnd w:id="92"/>
      <w:r>
        <w:rPr>
          <w:rFonts w:hint="eastAsia" w:ascii="仿宋" w:hAnsi="仿宋" w:eastAsia="仿宋" w:cs="仿宋"/>
          <w:b/>
          <w:bCs/>
          <w:color w:val="auto"/>
          <w:sz w:val="24"/>
          <w:szCs w:val="24"/>
        </w:rPr>
        <w:t>3.5     报价文件的组成</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报价文件的组成：见投标人须知前附表（一）。</w:t>
      </w:r>
    </w:p>
    <w:p>
      <w:pPr>
        <w:pStyle w:val="24"/>
        <w:spacing w:beforeLines="100" w:after="240" w:afterLines="100"/>
        <w:jc w:val="left"/>
        <w:outlineLvl w:val="1"/>
        <w:rPr>
          <w:rFonts w:ascii="仿宋_GB2312" w:eastAsia="仿宋_GB2312"/>
          <w:color w:val="auto"/>
          <w:sz w:val="30"/>
          <w:szCs w:val="30"/>
        </w:rPr>
      </w:pPr>
      <w:bookmarkStart w:id="93" w:name="_Toc531359002"/>
      <w:bookmarkEnd w:id="93"/>
      <w:bookmarkStart w:id="94" w:name="_Toc530551847"/>
      <w:bookmarkEnd w:id="94"/>
      <w:bookmarkStart w:id="95" w:name="_Toc105577177"/>
      <w:bookmarkStart w:id="96" w:name="_Toc10730"/>
      <w:r>
        <w:rPr>
          <w:rFonts w:hint="eastAsia" w:ascii="仿宋_GB2312" w:eastAsia="仿宋_GB2312"/>
          <w:color w:val="auto"/>
          <w:sz w:val="30"/>
          <w:szCs w:val="30"/>
        </w:rPr>
        <w:t>四    投标文件的编制</w:t>
      </w:r>
      <w:bookmarkEnd w:id="95"/>
      <w:bookmarkEnd w:id="96"/>
    </w:p>
    <w:p>
      <w:pPr>
        <w:spacing w:line="360" w:lineRule="auto"/>
        <w:rPr>
          <w:rFonts w:ascii="仿宋" w:hAnsi="仿宋" w:eastAsia="仿宋" w:cs="仿宋"/>
          <w:b/>
          <w:bCs/>
          <w:color w:val="auto"/>
          <w:sz w:val="24"/>
          <w:szCs w:val="24"/>
        </w:rPr>
      </w:pPr>
      <w:bookmarkStart w:id="97" w:name="_Toc530551849"/>
      <w:bookmarkEnd w:id="97"/>
      <w:bookmarkStart w:id="98" w:name="_Toc531359004"/>
      <w:bookmarkEnd w:id="98"/>
      <w:r>
        <w:rPr>
          <w:rFonts w:hint="eastAsia" w:ascii="仿宋" w:hAnsi="仿宋" w:eastAsia="仿宋" w:cs="仿宋"/>
          <w:b/>
          <w:bCs/>
          <w:color w:val="auto"/>
          <w:sz w:val="24"/>
          <w:szCs w:val="24"/>
        </w:rPr>
        <w:t>4.1     投标文件编制</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4.1.1   </w:t>
      </w:r>
      <w:r>
        <w:rPr>
          <w:rFonts w:hint="eastAsia" w:ascii="宋体" w:hAnsi="宋体" w:cs="宋体"/>
          <w:color w:val="auto"/>
          <w:sz w:val="24"/>
        </w:rPr>
        <w:t>▲</w:t>
      </w:r>
      <w:r>
        <w:rPr>
          <w:rFonts w:hint="eastAsia" w:ascii="仿宋_GB2312" w:eastAsia="仿宋_GB2312"/>
          <w:color w:val="auto"/>
          <w:sz w:val="24"/>
          <w:szCs w:val="24"/>
        </w:rPr>
        <w:t>本招标文件中若有多标项的，若参与多标项投标的，则按每个标项分别独立编制投标文件；</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4.1.2   电子投标文件编制请按政府采购云平台供应商项目采购-电子招投标</w:t>
      </w:r>
      <w:r>
        <w:rPr>
          <w:rStyle w:val="34"/>
          <w:rFonts w:hint="eastAsia" w:ascii="仿宋_GB2312" w:eastAsia="仿宋_GB2312"/>
          <w:color w:val="auto"/>
          <w:sz w:val="24"/>
          <w:szCs w:val="24"/>
        </w:rPr>
        <w:t>操</w:t>
      </w:r>
      <w:r>
        <w:rPr>
          <w:rStyle w:val="34"/>
          <w:rFonts w:hint="eastAsia" w:ascii="仿宋_GB2312" w:eastAsia="仿宋_GB2312"/>
          <w:color w:val="auto"/>
          <w:sz w:val="24"/>
          <w:szCs w:val="24"/>
          <w:u w:val="none"/>
        </w:rPr>
        <w:t>作</w:t>
      </w:r>
      <w:r>
        <w:rPr>
          <w:rFonts w:hint="eastAsia" w:ascii="仿宋_GB2312" w:eastAsia="仿宋_GB2312"/>
          <w:color w:val="auto"/>
          <w:sz w:val="24"/>
          <w:szCs w:val="24"/>
        </w:rPr>
        <w:t>指南（网址：</w:t>
      </w:r>
      <w:r>
        <w:rPr>
          <w:color w:val="auto"/>
        </w:rPr>
        <w:fldChar w:fldCharType="begin"/>
      </w:r>
      <w:r>
        <w:rPr>
          <w:color w:val="auto"/>
        </w:rPr>
        <w:instrText xml:space="preserve"> HYPERLINK "file:///D:\\新建文件夹\\招标文件合集\\青田县一体化数据仓应用服务项目\\招标文件.doc" \l "/knowledges/CW1EtGwBFdiHxlNd6I3m/6IMVAG0BFdiHxlNdQ8Na" </w:instrText>
      </w:r>
      <w:r>
        <w:rPr>
          <w:color w:val="auto"/>
        </w:rPr>
        <w:fldChar w:fldCharType="separate"/>
      </w:r>
      <w:r>
        <w:rPr>
          <w:rStyle w:val="34"/>
          <w:rFonts w:hint="eastAsia" w:ascii="仿宋_GB2312" w:eastAsia="仿宋_GB2312"/>
          <w:color w:val="auto"/>
          <w:sz w:val="24"/>
          <w:szCs w:val="24"/>
        </w:rPr>
        <w:t>https://service.zcygov.cn/#/knowledges/CW1EtGwBFdiHxlNd6I3m/6IMVAG0BFdiHxlNdQ8Na</w:t>
      </w:r>
      <w:r>
        <w:rPr>
          <w:rStyle w:val="34"/>
          <w:rFonts w:hint="eastAsia" w:ascii="仿宋_GB2312" w:eastAsia="仿宋_GB2312"/>
          <w:color w:val="auto"/>
          <w:sz w:val="24"/>
          <w:szCs w:val="24"/>
        </w:rPr>
        <w:fldChar w:fldCharType="end"/>
      </w:r>
      <w:r>
        <w:rPr>
          <w:rFonts w:hint="eastAsia" w:ascii="仿宋_GB2312" w:eastAsia="仿宋_GB2312"/>
          <w:color w:val="auto"/>
          <w:sz w:val="24"/>
          <w:szCs w:val="24"/>
        </w:rPr>
        <w:t>）和本招标文件要求编制并进行关联定位。</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4.1.3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4.1.4   投标文件编制时应有正确的索引目录及连续页码标注；</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4.1.5   投标文件须清晰可辨，因模糊不清所引起的后果由投标人自行负责。</w:t>
      </w:r>
    </w:p>
    <w:p>
      <w:pPr>
        <w:spacing w:line="360" w:lineRule="auto"/>
        <w:rPr>
          <w:rFonts w:ascii="仿宋" w:hAnsi="仿宋" w:eastAsia="仿宋" w:cs="仿宋"/>
          <w:b/>
          <w:bCs/>
          <w:color w:val="auto"/>
          <w:sz w:val="24"/>
          <w:szCs w:val="24"/>
        </w:rPr>
      </w:pPr>
      <w:bookmarkStart w:id="99" w:name="_Toc531359005"/>
      <w:bookmarkEnd w:id="99"/>
      <w:bookmarkStart w:id="100" w:name="_Toc530551850"/>
      <w:bookmarkEnd w:id="100"/>
      <w:r>
        <w:rPr>
          <w:rFonts w:hint="eastAsia" w:ascii="仿宋" w:hAnsi="仿宋" w:eastAsia="仿宋" w:cs="仿宋"/>
          <w:b/>
          <w:bCs/>
          <w:color w:val="auto"/>
          <w:sz w:val="24"/>
          <w:szCs w:val="24"/>
        </w:rPr>
        <w:t>4.2     投标报价要求</w:t>
      </w:r>
    </w:p>
    <w:p>
      <w:pPr>
        <w:spacing w:line="360" w:lineRule="auto"/>
        <w:ind w:left="960" w:hanging="960" w:hangingChars="400"/>
        <w:rPr>
          <w:rFonts w:ascii="仿宋_GB2312" w:eastAsia="仿宋_GB2312"/>
          <w:bCs/>
          <w:color w:val="auto"/>
          <w:sz w:val="24"/>
          <w:szCs w:val="24"/>
        </w:rPr>
      </w:pPr>
      <w:r>
        <w:rPr>
          <w:rFonts w:hint="eastAsia" w:ascii="仿宋_GB2312" w:eastAsia="仿宋_GB2312"/>
          <w:color w:val="auto"/>
          <w:sz w:val="24"/>
          <w:szCs w:val="24"/>
        </w:rPr>
        <w:t>4.2.1   ▲</w:t>
      </w:r>
      <w:r>
        <w:rPr>
          <w:rFonts w:hint="eastAsia" w:ascii="仿宋_GB2312" w:eastAsia="仿宋_GB2312"/>
          <w:color w:val="auto"/>
          <w:sz w:val="24"/>
          <w:szCs w:val="24"/>
          <w:lang w:eastAsia="zh-CN"/>
        </w:rPr>
        <w:t>投标</w:t>
      </w:r>
      <w:r>
        <w:rPr>
          <w:rFonts w:hint="eastAsia" w:ascii="仿宋_GB2312" w:eastAsia="仿宋_GB2312"/>
          <w:color w:val="auto"/>
          <w:sz w:val="24"/>
          <w:szCs w:val="24"/>
        </w:rPr>
        <w:t>报价是履行合同的最终价格，为实施本项目所需的一切费用</w:t>
      </w:r>
      <w:r>
        <w:rPr>
          <w:rFonts w:hint="eastAsia" w:ascii="仿宋_GB2312" w:eastAsia="仿宋_GB2312"/>
          <w:bCs/>
          <w:color w:val="auto"/>
          <w:sz w:val="24"/>
          <w:szCs w:val="24"/>
        </w:rPr>
        <w:t>；</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4.2.2  ▲投标文件只允许有一个报价，有选择的或有条件的报价将不予接受。</w:t>
      </w:r>
    </w:p>
    <w:p>
      <w:pPr>
        <w:spacing w:line="360" w:lineRule="auto"/>
        <w:rPr>
          <w:rFonts w:ascii="仿宋" w:hAnsi="仿宋" w:eastAsia="仿宋" w:cs="仿宋"/>
          <w:b/>
          <w:bCs/>
          <w:color w:val="auto"/>
          <w:sz w:val="24"/>
          <w:szCs w:val="24"/>
        </w:rPr>
      </w:pPr>
      <w:bookmarkStart w:id="101" w:name="_Toc531359008"/>
      <w:bookmarkEnd w:id="101"/>
      <w:bookmarkStart w:id="102" w:name="_Toc530551853"/>
      <w:bookmarkEnd w:id="102"/>
      <w:r>
        <w:rPr>
          <w:rFonts w:hint="eastAsia" w:ascii="仿宋" w:hAnsi="仿宋" w:eastAsia="仿宋" w:cs="仿宋"/>
          <w:b/>
          <w:bCs/>
          <w:color w:val="auto"/>
          <w:sz w:val="24"/>
          <w:szCs w:val="24"/>
        </w:rPr>
        <w:t>4.3     投标有效期</w:t>
      </w:r>
    </w:p>
    <w:p>
      <w:pPr>
        <w:spacing w:line="360" w:lineRule="auto"/>
        <w:ind w:left="960" w:hanging="960" w:hangingChars="400"/>
        <w:rPr>
          <w:rFonts w:ascii="仿宋_GB2312" w:eastAsia="仿宋_GB2312"/>
          <w:color w:val="auto"/>
          <w:sz w:val="24"/>
          <w:szCs w:val="24"/>
        </w:rPr>
      </w:pPr>
      <w:bookmarkStart w:id="103" w:name="_Toc301187640"/>
      <w:bookmarkEnd w:id="103"/>
      <w:r>
        <w:rPr>
          <w:rFonts w:hint="eastAsia" w:ascii="仿宋_GB2312" w:eastAsia="仿宋_GB2312"/>
          <w:color w:val="auto"/>
          <w:sz w:val="24"/>
          <w:szCs w:val="24"/>
        </w:rPr>
        <w:t>4.3.1   ▲投标有效期：见投标人须知前附表（一）。投标有效期从提交投标文件的截止之日起算。投标文件中承诺的投标有效期应当不少于招标文件中载明的投标有效期；</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4.3.2   在特殊情况下，采购人可与投标人协商延长投标书的有效期，这种要求和答复均以书面形式进行。</w:t>
      </w:r>
    </w:p>
    <w:p>
      <w:pPr>
        <w:spacing w:line="360" w:lineRule="auto"/>
        <w:rPr>
          <w:rFonts w:ascii="仿宋" w:hAnsi="仿宋" w:eastAsia="仿宋" w:cs="仿宋"/>
          <w:b/>
          <w:bCs/>
          <w:color w:val="auto"/>
          <w:sz w:val="24"/>
          <w:szCs w:val="24"/>
        </w:rPr>
      </w:pPr>
      <w:bookmarkStart w:id="104" w:name="_Toc531359009"/>
      <w:bookmarkEnd w:id="104"/>
      <w:bookmarkStart w:id="105" w:name="_Toc530551854"/>
      <w:bookmarkEnd w:id="105"/>
      <w:r>
        <w:rPr>
          <w:rFonts w:hint="eastAsia" w:ascii="仿宋" w:hAnsi="仿宋" w:eastAsia="仿宋" w:cs="仿宋"/>
          <w:b/>
          <w:bCs/>
          <w:color w:val="auto"/>
          <w:sz w:val="24"/>
          <w:szCs w:val="24"/>
        </w:rPr>
        <w:t>4.4     投标文件格式</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投标文件格式见招标文件“第五章投标文件格式”，投标文件应当按照招标文件已提供的格式填写，无格式的可自行设计。</w:t>
      </w:r>
    </w:p>
    <w:p>
      <w:pPr>
        <w:spacing w:line="360" w:lineRule="auto"/>
        <w:rPr>
          <w:rFonts w:ascii="仿宋" w:hAnsi="仿宋" w:eastAsia="仿宋" w:cs="仿宋"/>
          <w:b/>
          <w:bCs/>
          <w:color w:val="auto"/>
          <w:sz w:val="24"/>
          <w:szCs w:val="24"/>
        </w:rPr>
      </w:pPr>
      <w:bookmarkStart w:id="106" w:name="_Toc531359010"/>
      <w:bookmarkEnd w:id="106"/>
      <w:bookmarkStart w:id="107" w:name="_Toc530551855"/>
      <w:bookmarkEnd w:id="107"/>
      <w:r>
        <w:rPr>
          <w:rFonts w:hint="eastAsia" w:ascii="仿宋" w:hAnsi="仿宋" w:eastAsia="仿宋" w:cs="仿宋"/>
          <w:b/>
          <w:bCs/>
          <w:color w:val="auto"/>
          <w:sz w:val="24"/>
          <w:szCs w:val="24"/>
        </w:rPr>
        <w:t>4.5     投标文件份数及签署</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4.5.1   ▲投标文件份数：见投标人须知前附表（一）；</w:t>
      </w:r>
    </w:p>
    <w:p>
      <w:pPr>
        <w:spacing w:line="360" w:lineRule="auto"/>
        <w:ind w:left="960" w:hanging="960" w:hangingChars="400"/>
        <w:rPr>
          <w:rFonts w:ascii="仿宋_GB2312" w:eastAsia="仿宋_GB2312"/>
          <w:color w:val="auto"/>
          <w:sz w:val="24"/>
          <w:szCs w:val="24"/>
        </w:rPr>
      </w:pPr>
      <w:bookmarkStart w:id="108" w:name="_Toc530551856"/>
      <w:bookmarkEnd w:id="108"/>
      <w:bookmarkStart w:id="109" w:name="_Toc531359011"/>
      <w:r>
        <w:rPr>
          <w:rFonts w:hint="eastAsia" w:ascii="仿宋_GB2312" w:eastAsia="仿宋_GB2312"/>
          <w:color w:val="auto"/>
          <w:sz w:val="24"/>
          <w:szCs w:val="24"/>
        </w:rPr>
        <w:t xml:space="preserve">4.5.2   </w:t>
      </w:r>
      <w:bookmarkEnd w:id="109"/>
      <w:r>
        <w:rPr>
          <w:rFonts w:hint="eastAsia" w:ascii="仿宋_GB2312" w:eastAsia="仿宋_GB2312"/>
          <w:color w:val="auto"/>
          <w:sz w:val="24"/>
          <w:szCs w:val="24"/>
        </w:rPr>
        <w:t>投标文件中所须加盖公章部分均采用CA签章。</w:t>
      </w:r>
    </w:p>
    <w:p>
      <w:pPr>
        <w:pStyle w:val="24"/>
        <w:spacing w:beforeLines="100" w:after="240" w:afterLines="100"/>
        <w:jc w:val="left"/>
        <w:outlineLvl w:val="1"/>
        <w:rPr>
          <w:rFonts w:ascii="仿宋_GB2312" w:eastAsia="仿宋_GB2312"/>
          <w:color w:val="auto"/>
          <w:sz w:val="30"/>
          <w:szCs w:val="30"/>
        </w:rPr>
      </w:pPr>
      <w:bookmarkStart w:id="110" w:name="_Toc25188"/>
      <w:bookmarkStart w:id="111" w:name="_Toc105577178"/>
      <w:r>
        <w:rPr>
          <w:rFonts w:hint="eastAsia" w:ascii="仿宋_GB2312" w:eastAsia="仿宋_GB2312"/>
          <w:color w:val="auto"/>
          <w:sz w:val="30"/>
          <w:szCs w:val="30"/>
        </w:rPr>
        <w:t>五    投标文件的提交</w:t>
      </w:r>
      <w:bookmarkEnd w:id="110"/>
      <w:bookmarkEnd w:id="111"/>
    </w:p>
    <w:p>
      <w:pPr>
        <w:spacing w:line="360" w:lineRule="auto"/>
        <w:rPr>
          <w:rFonts w:ascii="仿宋" w:hAnsi="仿宋" w:eastAsia="仿宋" w:cs="仿宋"/>
          <w:b/>
          <w:bCs/>
          <w:color w:val="auto"/>
          <w:sz w:val="24"/>
          <w:szCs w:val="24"/>
        </w:rPr>
      </w:pPr>
      <w:bookmarkStart w:id="112" w:name="_Toc531359012"/>
      <w:bookmarkEnd w:id="112"/>
      <w:bookmarkStart w:id="113" w:name="_Toc531359013"/>
      <w:bookmarkEnd w:id="113"/>
      <w:bookmarkStart w:id="114" w:name="_Toc34895557"/>
      <w:bookmarkEnd w:id="114"/>
      <w:bookmarkStart w:id="115" w:name="_Toc530551857"/>
      <w:bookmarkEnd w:id="115"/>
      <w:bookmarkStart w:id="116" w:name="_Toc530551858"/>
      <w:r>
        <w:rPr>
          <w:rFonts w:hint="eastAsia" w:ascii="仿宋" w:hAnsi="仿宋" w:eastAsia="仿宋" w:cs="仿宋"/>
          <w:b/>
          <w:bCs/>
          <w:color w:val="auto"/>
          <w:sz w:val="24"/>
          <w:szCs w:val="24"/>
        </w:rPr>
        <w:t>5.1</w:t>
      </w:r>
      <w:bookmarkEnd w:id="116"/>
      <w:r>
        <w:rPr>
          <w:rFonts w:hint="eastAsia" w:ascii="仿宋" w:hAnsi="仿宋" w:eastAsia="仿宋" w:cs="仿宋"/>
          <w:b/>
          <w:bCs/>
          <w:color w:val="auto"/>
          <w:sz w:val="24"/>
          <w:szCs w:val="24"/>
        </w:rPr>
        <w:t xml:space="preserve">     投标文件导入和加密</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5.1.1   投标人应当按照资格审查文件、资信商务及技术文件和报价文件三部分分别导入相应位置，各文件之间不得导错位置；</w:t>
      </w:r>
    </w:p>
    <w:p>
      <w:pPr>
        <w:spacing w:line="360" w:lineRule="auto"/>
        <w:ind w:left="960" w:hanging="960" w:hangingChars="400"/>
        <w:rPr>
          <w:rFonts w:ascii="仿宋" w:hAnsi="仿宋" w:eastAsia="仿宋"/>
          <w:color w:val="auto"/>
          <w:sz w:val="24"/>
          <w:szCs w:val="24"/>
        </w:rPr>
      </w:pPr>
      <w:r>
        <w:rPr>
          <w:rFonts w:hint="eastAsia" w:ascii="仿宋_GB2312" w:eastAsia="仿宋_GB2312"/>
          <w:color w:val="auto"/>
          <w:sz w:val="24"/>
          <w:szCs w:val="24"/>
        </w:rPr>
        <w:t>5.1.2   投标文件编制好后应当生成电子加密投标文件，生成电子加密投标文件具体操作详见（电子招投标操作指南网址：</w:t>
      </w:r>
      <w:r>
        <w:rPr>
          <w:color w:val="auto"/>
        </w:rPr>
        <w:fldChar w:fldCharType="begin"/>
      </w:r>
      <w:r>
        <w:rPr>
          <w:color w:val="auto"/>
        </w:rPr>
        <w:instrText xml:space="preserve"> HYPERLINK "file:///D:\\新建文件夹\\招标文件合集\\青田县一体化数据仓应用服务项目\\招标文件.doc" \l "/knowledges/CW1EtGwBFdiHxlNd6I3m/6IMVAG0BFdiHxlNdQ8Na" </w:instrText>
      </w:r>
      <w:r>
        <w:rPr>
          <w:color w:val="auto"/>
        </w:rPr>
        <w:fldChar w:fldCharType="separate"/>
      </w:r>
      <w:r>
        <w:rPr>
          <w:rFonts w:hint="eastAsia" w:ascii="仿宋" w:hAnsi="仿宋" w:eastAsia="仿宋"/>
          <w:color w:val="auto"/>
          <w:sz w:val="24"/>
          <w:szCs w:val="24"/>
        </w:rPr>
        <w:t>https://service.zcygov.cn/#/knowledges/CW1EtGwBFdiHxlNd6I3m/6IMVAG0BFdiHxlNdQ8Na</w:t>
      </w:r>
      <w:r>
        <w:rPr>
          <w:rFonts w:hint="eastAsia" w:ascii="仿宋" w:hAnsi="仿宋" w:eastAsia="仿宋"/>
          <w:color w:val="auto"/>
          <w:sz w:val="24"/>
          <w:szCs w:val="24"/>
        </w:rPr>
        <w:fldChar w:fldCharType="end"/>
      </w:r>
      <w:r>
        <w:rPr>
          <w:rFonts w:hint="eastAsia" w:ascii="仿宋" w:hAnsi="仿宋" w:eastAsia="仿宋"/>
          <w:color w:val="auto"/>
          <w:sz w:val="24"/>
          <w:szCs w:val="24"/>
        </w:rPr>
        <w:t>）。</w:t>
      </w:r>
    </w:p>
    <w:p>
      <w:pPr>
        <w:spacing w:line="360" w:lineRule="auto"/>
        <w:rPr>
          <w:rFonts w:ascii="仿宋" w:hAnsi="仿宋" w:eastAsia="仿宋" w:cs="仿宋"/>
          <w:b/>
          <w:bCs/>
          <w:color w:val="auto"/>
          <w:sz w:val="24"/>
          <w:szCs w:val="24"/>
        </w:rPr>
      </w:pPr>
      <w:bookmarkStart w:id="117" w:name="_Toc34895558"/>
      <w:bookmarkEnd w:id="117"/>
      <w:r>
        <w:rPr>
          <w:rFonts w:hint="eastAsia" w:ascii="仿宋" w:hAnsi="仿宋" w:eastAsia="仿宋" w:cs="仿宋"/>
          <w:b/>
          <w:bCs/>
          <w:color w:val="auto"/>
          <w:sz w:val="24"/>
          <w:szCs w:val="24"/>
        </w:rPr>
        <w:t>5.2     投标文件的提交</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5.2.1   投标文件提交截止时间：见投标人须知前附表（一）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5.2.2   投标文件提交地点：见投标人须知前附表（一）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5.2.3</w:t>
      </w:r>
      <w:r>
        <w:rPr>
          <w:rFonts w:hint="eastAsia" w:ascii="仿宋_GB2312" w:eastAsia="仿宋_GB2312"/>
          <w:color w:val="auto"/>
          <w:sz w:val="24"/>
          <w:szCs w:val="24"/>
        </w:rPr>
        <w:t xml:space="preserve">   不予接收的投标文件情形</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▲⑴投标截止时间前未完成传输的投标文件；</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▲⑵未生成加密的投标文件；</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5.2.4   投标人所提交的投标文件不予退还。</w:t>
      </w:r>
    </w:p>
    <w:p>
      <w:pPr>
        <w:spacing w:line="360" w:lineRule="auto"/>
        <w:rPr>
          <w:rFonts w:ascii="仿宋" w:hAnsi="仿宋" w:eastAsia="仿宋" w:cs="仿宋"/>
          <w:b/>
          <w:bCs/>
          <w:color w:val="auto"/>
          <w:sz w:val="24"/>
          <w:szCs w:val="24"/>
        </w:rPr>
      </w:pPr>
      <w:bookmarkStart w:id="118" w:name="_Toc531359014"/>
      <w:bookmarkEnd w:id="118"/>
      <w:bookmarkStart w:id="119" w:name="_Toc530551859"/>
      <w:bookmarkEnd w:id="119"/>
      <w:r>
        <w:rPr>
          <w:rFonts w:hint="eastAsia" w:ascii="仿宋" w:hAnsi="仿宋" w:eastAsia="仿宋" w:cs="仿宋"/>
          <w:b/>
          <w:bCs/>
          <w:color w:val="auto"/>
          <w:sz w:val="24"/>
          <w:szCs w:val="24"/>
        </w:rPr>
        <w:t>5.3     投标文件修改和撤回</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5.3.1   在投标截止时间前，投标人可对已提交的</w:t>
      </w:r>
      <w:r>
        <w:rPr>
          <w:rFonts w:hint="eastAsia" w:ascii="仿宋_GB2312" w:eastAsia="仿宋_GB2312"/>
          <w:color w:val="auto"/>
          <w:kern w:val="0"/>
          <w:sz w:val="24"/>
          <w:szCs w:val="24"/>
        </w:rPr>
        <w:t>投标文件</w:t>
      </w:r>
      <w:r>
        <w:rPr>
          <w:rFonts w:hint="eastAsia" w:ascii="仿宋_GB2312" w:eastAsia="仿宋_GB2312"/>
          <w:color w:val="auto"/>
          <w:sz w:val="24"/>
          <w:szCs w:val="24"/>
        </w:rPr>
        <w:t>进行补充、修改或撤回。补充、修改投标文件的，应当先行撤回原文件，补充、修改后重新生成加密的投标文件并重新上传提交；</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5.3.2   补充、修改后重新提交的投标文件应按招标文件的规定编制、加密、导入和提交；</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5.3.3   在投标截止时间后，投标人不得修改、撤回已提交的投标文件。</w:t>
      </w:r>
    </w:p>
    <w:p>
      <w:pPr>
        <w:spacing w:line="360" w:lineRule="auto"/>
        <w:rPr>
          <w:rFonts w:ascii="仿宋" w:hAnsi="仿宋" w:eastAsia="仿宋" w:cs="仿宋"/>
          <w:b/>
          <w:bCs/>
          <w:color w:val="auto"/>
          <w:sz w:val="24"/>
          <w:szCs w:val="24"/>
        </w:rPr>
      </w:pPr>
      <w:bookmarkStart w:id="120" w:name="_Toc531359015"/>
      <w:bookmarkEnd w:id="120"/>
      <w:r>
        <w:rPr>
          <w:rFonts w:hint="eastAsia" w:ascii="仿宋" w:hAnsi="仿宋" w:eastAsia="仿宋" w:cs="仿宋"/>
          <w:b/>
          <w:bCs/>
          <w:color w:val="auto"/>
          <w:sz w:val="24"/>
          <w:szCs w:val="24"/>
        </w:rPr>
        <w:t>5.4     备选投标方案</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本项目不接受备选投标方案。与“电子投标文件”同时生成的“备份投标文件”不是投标备选（替代）投标方案。</w:t>
      </w:r>
    </w:p>
    <w:p>
      <w:pPr>
        <w:spacing w:line="360" w:lineRule="auto"/>
        <w:rPr>
          <w:rFonts w:ascii="仿宋" w:hAnsi="仿宋" w:eastAsia="仿宋" w:cs="仿宋"/>
          <w:b/>
          <w:bCs/>
          <w:color w:val="auto"/>
          <w:sz w:val="24"/>
          <w:szCs w:val="24"/>
        </w:rPr>
      </w:pPr>
      <w:bookmarkStart w:id="121" w:name="_Toc14170771"/>
      <w:bookmarkEnd w:id="121"/>
      <w:bookmarkStart w:id="122" w:name="_Toc34895561"/>
      <w:bookmarkEnd w:id="122"/>
      <w:bookmarkStart w:id="123" w:name="_Toc28354563"/>
      <w:bookmarkEnd w:id="123"/>
      <w:r>
        <w:rPr>
          <w:rFonts w:hint="eastAsia" w:ascii="仿宋" w:hAnsi="仿宋" w:eastAsia="仿宋" w:cs="仿宋"/>
          <w:b/>
          <w:bCs/>
          <w:color w:val="auto"/>
          <w:sz w:val="24"/>
          <w:szCs w:val="24"/>
        </w:rPr>
        <w:t>5.5     投标诚实信用</w:t>
      </w:r>
    </w:p>
    <w:p>
      <w:pPr>
        <w:spacing w:line="360" w:lineRule="auto"/>
        <w:ind w:left="960" w:hanging="960" w:hangingChars="400"/>
        <w:rPr>
          <w:rFonts w:ascii="仿宋_GB2312" w:eastAsia="仿宋_GB2312" w:cs="Calibri"/>
          <w:color w:val="auto"/>
          <w:sz w:val="24"/>
          <w:szCs w:val="24"/>
        </w:rPr>
      </w:pPr>
      <w:bookmarkStart w:id="124" w:name="_Toc301187651"/>
      <w:bookmarkEnd w:id="124"/>
      <w:r>
        <w:rPr>
          <w:rFonts w:hint="eastAsia" w:ascii="仿宋_GB2312" w:eastAsia="仿宋_GB2312"/>
          <w:color w:val="auto"/>
          <w:sz w:val="24"/>
          <w:szCs w:val="24"/>
        </w:rPr>
        <w:t>5.5.1   投标人应当遵守诚实信用原则。</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5.5.2   投标人有下列情形之一的，将会报告财政部门并按照相关规定处理：</w:t>
      </w:r>
    </w:p>
    <w:p>
      <w:pPr>
        <w:spacing w:line="360" w:lineRule="auto"/>
        <w:ind w:left="840" w:leftChars="400" w:firstLine="120" w:firstLineChars="50"/>
        <w:rPr>
          <w:rFonts w:ascii="仿宋_GB2312" w:eastAsia="仿宋_GB2312"/>
          <w:color w:val="auto"/>
          <w:sz w:val="24"/>
          <w:szCs w:val="24"/>
        </w:rPr>
      </w:pPr>
      <w:bookmarkStart w:id="125" w:name="_Toc301187652"/>
      <w:bookmarkEnd w:id="125"/>
      <w:r>
        <w:rPr>
          <w:rFonts w:hint="eastAsia" w:ascii="仿宋_GB2312" w:eastAsia="仿宋_GB2312"/>
          <w:color w:val="auto"/>
          <w:sz w:val="24"/>
          <w:szCs w:val="24"/>
        </w:rPr>
        <w:t>⑴投标人在投标有效期内撤销投标文件的；</w:t>
      </w:r>
      <w:bookmarkStart w:id="126" w:name="_Toc301187653"/>
      <w:bookmarkEnd w:id="126"/>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⑵未按规定提交履约保证金的；</w:t>
      </w:r>
      <w:bookmarkStart w:id="127" w:name="_Toc301187654"/>
      <w:bookmarkEnd w:id="127"/>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⑶投标人在投标过程中弄虚作假，提供虚假材料的；</w:t>
      </w:r>
      <w:bookmarkStart w:id="128" w:name="_Toc301187655"/>
      <w:bookmarkEnd w:id="128"/>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⑷中标人无正当理由不与采购人签订合同的；</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⑸投标人有串通投标行为的；</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⑹严重扰乱政府采购程序的；</w:t>
      </w:r>
      <w:bookmarkStart w:id="129" w:name="_Toc301187658"/>
      <w:bookmarkEnd w:id="129"/>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⑺违反其他法律法规规定的情形。</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5.5.3   因投标人有第5.5.2条情形之一造成采购人和采购代理机构损失的，采购人和采购代理机构有权追究投标人赔偿责任。</w:t>
      </w:r>
    </w:p>
    <w:p>
      <w:pPr>
        <w:pStyle w:val="24"/>
        <w:spacing w:beforeLines="100" w:after="240" w:afterLines="100"/>
        <w:jc w:val="left"/>
        <w:outlineLvl w:val="1"/>
        <w:rPr>
          <w:rFonts w:ascii="仿宋_GB2312" w:eastAsia="仿宋_GB2312"/>
          <w:color w:val="auto"/>
          <w:sz w:val="30"/>
          <w:szCs w:val="30"/>
        </w:rPr>
      </w:pPr>
      <w:bookmarkStart w:id="130" w:name="_Toc531359017"/>
      <w:bookmarkEnd w:id="130"/>
      <w:bookmarkStart w:id="131" w:name="_Toc530551861"/>
      <w:bookmarkEnd w:id="131"/>
      <w:bookmarkStart w:id="132" w:name="_Toc105577179"/>
      <w:bookmarkStart w:id="133" w:name="_Toc6962"/>
      <w:r>
        <w:rPr>
          <w:rFonts w:hint="eastAsia" w:ascii="仿宋_GB2312" w:eastAsia="仿宋_GB2312"/>
          <w:color w:val="auto"/>
          <w:sz w:val="30"/>
          <w:szCs w:val="30"/>
        </w:rPr>
        <w:t>六    开标和评标</w:t>
      </w:r>
      <w:bookmarkEnd w:id="132"/>
      <w:bookmarkEnd w:id="133"/>
    </w:p>
    <w:p>
      <w:pPr>
        <w:spacing w:line="360" w:lineRule="auto"/>
        <w:ind w:left="945" w:leftChars="450"/>
        <w:rPr>
          <w:rFonts w:ascii="仿宋_GB2312" w:eastAsia="仿宋_GB2312"/>
          <w:b/>
          <w:color w:val="auto"/>
          <w:sz w:val="24"/>
          <w:szCs w:val="24"/>
        </w:rPr>
      </w:pPr>
      <w:r>
        <w:rPr>
          <w:rFonts w:hint="eastAsia" w:ascii="仿宋_GB2312" w:eastAsia="仿宋_GB2312"/>
          <w:b/>
          <w:color w:val="auto"/>
          <w:sz w:val="24"/>
          <w:szCs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pPr>
        <w:spacing w:line="360" w:lineRule="auto"/>
        <w:rPr>
          <w:rFonts w:ascii="仿宋" w:hAnsi="仿宋" w:eastAsia="仿宋" w:cs="仿宋"/>
          <w:b/>
          <w:bCs/>
          <w:color w:val="auto"/>
          <w:sz w:val="24"/>
          <w:szCs w:val="24"/>
        </w:rPr>
      </w:pPr>
      <w:bookmarkStart w:id="134" w:name="_Toc530551862"/>
      <w:bookmarkEnd w:id="134"/>
      <w:bookmarkStart w:id="135" w:name="_Toc531359018"/>
      <w:bookmarkEnd w:id="135"/>
      <w:bookmarkStart w:id="136" w:name="_Toc530551863"/>
      <w:bookmarkEnd w:id="136"/>
      <w:bookmarkStart w:id="137" w:name="_Toc531359019"/>
      <w:r>
        <w:rPr>
          <w:rFonts w:hint="eastAsia" w:ascii="仿宋" w:hAnsi="仿宋" w:eastAsia="仿宋" w:cs="仿宋"/>
          <w:b/>
          <w:bCs/>
          <w:color w:val="auto"/>
          <w:sz w:val="24"/>
          <w:szCs w:val="24"/>
        </w:rPr>
        <w:t>6.1     开标</w:t>
      </w:r>
      <w:bookmarkEnd w:id="137"/>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6.1.1   开标时间和地点：见投标人须知前附表（一）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6.1.2   投标人的投标人代表应当在线参加，否则视同认可开标结果，事后不得对采购相关人员、开标过程和开标结果提出质疑；</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6.1.3   开标程序</w:t>
      </w:r>
    </w:p>
    <w:p>
      <w:pPr>
        <w:spacing w:line="360" w:lineRule="auto"/>
        <w:ind w:left="1200" w:hanging="1200" w:hangingChars="500"/>
        <w:rPr>
          <w:rFonts w:ascii="仿宋_GB2312" w:eastAsia="仿宋_GB2312"/>
          <w:color w:val="auto"/>
          <w:sz w:val="24"/>
          <w:szCs w:val="24"/>
        </w:rPr>
      </w:pPr>
      <w:r>
        <w:rPr>
          <w:rFonts w:hint="eastAsia" w:ascii="仿宋_GB2312" w:eastAsia="仿宋_GB2312"/>
          <w:color w:val="auto"/>
          <w:sz w:val="24"/>
          <w:szCs w:val="24"/>
        </w:rPr>
        <w:t xml:space="preserve">        ⑴主持人宣布项目开标会开始，介绍参加本次开标会的相关人员； </w:t>
      </w:r>
    </w:p>
    <w:p>
      <w:pPr>
        <w:spacing w:line="360" w:lineRule="auto"/>
        <w:ind w:left="1200" w:hanging="1200" w:hangingChars="500"/>
        <w:rPr>
          <w:rFonts w:ascii="仿宋_GB2312" w:eastAsia="仿宋_GB2312"/>
          <w:color w:val="auto"/>
          <w:sz w:val="24"/>
          <w:szCs w:val="24"/>
        </w:rPr>
      </w:pPr>
      <w:r>
        <w:rPr>
          <w:rFonts w:hint="eastAsia" w:ascii="仿宋_GB2312" w:eastAsia="仿宋_GB2312"/>
          <w:color w:val="auto"/>
          <w:sz w:val="24"/>
          <w:szCs w:val="24"/>
        </w:rPr>
        <w:t xml:space="preserve">        ⑵介绍招标项目招标情况，包括采购方式，发布媒体，提交投标文件的投标人家数、投标人名称；</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⑶宣布开标纪律；</w:t>
      </w:r>
    </w:p>
    <w:p>
      <w:pPr>
        <w:spacing w:line="360" w:lineRule="auto"/>
        <w:ind w:left="1305" w:leftChars="450" w:hanging="360" w:hangingChars="150"/>
        <w:rPr>
          <w:rFonts w:ascii="仿宋_GB2312" w:eastAsia="仿宋_GB2312"/>
          <w:color w:val="auto"/>
          <w:sz w:val="24"/>
          <w:szCs w:val="24"/>
        </w:rPr>
      </w:pPr>
      <w:r>
        <w:rPr>
          <w:rFonts w:hint="eastAsia" w:ascii="仿宋_GB2312" w:eastAsia="仿宋_GB2312"/>
          <w:color w:val="auto"/>
          <w:sz w:val="24"/>
          <w:szCs w:val="24"/>
        </w:rPr>
        <w:t>(4)投标人进行在线解密（解密时间为投标截止时间后30分钟内）；解密未成功的，投标人应当在解密时间内向采购代理机构通过电子邮箱（971977757@qq.com）提供备份投标文件压缩解密密码（格式见附件2）；否则视为放弃投标；</w:t>
      </w:r>
    </w:p>
    <w:p>
      <w:pPr>
        <w:spacing w:line="360" w:lineRule="auto"/>
        <w:ind w:left="1353" w:leftChars="473" w:hanging="360" w:hangingChars="150"/>
        <w:rPr>
          <w:rFonts w:ascii="仿宋_GB2312" w:eastAsia="仿宋_GB2312"/>
          <w:color w:val="auto"/>
          <w:sz w:val="24"/>
          <w:szCs w:val="24"/>
        </w:rPr>
      </w:pPr>
      <w:r>
        <w:rPr>
          <w:rFonts w:hint="eastAsia" w:ascii="仿宋_GB2312" w:eastAsia="仿宋_GB2312"/>
          <w:color w:val="auto"/>
          <w:sz w:val="24"/>
          <w:szCs w:val="24"/>
        </w:rPr>
        <w:t>（5）供应商根据解密后交易平台公布的供应商名单及信息，通过现场或邮件方式提交《政府采购活动现场确认声明书》，（格式见附件1）；提交时间在“开启标书信息”后的20分钟内，未提交的视为放弃提出相关事项质疑的权利。</w:t>
      </w:r>
    </w:p>
    <w:p>
      <w:pPr>
        <w:spacing w:line="360" w:lineRule="auto"/>
        <w:ind w:left="1353" w:leftChars="473" w:hanging="360" w:hangingChars="150"/>
        <w:rPr>
          <w:rFonts w:ascii="仿宋_GB2312" w:eastAsia="仿宋_GB2312"/>
          <w:color w:val="auto"/>
          <w:sz w:val="24"/>
          <w:szCs w:val="24"/>
        </w:rPr>
      </w:pPr>
      <w:r>
        <w:rPr>
          <w:rFonts w:hint="eastAsia" w:ascii="仿宋_GB2312" w:eastAsia="仿宋_GB2312"/>
          <w:color w:val="auto"/>
          <w:sz w:val="24"/>
          <w:szCs w:val="24"/>
        </w:rPr>
        <w:t>(6)采购代理机构开启标书信息，在线公布投标人名称、投标报价及相关内容，同时开启签字时段，投标人确认无疑义后进行在线签字确认。未及时签字的，视为认可开标结果，放弃提出相关事项质疑的权利。</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（7）采购代理机构做好开标记录，投标人在解密完成后点击【查看开标记录】查看开标记录，并在线确认开标结果；</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6.1.4   投标人代表对开标过程和开标记录有疑义，以及认为采购人、采购代理机构相关工作人员有需要回避的情形，应通过电子邮件、传真等形式向采购代理机构提出询问或回避申请；</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6.1.5   </w:t>
      </w:r>
      <w:r>
        <w:rPr>
          <w:rFonts w:hint="eastAsia" w:ascii="仿宋_GB2312" w:eastAsia="仿宋_GB2312"/>
          <w:color w:val="auto"/>
          <w:kern w:val="0"/>
          <w:sz w:val="24"/>
          <w:szCs w:val="24"/>
        </w:rPr>
        <w:t>开标会议结束。</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6.2     资格审查</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6.2.1   资格审查内容：</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采购人或采购代理机构按招标公告内投标人资格要求及本章第3.3条资格审查文件的组成内容进行审查；</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6.2.2   ▲资格审查：全部满足要求的投标人为合格投标人，否则资格审查不予以通过； </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6.2.3   经资格审查后合格的投标人不足三家的，不得进入评标，并按相关规定重新组织采购。</w:t>
      </w:r>
    </w:p>
    <w:p>
      <w:pPr>
        <w:spacing w:line="360" w:lineRule="auto"/>
        <w:rPr>
          <w:rFonts w:ascii="仿宋" w:hAnsi="仿宋" w:eastAsia="仿宋" w:cs="仿宋"/>
          <w:b/>
          <w:bCs/>
          <w:color w:val="auto"/>
          <w:sz w:val="24"/>
          <w:szCs w:val="24"/>
        </w:rPr>
      </w:pPr>
      <w:bookmarkStart w:id="138" w:name="_Toc531359020"/>
      <w:bookmarkEnd w:id="138"/>
      <w:r>
        <w:rPr>
          <w:rFonts w:hint="eastAsia" w:ascii="仿宋" w:hAnsi="仿宋" w:eastAsia="仿宋" w:cs="仿宋"/>
          <w:b/>
          <w:bCs/>
          <w:color w:val="auto"/>
          <w:sz w:val="24"/>
          <w:szCs w:val="24"/>
        </w:rPr>
        <w:t>6.3     评标</w:t>
      </w:r>
    </w:p>
    <w:p>
      <w:pPr>
        <w:pStyle w:val="2"/>
        <w:spacing w:line="360" w:lineRule="auto"/>
        <w:ind w:firstLine="0"/>
        <w:rPr>
          <w:color w:val="auto"/>
        </w:rPr>
      </w:pPr>
      <w:r>
        <w:rPr>
          <w:rFonts w:hint="eastAsia" w:ascii="仿宋_GB2312" w:eastAsia="仿宋_GB2312"/>
          <w:color w:val="auto"/>
          <w:sz w:val="24"/>
          <w:szCs w:val="24"/>
        </w:rPr>
        <w:t>6.3.1   评标办法：见投标人须知前附表（一）；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6.3.2   评标委员会由采购代理机构组建：评标委员会由评审专家或采购人代表和评审专家组成，成员人数为5人以上单数，其中评审专家不少于成员总数的三分之二，评审专家按规定从评审专家库中随机抽取。如有特殊情况的，按相关规定组建评标委员会；</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6.3.3   评标由评标委员会负责，评标委员会应当遵循公正、合理、科学、择优的原则，严格按照招标文件确定的评标办法和评标细则进行评审和评分；</w:t>
      </w:r>
    </w:p>
    <w:p>
      <w:pPr>
        <w:spacing w:line="360" w:lineRule="auto"/>
        <w:rPr>
          <w:rFonts w:ascii="仿宋_GB2312" w:eastAsia="仿宋_GB2312"/>
          <w:color w:val="auto"/>
          <w:sz w:val="24"/>
          <w:szCs w:val="24"/>
        </w:rPr>
      </w:pPr>
      <w:r>
        <w:rPr>
          <w:rFonts w:hint="eastAsia" w:ascii="仿宋_GB2312" w:eastAsia="仿宋_GB2312"/>
          <w:color w:val="auto"/>
          <w:sz w:val="24"/>
          <w:szCs w:val="24"/>
        </w:rPr>
        <w:t>6.3.4   评标流程：符合性审查、资信商务及技术文件评审、报价文件评审；</w:t>
      </w:r>
    </w:p>
    <w:p>
      <w:pPr>
        <w:spacing w:line="360" w:lineRule="auto"/>
        <w:rPr>
          <w:rFonts w:ascii="仿宋_GB2312" w:eastAsia="仿宋_GB2312"/>
          <w:color w:val="auto"/>
          <w:sz w:val="24"/>
          <w:szCs w:val="24"/>
        </w:rPr>
      </w:pPr>
      <w:r>
        <w:rPr>
          <w:rFonts w:hint="eastAsia" w:ascii="仿宋_GB2312" w:eastAsia="仿宋_GB2312"/>
          <w:color w:val="auto"/>
          <w:sz w:val="24"/>
          <w:szCs w:val="24"/>
        </w:rPr>
        <w:t>6.3.5   符合性审查</w:t>
      </w:r>
    </w:p>
    <w:p>
      <w:pPr>
        <w:spacing w:line="360" w:lineRule="auto"/>
        <w:ind w:left="1290" w:leftChars="500" w:hanging="240" w:hangingChars="100"/>
        <w:rPr>
          <w:rFonts w:ascii="仿宋_GB2312" w:eastAsia="仿宋_GB2312"/>
          <w:color w:val="auto"/>
          <w:sz w:val="24"/>
          <w:szCs w:val="24"/>
        </w:rPr>
      </w:pPr>
      <w:r>
        <w:rPr>
          <w:rFonts w:hint="eastAsia" w:ascii="仿宋_GB2312" w:eastAsia="仿宋_GB2312"/>
          <w:color w:val="auto"/>
          <w:sz w:val="24"/>
          <w:szCs w:val="24"/>
        </w:rPr>
        <w:t>⑴评标委员会对投标文件的有效性、完整性和对招标文件的响应程度进行审查，以确定是否对招标文件的实质性要求作出响应，实质性响应是指投标文件符合招标文件规定的实质性内容、条件和规定；</w:t>
      </w:r>
    </w:p>
    <w:p>
      <w:pPr>
        <w:spacing w:line="360" w:lineRule="auto"/>
        <w:ind w:left="1290" w:leftChars="500" w:hanging="240" w:hangingChars="100"/>
        <w:rPr>
          <w:rFonts w:ascii="仿宋_GB2312" w:eastAsia="仿宋_GB2312"/>
          <w:color w:val="auto"/>
          <w:sz w:val="24"/>
          <w:szCs w:val="24"/>
        </w:rPr>
      </w:pPr>
      <w:r>
        <w:rPr>
          <w:rFonts w:hint="eastAsia" w:ascii="仿宋_GB2312" w:eastAsia="仿宋_GB2312"/>
          <w:color w:val="auto"/>
          <w:sz w:val="24"/>
          <w:szCs w:val="24"/>
        </w:rPr>
        <w:t>⑵通过符合性审查不足三家的，除采购任务取消情形外，按相关规定重新组织招标。</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6.3.6   资信商务及技术文件评审</w:t>
      </w:r>
    </w:p>
    <w:p>
      <w:pPr>
        <w:spacing w:line="360" w:lineRule="auto"/>
        <w:ind w:left="1290" w:leftChars="500" w:hanging="240" w:hangingChars="100"/>
        <w:rPr>
          <w:rFonts w:ascii="仿宋_GB2312" w:eastAsia="仿宋_GB2312"/>
          <w:color w:val="auto"/>
          <w:sz w:val="24"/>
          <w:szCs w:val="24"/>
        </w:rPr>
      </w:pPr>
      <w:r>
        <w:rPr>
          <w:rFonts w:hint="eastAsia" w:ascii="仿宋_GB2312" w:eastAsia="仿宋_GB2312"/>
          <w:color w:val="auto"/>
          <w:sz w:val="24"/>
          <w:szCs w:val="24"/>
        </w:rPr>
        <w:t>⑴评标委员会依据招标文件的规定，对各投标人的资信商务及技术文件进行评审，其中客观部分应统一意见后统一给分，其他技术部分由评委委员会对各投标文件进行比较</w:t>
      </w:r>
      <w:r>
        <w:rPr>
          <w:rFonts w:hint="eastAsia" w:ascii="仿宋_GB2312" w:eastAsia="仿宋_GB2312"/>
          <w:color w:val="auto"/>
          <w:sz w:val="24"/>
          <w:szCs w:val="24"/>
        </w:rPr>
        <w:t>和必要的澄清，若有演示环节要求的和资信商务及技术文件评审同步进行，演示顺序为政采云平台系统自动生成</w:t>
      </w:r>
      <w:r>
        <w:rPr>
          <w:rFonts w:hint="eastAsia" w:ascii="仿宋_GB2312" w:eastAsia="仿宋_GB2312"/>
          <w:color w:val="auto"/>
          <w:kern w:val="0"/>
          <w:sz w:val="24"/>
          <w:szCs w:val="24"/>
        </w:rPr>
        <w:t>的顺序</w:t>
      </w:r>
      <w:r>
        <w:rPr>
          <w:rFonts w:hint="eastAsia" w:ascii="仿宋_GB2312" w:eastAsia="仿宋_GB2312"/>
          <w:color w:val="auto"/>
          <w:sz w:val="24"/>
          <w:szCs w:val="24"/>
        </w:rPr>
        <w:t>，并根据澄清、演示、样品等情况按评审细则进行独立打分；</w:t>
      </w:r>
    </w:p>
    <w:p>
      <w:pPr>
        <w:spacing w:line="360" w:lineRule="auto"/>
        <w:ind w:left="1290" w:leftChars="500" w:hanging="240" w:hangingChars="100"/>
        <w:rPr>
          <w:rFonts w:ascii="仿宋_GB2312" w:eastAsia="仿宋_GB2312"/>
          <w:color w:val="auto"/>
          <w:sz w:val="24"/>
          <w:szCs w:val="24"/>
        </w:rPr>
      </w:pPr>
      <w:r>
        <w:rPr>
          <w:rFonts w:hint="eastAsia" w:ascii="仿宋_GB2312" w:eastAsia="仿宋_GB2312"/>
          <w:color w:val="auto"/>
          <w:sz w:val="24"/>
          <w:szCs w:val="24"/>
        </w:rPr>
        <w:t>⑵各投标人的资信商务及技术得分，为各评审专家对该投标人的评审得分结果汇总后的算术平均数。</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6.3.7   报价文件评审</w:t>
      </w:r>
    </w:p>
    <w:p>
      <w:pPr>
        <w:spacing w:line="360" w:lineRule="auto"/>
        <w:ind w:left="1065" w:leftChars="450" w:hanging="120" w:hangingChars="50"/>
        <w:rPr>
          <w:rFonts w:ascii="仿宋_GB2312" w:eastAsia="仿宋_GB2312"/>
          <w:color w:val="auto"/>
          <w:sz w:val="24"/>
          <w:szCs w:val="24"/>
        </w:rPr>
      </w:pPr>
      <w:r>
        <w:rPr>
          <w:rFonts w:hint="eastAsia" w:ascii="仿宋_GB2312" w:eastAsia="仿宋_GB2312"/>
          <w:color w:val="auto"/>
          <w:sz w:val="24"/>
          <w:szCs w:val="24"/>
        </w:rPr>
        <w:t>⑴评标委员会依据招标文件的规定，对各投标人的报价的完整性、合理性进行审查，必要时可要求投标人对其报价做出澄清、说明；</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⑵报价修正；</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⑶政府采购政策价格扣除；</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⑷评审委员会根据投标人的报价和评审标准，计算各投标人的报价得分。</w:t>
      </w:r>
    </w:p>
    <w:p>
      <w:pPr>
        <w:spacing w:line="360" w:lineRule="auto"/>
        <w:rPr>
          <w:rFonts w:ascii="仿宋" w:hAnsi="仿宋" w:eastAsia="仿宋" w:cs="仿宋"/>
          <w:b/>
          <w:bCs/>
          <w:color w:val="auto"/>
          <w:sz w:val="24"/>
          <w:szCs w:val="24"/>
        </w:rPr>
      </w:pPr>
      <w:bookmarkStart w:id="139" w:name="_Toc531359021"/>
      <w:bookmarkEnd w:id="139"/>
      <w:r>
        <w:rPr>
          <w:rFonts w:hint="eastAsia" w:ascii="仿宋" w:hAnsi="仿宋" w:eastAsia="仿宋" w:cs="仿宋"/>
          <w:b/>
          <w:bCs/>
          <w:color w:val="auto"/>
          <w:sz w:val="24"/>
          <w:szCs w:val="24"/>
        </w:rPr>
        <w:t>6.4     投标文件的澄清、说明或补正</w:t>
      </w:r>
    </w:p>
    <w:p>
      <w:pPr>
        <w:spacing w:line="360" w:lineRule="auto"/>
        <w:ind w:left="1200" w:hanging="1200" w:hangingChars="500"/>
        <w:rPr>
          <w:rFonts w:ascii="仿宋_GB2312" w:eastAsia="仿宋_GB2312"/>
          <w:color w:val="auto"/>
          <w:sz w:val="24"/>
          <w:szCs w:val="24"/>
        </w:rPr>
      </w:pPr>
      <w:r>
        <w:rPr>
          <w:rFonts w:hint="eastAsia" w:ascii="仿宋_GB2312" w:eastAsia="仿宋_GB2312"/>
          <w:color w:val="auto"/>
          <w:sz w:val="24"/>
          <w:szCs w:val="24"/>
        </w:rPr>
        <w:t>6.4.1   ⑴对投标文件中含义不明确、同类问题表述不一致或者有明显文字和计算错误的内容，</w:t>
      </w:r>
      <w:r>
        <w:rPr>
          <w:rFonts w:hint="eastAsia" w:ascii="仿宋_GB2312" w:eastAsia="仿宋_GB2312"/>
          <w:b/>
          <w:color w:val="auto"/>
          <w:sz w:val="24"/>
          <w:szCs w:val="24"/>
        </w:rPr>
        <w:t>评标委员会通过政府采购云平台要求投标人作出必要的澄清、说明或者补正。电子投标文件的澄清、说明或者补正采用政府采购云平台交换数据电文，投标人提交的澄清、说明或补正的时间为30分钟（投标人务必在线等待，留意手机短信，及时在线澄清、说明或补正）。</w:t>
      </w:r>
      <w:r>
        <w:rPr>
          <w:rFonts w:hint="eastAsia" w:ascii="仿宋_GB2312" w:eastAsia="仿宋_GB2312"/>
          <w:color w:val="auto"/>
          <w:sz w:val="24"/>
          <w:szCs w:val="24"/>
        </w:rPr>
        <w:t>投标人的澄清、说明或者补正不得超出投标文件的范围或者改变投标文件的实质性内容；</w:t>
      </w:r>
    </w:p>
    <w:p>
      <w:pPr>
        <w:spacing w:line="360" w:lineRule="auto"/>
        <w:ind w:left="960" w:hanging="960" w:hangingChars="400"/>
        <w:rPr>
          <w:rFonts w:ascii="仿宋_GB2312" w:hAnsi="宋体" w:eastAsia="仿宋_GB2312"/>
          <w:color w:val="auto"/>
          <w:sz w:val="24"/>
          <w:szCs w:val="24"/>
        </w:rPr>
      </w:pPr>
      <w:r>
        <w:rPr>
          <w:rFonts w:hint="eastAsia" w:ascii="仿宋_GB2312" w:eastAsia="仿宋_GB2312"/>
          <w:color w:val="auto"/>
          <w:sz w:val="24"/>
          <w:szCs w:val="24"/>
        </w:rPr>
        <w:t xml:space="preserve">        ⑵</w:t>
      </w:r>
      <w:r>
        <w:rPr>
          <w:rFonts w:hint="eastAsia" w:ascii="仿宋_GB2312" w:hAnsi="宋体" w:eastAsia="仿宋_GB2312"/>
          <w:color w:val="auto"/>
          <w:sz w:val="24"/>
          <w:szCs w:val="24"/>
        </w:rPr>
        <w:t>投标人的的澄清、说明或补正将作为投标文件的一部分；</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6.4.2   评审时评标委员会认为投标人的报价明显低于其他通过符合性审查投标人的报价，有可能影响产品质量或者不能诚信履约的，投标人在评标现场合理的时间内说明原因和提供证明材料；</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6.4.3   不接受投标人主动对投标文件的澄清、说明或者补正。</w:t>
      </w:r>
    </w:p>
    <w:p>
      <w:pPr>
        <w:spacing w:line="360" w:lineRule="auto"/>
        <w:rPr>
          <w:rFonts w:ascii="仿宋" w:hAnsi="仿宋" w:eastAsia="仿宋" w:cs="仿宋"/>
          <w:b/>
          <w:bCs/>
          <w:color w:val="auto"/>
          <w:sz w:val="24"/>
          <w:szCs w:val="24"/>
        </w:rPr>
      </w:pPr>
      <w:bookmarkStart w:id="140" w:name="_Toc531359022"/>
      <w:bookmarkEnd w:id="140"/>
      <w:r>
        <w:rPr>
          <w:rFonts w:hint="eastAsia" w:ascii="仿宋" w:hAnsi="仿宋" w:eastAsia="仿宋" w:cs="仿宋"/>
          <w:b/>
          <w:bCs/>
          <w:color w:val="auto"/>
          <w:sz w:val="24"/>
          <w:szCs w:val="24"/>
        </w:rPr>
        <w:t>6.5     报价错误修正</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6.5.1   评标委员会对确定投标文件为实质上响应招标文件要求的，投标文件报价出现前后不一致的，按照下列规定修正：</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⑴</w:t>
      </w:r>
      <w:r>
        <w:rPr>
          <w:rFonts w:hint="eastAsia" w:ascii="仿宋_GB2312" w:eastAsia="仿宋_GB2312"/>
          <w:color w:val="auto"/>
          <w:kern w:val="0"/>
          <w:sz w:val="24"/>
          <w:szCs w:val="24"/>
        </w:rPr>
        <w:t>报价文件</w:t>
      </w:r>
      <w:r>
        <w:rPr>
          <w:rFonts w:hint="eastAsia" w:ascii="仿宋_GB2312" w:eastAsia="仿宋_GB2312"/>
          <w:bCs/>
          <w:color w:val="auto"/>
          <w:sz w:val="24"/>
          <w:szCs w:val="24"/>
        </w:rPr>
        <w:t>中开标一览表（报价表）内容与</w:t>
      </w:r>
      <w:r>
        <w:rPr>
          <w:rFonts w:hint="eastAsia" w:ascii="仿宋_GB2312" w:eastAsia="仿宋_GB2312"/>
          <w:color w:val="auto"/>
          <w:kern w:val="0"/>
          <w:sz w:val="24"/>
          <w:szCs w:val="24"/>
        </w:rPr>
        <w:t>报价</w:t>
      </w:r>
      <w:r>
        <w:rPr>
          <w:rFonts w:hint="eastAsia" w:ascii="仿宋_GB2312" w:eastAsia="仿宋_GB2312"/>
          <w:bCs/>
          <w:color w:val="auto"/>
          <w:sz w:val="24"/>
          <w:szCs w:val="24"/>
        </w:rPr>
        <w:t>明细表相应内容不一致的，以开标一览表（报价表）为准；</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color w:val="auto"/>
          <w:sz w:val="24"/>
          <w:szCs w:val="24"/>
        </w:rPr>
        <w:t>⑵</w:t>
      </w:r>
      <w:r>
        <w:rPr>
          <w:rFonts w:hint="eastAsia" w:ascii="仿宋_GB2312" w:eastAsia="仿宋_GB2312"/>
          <w:bCs/>
          <w:color w:val="auto"/>
          <w:sz w:val="24"/>
          <w:szCs w:val="24"/>
        </w:rPr>
        <w:t>报价文件的大写金额和小写金额不一致的，以大写金额为准；</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bCs/>
          <w:color w:val="auto"/>
          <w:sz w:val="24"/>
          <w:szCs w:val="24"/>
        </w:rPr>
        <w:t>⑶单价金额小数点或者百分比有明显错位的，以开标一览表（报价表）的总价为准，并修改单价；</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bCs/>
          <w:color w:val="auto"/>
          <w:sz w:val="24"/>
          <w:szCs w:val="24"/>
        </w:rPr>
        <w:t>⑷总价金额与按单价汇总金额不一致的，以单价金额计算结果为准；</w:t>
      </w:r>
    </w:p>
    <w:p>
      <w:pPr>
        <w:spacing w:line="360" w:lineRule="auto"/>
        <w:ind w:left="840" w:leftChars="400" w:firstLine="120" w:firstLineChars="50"/>
        <w:rPr>
          <w:rFonts w:ascii="仿宋_GB2312" w:eastAsia="仿宋_GB2312"/>
          <w:bCs/>
          <w:color w:val="auto"/>
          <w:sz w:val="24"/>
          <w:szCs w:val="24"/>
        </w:rPr>
      </w:pPr>
      <w:r>
        <w:rPr>
          <w:rFonts w:hint="eastAsia" w:ascii="仿宋_GB2312" w:eastAsia="仿宋_GB2312"/>
          <w:bCs/>
          <w:color w:val="auto"/>
          <w:sz w:val="24"/>
          <w:szCs w:val="24"/>
        </w:rPr>
        <w:t>⑸同时出现两种以上不一致的，按上述顺序修正；</w:t>
      </w:r>
    </w:p>
    <w:p>
      <w:pPr>
        <w:spacing w:line="360" w:lineRule="auto"/>
        <w:ind w:left="840" w:leftChars="400" w:firstLine="120" w:firstLineChars="50"/>
        <w:rPr>
          <w:rFonts w:ascii="仿宋_GB2312" w:eastAsia="仿宋_GB2312"/>
          <w:bCs/>
          <w:color w:val="auto"/>
          <w:sz w:val="24"/>
          <w:szCs w:val="24"/>
        </w:rPr>
      </w:pPr>
      <w:r>
        <w:rPr>
          <w:rFonts w:hint="eastAsia" w:ascii="仿宋_GB2312" w:eastAsia="仿宋_GB2312"/>
          <w:bCs/>
          <w:color w:val="auto"/>
          <w:sz w:val="24"/>
          <w:szCs w:val="24"/>
        </w:rPr>
        <w:t>⑹对不同文字文本</w:t>
      </w:r>
      <w:r>
        <w:rPr>
          <w:rFonts w:hint="eastAsia" w:ascii="仿宋_GB2312" w:eastAsia="仿宋_GB2312"/>
          <w:color w:val="auto"/>
          <w:kern w:val="0"/>
          <w:sz w:val="24"/>
          <w:szCs w:val="24"/>
        </w:rPr>
        <w:t>投标文件</w:t>
      </w:r>
      <w:r>
        <w:rPr>
          <w:rFonts w:hint="eastAsia" w:ascii="仿宋_GB2312" w:eastAsia="仿宋_GB2312"/>
          <w:bCs/>
          <w:color w:val="auto"/>
          <w:sz w:val="24"/>
          <w:szCs w:val="24"/>
        </w:rPr>
        <w:t>的解释发生异议的，以中文文本为准；</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bCs/>
          <w:color w:val="auto"/>
          <w:sz w:val="24"/>
          <w:szCs w:val="24"/>
        </w:rPr>
        <w:t>⑺</w:t>
      </w:r>
      <w:r>
        <w:rPr>
          <w:rFonts w:hint="eastAsia" w:ascii="仿宋_GB2312" w:eastAsia="仿宋_GB2312"/>
          <w:color w:val="auto"/>
          <w:sz w:val="24"/>
          <w:szCs w:val="24"/>
        </w:rPr>
        <w:t>修正错误的投标报价，经投标人在线签章确认后产生约束力。调整后的投标报价对投标人具有约束作用。若投标人不接受修正后的投标报价，则其投标无效。</w:t>
      </w:r>
    </w:p>
    <w:p>
      <w:pPr>
        <w:spacing w:line="360" w:lineRule="auto"/>
        <w:rPr>
          <w:rFonts w:ascii="仿宋" w:hAnsi="仿宋" w:eastAsia="仿宋" w:cs="仿宋"/>
          <w:b/>
          <w:bCs/>
          <w:color w:val="auto"/>
          <w:sz w:val="24"/>
          <w:szCs w:val="24"/>
        </w:rPr>
      </w:pPr>
      <w:bookmarkStart w:id="141" w:name="_Toc531359024"/>
      <w:bookmarkEnd w:id="141"/>
      <w:r>
        <w:rPr>
          <w:rFonts w:hint="eastAsia" w:ascii="仿宋" w:hAnsi="仿宋" w:eastAsia="仿宋" w:cs="仿宋"/>
          <w:b/>
          <w:bCs/>
          <w:color w:val="auto"/>
          <w:sz w:val="24"/>
          <w:szCs w:val="24"/>
        </w:rPr>
        <w:t>6.6     评标报告</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6.6.1   评审结果汇总，投标人结果排序；</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6.6.2   评标委员会根据全体评审成员签字的原始评审记录和评审结果编写评标报告，并推荐中标候选人或确定中标人；</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6.6.3   评标报告由评标委员会成员签字确认生效，持不同意见的评标委员会成员应当在评标报告上签署不同意见及理由，否则视为同意评标报告；</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6.6.4   评标结束后，采购代理机构通过中标公告的形式宣布评标结果。</w:t>
      </w:r>
    </w:p>
    <w:p>
      <w:pPr>
        <w:pStyle w:val="24"/>
        <w:spacing w:beforeLines="100" w:after="240" w:afterLines="100"/>
        <w:jc w:val="left"/>
        <w:outlineLvl w:val="1"/>
        <w:rPr>
          <w:rFonts w:ascii="仿宋_GB2312" w:eastAsia="仿宋_GB2312"/>
          <w:color w:val="auto"/>
          <w:sz w:val="30"/>
          <w:szCs w:val="30"/>
        </w:rPr>
      </w:pPr>
      <w:bookmarkStart w:id="142" w:name="_Toc531359025"/>
      <w:bookmarkEnd w:id="142"/>
      <w:bookmarkStart w:id="143" w:name="_Toc523398512"/>
      <w:bookmarkStart w:id="144" w:name="_Toc105577180"/>
      <w:bookmarkStart w:id="145" w:name="_Toc9538"/>
      <w:r>
        <w:rPr>
          <w:rFonts w:hint="eastAsia" w:ascii="仿宋_GB2312" w:eastAsia="仿宋_GB2312"/>
          <w:color w:val="auto"/>
          <w:sz w:val="30"/>
          <w:szCs w:val="30"/>
        </w:rPr>
        <w:t xml:space="preserve">七   </w:t>
      </w:r>
      <w:bookmarkEnd w:id="143"/>
      <w:r>
        <w:rPr>
          <w:rFonts w:hint="eastAsia" w:ascii="仿宋_GB2312" w:eastAsia="仿宋_GB2312"/>
          <w:color w:val="auto"/>
          <w:sz w:val="30"/>
          <w:szCs w:val="30"/>
        </w:rPr>
        <w:t xml:space="preserve"> 投标无效的情形</w:t>
      </w:r>
      <w:bookmarkEnd w:id="144"/>
      <w:bookmarkEnd w:id="145"/>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7.1     在开标时，如发现有以下情形之一的，其投标无效</w:t>
      </w:r>
    </w:p>
    <w:p>
      <w:pPr>
        <w:spacing w:line="360" w:lineRule="auto"/>
        <w:ind w:left="840" w:leftChars="400" w:firstLine="120" w:firstLineChars="50"/>
        <w:rPr>
          <w:rFonts w:ascii="仿宋_GB2312" w:eastAsia="仿宋_GB2312"/>
          <w:bCs/>
          <w:color w:val="auto"/>
          <w:sz w:val="24"/>
          <w:szCs w:val="24"/>
        </w:rPr>
      </w:pPr>
      <w:r>
        <w:rPr>
          <w:rFonts w:hint="eastAsia" w:ascii="仿宋_GB2312" w:eastAsia="仿宋_GB2312"/>
          <w:bCs/>
          <w:color w:val="auto"/>
          <w:sz w:val="24"/>
          <w:szCs w:val="24"/>
        </w:rPr>
        <w:t>⑴未按要求提交电子加密投标文件的；</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bCs/>
          <w:color w:val="auto"/>
          <w:sz w:val="24"/>
          <w:szCs w:val="24"/>
        </w:rPr>
        <w:t>⑵</w:t>
      </w:r>
      <w:r>
        <w:rPr>
          <w:rFonts w:hint="eastAsia" w:ascii="仿宋_GB2312" w:eastAsia="仿宋_GB2312"/>
          <w:color w:val="auto"/>
          <w:sz w:val="24"/>
          <w:szCs w:val="24"/>
        </w:rPr>
        <w:t>在规定时间内未解密电子加密投标文件或</w:t>
      </w:r>
      <w:r>
        <w:rPr>
          <w:rFonts w:hint="eastAsia" w:ascii="仿宋_GB2312" w:eastAsia="仿宋_GB2312"/>
          <w:bCs/>
          <w:color w:val="auto"/>
          <w:sz w:val="24"/>
          <w:szCs w:val="24"/>
        </w:rPr>
        <w:t>提交电子加密投标文件无法解密，且未提交备份投标文件</w:t>
      </w:r>
      <w:r>
        <w:rPr>
          <w:rFonts w:hint="eastAsia" w:ascii="仿宋_GB2312" w:hAnsi="宋体" w:eastAsia="仿宋_GB2312"/>
          <w:color w:val="auto"/>
          <w:sz w:val="24"/>
          <w:szCs w:val="24"/>
        </w:rPr>
        <w:t>（包括提交备份投标文件未按规定时间内提供解密密码或密码错误的）</w:t>
      </w:r>
      <w:r>
        <w:rPr>
          <w:rFonts w:hint="eastAsia" w:ascii="仿宋_GB2312" w:eastAsia="仿宋_GB2312"/>
          <w:bCs/>
          <w:color w:val="auto"/>
          <w:sz w:val="24"/>
          <w:szCs w:val="24"/>
        </w:rPr>
        <w:t>。</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7.2     在符合性审查时，如发现下列情形之一的，其投标无效</w:t>
      </w:r>
    </w:p>
    <w:p>
      <w:pPr>
        <w:spacing w:line="360" w:lineRule="auto"/>
        <w:ind w:left="840" w:leftChars="400" w:firstLine="120" w:firstLineChars="50"/>
        <w:rPr>
          <w:rFonts w:ascii="仿宋_GB2312" w:eastAsia="仿宋_GB2312"/>
          <w:bCs/>
          <w:color w:val="auto"/>
          <w:sz w:val="24"/>
          <w:szCs w:val="24"/>
        </w:rPr>
      </w:pPr>
      <w:r>
        <w:rPr>
          <w:rFonts w:hint="eastAsia" w:ascii="仿宋_GB2312" w:eastAsia="仿宋_GB2312"/>
          <w:bCs/>
          <w:color w:val="auto"/>
          <w:sz w:val="24"/>
          <w:szCs w:val="24"/>
        </w:rPr>
        <w:t>⑴未按招标文件规定进行盖章的；</w:t>
      </w:r>
    </w:p>
    <w:p>
      <w:pPr>
        <w:spacing w:line="360" w:lineRule="auto"/>
        <w:ind w:left="840" w:leftChars="400" w:firstLine="120" w:firstLineChars="50"/>
        <w:rPr>
          <w:rFonts w:ascii="仿宋_GB2312" w:eastAsia="仿宋_GB2312"/>
          <w:bCs/>
          <w:color w:val="auto"/>
          <w:sz w:val="24"/>
          <w:szCs w:val="24"/>
        </w:rPr>
      </w:pPr>
      <w:r>
        <w:rPr>
          <w:rFonts w:hint="eastAsia" w:ascii="仿宋_GB2312" w:eastAsia="仿宋_GB2312"/>
          <w:bCs/>
          <w:color w:val="auto"/>
          <w:sz w:val="24"/>
          <w:szCs w:val="24"/>
        </w:rPr>
        <w:t>⑵</w:t>
      </w:r>
      <w:r>
        <w:rPr>
          <w:rFonts w:hint="eastAsia" w:ascii="仿宋_GB2312" w:eastAsia="仿宋_GB2312"/>
          <w:color w:val="auto"/>
          <w:sz w:val="24"/>
          <w:szCs w:val="24"/>
        </w:rPr>
        <w:t>未实质响应招标文件中带“</w:t>
      </w:r>
      <w:r>
        <w:rPr>
          <w:rFonts w:hint="eastAsia" w:ascii="仿宋" w:hAnsi="仿宋" w:eastAsia="仿宋"/>
          <w:color w:val="auto"/>
          <w:sz w:val="24"/>
          <w:szCs w:val="24"/>
        </w:rPr>
        <w:t>▲</w:t>
      </w:r>
      <w:r>
        <w:rPr>
          <w:rFonts w:hint="eastAsia" w:ascii="仿宋_GB2312" w:eastAsia="仿宋_GB2312"/>
          <w:color w:val="auto"/>
          <w:sz w:val="24"/>
          <w:szCs w:val="24"/>
        </w:rPr>
        <w:t>”条款要求的投标文件</w:t>
      </w:r>
      <w:r>
        <w:rPr>
          <w:rFonts w:hint="eastAsia" w:ascii="仿宋_GB2312" w:eastAsia="仿宋_GB2312"/>
          <w:bCs/>
          <w:color w:val="auto"/>
          <w:sz w:val="24"/>
          <w:szCs w:val="24"/>
        </w:rPr>
        <w:t>；</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bCs/>
          <w:color w:val="auto"/>
          <w:sz w:val="24"/>
          <w:szCs w:val="24"/>
        </w:rPr>
        <w:t>⑶</w:t>
      </w:r>
      <w:r>
        <w:rPr>
          <w:rFonts w:hint="eastAsia" w:ascii="仿宋_GB2312" w:eastAsia="仿宋_GB2312"/>
          <w:color w:val="auto"/>
          <w:sz w:val="24"/>
          <w:szCs w:val="24"/>
        </w:rPr>
        <w:t>存在一个或一个以上备选（替代）投标方案的；</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⑷投标人提交两份或两份以上内容不同的投标文件，未声明哪一份有效的。</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7.3     在资信商务技术评审时，如发现下列情形之一的，其投标无效</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bCs/>
          <w:color w:val="auto"/>
          <w:sz w:val="24"/>
          <w:szCs w:val="24"/>
        </w:rPr>
        <w:t>⑴</w:t>
      </w:r>
      <w:r>
        <w:rPr>
          <w:rFonts w:hint="eastAsia" w:ascii="仿宋_GB2312" w:eastAsia="仿宋_GB2312"/>
          <w:color w:val="auto"/>
          <w:sz w:val="24"/>
          <w:szCs w:val="24"/>
        </w:rPr>
        <w:t>投标文件含有采购人不能接受的附加条款的；</w:t>
      </w:r>
    </w:p>
    <w:p>
      <w:pPr>
        <w:spacing w:line="360" w:lineRule="auto"/>
        <w:ind w:left="840" w:leftChars="400" w:firstLine="120" w:firstLineChars="50"/>
        <w:rPr>
          <w:rFonts w:ascii="仿宋_GB2312" w:eastAsia="仿宋_GB2312"/>
          <w:bCs/>
          <w:color w:val="auto"/>
          <w:sz w:val="24"/>
          <w:szCs w:val="24"/>
        </w:rPr>
      </w:pPr>
      <w:r>
        <w:rPr>
          <w:rFonts w:hint="eastAsia" w:ascii="仿宋_GB2312" w:eastAsia="仿宋_GB2312"/>
          <w:bCs/>
          <w:color w:val="auto"/>
          <w:sz w:val="24"/>
          <w:szCs w:val="24"/>
        </w:rPr>
        <w:t>⑵</w:t>
      </w:r>
      <w:r>
        <w:rPr>
          <w:rFonts w:hint="eastAsia" w:ascii="仿宋_GB2312" w:eastAsia="仿宋_GB2312"/>
          <w:color w:val="auto"/>
          <w:sz w:val="24"/>
          <w:szCs w:val="24"/>
        </w:rPr>
        <w:t>投标文件中提供赠品、回扣或者与采购无关的其他商品、服务的；</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bCs/>
          <w:color w:val="auto"/>
          <w:sz w:val="24"/>
          <w:szCs w:val="24"/>
        </w:rPr>
        <w:t>⑶</w:t>
      </w:r>
      <w:r>
        <w:rPr>
          <w:rFonts w:hint="eastAsia" w:ascii="仿宋_GB2312" w:eastAsia="仿宋_GB2312"/>
          <w:color w:val="auto"/>
          <w:sz w:val="24"/>
          <w:szCs w:val="24"/>
        </w:rPr>
        <w:t>评标委员会评定有非实质性条款负偏离超过招标文件规定项数的，项数要求见投标人须知前附表（一）；</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⑷</w:t>
      </w:r>
      <w:r>
        <w:rPr>
          <w:rFonts w:hint="eastAsia" w:ascii="仿宋_GB2312" w:eastAsia="仿宋_GB2312"/>
          <w:bCs/>
          <w:color w:val="auto"/>
          <w:sz w:val="24"/>
          <w:szCs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bCs/>
          <w:color w:val="auto"/>
          <w:sz w:val="24"/>
          <w:szCs w:val="24"/>
        </w:rPr>
        <w:t>⑸采购产品为政府强制采购的节能产品，投标人未提供节能产品认证证书的；</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bCs/>
          <w:color w:val="auto"/>
          <w:sz w:val="24"/>
          <w:szCs w:val="24"/>
        </w:rPr>
        <w:t>⑹投标文件内容不全或内容字迹模糊辨认不清的而导致评标无法正常进行（经评标委员会认定并允许其当场更正的笔误除外的）；</w:t>
      </w:r>
    </w:p>
    <w:p>
      <w:pPr>
        <w:spacing w:line="360" w:lineRule="auto"/>
        <w:ind w:left="1185" w:leftChars="450" w:hanging="240" w:hangingChars="100"/>
        <w:rPr>
          <w:rFonts w:ascii="仿宋_GB2312" w:eastAsia="仿宋_GB2312"/>
          <w:bCs/>
          <w:color w:val="auto"/>
          <w:sz w:val="24"/>
          <w:szCs w:val="24"/>
        </w:rPr>
      </w:pPr>
      <w:r>
        <w:rPr>
          <w:rFonts w:hint="eastAsia" w:ascii="仿宋_GB2312" w:eastAsia="仿宋_GB2312"/>
          <w:color w:val="auto"/>
          <w:sz w:val="24"/>
          <w:szCs w:val="24"/>
        </w:rPr>
        <w:t>⑺违反国家及政府部门相关法律、法规、文件规定或经评标委员认定的其他属于重大偏离的。</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7.4     在报价评审时，如发现下列情形之一的，其投标无效</w:t>
      </w:r>
    </w:p>
    <w:p>
      <w:pPr>
        <w:spacing w:line="360" w:lineRule="auto"/>
        <w:ind w:left="945" w:leftChars="450"/>
        <w:rPr>
          <w:rFonts w:ascii="仿宋_GB2312" w:eastAsia="仿宋_GB2312"/>
          <w:b/>
          <w:bCs/>
          <w:color w:val="auto"/>
          <w:sz w:val="24"/>
          <w:szCs w:val="24"/>
        </w:rPr>
      </w:pPr>
      <w:r>
        <w:rPr>
          <w:rFonts w:hint="eastAsia" w:ascii="仿宋_GB2312" w:eastAsia="仿宋_GB2312"/>
          <w:color w:val="auto"/>
          <w:sz w:val="24"/>
          <w:szCs w:val="24"/>
        </w:rPr>
        <w:t>⑴报价超过招标文件中规定的最高限价的；</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⑵投标报价存在漏项或报价数量少于采购要求的，报价文件内容与对应资信商务及技术文件内容不一致的；</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⑶评标委员会评定其投标的报价明显不合理或低于成本，有可能影响产品质量或者不能诚信履约的，在评标现场合理的时间内不能合理说明原因和提供证明材料的来证明其报价合理性的；</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⑷拒不接受报价错误修正或报价错误修正后未签字确认的。</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7.5     如有下列情形之一的，其投标无效</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⑴投标人直接或者间接从采购人或者采购代理机构处获得其他投标人的相关情况并修改其投标文件；</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⑵投标人按照采购人或者采购代理机构的授意撤换、修改投标文件；</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⑶投标人之间协商投标文件的实质性内容；</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⑷属于同一集团、协会、商会等组织成员的投标人按照该组织要求协同参加政府采购活动；</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⑸投标人之间事先约定由某一特定投标人中标、成交；</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⑹投标人之间商定部分投标人放弃参加政府采购活动或者放弃中标、成交；</w:t>
      </w:r>
    </w:p>
    <w:p>
      <w:pPr>
        <w:spacing w:line="360" w:lineRule="auto"/>
        <w:ind w:left="1185" w:leftChars="450" w:hanging="240" w:hangingChars="100"/>
        <w:rPr>
          <w:rFonts w:ascii="仿宋_GB2312" w:eastAsia="仿宋_GB2312"/>
          <w:color w:val="auto"/>
          <w:sz w:val="24"/>
          <w:szCs w:val="24"/>
        </w:rPr>
      </w:pPr>
      <w:r>
        <w:rPr>
          <w:rFonts w:hint="eastAsia" w:ascii="仿宋_GB2312" w:eastAsia="仿宋_GB2312"/>
          <w:color w:val="auto"/>
          <w:sz w:val="24"/>
          <w:szCs w:val="24"/>
        </w:rPr>
        <w:t>⑺投标人与采购人或者采购代理机构之间、投标人相互之间，为谋求特定投标人中标、成交或者排斥其他投标人的其他串通行为；</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⑻不同投标人的投标文件由同一单位或者个人编制；</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⑼不同投标人委托同一单位或者个人办理投标事宜；</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⑽不同投标人的投标文件载明的项目管理成员或者联系人员为同一人；</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⑾不同投标人的投标文件异常一致或者投标报价呈规律性差异；</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⑿提供虚假材料谋取中标的。</w:t>
      </w:r>
    </w:p>
    <w:p>
      <w:pPr>
        <w:spacing w:line="360" w:lineRule="auto"/>
        <w:rPr>
          <w:rFonts w:ascii="仿宋" w:hAnsi="仿宋" w:eastAsia="仿宋" w:cs="仿宋"/>
          <w:b/>
          <w:bCs/>
          <w:color w:val="auto"/>
          <w:sz w:val="24"/>
          <w:szCs w:val="24"/>
        </w:rPr>
      </w:pPr>
      <w:bookmarkStart w:id="146" w:name="_Toc34895575"/>
      <w:r>
        <w:rPr>
          <w:rFonts w:hint="eastAsia" w:ascii="仿宋" w:hAnsi="仿宋" w:eastAsia="仿宋" w:cs="仿宋"/>
          <w:b/>
          <w:bCs/>
          <w:color w:val="auto"/>
          <w:sz w:val="24"/>
          <w:szCs w:val="24"/>
        </w:rPr>
        <w:t>7.6     如</w:t>
      </w:r>
      <w:bookmarkEnd w:id="146"/>
      <w:r>
        <w:rPr>
          <w:rFonts w:hint="eastAsia" w:ascii="仿宋" w:hAnsi="仿宋" w:eastAsia="仿宋" w:cs="仿宋"/>
          <w:b/>
          <w:bCs/>
          <w:color w:val="auto"/>
          <w:sz w:val="24"/>
          <w:szCs w:val="24"/>
        </w:rPr>
        <w:t>有下列情形之一的，可中止电子交易活动的情形</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7.6.1   招标过程中出现以下情形，导致政府采购云平台无法正常运行，或者无法保证电子交易的公平、公正和安全时，采购代理机构将中止电子交易活动：</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⑴电子交易平台发生故障而无法登录访问的；</w:t>
      </w:r>
    </w:p>
    <w:p>
      <w:pPr>
        <w:spacing w:line="360" w:lineRule="auto"/>
        <w:ind w:left="840" w:leftChars="400" w:firstLine="120" w:firstLineChars="50"/>
        <w:rPr>
          <w:rFonts w:ascii="仿宋_GB2312" w:eastAsia="仿宋_GB2312"/>
          <w:color w:val="auto"/>
          <w:sz w:val="24"/>
          <w:szCs w:val="24"/>
        </w:rPr>
      </w:pPr>
      <w:r>
        <w:rPr>
          <w:rFonts w:hint="eastAsia" w:ascii="仿宋_GB2312" w:eastAsia="仿宋_GB2312"/>
          <w:color w:val="auto"/>
          <w:sz w:val="24"/>
          <w:szCs w:val="24"/>
        </w:rPr>
        <w:t>⑵电子交易平台应用或数据库出现错误，不能进行正常操作的；</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⑶电子交易平台发现严重安全漏洞，有潜在泄密危险的；</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 xml:space="preserve">⑷病毒发作导致不能进行正常操作的； </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⑸其他无法保证电子交易的公平、公正和安全的情况</w:t>
      </w:r>
    </w:p>
    <w:p>
      <w:pPr>
        <w:spacing w:line="360" w:lineRule="auto"/>
        <w:ind w:left="945" w:leftChars="450"/>
        <w:rPr>
          <w:rFonts w:ascii="仿宋_GB2312" w:eastAsia="仿宋_GB2312"/>
          <w:color w:val="auto"/>
          <w:sz w:val="24"/>
          <w:szCs w:val="24"/>
        </w:rPr>
      </w:pPr>
      <w:r>
        <w:rPr>
          <w:rFonts w:hint="eastAsia" w:ascii="仿宋_GB2312" w:eastAsia="仿宋_GB2312"/>
          <w:color w:val="auto"/>
          <w:sz w:val="24"/>
          <w:szCs w:val="24"/>
        </w:rPr>
        <w:t>出现上述规定情形，不影响采购公平、公正性的，采购代理机构可以待上述情形消除后继续组织电子交易活动；影响或可能影响采购公平、公正性的，应当重新组织采购。</w:t>
      </w:r>
    </w:p>
    <w:p>
      <w:pPr>
        <w:pStyle w:val="24"/>
        <w:spacing w:beforeLines="100" w:after="240" w:afterLines="100"/>
        <w:jc w:val="left"/>
        <w:outlineLvl w:val="1"/>
        <w:rPr>
          <w:rFonts w:ascii="仿宋_GB2312" w:eastAsia="仿宋_GB2312"/>
          <w:color w:val="auto"/>
          <w:sz w:val="30"/>
          <w:szCs w:val="30"/>
        </w:rPr>
      </w:pPr>
      <w:bookmarkStart w:id="147" w:name="_Toc515526193"/>
      <w:bookmarkEnd w:id="147"/>
      <w:bookmarkStart w:id="148" w:name="_Toc359934597"/>
      <w:bookmarkEnd w:id="148"/>
      <w:bookmarkStart w:id="149" w:name="_Toc303756400"/>
      <w:bookmarkEnd w:id="149"/>
      <w:bookmarkStart w:id="150" w:name="_Toc531359026"/>
      <w:bookmarkEnd w:id="150"/>
      <w:bookmarkStart w:id="151" w:name="_Toc301187772"/>
      <w:bookmarkStart w:id="152" w:name="_Toc105577181"/>
      <w:bookmarkStart w:id="153" w:name="_Toc6168"/>
      <w:r>
        <w:rPr>
          <w:rFonts w:hint="eastAsia" w:ascii="仿宋_GB2312" w:eastAsia="仿宋_GB2312"/>
          <w:color w:val="auto"/>
          <w:sz w:val="30"/>
          <w:szCs w:val="30"/>
        </w:rPr>
        <w:t>八    中标和合同</w:t>
      </w:r>
      <w:bookmarkEnd w:id="151"/>
      <w:bookmarkEnd w:id="152"/>
      <w:bookmarkEnd w:id="153"/>
    </w:p>
    <w:p>
      <w:pPr>
        <w:spacing w:line="360" w:lineRule="auto"/>
        <w:rPr>
          <w:rFonts w:ascii="仿宋" w:hAnsi="仿宋" w:eastAsia="仿宋" w:cs="仿宋"/>
          <w:b/>
          <w:bCs/>
          <w:color w:val="auto"/>
          <w:sz w:val="24"/>
          <w:szCs w:val="24"/>
        </w:rPr>
      </w:pPr>
      <w:bookmarkStart w:id="154" w:name="_Toc531359027"/>
      <w:bookmarkEnd w:id="154"/>
      <w:bookmarkStart w:id="155" w:name="_Toc303756402"/>
      <w:bookmarkEnd w:id="155"/>
      <w:bookmarkStart w:id="156" w:name="_Toc359934599"/>
      <w:bookmarkEnd w:id="156"/>
      <w:bookmarkStart w:id="157" w:name="_Toc301187776"/>
      <w:bookmarkEnd w:id="157"/>
      <w:bookmarkStart w:id="158" w:name="_Toc515526194"/>
      <w:r>
        <w:rPr>
          <w:rFonts w:hint="eastAsia" w:ascii="仿宋" w:hAnsi="仿宋" w:eastAsia="仿宋" w:cs="仿宋"/>
          <w:b/>
          <w:bCs/>
          <w:color w:val="auto"/>
          <w:sz w:val="24"/>
          <w:szCs w:val="24"/>
        </w:rPr>
        <w:t>8.1</w:t>
      </w:r>
      <w:bookmarkEnd w:id="158"/>
      <w:r>
        <w:rPr>
          <w:rFonts w:hint="eastAsia" w:ascii="仿宋" w:hAnsi="仿宋" w:eastAsia="仿宋" w:cs="仿宋"/>
          <w:b/>
          <w:bCs/>
          <w:color w:val="auto"/>
          <w:sz w:val="24"/>
          <w:szCs w:val="24"/>
        </w:rPr>
        <w:t xml:space="preserve">     中标</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8.1.1   采购代理机构在评标结束后2个工作日内将评标报告提交采购人确认；</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8.1.2   采购人应当自收到评标报告之日起5个工作日内，在评标报告确定的中标候选人名单中按顺序确定中标人；</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8.1.3   采购人在收到评标报告5个工作日内未按评标报告推荐的中标候选人顺序确定中标人，又不能说明合法理由的，视同按评标报告推荐的顺序确定排名第一的中标候选人为中标人；</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8.1.4   中标人拒绝与采购人签订合同的，采购人可以按照评标报告推荐的中标人名单排序，确定下一候选人为中标人，也可以重新开展政府采购活动。</w:t>
      </w:r>
    </w:p>
    <w:p>
      <w:pPr>
        <w:spacing w:line="360" w:lineRule="auto"/>
        <w:rPr>
          <w:rFonts w:ascii="仿宋" w:hAnsi="仿宋" w:eastAsia="仿宋" w:cs="仿宋"/>
          <w:b/>
          <w:bCs/>
          <w:color w:val="auto"/>
          <w:sz w:val="24"/>
          <w:szCs w:val="24"/>
        </w:rPr>
      </w:pPr>
      <w:bookmarkStart w:id="159" w:name="_Toc531359028"/>
      <w:r>
        <w:rPr>
          <w:rFonts w:hint="eastAsia" w:ascii="仿宋" w:hAnsi="仿宋" w:eastAsia="仿宋" w:cs="仿宋"/>
          <w:b/>
          <w:bCs/>
          <w:color w:val="auto"/>
          <w:sz w:val="24"/>
          <w:szCs w:val="24"/>
        </w:rPr>
        <w:t>8.2     中标</w:t>
      </w:r>
      <w:bookmarkEnd w:id="159"/>
      <w:r>
        <w:rPr>
          <w:rFonts w:hint="eastAsia" w:ascii="仿宋" w:hAnsi="仿宋" w:eastAsia="仿宋" w:cs="仿宋"/>
          <w:b/>
          <w:bCs/>
          <w:color w:val="auto"/>
          <w:sz w:val="24"/>
          <w:szCs w:val="24"/>
        </w:rPr>
        <w:t>公告和中标通知书</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8.2.1   采购代理机构应当自中标人确定之日起2个工作日内，在投标人须知前附表（一）规定的网址发布中标结果；</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8.2.3   中标公告期限为1个工作日；</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8.2.4   采购代理机构将线下向中标人发出中标通知书，同时中标人应在中标结果公告发布后30日内签订合同；</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8.2.5   中标通知书发出后，采购人不得改变中标结果，中标人无正当理由不得放弃中标。否则将作为不良行为记录上报财政部门，由财政部门按相关法律法规给予处理。</w:t>
      </w:r>
    </w:p>
    <w:p>
      <w:pPr>
        <w:spacing w:line="360" w:lineRule="auto"/>
        <w:rPr>
          <w:rFonts w:ascii="仿宋" w:hAnsi="仿宋" w:eastAsia="仿宋" w:cs="仿宋"/>
          <w:b/>
          <w:bCs/>
          <w:color w:val="auto"/>
          <w:sz w:val="24"/>
          <w:szCs w:val="24"/>
        </w:rPr>
      </w:pPr>
      <w:bookmarkStart w:id="160" w:name="_Toc531359029"/>
      <w:r>
        <w:rPr>
          <w:rFonts w:hint="eastAsia" w:ascii="仿宋" w:hAnsi="仿宋" w:eastAsia="仿宋" w:cs="仿宋"/>
          <w:b/>
          <w:bCs/>
          <w:color w:val="auto"/>
          <w:sz w:val="24"/>
          <w:szCs w:val="24"/>
        </w:rPr>
        <w:t>8.</w:t>
      </w:r>
      <w:bookmarkEnd w:id="160"/>
      <w:r>
        <w:rPr>
          <w:rFonts w:hint="eastAsia" w:ascii="仿宋" w:hAnsi="仿宋" w:eastAsia="仿宋" w:cs="仿宋"/>
          <w:b/>
          <w:bCs/>
          <w:color w:val="auto"/>
          <w:sz w:val="24"/>
          <w:szCs w:val="24"/>
        </w:rPr>
        <w:t>3     履约保证金</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8.3.1   履约保证金：见投标人须知前附表（一）。</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8.3.2   中标人提供的服务和货物质量符合合同约定并经验收合格的，其履约保证金按规定要求由采购人无息退还。</w:t>
      </w:r>
    </w:p>
    <w:p>
      <w:pPr>
        <w:spacing w:line="360" w:lineRule="auto"/>
        <w:rPr>
          <w:rFonts w:ascii="仿宋" w:hAnsi="仿宋" w:eastAsia="仿宋" w:cs="仿宋"/>
          <w:b/>
          <w:bCs/>
          <w:color w:val="auto"/>
          <w:sz w:val="24"/>
          <w:szCs w:val="24"/>
        </w:rPr>
      </w:pPr>
      <w:bookmarkStart w:id="161" w:name="_Toc531359030"/>
      <w:r>
        <w:rPr>
          <w:rFonts w:hint="eastAsia" w:ascii="仿宋" w:hAnsi="仿宋" w:eastAsia="仿宋" w:cs="仿宋"/>
          <w:b/>
          <w:bCs/>
          <w:color w:val="auto"/>
          <w:sz w:val="24"/>
          <w:szCs w:val="24"/>
        </w:rPr>
        <w:t>8.</w:t>
      </w:r>
      <w:bookmarkEnd w:id="161"/>
      <w:r>
        <w:rPr>
          <w:rFonts w:hint="eastAsia" w:ascii="仿宋" w:hAnsi="仿宋" w:eastAsia="仿宋" w:cs="仿宋"/>
          <w:b/>
          <w:bCs/>
          <w:color w:val="auto"/>
          <w:sz w:val="24"/>
          <w:szCs w:val="24"/>
        </w:rPr>
        <w:t>4     合同</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8.4.1   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8.4.2   询问或者质疑事项可能影响中标（成交）结果的，采购人应当暂停签订合同，已经签订合同的，应当中止履行合同。</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8.4.3   采购人应当自政府采购合同签订之日起2个工作日内，将政府采购合同在浙江省政府采购网（zfcg.czt.zj.gov.cn）上公告，但政府采购合同中涉及国家秘密、商业秘密的内容除外。</w:t>
      </w:r>
    </w:p>
    <w:p>
      <w:pPr>
        <w:pStyle w:val="24"/>
        <w:spacing w:beforeLines="100" w:after="240" w:afterLines="100"/>
        <w:jc w:val="left"/>
        <w:outlineLvl w:val="1"/>
        <w:rPr>
          <w:rFonts w:ascii="仿宋_GB2312" w:eastAsia="仿宋_GB2312"/>
          <w:color w:val="auto"/>
          <w:sz w:val="30"/>
          <w:szCs w:val="30"/>
        </w:rPr>
      </w:pPr>
      <w:bookmarkStart w:id="162" w:name="_Toc335664282"/>
      <w:bookmarkEnd w:id="162"/>
      <w:bookmarkStart w:id="163" w:name="_Toc45506731"/>
      <w:bookmarkEnd w:id="163"/>
      <w:bookmarkStart w:id="164" w:name="_Toc334087240"/>
      <w:bookmarkEnd w:id="164"/>
      <w:bookmarkStart w:id="165" w:name="_Toc531359032"/>
      <w:bookmarkEnd w:id="165"/>
      <w:bookmarkStart w:id="166" w:name="_Toc15813254"/>
      <w:bookmarkEnd w:id="166"/>
      <w:bookmarkStart w:id="167" w:name="_Toc47756031"/>
      <w:bookmarkEnd w:id="167"/>
      <w:bookmarkStart w:id="168" w:name="_Toc530551873"/>
      <w:bookmarkEnd w:id="168"/>
      <w:bookmarkStart w:id="169" w:name="_Toc107820052"/>
      <w:bookmarkEnd w:id="169"/>
      <w:bookmarkStart w:id="170" w:name="_Toc493956048"/>
      <w:bookmarkEnd w:id="170"/>
      <w:bookmarkStart w:id="171" w:name="_Toc15805937"/>
      <w:bookmarkStart w:id="172" w:name="_Toc105577182"/>
      <w:bookmarkStart w:id="173" w:name="_Toc16694"/>
      <w:r>
        <w:rPr>
          <w:rFonts w:hint="eastAsia" w:ascii="仿宋_GB2312" w:eastAsia="仿宋_GB2312"/>
          <w:color w:val="auto"/>
          <w:sz w:val="30"/>
          <w:szCs w:val="30"/>
        </w:rPr>
        <w:t xml:space="preserve">九 </w:t>
      </w:r>
      <w:bookmarkEnd w:id="171"/>
      <w:r>
        <w:rPr>
          <w:rFonts w:hint="eastAsia" w:ascii="仿宋_GB2312" w:eastAsia="仿宋_GB2312"/>
          <w:color w:val="auto"/>
          <w:sz w:val="30"/>
          <w:szCs w:val="30"/>
        </w:rPr>
        <w:t xml:space="preserve">   其他事项</w:t>
      </w:r>
      <w:bookmarkEnd w:id="172"/>
      <w:bookmarkEnd w:id="173"/>
    </w:p>
    <w:p>
      <w:pPr>
        <w:spacing w:line="360" w:lineRule="auto"/>
        <w:rPr>
          <w:rFonts w:ascii="仿宋" w:hAnsi="仿宋" w:eastAsia="仿宋" w:cs="仿宋"/>
          <w:b/>
          <w:bCs/>
          <w:color w:val="auto"/>
          <w:sz w:val="24"/>
          <w:szCs w:val="24"/>
        </w:rPr>
      </w:pPr>
      <w:bookmarkStart w:id="174" w:name="_Toc531359033"/>
      <w:bookmarkEnd w:id="174"/>
      <w:r>
        <w:rPr>
          <w:rFonts w:hint="eastAsia" w:ascii="仿宋" w:hAnsi="仿宋" w:eastAsia="仿宋" w:cs="仿宋"/>
          <w:b/>
          <w:bCs/>
          <w:color w:val="auto"/>
          <w:sz w:val="24"/>
          <w:szCs w:val="24"/>
        </w:rPr>
        <w:t xml:space="preserve">9.1     解释权 </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9.1.1   本招标文件解释权属采购代理机构；</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9.1.2   采购代理机构对决标结果不负责解释。</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w:t>
      </w:r>
    </w:p>
    <w:p>
      <w:pPr>
        <w:rPr>
          <w:color w:val="auto"/>
        </w:rPr>
      </w:pPr>
    </w:p>
    <w:p>
      <w:pPr>
        <w:pStyle w:val="24"/>
        <w:spacing w:before="0" w:after="0" w:line="360" w:lineRule="auto"/>
        <w:rPr>
          <w:rFonts w:ascii="仿宋" w:hAnsi="仿宋" w:eastAsia="仿宋" w:cs="宋体"/>
          <w:color w:val="auto"/>
          <w:sz w:val="48"/>
          <w:szCs w:val="48"/>
        </w:rPr>
      </w:pPr>
      <w:bookmarkStart w:id="175" w:name="_Toc105577183"/>
      <w:bookmarkStart w:id="176" w:name="_Toc25326"/>
      <w:r>
        <w:rPr>
          <w:rFonts w:hint="eastAsia" w:ascii="仿宋" w:hAnsi="仿宋" w:eastAsia="仿宋" w:cs="宋体"/>
          <w:color w:val="auto"/>
          <w:sz w:val="48"/>
          <w:szCs w:val="48"/>
        </w:rPr>
        <w:t>第四章  合同主要条款</w:t>
      </w:r>
      <w:bookmarkEnd w:id="175"/>
      <w:bookmarkEnd w:id="176"/>
    </w:p>
    <w:p>
      <w:pPr>
        <w:rPr>
          <w:rFonts w:ascii="宋体" w:hAnsi="宋体"/>
          <w:color w:val="auto"/>
          <w:sz w:val="24"/>
          <w:szCs w:val="24"/>
        </w:rPr>
      </w:pPr>
      <w:r>
        <w:rPr>
          <w:rFonts w:hint="eastAsia" w:ascii="宋体" w:hAnsi="宋体"/>
          <w:color w:val="auto"/>
          <w:sz w:val="24"/>
          <w:szCs w:val="24"/>
        </w:rPr>
        <w:t xml:space="preserve"> </w:t>
      </w:r>
    </w:p>
    <w:p>
      <w:pPr>
        <w:jc w:val="center"/>
        <w:rPr>
          <w:rFonts w:ascii="仿宋_GB2312" w:hAnsi="楷体" w:eastAsia="仿宋_GB2312"/>
          <w:color w:val="auto"/>
          <w:kern w:val="0"/>
          <w:sz w:val="32"/>
          <w:szCs w:val="32"/>
        </w:rPr>
      </w:pPr>
      <w:r>
        <w:rPr>
          <w:rFonts w:hint="eastAsia" w:ascii="仿宋_GB2312" w:hAnsi="楷体" w:eastAsia="仿宋_GB2312"/>
          <w:color w:val="auto"/>
          <w:kern w:val="0"/>
          <w:sz w:val="32"/>
          <w:szCs w:val="32"/>
        </w:rPr>
        <w:t>合同格式（仅供参考）</w:t>
      </w:r>
    </w:p>
    <w:p>
      <w:pPr>
        <w:spacing w:line="400" w:lineRule="exact"/>
        <w:jc w:val="center"/>
        <w:rPr>
          <w:rFonts w:cs="Calibri"/>
          <w:b/>
          <w:bCs/>
          <w:color w:val="auto"/>
          <w:sz w:val="44"/>
          <w:szCs w:val="44"/>
        </w:rPr>
      </w:pPr>
      <w:r>
        <w:rPr>
          <w:b/>
          <w:bCs/>
          <w:color w:val="auto"/>
          <w:sz w:val="44"/>
          <w:szCs w:val="44"/>
        </w:rPr>
        <w:t xml:space="preserve"> </w:t>
      </w:r>
    </w:p>
    <w:p>
      <w:pPr>
        <w:spacing w:line="360" w:lineRule="auto"/>
        <w:rPr>
          <w:rFonts w:hint="eastAsia" w:ascii="仿宋_GB2312" w:eastAsia="仿宋_GB2312"/>
          <w:color w:val="auto"/>
          <w:sz w:val="24"/>
          <w:szCs w:val="24"/>
        </w:rPr>
      </w:pPr>
      <w:r>
        <w:rPr>
          <w:rFonts w:hint="eastAsia" w:ascii="仿宋_GB2312" w:eastAsia="仿宋_GB2312"/>
          <w:color w:val="auto"/>
          <w:sz w:val="24"/>
          <w:szCs w:val="24"/>
        </w:rPr>
        <w:t xml:space="preserve">项目名称：                            采购编号：                      </w:t>
      </w:r>
    </w:p>
    <w:p>
      <w:pPr>
        <w:spacing w:line="360" w:lineRule="auto"/>
        <w:rPr>
          <w:rFonts w:hint="eastAsia" w:ascii="仿宋_GB2312" w:eastAsia="仿宋_GB2312"/>
          <w:color w:val="auto"/>
          <w:sz w:val="24"/>
          <w:szCs w:val="24"/>
        </w:rPr>
      </w:pPr>
      <w:r>
        <w:rPr>
          <w:rFonts w:hint="eastAsia" w:ascii="仿宋_GB2312" w:eastAsia="仿宋_GB2312"/>
          <w:color w:val="auto"/>
          <w:sz w:val="24"/>
          <w:szCs w:val="24"/>
        </w:rPr>
        <w:t>甲方：（采购单位）</w:t>
      </w:r>
    </w:p>
    <w:p>
      <w:pPr>
        <w:spacing w:line="360" w:lineRule="auto"/>
        <w:rPr>
          <w:rFonts w:hint="eastAsia" w:ascii="仿宋_GB2312" w:eastAsia="仿宋_GB2312"/>
          <w:color w:val="auto"/>
          <w:sz w:val="24"/>
          <w:szCs w:val="24"/>
        </w:rPr>
      </w:pPr>
      <w:r>
        <w:rPr>
          <w:rFonts w:hint="eastAsia" w:ascii="仿宋_GB2312" w:eastAsia="仿宋_GB2312"/>
          <w:color w:val="auto"/>
          <w:sz w:val="24"/>
          <w:szCs w:val="24"/>
        </w:rPr>
        <w:t>乙方：（中标单位）</w:t>
      </w:r>
    </w:p>
    <w:p>
      <w:pPr>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甲、乙双方根据《中华人民共和国政府采购法》、《中华人民共和国民法典》等有关法律法规的规定，关于_________项目（于  年  月   日以    方式）招标的结果，签署本合同。</w:t>
      </w:r>
    </w:p>
    <w:p>
      <w:pPr>
        <w:tabs>
          <w:tab w:val="left" w:pos="795"/>
        </w:tabs>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一、合同文件</w:t>
      </w:r>
    </w:p>
    <w:p>
      <w:pPr>
        <w:snapToGrid w:val="0"/>
        <w:spacing w:line="360" w:lineRule="auto"/>
        <w:rPr>
          <w:rFonts w:ascii="仿宋_GB2312" w:eastAsia="仿宋_GB2312"/>
          <w:color w:val="auto"/>
          <w:sz w:val="24"/>
          <w:szCs w:val="24"/>
        </w:rPr>
      </w:pPr>
      <w:r>
        <w:rPr>
          <w:rFonts w:hint="eastAsia" w:ascii="宋体" w:hAnsi="宋体" w:cs="宋体"/>
          <w:color w:val="auto"/>
          <w:sz w:val="24"/>
          <w:szCs w:val="24"/>
        </w:rPr>
        <w:t xml:space="preserve">    </w:t>
      </w:r>
      <w:r>
        <w:rPr>
          <w:rFonts w:hint="eastAsia" w:ascii="仿宋_GB2312" w:eastAsia="仿宋_GB2312"/>
          <w:color w:val="auto"/>
          <w:sz w:val="24"/>
          <w:szCs w:val="24"/>
        </w:rPr>
        <w:t>下列文件构成本合同的组成部分，应该认为是一个整体，彼此相互解释，相互补充。组成合同的多个文件的优先支配地位的次序如下：</w:t>
      </w:r>
    </w:p>
    <w:p>
      <w:pPr>
        <w:snapToGrid w:val="0"/>
        <w:spacing w:line="360" w:lineRule="auto"/>
        <w:ind w:firstLine="538"/>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rPr>
        <w:tab/>
      </w:r>
      <w:r>
        <w:rPr>
          <w:rFonts w:hint="eastAsia" w:ascii="仿宋_GB2312" w:eastAsia="仿宋_GB2312"/>
          <w:color w:val="auto"/>
          <w:sz w:val="24"/>
          <w:szCs w:val="24"/>
        </w:rPr>
        <w:t>本合同书和合同补充条款或说明</w:t>
      </w:r>
    </w:p>
    <w:p>
      <w:pPr>
        <w:snapToGrid w:val="0"/>
        <w:spacing w:line="360" w:lineRule="auto"/>
        <w:ind w:firstLine="538"/>
        <w:rPr>
          <w:rFonts w:ascii="仿宋_GB2312" w:eastAsia="仿宋_GB2312"/>
          <w:color w:val="auto"/>
          <w:sz w:val="24"/>
          <w:szCs w:val="24"/>
        </w:rPr>
      </w:pPr>
      <w:r>
        <w:rPr>
          <w:rFonts w:hint="eastAsia" w:ascii="仿宋_GB2312" w:eastAsia="仿宋_GB2312"/>
          <w:color w:val="auto"/>
          <w:sz w:val="24"/>
          <w:szCs w:val="24"/>
        </w:rPr>
        <w:t>2.</w:t>
      </w:r>
      <w:r>
        <w:rPr>
          <w:rFonts w:hint="eastAsia" w:ascii="仿宋_GB2312" w:eastAsia="仿宋_GB2312"/>
          <w:color w:val="auto"/>
          <w:sz w:val="24"/>
          <w:szCs w:val="24"/>
        </w:rPr>
        <w:tab/>
      </w:r>
      <w:r>
        <w:rPr>
          <w:rFonts w:hint="eastAsia" w:ascii="仿宋_GB2312" w:eastAsia="仿宋_GB2312"/>
          <w:color w:val="auto"/>
          <w:sz w:val="24"/>
          <w:szCs w:val="24"/>
        </w:rPr>
        <w:t>中标通知书</w:t>
      </w:r>
      <w:r>
        <w:rPr>
          <w:rFonts w:hint="eastAsia" w:ascii="仿宋_GB2312" w:eastAsia="仿宋_GB2312"/>
          <w:color w:val="auto"/>
          <w:sz w:val="24"/>
          <w:szCs w:val="24"/>
        </w:rPr>
        <w:tab/>
      </w:r>
    </w:p>
    <w:p>
      <w:pPr>
        <w:snapToGrid w:val="0"/>
        <w:spacing w:line="360" w:lineRule="auto"/>
        <w:ind w:firstLine="538"/>
        <w:rPr>
          <w:rFonts w:ascii="仿宋_GB2312" w:eastAsia="仿宋_GB2312"/>
          <w:color w:val="auto"/>
          <w:sz w:val="24"/>
          <w:szCs w:val="24"/>
        </w:rPr>
      </w:pPr>
      <w:r>
        <w:rPr>
          <w:rFonts w:hint="eastAsia" w:ascii="仿宋_GB2312" w:eastAsia="仿宋_GB2312"/>
          <w:color w:val="auto"/>
          <w:sz w:val="24"/>
          <w:szCs w:val="24"/>
        </w:rPr>
        <w:t>3.变更补充文件</w:t>
      </w:r>
    </w:p>
    <w:p>
      <w:pPr>
        <w:snapToGrid w:val="0"/>
        <w:spacing w:line="360" w:lineRule="auto"/>
        <w:ind w:firstLine="538"/>
        <w:rPr>
          <w:rFonts w:ascii="仿宋_GB2312" w:eastAsia="仿宋_GB2312"/>
          <w:color w:val="auto"/>
          <w:sz w:val="24"/>
          <w:szCs w:val="24"/>
        </w:rPr>
      </w:pPr>
      <w:r>
        <w:rPr>
          <w:rFonts w:hint="eastAsia" w:ascii="仿宋_GB2312" w:eastAsia="仿宋_GB2312"/>
          <w:color w:val="auto"/>
          <w:sz w:val="24"/>
          <w:szCs w:val="24"/>
        </w:rPr>
        <w:t>4.</w:t>
      </w:r>
      <w:r>
        <w:rPr>
          <w:rFonts w:hint="eastAsia" w:ascii="仿宋_GB2312" w:eastAsia="仿宋_GB2312"/>
          <w:color w:val="auto"/>
          <w:sz w:val="24"/>
          <w:szCs w:val="24"/>
        </w:rPr>
        <w:tab/>
      </w:r>
      <w:r>
        <w:rPr>
          <w:rFonts w:hint="eastAsia" w:ascii="仿宋_GB2312" w:eastAsia="仿宋_GB2312"/>
          <w:color w:val="auto"/>
          <w:sz w:val="24"/>
          <w:szCs w:val="24"/>
        </w:rPr>
        <w:t>招标文件</w:t>
      </w:r>
    </w:p>
    <w:p>
      <w:pPr>
        <w:snapToGrid w:val="0"/>
        <w:spacing w:line="360" w:lineRule="auto"/>
        <w:ind w:firstLine="538"/>
        <w:rPr>
          <w:rFonts w:ascii="仿宋_GB2312" w:eastAsia="仿宋_GB2312"/>
          <w:color w:val="auto"/>
          <w:sz w:val="24"/>
          <w:szCs w:val="24"/>
        </w:rPr>
      </w:pPr>
      <w:r>
        <w:rPr>
          <w:rFonts w:hint="eastAsia" w:ascii="仿宋_GB2312" w:eastAsia="仿宋_GB2312"/>
          <w:color w:val="auto"/>
          <w:sz w:val="24"/>
          <w:szCs w:val="24"/>
        </w:rPr>
        <w:t>5.中标人投标文件</w:t>
      </w:r>
      <w:r>
        <w:rPr>
          <w:rFonts w:hint="eastAsia" w:ascii="仿宋_GB2312" w:eastAsia="仿宋_GB2312"/>
          <w:color w:val="auto"/>
          <w:sz w:val="24"/>
          <w:szCs w:val="24"/>
        </w:rPr>
        <w:tab/>
      </w:r>
      <w:r>
        <w:rPr>
          <w:rFonts w:hint="eastAsia" w:ascii="仿宋_GB2312" w:eastAsia="仿宋_GB2312"/>
          <w:color w:val="auto"/>
          <w:sz w:val="24"/>
          <w:szCs w:val="24"/>
        </w:rPr>
        <w:t>(含澄清内容)</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二、服务内容</w:t>
      </w:r>
    </w:p>
    <w:p>
      <w:pPr>
        <w:snapToGrid w:val="0"/>
        <w:spacing w:line="360" w:lineRule="auto"/>
        <w:rPr>
          <w:rFonts w:ascii="仿宋_GB2312" w:eastAsia="仿宋_GB2312"/>
          <w:color w:val="auto"/>
          <w:sz w:val="24"/>
          <w:szCs w:val="24"/>
        </w:rPr>
      </w:pPr>
      <w:r>
        <w:rPr>
          <w:rFonts w:hint="eastAsia" w:ascii="仿宋_GB2312" w:eastAsia="仿宋_GB2312"/>
          <w:color w:val="auto"/>
          <w:sz w:val="24"/>
          <w:szCs w:val="24"/>
        </w:rPr>
        <w:t>本合同服务内容如下：</w:t>
      </w:r>
    </w:p>
    <w:p>
      <w:pPr>
        <w:snapToGrid w:val="0"/>
        <w:spacing w:line="360" w:lineRule="auto"/>
        <w:rPr>
          <w:rFonts w:ascii="仿宋_GB2312" w:eastAsia="仿宋_GB2312"/>
          <w:color w:val="auto"/>
          <w:sz w:val="24"/>
          <w:szCs w:val="24"/>
        </w:rPr>
      </w:pPr>
      <w:r>
        <w:rPr>
          <w:rFonts w:hint="eastAsia" w:ascii="仿宋_GB2312" w:eastAsia="仿宋_GB2312"/>
          <w:color w:val="auto"/>
          <w:sz w:val="24"/>
          <w:szCs w:val="24"/>
        </w:rPr>
        <w:t>青田县集体土地所有权确权登记成果更新汇交项目有关工作要求</w:t>
      </w:r>
    </w:p>
    <w:p>
      <w:pPr>
        <w:snapToGrid w:val="0"/>
        <w:spacing w:line="419" w:lineRule="atLeast"/>
        <w:ind w:firstLine="482" w:firstLineChars="200"/>
        <w:rPr>
          <w:rFonts w:ascii="宋体" w:hAnsi="宋体" w:cs="宋体"/>
          <w:b/>
          <w:color w:val="auto"/>
          <w:sz w:val="24"/>
          <w:szCs w:val="24"/>
        </w:rPr>
      </w:pPr>
      <w:r>
        <w:rPr>
          <w:rFonts w:hint="eastAsia" w:ascii="宋体" w:hAnsi="宋体" w:cs="宋体"/>
          <w:b/>
          <w:color w:val="auto"/>
          <w:sz w:val="24"/>
          <w:szCs w:val="24"/>
        </w:rPr>
        <w:t>三、合同总金额</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8"/>
        <w:gridCol w:w="3574"/>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548"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项目名称</w:t>
            </w:r>
          </w:p>
        </w:tc>
        <w:tc>
          <w:tcPr>
            <w:tcW w:w="3574"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总金额</w:t>
            </w:r>
          </w:p>
        </w:tc>
        <w:tc>
          <w:tcPr>
            <w:tcW w:w="2400" w:type="dxa"/>
            <w:vAlign w:val="center"/>
          </w:tcPr>
          <w:p>
            <w:pPr>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2548" w:type="dxa"/>
            <w:vAlign w:val="center"/>
          </w:tcPr>
          <w:p>
            <w:pPr>
              <w:spacing w:line="360" w:lineRule="auto"/>
              <w:jc w:val="center"/>
              <w:rPr>
                <w:rFonts w:ascii="仿宋_GB2312" w:eastAsia="仿宋_GB2312"/>
                <w:color w:val="auto"/>
                <w:sz w:val="24"/>
                <w:szCs w:val="24"/>
              </w:rPr>
            </w:pPr>
            <w:r>
              <w:rPr>
                <w:rFonts w:hint="eastAsia" w:ascii="仿宋_GB2312" w:eastAsia="仿宋_GB2312"/>
                <w:color w:val="auto"/>
                <w:sz w:val="24"/>
                <w:szCs w:val="24"/>
              </w:rPr>
              <w:t>青田县集体土地所有权确权登记成果更新汇交项目</w:t>
            </w:r>
          </w:p>
        </w:tc>
        <w:tc>
          <w:tcPr>
            <w:tcW w:w="3574" w:type="dxa"/>
            <w:vAlign w:val="center"/>
          </w:tcPr>
          <w:p>
            <w:pPr>
              <w:spacing w:line="360" w:lineRule="auto"/>
              <w:jc w:val="center"/>
              <w:rPr>
                <w:rFonts w:ascii="仿宋_GB2312" w:eastAsia="仿宋_GB2312"/>
                <w:color w:val="auto"/>
                <w:sz w:val="24"/>
                <w:szCs w:val="24"/>
              </w:rPr>
            </w:pPr>
          </w:p>
          <w:p>
            <w:pPr>
              <w:spacing w:line="360" w:lineRule="auto"/>
              <w:jc w:val="center"/>
              <w:rPr>
                <w:rFonts w:ascii="仿宋_GB2312" w:eastAsia="仿宋_GB2312"/>
                <w:color w:val="auto"/>
                <w:sz w:val="24"/>
                <w:szCs w:val="24"/>
              </w:rPr>
            </w:pPr>
            <w:r>
              <w:rPr>
                <w:rFonts w:hint="eastAsia" w:ascii="仿宋_GB2312" w:eastAsia="仿宋_GB2312"/>
                <w:color w:val="auto"/>
                <w:sz w:val="24"/>
                <w:szCs w:val="24"/>
              </w:rPr>
              <w:t>（大写）</w:t>
            </w:r>
          </w:p>
        </w:tc>
        <w:tc>
          <w:tcPr>
            <w:tcW w:w="2400" w:type="dxa"/>
          </w:tcPr>
          <w:p>
            <w:pPr>
              <w:rPr>
                <w:rFonts w:ascii="仿宋_GB2312" w:eastAsia="仿宋_GB2312"/>
                <w:color w:val="auto"/>
                <w:sz w:val="24"/>
                <w:szCs w:val="24"/>
              </w:rPr>
            </w:pPr>
          </w:p>
        </w:tc>
      </w:tr>
    </w:tbl>
    <w:p>
      <w:pPr>
        <w:snapToGrid w:val="0"/>
        <w:spacing w:after="120" w:afterLines="50" w:line="400" w:lineRule="exact"/>
        <w:rPr>
          <w:rFonts w:ascii="宋体" w:hAnsi="宋体" w:cs="宋体"/>
          <w:color w:val="auto"/>
          <w:sz w:val="24"/>
        </w:rPr>
      </w:pPr>
      <w:r>
        <w:rPr>
          <w:rFonts w:hint="eastAsia" w:ascii="宋体" w:hAnsi="宋体" w:cs="宋体"/>
          <w:b/>
          <w:bCs/>
          <w:color w:val="auto"/>
          <w:sz w:val="24"/>
          <w:szCs w:val="24"/>
        </w:rPr>
        <w:t>税费和项目实施其他一切费用由乙方承担。</w:t>
      </w:r>
    </w:p>
    <w:p>
      <w:pPr>
        <w:snapToGrid w:val="0"/>
        <w:spacing w:line="400" w:lineRule="exact"/>
        <w:ind w:firstLine="482" w:firstLineChars="200"/>
        <w:rPr>
          <w:rFonts w:ascii="宋体" w:hAnsi="宋体" w:cs="宋体"/>
          <w:b/>
          <w:color w:val="auto"/>
          <w:sz w:val="24"/>
        </w:rPr>
      </w:pPr>
      <w:r>
        <w:rPr>
          <w:rFonts w:hint="eastAsia" w:ascii="宋体" w:hAnsi="宋体" w:cs="宋体"/>
          <w:b/>
          <w:color w:val="auto"/>
          <w:sz w:val="24"/>
          <w:szCs w:val="24"/>
        </w:rPr>
        <w:t>四、付款方式</w:t>
      </w:r>
    </w:p>
    <w:p>
      <w:pPr>
        <w:pStyle w:val="54"/>
        <w:spacing w:line="360" w:lineRule="auto"/>
        <w:ind w:firstLine="480"/>
        <w:rPr>
          <w:rFonts w:ascii="仿宋_GB2312" w:eastAsia="仿宋_GB2312"/>
          <w:color w:val="auto"/>
          <w:sz w:val="24"/>
          <w:szCs w:val="24"/>
        </w:rPr>
      </w:pPr>
      <w:r>
        <w:rPr>
          <w:rFonts w:hint="eastAsia" w:ascii="仿宋_GB2312" w:eastAsia="仿宋_GB2312"/>
          <w:color w:val="auto"/>
          <w:sz w:val="24"/>
          <w:szCs w:val="24"/>
        </w:rPr>
        <w:t>（一）合同</w:t>
      </w:r>
      <w:r>
        <w:rPr>
          <w:rFonts w:ascii="仿宋_GB2312" w:eastAsia="仿宋_GB2312"/>
          <w:color w:val="auto"/>
          <w:sz w:val="24"/>
          <w:szCs w:val="24"/>
        </w:rPr>
        <w:t>生效</w:t>
      </w:r>
      <w:r>
        <w:rPr>
          <w:rFonts w:hint="eastAsia" w:ascii="仿宋_GB2312" w:eastAsia="仿宋_GB2312"/>
          <w:color w:val="auto"/>
          <w:sz w:val="24"/>
          <w:szCs w:val="24"/>
        </w:rPr>
        <w:t>及中标单位组织人员进场开展项目工作一个月后</w:t>
      </w:r>
      <w:r>
        <w:rPr>
          <w:rFonts w:ascii="仿宋_GB2312" w:eastAsia="仿宋_GB2312"/>
          <w:color w:val="auto"/>
          <w:sz w:val="24"/>
          <w:szCs w:val="24"/>
        </w:rPr>
        <w:t>支付合同</w:t>
      </w:r>
      <w:r>
        <w:rPr>
          <w:rFonts w:hint="eastAsia" w:ascii="仿宋_GB2312" w:eastAsia="仿宋_GB2312"/>
          <w:color w:val="auto"/>
          <w:sz w:val="24"/>
          <w:szCs w:val="24"/>
        </w:rPr>
        <w:t>总金额</w:t>
      </w:r>
      <w:r>
        <w:rPr>
          <w:rFonts w:ascii="仿宋_GB2312" w:eastAsia="仿宋_GB2312"/>
          <w:color w:val="auto"/>
          <w:sz w:val="24"/>
          <w:szCs w:val="24"/>
        </w:rPr>
        <w:t>的</w:t>
      </w:r>
      <w:r>
        <w:rPr>
          <w:rFonts w:hint="eastAsia" w:ascii="仿宋_GB2312" w:eastAsia="仿宋_GB2312"/>
          <w:color w:val="auto"/>
          <w:sz w:val="24"/>
          <w:szCs w:val="24"/>
        </w:rPr>
        <w:t>30</w:t>
      </w:r>
      <w:r>
        <w:rPr>
          <w:rFonts w:ascii="仿宋_GB2312" w:eastAsia="仿宋_GB2312"/>
          <w:color w:val="auto"/>
          <w:sz w:val="24"/>
          <w:szCs w:val="24"/>
        </w:rPr>
        <w:t>%</w:t>
      </w:r>
      <w:r>
        <w:rPr>
          <w:rFonts w:hint="eastAsia" w:ascii="仿宋_GB2312" w:eastAsia="仿宋_GB2312"/>
          <w:color w:val="auto"/>
          <w:sz w:val="24"/>
          <w:szCs w:val="24"/>
        </w:rPr>
        <w:t>；（即万元）；</w:t>
      </w:r>
    </w:p>
    <w:p>
      <w:pPr>
        <w:pStyle w:val="54"/>
        <w:spacing w:line="360" w:lineRule="auto"/>
        <w:ind w:firstLine="480"/>
        <w:rPr>
          <w:rFonts w:ascii="仿宋_GB2312" w:eastAsia="仿宋_GB2312"/>
          <w:color w:val="auto"/>
          <w:sz w:val="24"/>
          <w:szCs w:val="24"/>
        </w:rPr>
      </w:pPr>
      <w:r>
        <w:rPr>
          <w:rFonts w:hint="eastAsia" w:ascii="仿宋_GB2312" w:eastAsia="仿宋_GB2312"/>
          <w:color w:val="auto"/>
          <w:sz w:val="24"/>
          <w:szCs w:val="24"/>
        </w:rPr>
        <w:t>（二）中标单位完成数据成果更新并通过自检和市级检查后</w:t>
      </w:r>
      <w:r>
        <w:rPr>
          <w:rFonts w:ascii="仿宋_GB2312" w:eastAsia="仿宋_GB2312"/>
          <w:color w:val="auto"/>
          <w:sz w:val="24"/>
          <w:szCs w:val="24"/>
        </w:rPr>
        <w:t>，支付</w:t>
      </w:r>
      <w:r>
        <w:rPr>
          <w:rFonts w:hint="eastAsia" w:ascii="仿宋_GB2312" w:eastAsia="仿宋_GB2312"/>
          <w:color w:val="auto"/>
          <w:sz w:val="24"/>
          <w:szCs w:val="24"/>
        </w:rPr>
        <w:t>至</w:t>
      </w:r>
      <w:r>
        <w:rPr>
          <w:rFonts w:ascii="仿宋_GB2312" w:eastAsia="仿宋_GB2312"/>
          <w:color w:val="auto"/>
          <w:sz w:val="24"/>
          <w:szCs w:val="24"/>
        </w:rPr>
        <w:t>项目合同</w:t>
      </w:r>
      <w:r>
        <w:rPr>
          <w:rFonts w:hint="eastAsia" w:ascii="仿宋_GB2312" w:eastAsia="仿宋_GB2312"/>
          <w:color w:val="auto"/>
          <w:sz w:val="24"/>
          <w:szCs w:val="24"/>
        </w:rPr>
        <w:t>总金额</w:t>
      </w:r>
      <w:r>
        <w:rPr>
          <w:rFonts w:ascii="仿宋_GB2312" w:eastAsia="仿宋_GB2312"/>
          <w:color w:val="auto"/>
          <w:sz w:val="24"/>
          <w:szCs w:val="24"/>
        </w:rPr>
        <w:t>的7</w:t>
      </w:r>
      <w:r>
        <w:rPr>
          <w:rFonts w:hint="eastAsia" w:ascii="仿宋_GB2312" w:eastAsia="仿宋_GB2312"/>
          <w:color w:val="auto"/>
          <w:sz w:val="24"/>
          <w:szCs w:val="24"/>
        </w:rPr>
        <w:t>0</w:t>
      </w:r>
      <w:r>
        <w:rPr>
          <w:rFonts w:ascii="仿宋_GB2312" w:eastAsia="仿宋_GB2312"/>
          <w:color w:val="auto"/>
          <w:sz w:val="24"/>
          <w:szCs w:val="24"/>
        </w:rPr>
        <w:t>%；</w:t>
      </w:r>
      <w:r>
        <w:rPr>
          <w:rFonts w:hint="eastAsia" w:ascii="仿宋_GB2312" w:eastAsia="仿宋_GB2312"/>
          <w:color w:val="auto"/>
          <w:sz w:val="24"/>
          <w:szCs w:val="24"/>
        </w:rPr>
        <w:t>（即万元）；</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（三）成果通过省自然资源厅和自然资源部检查</w:t>
      </w:r>
      <w:r>
        <w:rPr>
          <w:rFonts w:ascii="仿宋_GB2312" w:eastAsia="仿宋_GB2312"/>
          <w:color w:val="auto"/>
          <w:sz w:val="24"/>
          <w:szCs w:val="24"/>
        </w:rPr>
        <w:t>，</w:t>
      </w:r>
      <w:r>
        <w:rPr>
          <w:rFonts w:hint="eastAsia" w:ascii="仿宋_GB2312" w:eastAsia="仿宋_GB2312"/>
          <w:color w:val="auto"/>
          <w:sz w:val="24"/>
          <w:szCs w:val="24"/>
        </w:rPr>
        <w:t>验收并汇交后</w:t>
      </w:r>
      <w:r>
        <w:rPr>
          <w:rFonts w:ascii="仿宋_GB2312" w:eastAsia="仿宋_GB2312"/>
          <w:color w:val="auto"/>
          <w:sz w:val="24"/>
          <w:szCs w:val="24"/>
        </w:rPr>
        <w:t>支付项目尾款。</w:t>
      </w:r>
      <w:r>
        <w:rPr>
          <w:rFonts w:hint="eastAsia" w:ascii="仿宋_GB2312" w:eastAsia="仿宋_GB2312"/>
          <w:color w:val="auto"/>
          <w:sz w:val="24"/>
          <w:szCs w:val="24"/>
        </w:rPr>
        <w:t>（即万元），项目资金全部支付完毕。</w:t>
      </w:r>
    </w:p>
    <w:p>
      <w:pPr>
        <w:snapToGrid w:val="0"/>
        <w:spacing w:line="360" w:lineRule="auto"/>
        <w:ind w:firstLine="482" w:firstLineChars="200"/>
        <w:rPr>
          <w:rFonts w:ascii="宋体" w:hAnsi="宋体" w:cs="宋体"/>
          <w:color w:val="auto"/>
          <w:sz w:val="24"/>
        </w:rPr>
      </w:pPr>
      <w:r>
        <w:rPr>
          <w:rFonts w:hint="eastAsia" w:ascii="宋体" w:hAnsi="宋体" w:cs="宋体"/>
          <w:b/>
          <w:color w:val="auto"/>
          <w:sz w:val="24"/>
          <w:szCs w:val="24"/>
        </w:rPr>
        <w:t>五、服务期限</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本项目服务期限为2年，本项目完成时间暂定为2023年12月31日前，具体时限根据国家和省级要求调整。</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六、相关服务标准及要求</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（一）乙方应按照国家和浙江省集体土地所有权确权登记成果更新汇交规范和标准开展工作，其他相关要求参照本项目招标文件和甲方最新要求执行。</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（二）未经甲方允许，乙方不得将本合同标的全部或部分转包给第三方。</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七、文件资料使用要求</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（一） 没有甲方事先书面同意，乙方不得将由甲方或代表甲方提供的有关合同或任何合同条文、计划、图纸、资料或数据提供给与履行本合同无关的任何其他人。即使向与履行本合同有关的人员提供，也应注意保密并限于履行合同必须的范围内。</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（二） 没有甲方事先书面同意，除了履行本合同之外，乙方不得使用上述所列举的任何文件和资料。</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（三） 除了合同本身外， 上述所列举的有关涉密文件资料，乙方在履行合同约定时应按国家保密管理相关要求妥善保管和使用，在完成合同约定工作后应及时将涉密文件资料归还给甲方或按有关规定删除销毁。</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八、知识产权</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乙方应保证提供服务过程中不会侵犯任何第三方的知识产权，如果任何第三方提出侵权指控，乙方须与第三方交涉并承担可能发生的一切法律责任和费用。</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九、不可抗力</w:t>
      </w:r>
    </w:p>
    <w:p>
      <w:pPr>
        <w:snapToGrid w:val="0"/>
        <w:spacing w:line="360" w:lineRule="auto"/>
        <w:ind w:firstLine="481"/>
        <w:rPr>
          <w:rFonts w:ascii="仿宋_GB2312" w:eastAsia="仿宋_GB2312"/>
          <w:color w:val="auto"/>
          <w:sz w:val="24"/>
          <w:szCs w:val="24"/>
        </w:rPr>
      </w:pPr>
      <w:r>
        <w:rPr>
          <w:rFonts w:hint="eastAsia" w:ascii="宋体" w:hAnsi="宋体" w:cs="宋体"/>
          <w:color w:val="auto"/>
          <w:sz w:val="24"/>
          <w:szCs w:val="24"/>
        </w:rPr>
        <w:t xml:space="preserve">   （</w:t>
      </w:r>
      <w:r>
        <w:rPr>
          <w:rFonts w:hint="eastAsia" w:ascii="仿宋_GB2312" w:eastAsia="仿宋_GB2312"/>
          <w:color w:val="auto"/>
          <w:sz w:val="24"/>
          <w:szCs w:val="24"/>
        </w:rPr>
        <w:t>一）如果双方中任何一方由于战争、严重火灾、水灾、台风和地震以及其它经双方同意属于不可抗力的事故，致使合同履行受阻时，受不可抗力影响导致合同义务延迟或不能履行的一方不承担责任，但应尽快以传真方式将不可抗力事件结束或消除的情况通知另一方，并立即继续履行合同义务，合同的期限也应予相应延长。</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二）受事故影响的一方应在不可抗力的事故发生后尽快以传真通知另一方，并在事故发生后15天内，将有关部门出具的证明文件用挂号信邮寄或派人送达另一方。如果不可抗力影响时间超过合同规定期限的，合同任何一方均有权以书面通知终止合同。</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十、履约保证金和服务质量保证金</w:t>
      </w:r>
    </w:p>
    <w:p>
      <w:pPr>
        <w:snapToGrid w:val="0"/>
        <w:spacing w:line="360" w:lineRule="auto"/>
        <w:ind w:firstLine="481"/>
        <w:rPr>
          <w:rFonts w:ascii="仿宋_GB2312" w:eastAsia="仿宋_GB2312"/>
          <w:color w:val="auto"/>
          <w:sz w:val="24"/>
          <w:szCs w:val="24"/>
        </w:rPr>
      </w:pPr>
      <w:r>
        <w:rPr>
          <w:rFonts w:hint="eastAsia" w:ascii="宋体" w:hAnsi="宋体" w:cs="宋体"/>
          <w:color w:val="auto"/>
          <w:sz w:val="24"/>
          <w:szCs w:val="24"/>
        </w:rPr>
        <w:t>（</w:t>
      </w:r>
      <w:r>
        <w:rPr>
          <w:rFonts w:hint="eastAsia" w:ascii="仿宋_GB2312" w:eastAsia="仿宋_GB2312"/>
          <w:color w:val="auto"/>
          <w:sz w:val="24"/>
          <w:szCs w:val="24"/>
        </w:rPr>
        <w:t>一）签订合同前乙方需按招标文件规定向甲方缴纳履约保证金   元整（￥元），待乙方完成全部项目并验收合格后，按有关规定一次性无息退还。</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（二）本项目不收取服务质量保证金。</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十一、违约情形及责任</w:t>
      </w:r>
    </w:p>
    <w:p>
      <w:pPr>
        <w:snapToGrid w:val="0"/>
        <w:spacing w:line="360" w:lineRule="auto"/>
        <w:ind w:firstLine="481"/>
        <w:rPr>
          <w:rFonts w:ascii="仿宋_GB2312" w:eastAsia="仿宋_GB2312"/>
          <w:color w:val="auto"/>
          <w:sz w:val="24"/>
          <w:szCs w:val="24"/>
        </w:rPr>
      </w:pPr>
      <w:r>
        <w:rPr>
          <w:rFonts w:hint="eastAsia" w:ascii="宋体" w:hAnsi="宋体" w:cs="宋体"/>
          <w:color w:val="auto"/>
          <w:sz w:val="24"/>
          <w:szCs w:val="24"/>
        </w:rPr>
        <w:t xml:space="preserve">   </w:t>
      </w:r>
      <w:r>
        <w:rPr>
          <w:rFonts w:hint="eastAsia" w:ascii="仿宋_GB2312" w:eastAsia="仿宋_GB2312"/>
          <w:color w:val="auto"/>
          <w:sz w:val="24"/>
          <w:szCs w:val="24"/>
        </w:rPr>
        <w:t xml:space="preserve"> （一）如果乙方有下述违约行为或招标文件中规定的其它违约行为的情况，甲方可以向乙方发出书面违约通知，有权全部或部分终止合同，在此情况下，并不影响甲方向乙方提出的索赔要求：</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1.乙方未能在合同规定的限期或甲方同意延长的最终限期内提供全部或部分服务项目、技术文件、成果资料；</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2.乙方未能使合同的服务项目达到合同规定的最低技术要求；</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 xml:space="preserve">3.乙方未能履行合同规定的其它义务，且乙方在收到甲方发出的违约通知后30天内或经甲方书面认可延长的时间内未能纠正其违约行为。 </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 xml:space="preserve">    （二）在甲方根据上述条款规定，终止了部分合同，甲方可以依其认为适当的条件和方法向其他人购买与合同被终止部分同种的服务项目，乙方应对甲方购买同种服务项目所超出的费用负责。如果甲方对此已经支付部分项目费用的，乙方需返还甲方已支付的费用，而且乙方还应继续执行合同中未终止的部分。</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（三）在以下情况终止合同的，甲方有权要求乙方赔偿甲方的全部损失。</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 xml:space="preserve">    1.如果乙方破产或发生资不抵债的情况，甲方可在任何时候以书面通知终止合同，且不给对方任何补偿。终止合同将不损害或影响甲方已经采取或将要采取的补救措施的权利。</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 xml:space="preserve">    2.如果乙方在合同履行过程中出现危害国家利益和社会公众利益的，甲方有权在任何时候发出书面通知终止合同。</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3.按有关规定其他应当或可以终止合同的情形。</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（四）甲乙双方的违约责任</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1.甲方无正当理由拒绝接受服务的，甲方需支付乙方对本项目投入而造成的损失，并偿付合同总额的百分之十作为违约金。</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2.甲方无故逾期验收和办理款项支付手续的,甲方应按逾期付款总额每日万分之五向乙方支付违约金。</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3.乙方未能如期提供服务的，每日向甲方支付合同款项的万分之五作为违约金。乙方超过约定日期30个工作日仍不能提供服务的，甲方可解除本合同。乙方因未能如期提供服务或因其他违约行为导致甲方解除合同的，乙方应向甲方退还已支付款项并支付合同总额的百分之十作为违约金，并负责赔偿甲方由此造成的损失。</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十二、合同的协商变更与修改</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合同一方可以以书面方式向另一方发出变更要求，协商在本合同的一般范围内变更事项，合同修改书应由双方授权代表签字，具有合同的法律效力。甲乙双方在合同履行过程中，如需变更合同部分内容或调整其他约定事项，双方需书面签订补充协议，补充协议与本合同具有同等法律效力。</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十三、争议的解决</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（一）因履行本合同引起的或与本合同有关的争议，双方应当协商解决。双方不愿协商、调解或者协商、调解不成的，可向丽水市仲裁委员会青田分会申请仲裁或向人民法院提起诉讼。</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（二）在仲裁或诉讼期间，除正在进行仲裁或诉讼的部分外，本合同其他部分应继续履行。</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十四、双方通知形式约定</w:t>
      </w:r>
    </w:p>
    <w:p>
      <w:pPr>
        <w:snapToGrid w:val="0"/>
        <w:spacing w:line="360" w:lineRule="auto"/>
        <w:ind w:firstLine="481"/>
        <w:rPr>
          <w:rFonts w:ascii="仿宋_GB2312" w:eastAsia="仿宋_GB2312"/>
          <w:color w:val="auto"/>
          <w:sz w:val="24"/>
          <w:szCs w:val="24"/>
        </w:rPr>
      </w:pPr>
      <w:r>
        <w:rPr>
          <w:rFonts w:hint="eastAsia" w:ascii="宋体" w:hAnsi="宋体" w:cs="宋体"/>
          <w:color w:val="auto"/>
          <w:sz w:val="24"/>
          <w:szCs w:val="24"/>
        </w:rPr>
        <w:t xml:space="preserve">    </w:t>
      </w:r>
      <w:r>
        <w:rPr>
          <w:rFonts w:hint="eastAsia" w:ascii="仿宋_GB2312" w:eastAsia="仿宋_GB2312"/>
          <w:color w:val="auto"/>
          <w:sz w:val="24"/>
          <w:szCs w:val="24"/>
        </w:rPr>
        <w:t>（一）本合同任何一方给另一方的通知，都应以书面或传真的形式发送，而另一方应以书面或传真形式确认，回复对方。</w:t>
      </w:r>
    </w:p>
    <w:p>
      <w:pPr>
        <w:snapToGrid w:val="0"/>
        <w:spacing w:line="360" w:lineRule="auto"/>
        <w:ind w:firstLine="481"/>
        <w:rPr>
          <w:rFonts w:ascii="仿宋_GB2312" w:eastAsia="仿宋_GB2312"/>
          <w:color w:val="auto"/>
          <w:sz w:val="24"/>
          <w:szCs w:val="24"/>
        </w:rPr>
      </w:pPr>
      <w:r>
        <w:rPr>
          <w:rFonts w:hint="eastAsia" w:ascii="仿宋_GB2312" w:eastAsia="仿宋_GB2312"/>
          <w:color w:val="auto"/>
          <w:sz w:val="24"/>
          <w:szCs w:val="24"/>
        </w:rPr>
        <w:t xml:space="preserve">    （二）通知以送达日期起为生效日期。</w:t>
      </w:r>
    </w:p>
    <w:p>
      <w:pPr>
        <w:snapToGrid w:val="0"/>
        <w:spacing w:line="360" w:lineRule="auto"/>
        <w:ind w:firstLine="482" w:firstLineChars="200"/>
        <w:rPr>
          <w:rFonts w:ascii="仿宋_GB2312" w:eastAsia="仿宋_GB2312"/>
          <w:color w:val="auto"/>
          <w:sz w:val="24"/>
          <w:szCs w:val="24"/>
        </w:rPr>
      </w:pPr>
      <w:r>
        <w:rPr>
          <w:rFonts w:hint="eastAsia" w:ascii="宋体" w:hAnsi="宋体" w:cs="宋体"/>
          <w:b/>
          <w:color w:val="auto"/>
          <w:sz w:val="24"/>
          <w:szCs w:val="24"/>
        </w:rPr>
        <w:t>十五、</w:t>
      </w:r>
      <w:r>
        <w:rPr>
          <w:rFonts w:hint="eastAsia" w:ascii="仿宋_GB2312" w:eastAsia="仿宋_GB2312"/>
          <w:color w:val="auto"/>
          <w:sz w:val="24"/>
          <w:szCs w:val="24"/>
        </w:rPr>
        <w:t>本合同未尽事宜，遵照《中华人民共和国合同法》有关条文执行。合同经双方授权代表签署，并加盖印章之后生效。</w:t>
      </w:r>
    </w:p>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szCs w:val="24"/>
        </w:rPr>
        <w:t>十六、本合同一式陆份，具同等法律效力。甲乙双方各执叁份。</w:t>
      </w:r>
    </w:p>
    <w:p>
      <w:pPr>
        <w:snapToGrid w:val="0"/>
        <w:spacing w:line="360" w:lineRule="auto"/>
        <w:rPr>
          <w:rFonts w:ascii="宋体" w:hAnsi="宋体" w:cs="宋体"/>
          <w:color w:val="auto"/>
          <w:sz w:val="28"/>
          <w:szCs w:val="28"/>
        </w:rPr>
      </w:pPr>
    </w:p>
    <w:p>
      <w:pPr>
        <w:snapToGrid w:val="0"/>
        <w:spacing w:before="119" w:line="272" w:lineRule="atLeast"/>
        <w:rPr>
          <w:rFonts w:ascii="宋体" w:hAnsi="宋体"/>
          <w:color w:val="auto"/>
          <w:sz w:val="24"/>
          <w:szCs w:val="21"/>
        </w:rPr>
      </w:pPr>
      <w:r>
        <w:rPr>
          <w:rFonts w:hint="eastAsia" w:ascii="仿宋_GB2312" w:eastAsia="仿宋_GB2312"/>
          <w:color w:val="auto"/>
          <w:sz w:val="24"/>
          <w:szCs w:val="24"/>
        </w:rPr>
        <w:t>甲　方</w:t>
      </w:r>
      <w:r>
        <w:rPr>
          <w:rFonts w:hint="eastAsia" w:ascii="宋体" w:hAnsi="宋体"/>
          <w:color w:val="auto"/>
          <w:sz w:val="24"/>
          <w:szCs w:val="21"/>
        </w:rPr>
        <w:t>：</w:t>
      </w:r>
      <w:r>
        <w:rPr>
          <w:rFonts w:hint="eastAsia" w:ascii="宋体" w:hAnsi="宋体"/>
          <w:color w:val="auto"/>
          <w:sz w:val="24"/>
          <w:szCs w:val="21"/>
          <w:u w:val="single"/>
        </w:rPr>
        <w:t xml:space="preserve">             </w:t>
      </w:r>
      <w:r>
        <w:rPr>
          <w:rFonts w:hint="eastAsia" w:ascii="宋体" w:hAnsi="宋体"/>
          <w:color w:val="auto"/>
          <w:sz w:val="24"/>
          <w:szCs w:val="21"/>
        </w:rPr>
        <w:tab/>
      </w:r>
      <w:r>
        <w:rPr>
          <w:rFonts w:hint="eastAsia" w:ascii="宋体" w:hAnsi="宋体"/>
          <w:color w:val="auto"/>
          <w:sz w:val="24"/>
          <w:szCs w:val="21"/>
        </w:rPr>
        <w:t xml:space="preserve">                </w:t>
      </w:r>
      <w:r>
        <w:rPr>
          <w:rFonts w:hint="eastAsia" w:ascii="仿宋_GB2312" w:eastAsia="仿宋_GB2312"/>
          <w:color w:val="auto"/>
          <w:sz w:val="24"/>
          <w:szCs w:val="24"/>
        </w:rPr>
        <w:t>乙　方</w:t>
      </w:r>
      <w:r>
        <w:rPr>
          <w:rFonts w:hint="eastAsia" w:ascii="宋体" w:hAnsi="宋体"/>
          <w:color w:val="auto"/>
          <w:sz w:val="24"/>
          <w:szCs w:val="21"/>
        </w:rPr>
        <w:t>：</w:t>
      </w:r>
      <w:r>
        <w:rPr>
          <w:rFonts w:hint="eastAsia" w:ascii="宋体" w:hAnsi="宋体"/>
          <w:color w:val="auto"/>
          <w:sz w:val="24"/>
          <w:szCs w:val="21"/>
          <w:u w:val="single"/>
        </w:rPr>
        <w:t xml:space="preserve">             </w:t>
      </w:r>
      <w:r>
        <w:rPr>
          <w:rFonts w:hint="eastAsia" w:ascii="宋体" w:hAnsi="宋体"/>
          <w:color w:val="auto"/>
          <w:sz w:val="24"/>
          <w:szCs w:val="21"/>
        </w:rPr>
        <w:t xml:space="preserve">    </w:t>
      </w:r>
    </w:p>
    <w:p>
      <w:pPr>
        <w:snapToGrid w:val="0"/>
        <w:spacing w:before="119" w:line="272" w:lineRule="atLeast"/>
        <w:rPr>
          <w:rFonts w:ascii="仿宋_GB2312" w:eastAsia="仿宋_GB2312"/>
          <w:color w:val="auto"/>
          <w:sz w:val="24"/>
          <w:szCs w:val="24"/>
        </w:rPr>
      </w:pPr>
      <w:r>
        <w:rPr>
          <w:rFonts w:hint="eastAsia" w:ascii="仿宋_GB2312" w:eastAsia="仿宋_GB2312"/>
          <w:color w:val="auto"/>
          <w:sz w:val="24"/>
          <w:szCs w:val="24"/>
        </w:rPr>
        <w:t xml:space="preserve">名　称：(印章)　　　       </w:t>
      </w:r>
      <w:r>
        <w:rPr>
          <w:rFonts w:hint="eastAsia" w:ascii="仿宋_GB2312" w:eastAsia="仿宋_GB2312"/>
          <w:color w:val="auto"/>
          <w:sz w:val="24"/>
          <w:szCs w:val="24"/>
        </w:rPr>
        <w:tab/>
      </w:r>
      <w:r>
        <w:rPr>
          <w:rFonts w:hint="eastAsia" w:ascii="仿宋_GB2312" w:eastAsia="仿宋_GB2312"/>
          <w:color w:val="auto"/>
          <w:sz w:val="24"/>
          <w:szCs w:val="24"/>
        </w:rPr>
        <w:t xml:space="preserve">            名　称：(印章)            </w:t>
      </w:r>
    </w:p>
    <w:p>
      <w:pPr>
        <w:snapToGrid w:val="0"/>
        <w:spacing w:before="119" w:line="272" w:lineRule="atLeast"/>
        <w:ind w:firstLine="600" w:firstLineChars="250"/>
        <w:rPr>
          <w:rFonts w:ascii="仿宋_GB2312" w:eastAsia="仿宋_GB2312"/>
          <w:color w:val="auto"/>
          <w:sz w:val="24"/>
          <w:szCs w:val="24"/>
        </w:rPr>
      </w:pPr>
      <w:r>
        <w:rPr>
          <w:rFonts w:hint="eastAsia" w:ascii="仿宋_GB2312" w:eastAsia="仿宋_GB2312"/>
          <w:color w:val="auto"/>
          <w:sz w:val="24"/>
          <w:szCs w:val="24"/>
        </w:rPr>
        <w:t>年　月　日　　　　　　　                 年　月　日</w:t>
      </w:r>
    </w:p>
    <w:p>
      <w:pPr>
        <w:snapToGrid w:val="0"/>
        <w:spacing w:before="119" w:line="360" w:lineRule="auto"/>
        <w:rPr>
          <w:rFonts w:ascii="宋体" w:hAnsi="宋体"/>
          <w:color w:val="auto"/>
          <w:sz w:val="24"/>
          <w:szCs w:val="21"/>
        </w:rPr>
      </w:pPr>
      <w:r>
        <w:rPr>
          <w:rFonts w:hint="eastAsia" w:ascii="仿宋_GB2312" w:eastAsia="仿宋_GB2312"/>
          <w:color w:val="auto"/>
          <w:sz w:val="24"/>
          <w:szCs w:val="24"/>
        </w:rPr>
        <w:t>授权代表(签字或盖章)</w:t>
      </w:r>
      <w:r>
        <w:rPr>
          <w:rFonts w:hint="eastAsia" w:ascii="宋体" w:hAnsi="宋体"/>
          <w:color w:val="auto"/>
          <w:sz w:val="24"/>
          <w:szCs w:val="21"/>
        </w:rPr>
        <w:t>：</w:t>
      </w:r>
      <w:r>
        <w:rPr>
          <w:rFonts w:hint="eastAsia" w:ascii="宋体" w:hAnsi="宋体"/>
          <w:color w:val="auto"/>
          <w:sz w:val="24"/>
          <w:szCs w:val="21"/>
          <w:u w:val="single"/>
        </w:rPr>
        <w:t xml:space="preserve">            </w:t>
      </w:r>
      <w:r>
        <w:rPr>
          <w:rFonts w:hint="eastAsia" w:ascii="宋体" w:hAnsi="宋体"/>
          <w:color w:val="auto"/>
          <w:sz w:val="24"/>
          <w:szCs w:val="21"/>
        </w:rPr>
        <w:tab/>
      </w:r>
      <w:r>
        <w:rPr>
          <w:rFonts w:hint="eastAsia" w:ascii="宋体" w:hAnsi="宋体"/>
          <w:color w:val="auto"/>
          <w:sz w:val="24"/>
          <w:szCs w:val="21"/>
        </w:rPr>
        <w:t xml:space="preserve">     </w:t>
      </w:r>
      <w:r>
        <w:rPr>
          <w:rFonts w:hint="eastAsia" w:ascii="仿宋_GB2312" w:eastAsia="仿宋_GB2312"/>
          <w:color w:val="auto"/>
          <w:sz w:val="24"/>
          <w:szCs w:val="24"/>
        </w:rPr>
        <w:t>授权代表(签字或盖章)：</w:t>
      </w:r>
      <w:r>
        <w:rPr>
          <w:rFonts w:hint="eastAsia" w:ascii="宋体" w:hAnsi="宋体"/>
          <w:color w:val="auto"/>
          <w:sz w:val="24"/>
          <w:szCs w:val="21"/>
          <w:u w:val="single"/>
        </w:rPr>
        <w:t xml:space="preserve">            </w:t>
      </w:r>
      <w:r>
        <w:rPr>
          <w:rFonts w:hint="eastAsia" w:ascii="宋体" w:hAnsi="宋体"/>
          <w:color w:val="auto"/>
          <w:sz w:val="24"/>
          <w:szCs w:val="21"/>
        </w:rPr>
        <w:t xml:space="preserve"> </w:t>
      </w:r>
    </w:p>
    <w:p>
      <w:pPr>
        <w:snapToGrid w:val="0"/>
        <w:spacing w:before="119" w:line="360" w:lineRule="auto"/>
        <w:rPr>
          <w:rFonts w:ascii="宋体" w:hAnsi="宋体"/>
          <w:color w:val="auto"/>
          <w:sz w:val="24"/>
          <w:szCs w:val="21"/>
        </w:rPr>
      </w:pPr>
      <w:r>
        <w:rPr>
          <w:rFonts w:hint="eastAsia" w:ascii="仿宋_GB2312" w:eastAsia="仿宋_GB2312"/>
          <w:color w:val="auto"/>
          <w:sz w:val="24"/>
          <w:szCs w:val="24"/>
        </w:rPr>
        <w:t>地　　址</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rPr>
        <w:tab/>
      </w:r>
      <w:r>
        <w:rPr>
          <w:rFonts w:hint="eastAsia" w:ascii="宋体" w:hAnsi="宋体"/>
          <w:color w:val="auto"/>
          <w:sz w:val="24"/>
          <w:szCs w:val="21"/>
        </w:rPr>
        <w:tab/>
      </w:r>
      <w:r>
        <w:rPr>
          <w:rFonts w:hint="eastAsia" w:ascii="宋体" w:hAnsi="宋体"/>
          <w:color w:val="auto"/>
          <w:sz w:val="24"/>
          <w:szCs w:val="21"/>
        </w:rPr>
        <w:t xml:space="preserve">  </w:t>
      </w:r>
      <w:r>
        <w:rPr>
          <w:rFonts w:hint="eastAsia" w:ascii="仿宋_GB2312" w:eastAsia="仿宋_GB2312"/>
          <w:color w:val="auto"/>
          <w:sz w:val="24"/>
          <w:szCs w:val="24"/>
        </w:rPr>
        <w:t>地　　址</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p>
    <w:p>
      <w:pPr>
        <w:snapToGrid w:val="0"/>
        <w:spacing w:before="119" w:line="360" w:lineRule="auto"/>
        <w:rPr>
          <w:rFonts w:ascii="宋体" w:hAnsi="宋体"/>
          <w:color w:val="auto"/>
          <w:sz w:val="24"/>
          <w:szCs w:val="21"/>
        </w:rPr>
      </w:pPr>
      <w:r>
        <w:rPr>
          <w:rFonts w:hint="eastAsia" w:ascii="仿宋_GB2312" w:eastAsia="仿宋_GB2312"/>
          <w:color w:val="auto"/>
          <w:sz w:val="24"/>
          <w:szCs w:val="24"/>
        </w:rPr>
        <w:t>邮政编码</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rPr>
        <w:tab/>
      </w:r>
      <w:r>
        <w:rPr>
          <w:rFonts w:hint="eastAsia" w:ascii="仿宋_GB2312" w:eastAsia="仿宋_GB2312"/>
          <w:color w:val="auto"/>
          <w:sz w:val="24"/>
          <w:szCs w:val="24"/>
        </w:rPr>
        <w:tab/>
      </w:r>
      <w:r>
        <w:rPr>
          <w:rFonts w:hint="eastAsia" w:ascii="仿宋_GB2312" w:eastAsia="仿宋_GB2312"/>
          <w:color w:val="auto"/>
          <w:sz w:val="24"/>
          <w:szCs w:val="24"/>
        </w:rPr>
        <w:t xml:space="preserve">  邮政编码：</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p>
    <w:p>
      <w:pPr>
        <w:snapToGrid w:val="0"/>
        <w:spacing w:before="119" w:line="360" w:lineRule="auto"/>
        <w:rPr>
          <w:rFonts w:ascii="宋体" w:hAnsi="宋体"/>
          <w:color w:val="auto"/>
          <w:sz w:val="24"/>
          <w:szCs w:val="21"/>
        </w:rPr>
      </w:pPr>
      <w:r>
        <w:rPr>
          <w:rFonts w:hint="eastAsia" w:ascii="仿宋_GB2312" w:eastAsia="仿宋_GB2312"/>
          <w:color w:val="auto"/>
          <w:sz w:val="24"/>
          <w:szCs w:val="24"/>
        </w:rPr>
        <w:t>电　　话</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rPr>
        <w:tab/>
      </w:r>
      <w:r>
        <w:rPr>
          <w:rFonts w:hint="eastAsia" w:ascii="宋体" w:hAnsi="宋体"/>
          <w:color w:val="auto"/>
          <w:sz w:val="24"/>
          <w:szCs w:val="21"/>
        </w:rPr>
        <w:tab/>
      </w:r>
      <w:r>
        <w:rPr>
          <w:rFonts w:hint="eastAsia" w:ascii="宋体" w:hAnsi="宋体"/>
          <w:color w:val="auto"/>
          <w:sz w:val="24"/>
          <w:szCs w:val="21"/>
        </w:rPr>
        <w:t xml:space="preserve">  </w:t>
      </w:r>
      <w:r>
        <w:rPr>
          <w:rFonts w:hint="eastAsia" w:ascii="仿宋_GB2312" w:eastAsia="仿宋_GB2312"/>
          <w:color w:val="auto"/>
          <w:sz w:val="24"/>
          <w:szCs w:val="24"/>
        </w:rPr>
        <w:t>电　　话</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p>
    <w:p>
      <w:pPr>
        <w:snapToGrid w:val="0"/>
        <w:spacing w:before="119" w:line="360" w:lineRule="auto"/>
        <w:rPr>
          <w:rFonts w:ascii="宋体" w:hAnsi="宋体"/>
          <w:color w:val="auto"/>
          <w:sz w:val="24"/>
          <w:szCs w:val="21"/>
        </w:rPr>
      </w:pPr>
      <w:r>
        <w:rPr>
          <w:rFonts w:hint="eastAsia" w:ascii="仿宋_GB2312" w:eastAsia="仿宋_GB2312"/>
          <w:color w:val="auto"/>
          <w:sz w:val="24"/>
          <w:szCs w:val="24"/>
        </w:rPr>
        <w:t>开户银行</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rPr>
        <w:tab/>
      </w:r>
      <w:r>
        <w:rPr>
          <w:rFonts w:hint="eastAsia" w:ascii="宋体" w:hAnsi="宋体"/>
          <w:color w:val="auto"/>
          <w:sz w:val="24"/>
          <w:szCs w:val="21"/>
        </w:rPr>
        <w:tab/>
      </w:r>
      <w:r>
        <w:rPr>
          <w:rFonts w:hint="eastAsia" w:ascii="宋体" w:hAnsi="宋体"/>
          <w:color w:val="auto"/>
          <w:sz w:val="24"/>
          <w:szCs w:val="21"/>
        </w:rPr>
        <w:t xml:space="preserve">  </w:t>
      </w:r>
      <w:r>
        <w:rPr>
          <w:rFonts w:hint="eastAsia" w:ascii="仿宋_GB2312" w:eastAsia="仿宋_GB2312"/>
          <w:color w:val="auto"/>
          <w:sz w:val="24"/>
          <w:szCs w:val="24"/>
        </w:rPr>
        <w:t>开户银行</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p>
    <w:p>
      <w:pPr>
        <w:snapToGrid w:val="0"/>
        <w:spacing w:line="360" w:lineRule="auto"/>
        <w:rPr>
          <w:rFonts w:ascii="宋体" w:hAnsi="宋体"/>
          <w:color w:val="auto"/>
          <w:sz w:val="24"/>
          <w:szCs w:val="21"/>
          <w:u w:val="single"/>
        </w:rPr>
      </w:pPr>
      <w:r>
        <w:rPr>
          <w:rFonts w:hint="eastAsia" w:ascii="仿宋_GB2312" w:eastAsia="仿宋_GB2312"/>
          <w:color w:val="auto"/>
          <w:sz w:val="24"/>
          <w:szCs w:val="24"/>
        </w:rPr>
        <w:t>账　　号</w:t>
      </w:r>
      <w:r>
        <w:rPr>
          <w:rFonts w:hint="eastAsia" w:ascii="宋体" w:hAnsi="宋体"/>
          <w:color w:val="auto"/>
          <w:sz w:val="24"/>
          <w:szCs w:val="21"/>
        </w:rPr>
        <w:t>：</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u w:val="single"/>
        </w:rPr>
        <w:tab/>
      </w:r>
      <w:r>
        <w:rPr>
          <w:rFonts w:hint="eastAsia" w:ascii="宋体" w:hAnsi="宋体"/>
          <w:color w:val="auto"/>
          <w:sz w:val="24"/>
          <w:szCs w:val="21"/>
          <w:u w:val="single"/>
        </w:rPr>
        <w:t xml:space="preserve">             </w:t>
      </w:r>
      <w:r>
        <w:rPr>
          <w:rFonts w:hint="eastAsia" w:ascii="宋体" w:hAnsi="宋体"/>
          <w:color w:val="auto"/>
          <w:sz w:val="24"/>
          <w:szCs w:val="21"/>
        </w:rPr>
        <w:tab/>
      </w:r>
      <w:r>
        <w:rPr>
          <w:rFonts w:hint="eastAsia" w:ascii="宋体" w:hAnsi="宋体"/>
          <w:color w:val="auto"/>
          <w:sz w:val="24"/>
          <w:szCs w:val="21"/>
        </w:rPr>
        <w:t xml:space="preserve">   </w:t>
      </w:r>
      <w:r>
        <w:rPr>
          <w:rFonts w:hint="eastAsia" w:ascii="仿宋_GB2312" w:eastAsia="仿宋_GB2312"/>
          <w:color w:val="auto"/>
          <w:sz w:val="24"/>
          <w:szCs w:val="24"/>
        </w:rPr>
        <w:t xml:space="preserve">   账　　号：</w:t>
      </w:r>
      <w:r>
        <w:rPr>
          <w:rFonts w:hint="eastAsia" w:ascii="宋体" w:hAnsi="宋体"/>
          <w:color w:val="auto"/>
          <w:sz w:val="24"/>
          <w:szCs w:val="21"/>
          <w:u w:val="single"/>
        </w:rPr>
        <w:tab/>
      </w:r>
      <w:r>
        <w:rPr>
          <w:rFonts w:hint="eastAsia" w:ascii="宋体" w:hAnsi="宋体"/>
          <w:color w:val="auto"/>
          <w:sz w:val="24"/>
          <w:szCs w:val="21"/>
          <w:u w:val="single"/>
        </w:rPr>
        <w:tab/>
      </w:r>
      <w:r>
        <w:rPr>
          <w:rFonts w:hint="eastAsia" w:ascii="宋体" w:hAnsi="宋体"/>
          <w:color w:val="auto"/>
          <w:sz w:val="24"/>
          <w:szCs w:val="21"/>
          <w:u w:val="single"/>
        </w:rPr>
        <w:t xml:space="preserve">           </w:t>
      </w:r>
    </w:p>
    <w:p>
      <w:pPr>
        <w:pStyle w:val="7"/>
        <w:rPr>
          <w:color w:val="auto"/>
        </w:rPr>
      </w:pPr>
    </w:p>
    <w:p>
      <w:pPr>
        <w:pStyle w:val="25"/>
        <w:ind w:firstLine="480"/>
        <w:rPr>
          <w:color w:val="auto"/>
        </w:rPr>
      </w:pPr>
    </w:p>
    <w:p>
      <w:pPr>
        <w:spacing w:after="240" w:line="440" w:lineRule="exact"/>
        <w:rPr>
          <w:rFonts w:hint="eastAsia" w:ascii="宋体" w:hAnsi="宋体" w:cs="宋体"/>
          <w:b/>
          <w:color w:val="auto"/>
          <w:sz w:val="24"/>
        </w:rPr>
      </w:pPr>
      <w:r>
        <w:rPr>
          <w:rFonts w:hint="eastAsia" w:ascii="宋体" w:hAnsi="宋体" w:cs="宋体"/>
          <w:b/>
          <w:color w:val="auto"/>
          <w:sz w:val="24"/>
        </w:rPr>
        <w:t>本合同仅作示范文本，具体以双方签定的正式合同为准，合同内容不得违背本招标文件实质性要求。</w:t>
      </w:r>
    </w:p>
    <w:p>
      <w:pPr>
        <w:widowControl/>
        <w:jc w:val="left"/>
        <w:rPr>
          <w:rFonts w:ascii="Wingdings" w:hAnsi="宋体" w:cs="宋体"/>
          <w:color w:val="auto"/>
          <w:kern w:val="0"/>
          <w:szCs w:val="21"/>
        </w:rPr>
      </w:pPr>
      <w:r>
        <w:rPr>
          <w:rFonts w:hAnsi="宋体" w:cs="宋体"/>
          <w:color w:val="auto"/>
        </w:rPr>
        <w:br w:type="page"/>
      </w:r>
    </w:p>
    <w:p>
      <w:pPr>
        <w:pStyle w:val="24"/>
        <w:spacing w:before="0" w:after="0" w:line="360" w:lineRule="auto"/>
        <w:rPr>
          <w:rFonts w:ascii="仿宋" w:hAnsi="仿宋" w:eastAsia="仿宋" w:cs="宋体"/>
          <w:color w:val="auto"/>
          <w:sz w:val="48"/>
          <w:szCs w:val="48"/>
        </w:rPr>
      </w:pPr>
      <w:bookmarkStart w:id="177" w:name="_Toc105577184"/>
      <w:bookmarkStart w:id="178" w:name="_Toc195"/>
      <w:r>
        <w:rPr>
          <w:rFonts w:hint="eastAsia" w:ascii="仿宋" w:hAnsi="仿宋" w:eastAsia="仿宋" w:cs="宋体"/>
          <w:color w:val="auto"/>
          <w:sz w:val="48"/>
          <w:szCs w:val="48"/>
        </w:rPr>
        <w:t>第五章  投标文件格式</w:t>
      </w:r>
      <w:bookmarkEnd w:id="177"/>
      <w:bookmarkEnd w:id="178"/>
    </w:p>
    <w:p>
      <w:pPr>
        <w:pStyle w:val="24"/>
        <w:spacing w:beforeLines="100" w:after="240" w:afterLines="100"/>
        <w:outlineLvl w:val="1"/>
        <w:rPr>
          <w:rFonts w:ascii="仿宋_GB2312" w:eastAsia="仿宋_GB2312"/>
          <w:color w:val="auto"/>
          <w:sz w:val="44"/>
          <w:szCs w:val="44"/>
        </w:rPr>
      </w:pPr>
      <w:bookmarkStart w:id="179" w:name="_Toc105577185"/>
      <w:bookmarkStart w:id="180" w:name="_Toc20410"/>
      <w:r>
        <w:rPr>
          <w:rFonts w:hint="eastAsia" w:ascii="仿宋_GB2312" w:eastAsia="仿宋_GB2312"/>
          <w:color w:val="auto"/>
          <w:sz w:val="44"/>
          <w:szCs w:val="44"/>
        </w:rPr>
        <w:t>一  资格审查文件格式</w:t>
      </w:r>
      <w:bookmarkEnd w:id="179"/>
      <w:bookmarkEnd w:id="180"/>
    </w:p>
    <w:p>
      <w:pPr>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1.1    资格审查文件封面格式</w:t>
      </w:r>
    </w:p>
    <w:p>
      <w:pPr>
        <w:pStyle w:val="2"/>
        <w:ind w:firstLine="0"/>
        <w:rPr>
          <w:color w:val="auto"/>
        </w:rPr>
      </w:pPr>
      <w:r>
        <w:rPr>
          <w:rFonts w:hint="eastAsia"/>
          <w:color w:val="auto"/>
        </w:rPr>
        <w:t xml:space="preserve"> </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投标文件</w:t>
      </w:r>
    </w:p>
    <w:tbl>
      <w:tblPr>
        <w:tblStyle w:val="26"/>
        <w:tblW w:w="0" w:type="auto"/>
        <w:jc w:val="center"/>
        <w:tblLayout w:type="autofit"/>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olor w:val="auto"/>
                <w:sz w:val="24"/>
                <w:szCs w:val="24"/>
              </w:rPr>
              <w:t>投标文件名称：</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资格审查文件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olor w:val="auto"/>
                <w:sz w:val="24"/>
                <w:szCs w:val="24"/>
              </w:rPr>
              <w:t>采 购 编 号：</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olor w:val="auto"/>
                <w:sz w:val="24"/>
                <w:szCs w:val="24"/>
              </w:rPr>
              <w:t>项 目 名 称：</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olor w:val="auto"/>
                <w:sz w:val="24"/>
                <w:szCs w:val="24"/>
              </w:rPr>
              <w:t>标      项：</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olor w:val="auto"/>
                <w:sz w:val="24"/>
                <w:szCs w:val="24"/>
              </w:rPr>
              <w:t>投标人全称（盖章）：</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hAnsi="宋体" w:eastAsia="仿宋_GB2312" w:cs="Calibri"/>
                <w:color w:val="auto"/>
                <w:sz w:val="24"/>
                <w:szCs w:val="24"/>
              </w:rPr>
            </w:pPr>
            <w:r>
              <w:rPr>
                <w:rFonts w:hint="eastAsia" w:ascii="仿宋_GB2312" w:hAnsi="宋体" w:eastAsia="仿宋_GB2312"/>
                <w:color w:val="auto"/>
                <w:sz w:val="24"/>
                <w:szCs w:val="24"/>
              </w:rPr>
              <w:t>投标人地址：</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tcBorders>
              <w:top w:val="nil"/>
              <w:left w:val="nil"/>
              <w:bottom w:val="nil"/>
              <w:right w:val="nil"/>
            </w:tcBorders>
            <w:vAlign w:val="center"/>
          </w:tcPr>
          <w:p>
            <w:pPr>
              <w:jc w:val="left"/>
              <w:rPr>
                <w:rFonts w:ascii="仿宋_GB2312" w:hAnsi="宋体" w:eastAsia="仿宋_GB2312" w:cs="Calibri"/>
                <w:color w:val="auto"/>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tcBorders>
              <w:top w:val="nil"/>
              <w:left w:val="nil"/>
              <w:bottom w:val="nil"/>
              <w:right w:val="nil"/>
            </w:tcBorders>
            <w:vAlign w:val="center"/>
          </w:tcPr>
          <w:p>
            <w:pPr>
              <w:jc w:val="center"/>
              <w:rPr>
                <w:rFonts w:ascii="仿宋_GB2312" w:hAnsi="宋体" w:eastAsia="仿宋_GB2312" w:cs="Calibri"/>
                <w:color w:val="auto"/>
                <w:sz w:val="24"/>
                <w:szCs w:val="24"/>
              </w:rPr>
            </w:pPr>
            <w:r>
              <w:rPr>
                <w:rFonts w:hint="eastAsia" w:ascii="仿宋_GB2312" w:hAnsi="宋体" w:eastAsia="仿宋_GB2312"/>
                <w:color w:val="auto"/>
                <w:sz w:val="24"/>
                <w:szCs w:val="24"/>
              </w:rPr>
              <w:t>年  月  日</w:t>
            </w:r>
          </w:p>
        </w:tc>
      </w:tr>
    </w:tbl>
    <w:p>
      <w:pPr>
        <w:rPr>
          <w:rFonts w:cs="Calibri"/>
          <w:color w:val="auto"/>
          <w:szCs w:val="21"/>
        </w:rPr>
      </w:pPr>
      <w:r>
        <w:rPr>
          <w:rFonts w:hint="eastAsia"/>
          <w:color w:val="auto"/>
        </w:rPr>
        <w:t xml:space="preserve"> </w:t>
      </w:r>
    </w:p>
    <w:p>
      <w:pPr>
        <w:rPr>
          <w:color w:val="auto"/>
        </w:rPr>
      </w:pPr>
      <w:r>
        <w:rPr>
          <w:rFonts w:hint="eastAsia"/>
          <w:color w:val="auto"/>
        </w:rPr>
        <w:t xml:space="preserve"> </w:t>
      </w:r>
    </w:p>
    <w:p>
      <w:pPr>
        <w:rPr>
          <w:rFonts w:hint="eastAsia"/>
          <w:color w:val="auto"/>
        </w:rPr>
      </w:pPr>
      <w:r>
        <w:rPr>
          <w:rFonts w:hint="eastAsia"/>
          <w:color w:val="auto"/>
        </w:rPr>
        <w:t xml:space="preserve"> </w:t>
      </w: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color w:val="auto"/>
        </w:rPr>
      </w:pPr>
    </w:p>
    <w:p>
      <w:pPr>
        <w:rPr>
          <w:color w:val="auto"/>
        </w:rPr>
      </w:pPr>
      <w:r>
        <w:rPr>
          <w:rFonts w:hint="eastAsia"/>
          <w:color w:val="auto"/>
        </w:rPr>
        <w:t xml:space="preserve"> </w:t>
      </w:r>
    </w:p>
    <w:p>
      <w:pPr>
        <w:rPr>
          <w:color w:val="auto"/>
        </w:rPr>
      </w:pPr>
      <w:r>
        <w:rPr>
          <w:color w:val="auto"/>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1.2    资格审查文件目录</w:t>
      </w:r>
    </w:p>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（格式自行设计）</w:t>
      </w:r>
    </w:p>
    <w:p>
      <w:pPr>
        <w:pStyle w:val="2"/>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1.3    有效营业执照电子文档</w:t>
      </w:r>
    </w:p>
    <w:p>
      <w:pPr>
        <w:pStyle w:val="2"/>
        <w:ind w:firstLine="0"/>
        <w:rPr>
          <w:color w:val="auto"/>
        </w:rPr>
      </w:pPr>
      <w:r>
        <w:rPr>
          <w:rFonts w:hint="eastAsia"/>
          <w:color w:val="auto"/>
        </w:rPr>
        <w:t xml:space="preserve"> </w:t>
      </w:r>
    </w:p>
    <w:p>
      <w:pPr>
        <w:spacing w:line="360" w:lineRule="auto"/>
        <w:ind w:right="-187" w:rightChars="-89"/>
        <w:rPr>
          <w:rFonts w:ascii="仿宋_GB2312" w:eastAsia="仿宋_GB2312"/>
          <w:color w:val="auto"/>
          <w:sz w:val="24"/>
          <w:szCs w:val="24"/>
        </w:rPr>
      </w:pPr>
      <w:r>
        <w:rPr>
          <w:rFonts w:hint="eastAsia" w:ascii="仿宋_GB2312" w:eastAsia="仿宋_GB2312"/>
          <w:color w:val="auto"/>
          <w:sz w:val="24"/>
          <w:szCs w:val="24"/>
        </w:rPr>
        <w:t>内容要求：</w:t>
      </w:r>
    </w:p>
    <w:p>
      <w:pPr>
        <w:spacing w:line="360" w:lineRule="auto"/>
        <w:ind w:right="-187" w:rightChars="-89" w:firstLine="480" w:firstLineChars="200"/>
        <w:rPr>
          <w:rFonts w:ascii="仿宋_GB2312" w:eastAsia="仿宋_GB2312"/>
          <w:color w:val="auto"/>
          <w:sz w:val="24"/>
          <w:szCs w:val="24"/>
        </w:rPr>
      </w:pPr>
      <w:r>
        <w:rPr>
          <w:rFonts w:hint="eastAsia" w:ascii="仿宋_GB2312" w:eastAsia="仿宋_GB2312"/>
          <w:color w:val="auto"/>
          <w:sz w:val="24"/>
          <w:szCs w:val="24"/>
        </w:rPr>
        <w:t>提供有效的营业执照电子文档并加盖公司公章；事业单位的，则提供有效的《事业单位法人证书》副本电子文档并加盖单位公章；自然人的，则提供有效的身份证电子文档。</w:t>
      </w:r>
    </w:p>
    <w:p>
      <w:pPr>
        <w:spacing w:line="360" w:lineRule="auto"/>
        <w:ind w:firstLine="480" w:firstLineChars="200"/>
        <w:rPr>
          <w:rFonts w:ascii="仿宋_GB2312" w:eastAsia="仿宋_GB2312"/>
          <w:color w:val="auto"/>
          <w:sz w:val="24"/>
          <w:szCs w:val="24"/>
        </w:rPr>
      </w:pPr>
      <w:r>
        <w:rPr>
          <w:rFonts w:hint="eastAsia" w:ascii="仿宋_GB2312" w:hAnsi="华文仿宋" w:eastAsia="仿宋_GB2312"/>
          <w:color w:val="auto"/>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1.4    负责人身份证电子文档</w:t>
      </w:r>
    </w:p>
    <w:p>
      <w:pPr>
        <w:pStyle w:val="2"/>
        <w:ind w:firstLine="0"/>
        <w:rPr>
          <w:color w:val="auto"/>
        </w:rPr>
      </w:pPr>
      <w:r>
        <w:rPr>
          <w:rFonts w:hint="eastAsia"/>
          <w:color w:val="auto"/>
        </w:rPr>
        <w:t xml:space="preserve"> </w:t>
      </w:r>
    </w:p>
    <w:p>
      <w:pPr>
        <w:pStyle w:val="2"/>
        <w:ind w:firstLine="0"/>
        <w:rPr>
          <w:color w:val="auto"/>
        </w:rPr>
      </w:pPr>
      <w:r>
        <w:rPr>
          <w:rFonts w:hint="eastAsia"/>
          <w:color w:val="auto"/>
        </w:rPr>
        <w:t xml:space="preserve"> </w:t>
      </w:r>
    </w:p>
    <w:p>
      <w:pPr>
        <w:spacing w:line="360" w:lineRule="auto"/>
        <w:rPr>
          <w:rFonts w:ascii="仿宋_GB2312" w:eastAsia="仿宋_GB2312"/>
          <w:color w:val="auto"/>
          <w:sz w:val="24"/>
          <w:szCs w:val="24"/>
        </w:rPr>
      </w:pPr>
      <w:r>
        <w:rPr>
          <w:rFonts w:hint="eastAsia" w:ascii="仿宋_GB2312" w:eastAsia="仿宋_GB2312"/>
          <w:color w:val="auto"/>
          <w:sz w:val="24"/>
          <w:szCs w:val="24"/>
        </w:rPr>
        <w:t>内容要求：</w:t>
      </w:r>
    </w:p>
    <w:p>
      <w:pPr>
        <w:spacing w:line="360" w:lineRule="auto"/>
        <w:ind w:firstLine="480"/>
        <w:rPr>
          <w:rFonts w:ascii="仿宋_GB2312" w:eastAsia="仿宋_GB2312"/>
          <w:color w:val="auto"/>
          <w:sz w:val="24"/>
          <w:szCs w:val="24"/>
        </w:rPr>
      </w:pPr>
      <w:r>
        <w:rPr>
          <w:rFonts w:hint="eastAsia" w:ascii="仿宋_GB2312" w:eastAsia="仿宋_GB2312"/>
          <w:color w:val="auto"/>
          <w:sz w:val="24"/>
          <w:szCs w:val="24"/>
        </w:rPr>
        <w:t>1、负责人身份证正、反面电子文档；</w:t>
      </w:r>
    </w:p>
    <w:p>
      <w:pPr>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2、若有委托代理人的，则还应当提供授权委托书及委托代理人的身份证电子文档。</w:t>
      </w:r>
    </w:p>
    <w:p>
      <w:pPr>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1.5    授权委托书格式</w:t>
      </w:r>
    </w:p>
    <w:p>
      <w:pPr>
        <w:pStyle w:val="2"/>
        <w:ind w:firstLine="0"/>
        <w:rPr>
          <w:color w:val="auto"/>
        </w:rPr>
      </w:pPr>
      <w:r>
        <w:rPr>
          <w:rFonts w:hint="eastAsia"/>
          <w:color w:val="auto"/>
        </w:rPr>
        <w:t xml:space="preserve"> </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授权委托书</w:t>
      </w:r>
    </w:p>
    <w:p>
      <w:pPr>
        <w:pStyle w:val="39"/>
        <w:spacing w:line="360" w:lineRule="auto"/>
        <w:rPr>
          <w:rFonts w:ascii="仿宋_GB2312" w:eastAsia="仿宋_GB2312"/>
          <w:b/>
          <w:color w:val="auto"/>
          <w:sz w:val="24"/>
          <w:szCs w:val="24"/>
        </w:rPr>
      </w:pPr>
      <w:r>
        <w:rPr>
          <w:rFonts w:hint="eastAsia" w:ascii="仿宋_GB2312" w:eastAsia="仿宋_GB2312"/>
          <w:color w:val="auto"/>
          <w:sz w:val="24"/>
          <w:szCs w:val="24"/>
          <w:u w:val="single"/>
        </w:rPr>
        <w:t>（采购人名称）</w:t>
      </w:r>
      <w:r>
        <w:rPr>
          <w:rFonts w:hint="eastAsia" w:ascii="仿宋_GB2312" w:eastAsia="仿宋_GB2312"/>
          <w:color w:val="auto"/>
          <w:sz w:val="24"/>
          <w:szCs w:val="24"/>
        </w:rPr>
        <w:t>：</w:t>
      </w:r>
    </w:p>
    <w:p>
      <w:pPr>
        <w:pStyle w:val="39"/>
        <w:autoSpaceDE w:val="0"/>
        <w:autoSpaceDN w:val="0"/>
        <w:spacing w:line="360" w:lineRule="auto"/>
        <w:textAlignment w:val="bottom"/>
        <w:rPr>
          <w:rFonts w:ascii="仿宋_GB2312" w:eastAsia="仿宋_GB2312"/>
          <w:color w:val="auto"/>
          <w:sz w:val="24"/>
          <w:szCs w:val="24"/>
        </w:rPr>
      </w:pPr>
      <w:r>
        <w:rPr>
          <w:rFonts w:hint="eastAsia" w:ascii="宋体" w:hAnsi="宋体"/>
          <w:color w:val="auto"/>
        </w:rPr>
        <w:t xml:space="preserve">   </w:t>
      </w:r>
      <w:r>
        <w:rPr>
          <w:rFonts w:hint="eastAsia" w:ascii="仿宋_GB2312" w:eastAsia="仿宋_GB2312"/>
          <w:color w:val="auto"/>
          <w:sz w:val="24"/>
          <w:szCs w:val="24"/>
        </w:rPr>
        <w:t xml:space="preserve">  我</w:t>
      </w:r>
      <w:r>
        <w:rPr>
          <w:rFonts w:hint="eastAsia" w:ascii="仿宋_GB2312" w:eastAsia="仿宋_GB2312"/>
          <w:color w:val="auto"/>
          <w:sz w:val="24"/>
          <w:szCs w:val="24"/>
          <w:u w:val="single"/>
        </w:rPr>
        <w:t xml:space="preserve"> 法定代表人（负责人）</w:t>
      </w:r>
      <w:r>
        <w:rPr>
          <w:rFonts w:hint="eastAsia" w:ascii="仿宋_GB2312" w:eastAsia="仿宋_GB2312"/>
          <w:color w:val="auto"/>
          <w:sz w:val="24"/>
          <w:szCs w:val="24"/>
        </w:rPr>
        <w:t>系</w:t>
      </w:r>
      <w:r>
        <w:rPr>
          <w:rFonts w:hint="eastAsia" w:ascii="仿宋_GB2312" w:eastAsia="仿宋_GB2312"/>
          <w:color w:val="auto"/>
          <w:sz w:val="24"/>
          <w:szCs w:val="24"/>
          <w:u w:val="single"/>
        </w:rPr>
        <w:t xml:space="preserve"> （供应商全称） </w:t>
      </w:r>
      <w:r>
        <w:rPr>
          <w:rFonts w:hint="eastAsia" w:ascii="仿宋_GB2312" w:eastAsia="仿宋_GB2312"/>
          <w:color w:val="auto"/>
          <w:sz w:val="24"/>
          <w:szCs w:val="24"/>
        </w:rPr>
        <w:t>的法定代表人（或负责人），现授权委托本单位在职职工</w:t>
      </w:r>
      <w:r>
        <w:rPr>
          <w:rFonts w:hint="eastAsia" w:ascii="仿宋_GB2312" w:eastAsia="仿宋_GB2312"/>
          <w:color w:val="auto"/>
          <w:sz w:val="24"/>
          <w:szCs w:val="24"/>
          <w:u w:val="single"/>
        </w:rPr>
        <w:t xml:space="preserve">   （姓名）  </w:t>
      </w:r>
      <w:r>
        <w:rPr>
          <w:rFonts w:hint="eastAsia" w:ascii="仿宋_GB2312" w:eastAsia="仿宋_GB2312"/>
          <w:color w:val="auto"/>
          <w:sz w:val="24"/>
          <w:szCs w:val="24"/>
        </w:rPr>
        <w:t>以我方的名义参加就贵方组织的</w:t>
      </w:r>
      <w:r>
        <w:rPr>
          <w:rFonts w:hint="eastAsia" w:ascii="仿宋_GB2312" w:eastAsia="仿宋_GB2312"/>
          <w:color w:val="auto"/>
          <w:sz w:val="24"/>
          <w:szCs w:val="24"/>
          <w:u w:val="single"/>
        </w:rPr>
        <w:t xml:space="preserve">   </w:t>
      </w:r>
      <w:r>
        <w:rPr>
          <w:rFonts w:hint="eastAsia" w:ascii="仿宋_GB2312" w:hAnsi="宋体" w:eastAsia="仿宋_GB2312"/>
          <w:color w:val="auto"/>
          <w:sz w:val="24"/>
          <w:szCs w:val="24"/>
          <w:u w:val="single"/>
        </w:rPr>
        <w:t xml:space="preserve">（项目名称）（项目编号）（标项） </w:t>
      </w:r>
      <w:r>
        <w:rPr>
          <w:rFonts w:hint="eastAsia" w:ascii="仿宋_GB2312" w:eastAsia="仿宋_GB2312"/>
          <w:color w:val="auto"/>
          <w:sz w:val="24"/>
          <w:szCs w:val="24"/>
        </w:rPr>
        <w:t>的招标活动，并代表我方全权办理针对上述项目的投标、开标、评审、签约等具体事务和签署相关文件。</w:t>
      </w:r>
    </w:p>
    <w:p>
      <w:pPr>
        <w:pStyle w:val="39"/>
        <w:autoSpaceDE w:val="0"/>
        <w:autoSpaceDN w:val="0"/>
        <w:spacing w:line="360" w:lineRule="auto"/>
        <w:textAlignment w:val="bottom"/>
        <w:rPr>
          <w:rFonts w:ascii="仿宋_GB2312" w:eastAsia="仿宋_GB2312"/>
          <w:color w:val="auto"/>
          <w:sz w:val="24"/>
          <w:szCs w:val="24"/>
        </w:rPr>
      </w:pPr>
      <w:r>
        <w:rPr>
          <w:rFonts w:hint="eastAsia" w:ascii="仿宋_GB2312" w:eastAsia="仿宋_GB2312"/>
          <w:color w:val="auto"/>
          <w:sz w:val="24"/>
          <w:szCs w:val="24"/>
        </w:rPr>
        <w:t xml:space="preserve">    我方对委托代理人的签字或盖章事项负全部责任。</w:t>
      </w:r>
    </w:p>
    <w:p>
      <w:pPr>
        <w:pStyle w:val="39"/>
        <w:spacing w:line="360" w:lineRule="auto"/>
        <w:ind w:firstLine="480"/>
        <w:rPr>
          <w:rFonts w:ascii="仿宋_GB2312" w:eastAsia="仿宋_GB2312"/>
          <w:color w:val="auto"/>
          <w:sz w:val="24"/>
          <w:szCs w:val="24"/>
        </w:rPr>
      </w:pPr>
      <w:r>
        <w:rPr>
          <w:rFonts w:hint="eastAsia" w:ascii="仿宋_GB2312" w:hAnsi="Courier New" w:eastAsia="仿宋_GB2312"/>
          <w:color w:val="auto"/>
          <w:sz w:val="24"/>
          <w:szCs w:val="24"/>
        </w:rPr>
        <w:t>本授权书自签署之日起生效</w:t>
      </w:r>
      <w:r>
        <w:rPr>
          <w:rFonts w:hint="eastAsia" w:ascii="仿宋_GB2312" w:eastAsia="仿宋_GB2312"/>
          <w:color w:val="auto"/>
          <w:sz w:val="24"/>
          <w:szCs w:val="24"/>
        </w:rPr>
        <w:t>，在撤销授权的书面通知送达贵方以前，本授权委托书一直有效。委托代理人在授权书有效期内签署的所有文件不因授权的撤销而失效。</w:t>
      </w:r>
    </w:p>
    <w:p>
      <w:pPr>
        <w:pStyle w:val="39"/>
        <w:spacing w:line="360" w:lineRule="auto"/>
        <w:ind w:firstLine="480"/>
        <w:rPr>
          <w:rFonts w:ascii="仿宋_GB2312" w:eastAsia="仿宋_GB2312"/>
          <w:color w:val="auto"/>
          <w:sz w:val="24"/>
          <w:szCs w:val="24"/>
        </w:rPr>
      </w:pPr>
      <w:r>
        <w:rPr>
          <w:rFonts w:hint="eastAsia" w:ascii="仿宋_GB2312" w:eastAsia="仿宋_GB2312"/>
          <w:color w:val="auto"/>
          <w:sz w:val="24"/>
          <w:szCs w:val="24"/>
        </w:rPr>
        <w:t xml:space="preserve">委托代理人无转委托权，特此声明。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投标人盖章：</w:t>
      </w:r>
      <w:r>
        <w:rPr>
          <w:rFonts w:hint="eastAsia" w:ascii="仿宋_GB2312" w:hAnsi="Courier New" w:eastAsia="仿宋_GB2312"/>
          <w:color w:val="auto"/>
          <w:sz w:val="24"/>
          <w:szCs w:val="24"/>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日      期：</w:t>
      </w:r>
      <w:r>
        <w:rPr>
          <w:rFonts w:hint="eastAsia" w:ascii="仿宋_GB2312" w:hAnsi="Courier New" w:eastAsia="仿宋_GB2312"/>
          <w:color w:val="auto"/>
          <w:sz w:val="24"/>
          <w:szCs w:val="24"/>
          <w:u w:val="single"/>
        </w:rPr>
        <w:t xml:space="preserve">               </w:t>
      </w:r>
    </w:p>
    <w:p>
      <w:pPr>
        <w:pStyle w:val="39"/>
        <w:spacing w:line="440" w:lineRule="exact"/>
        <w:rPr>
          <w:rFonts w:ascii="仿宋_GB2312" w:eastAsia="仿宋_GB2312"/>
          <w:color w:val="auto"/>
          <w:sz w:val="24"/>
          <w:szCs w:val="24"/>
        </w:rPr>
      </w:pPr>
      <w:r>
        <w:rPr>
          <w:color w:val="auto"/>
        </w:rPr>
        <w:drawing>
          <wp:inline distT="0" distB="0" distL="0" distR="0">
            <wp:extent cx="6076950" cy="9525"/>
            <wp:effectExtent l="0" t="0" r="0" b="9525"/>
            <wp:docPr id="6" name="图片 6" descr="C:\Users\ADMINI~1\AppData\Local\Temp\ksohtml567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5672\wp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076950" cy="9525"/>
                    </a:xfrm>
                    <a:prstGeom prst="rect">
                      <a:avLst/>
                    </a:prstGeom>
                    <a:noFill/>
                    <a:ln>
                      <a:noFill/>
                    </a:ln>
                  </pic:spPr>
                </pic:pic>
              </a:graphicData>
            </a:graphic>
          </wp:inline>
        </w:drawing>
      </w:r>
      <w:r>
        <w:rPr>
          <w:rFonts w:hint="eastAsia" w:ascii="仿宋_GB2312" w:eastAsia="仿宋_GB2312"/>
          <w:color w:val="auto"/>
          <w:sz w:val="24"/>
          <w:szCs w:val="24"/>
        </w:rPr>
        <w:t xml:space="preserve"> </w:t>
      </w:r>
    </w:p>
    <w:p>
      <w:pPr>
        <w:pStyle w:val="39"/>
        <w:spacing w:line="440" w:lineRule="exact"/>
        <w:rPr>
          <w:rFonts w:ascii="仿宋_GB2312" w:eastAsia="仿宋_GB2312"/>
          <w:color w:val="auto"/>
          <w:sz w:val="24"/>
          <w:szCs w:val="24"/>
        </w:rPr>
      </w:pPr>
      <w:r>
        <w:rPr>
          <w:rFonts w:hint="eastAsia" w:ascii="仿宋_GB2312" w:eastAsia="仿宋_GB2312"/>
          <w:color w:val="auto"/>
          <w:sz w:val="24"/>
          <w:szCs w:val="24"/>
        </w:rPr>
        <w:t>附：1、委托代理人工作单位：</w:t>
      </w:r>
      <w:r>
        <w:rPr>
          <w:rFonts w:hint="eastAsia" w:ascii="仿宋_GB2312" w:eastAsia="仿宋_GB2312"/>
          <w:color w:val="auto"/>
          <w:sz w:val="24"/>
          <w:szCs w:val="24"/>
        </w:rPr>
        <w:tab/>
      </w:r>
      <w:r>
        <w:rPr>
          <w:rFonts w:hint="eastAsia" w:ascii="仿宋_GB2312" w:eastAsia="仿宋_GB2312"/>
          <w:color w:val="auto"/>
          <w:sz w:val="24"/>
          <w:szCs w:val="24"/>
        </w:rPr>
        <w:tab/>
      </w:r>
      <w:r>
        <w:rPr>
          <w:rFonts w:hint="eastAsia" w:ascii="仿宋_GB2312" w:eastAsia="仿宋_GB2312"/>
          <w:color w:val="auto"/>
          <w:sz w:val="24"/>
          <w:szCs w:val="24"/>
        </w:rPr>
        <w:tab/>
      </w:r>
      <w:r>
        <w:rPr>
          <w:rFonts w:hint="eastAsia" w:ascii="仿宋_GB2312" w:eastAsia="仿宋_GB2312"/>
          <w:color w:val="auto"/>
          <w:sz w:val="24"/>
          <w:szCs w:val="24"/>
        </w:rPr>
        <w:tab/>
      </w:r>
      <w:r>
        <w:rPr>
          <w:rFonts w:hint="eastAsia" w:ascii="仿宋_GB2312" w:eastAsia="仿宋_GB2312"/>
          <w:color w:val="auto"/>
          <w:sz w:val="24"/>
          <w:szCs w:val="24"/>
        </w:rPr>
        <w:tab/>
      </w:r>
      <w:r>
        <w:rPr>
          <w:rFonts w:hint="eastAsia" w:ascii="仿宋_GB2312" w:eastAsia="仿宋_GB2312"/>
          <w:color w:val="auto"/>
          <w:sz w:val="24"/>
          <w:szCs w:val="24"/>
        </w:rPr>
        <w:t xml:space="preserve">职务： </w:t>
      </w:r>
    </w:p>
    <w:p>
      <w:pPr>
        <w:pStyle w:val="39"/>
        <w:spacing w:line="440" w:lineRule="exact"/>
        <w:ind w:firstLine="480"/>
        <w:rPr>
          <w:rFonts w:ascii="仿宋_GB2312" w:eastAsia="仿宋_GB2312"/>
          <w:color w:val="auto"/>
          <w:sz w:val="24"/>
          <w:szCs w:val="24"/>
        </w:rPr>
      </w:pPr>
      <w:r>
        <w:rPr>
          <w:rFonts w:hint="eastAsia" w:ascii="仿宋_GB2312" w:eastAsia="仿宋_GB2312"/>
          <w:color w:val="auto"/>
          <w:sz w:val="24"/>
          <w:szCs w:val="24"/>
        </w:rPr>
        <w:t xml:space="preserve">   身份证号码：          </w:t>
      </w:r>
      <w:r>
        <w:rPr>
          <w:rFonts w:hint="eastAsia" w:ascii="仿宋_GB2312" w:eastAsia="仿宋_GB2312"/>
          <w:color w:val="auto"/>
          <w:sz w:val="24"/>
          <w:szCs w:val="24"/>
        </w:rPr>
        <w:tab/>
      </w:r>
      <w:r>
        <w:rPr>
          <w:rFonts w:hint="eastAsia" w:ascii="仿宋_GB2312" w:eastAsia="仿宋_GB2312"/>
          <w:color w:val="auto"/>
          <w:sz w:val="24"/>
          <w:szCs w:val="24"/>
        </w:rPr>
        <w:t xml:space="preserve">性别： </w:t>
      </w:r>
    </w:p>
    <w:p>
      <w:pPr>
        <w:pStyle w:val="39"/>
        <w:spacing w:line="440" w:lineRule="exact"/>
        <w:ind w:firstLine="480"/>
        <w:rPr>
          <w:rFonts w:ascii="仿宋_GB2312" w:eastAsia="仿宋_GB2312"/>
          <w:color w:val="auto"/>
          <w:spacing w:val="20"/>
          <w:sz w:val="24"/>
          <w:szCs w:val="24"/>
          <w:u w:val="single"/>
        </w:rPr>
      </w:pPr>
      <w:r>
        <w:rPr>
          <w:rFonts w:hint="eastAsia" w:ascii="仿宋_GB2312" w:eastAsia="仿宋_GB2312"/>
          <w:color w:val="auto"/>
          <w:sz w:val="24"/>
          <w:szCs w:val="24"/>
        </w:rPr>
        <w:t>2、</w:t>
      </w:r>
      <w:r>
        <w:rPr>
          <w:rFonts w:hint="eastAsia" w:ascii="仿宋_GB2312" w:eastAsia="仿宋_GB2312"/>
          <w:bCs/>
          <w:color w:val="auto"/>
          <w:sz w:val="24"/>
          <w:szCs w:val="24"/>
        </w:rPr>
        <w:t>委托代理人身份证正、反面电子文档：</w:t>
      </w:r>
    </w:p>
    <w:tbl>
      <w:tblPr>
        <w:tblStyle w:val="2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3" w:hRule="atLeast"/>
        </w:trPr>
        <w:tc>
          <w:tcPr>
            <w:tcW w:w="4621" w:type="dxa"/>
            <w:tcBorders>
              <w:top w:val="single" w:color="auto" w:sz="4" w:space="0"/>
              <w:left w:val="single" w:color="auto" w:sz="4" w:space="0"/>
              <w:bottom w:val="single" w:color="auto" w:sz="4" w:space="0"/>
              <w:right w:val="nil"/>
            </w:tcBorders>
          </w:tcPr>
          <w:p>
            <w:pPr>
              <w:pStyle w:val="39"/>
              <w:spacing w:line="440" w:lineRule="exact"/>
              <w:rPr>
                <w:rFonts w:ascii="仿宋_GB2312" w:eastAsia="仿宋_GB2312"/>
                <w:color w:val="auto"/>
                <w:spacing w:val="20"/>
                <w:sz w:val="24"/>
                <w:szCs w:val="24"/>
              </w:rPr>
            </w:pPr>
            <w:r>
              <w:rPr>
                <w:rFonts w:hint="eastAsia" w:ascii="仿宋_GB2312" w:eastAsia="仿宋_GB2312"/>
                <w:color w:val="auto"/>
                <w:spacing w:val="20"/>
                <w:sz w:val="24"/>
                <w:szCs w:val="24"/>
              </w:rPr>
              <w:t>正面：</w:t>
            </w:r>
          </w:p>
          <w:p>
            <w:pPr>
              <w:pStyle w:val="39"/>
              <w:spacing w:line="440" w:lineRule="exact"/>
              <w:rPr>
                <w:rFonts w:ascii="仿宋_GB2312" w:eastAsia="仿宋_GB2312"/>
                <w:color w:val="auto"/>
                <w:spacing w:val="20"/>
                <w:sz w:val="24"/>
                <w:szCs w:val="24"/>
              </w:rPr>
            </w:pPr>
          </w:p>
        </w:tc>
        <w:tc>
          <w:tcPr>
            <w:tcW w:w="4621" w:type="dxa"/>
            <w:tcBorders>
              <w:top w:val="single" w:color="auto" w:sz="4" w:space="0"/>
              <w:left w:val="nil"/>
              <w:bottom w:val="single" w:color="auto" w:sz="4" w:space="0"/>
              <w:right w:val="single" w:color="auto" w:sz="4" w:space="0"/>
            </w:tcBorders>
          </w:tcPr>
          <w:p>
            <w:pPr>
              <w:pStyle w:val="39"/>
              <w:spacing w:line="440" w:lineRule="exact"/>
              <w:rPr>
                <w:rFonts w:ascii="仿宋_GB2312" w:eastAsia="仿宋_GB2312"/>
                <w:color w:val="auto"/>
                <w:spacing w:val="20"/>
                <w:sz w:val="24"/>
                <w:szCs w:val="24"/>
              </w:rPr>
            </w:pPr>
            <w:r>
              <w:rPr>
                <w:rFonts w:hint="eastAsia" w:ascii="仿宋_GB2312" w:eastAsia="仿宋_GB2312"/>
                <w:color w:val="auto"/>
                <w:spacing w:val="20"/>
                <w:sz w:val="24"/>
                <w:szCs w:val="24"/>
              </w:rPr>
              <w:t>反面：</w:t>
            </w:r>
          </w:p>
          <w:p>
            <w:pPr>
              <w:pStyle w:val="39"/>
              <w:spacing w:line="440" w:lineRule="exact"/>
              <w:rPr>
                <w:rFonts w:ascii="仿宋_GB2312" w:eastAsia="仿宋_GB2312"/>
                <w:color w:val="auto"/>
                <w:spacing w:val="20"/>
                <w:sz w:val="24"/>
                <w:szCs w:val="24"/>
                <w:u w:val="single"/>
              </w:rPr>
            </w:pPr>
          </w:p>
        </w:tc>
      </w:tr>
    </w:tbl>
    <w:p>
      <w:pPr>
        <w:pStyle w:val="39"/>
        <w:ind w:left="587" w:leftChars="50" w:hanging="482" w:hangingChars="200"/>
        <w:rPr>
          <w:rFonts w:ascii="仿宋_GB2312" w:hAnsi="Courier New" w:eastAsia="仿宋_GB2312"/>
          <w:color w:val="auto"/>
          <w:sz w:val="24"/>
          <w:szCs w:val="24"/>
        </w:rPr>
      </w:pPr>
      <w:r>
        <w:rPr>
          <w:rFonts w:hint="eastAsia" w:ascii="仿宋_GB2312" w:eastAsia="仿宋_GB2312"/>
          <w:b/>
          <w:color w:val="auto"/>
          <w:sz w:val="24"/>
          <w:szCs w:val="24"/>
        </w:rPr>
        <w:t>注：</w:t>
      </w:r>
      <w:r>
        <w:rPr>
          <w:rFonts w:hint="eastAsia" w:ascii="仿宋_GB2312" w:eastAsia="仿宋_GB2312"/>
          <w:color w:val="auto"/>
          <w:sz w:val="24"/>
          <w:szCs w:val="24"/>
        </w:rPr>
        <w:t>1. 供应商为法人企业的，其负责人为其法定代表人；供应商为</w:t>
      </w:r>
      <w:r>
        <w:rPr>
          <w:rFonts w:hint="eastAsia" w:ascii="仿宋_GB2312" w:hAnsi="Courier New" w:eastAsia="仿宋_GB2312"/>
          <w:color w:val="auto"/>
          <w:sz w:val="24"/>
          <w:szCs w:val="24"/>
        </w:rPr>
        <w:t>其他组织的，其负责人为法律、行政法规规定代表单位行使职权的主要负责人；供应商为自然人的，其负责人为自然人本人。</w:t>
      </w:r>
    </w:p>
    <w:p>
      <w:pPr>
        <w:pStyle w:val="39"/>
        <w:ind w:left="585" w:leftChars="50" w:hanging="480" w:hangingChars="200"/>
        <w:rPr>
          <w:rFonts w:ascii="仿宋_GB2312" w:hAnsi="Courier New" w:eastAsia="仿宋_GB2312"/>
          <w:color w:val="auto"/>
          <w:sz w:val="24"/>
          <w:szCs w:val="24"/>
        </w:rPr>
      </w:pPr>
      <w:r>
        <w:rPr>
          <w:rFonts w:hint="eastAsia" w:ascii="仿宋_GB2312" w:hAnsi="Courier New" w:eastAsia="仿宋_GB2312"/>
          <w:color w:val="auto"/>
          <w:sz w:val="24"/>
          <w:szCs w:val="24"/>
        </w:rPr>
        <w:t xml:space="preserve">    2. 若是负责人参会的，不需要提供此授权委托书。</w:t>
      </w:r>
    </w:p>
    <w:p>
      <w:pPr>
        <w:spacing w:line="360" w:lineRule="auto"/>
        <w:rPr>
          <w:rFonts w:hint="eastAsia" w:ascii="仿宋" w:hAnsi="仿宋" w:eastAsia="仿宋" w:cs="仿宋"/>
          <w:b/>
          <w:bCs/>
          <w:color w:val="auto"/>
          <w:sz w:val="24"/>
          <w:szCs w:val="24"/>
        </w:rPr>
      </w:pPr>
      <w:bookmarkStart w:id="181" w:name="_Toc531359045"/>
      <w:bookmarkStart w:id="182" w:name="_Toc493956054"/>
      <w:bookmarkStart w:id="183" w:name="_Toc530551879"/>
      <w:bookmarkStart w:id="184" w:name="_Toc100322274"/>
      <w:bookmarkStart w:id="185" w:name="_Toc22110"/>
    </w:p>
    <w:p>
      <w:pPr>
        <w:spacing w:line="360" w:lineRule="auto"/>
        <w:rPr>
          <w:color w:val="auto"/>
        </w:rPr>
      </w:pPr>
      <w:r>
        <w:rPr>
          <w:rFonts w:hint="eastAsia" w:ascii="仿宋" w:hAnsi="仿宋" w:eastAsia="仿宋" w:cs="仿宋"/>
          <w:b/>
          <w:bCs/>
          <w:color w:val="auto"/>
          <w:sz w:val="24"/>
          <w:szCs w:val="24"/>
        </w:rPr>
        <w:t xml:space="preserve">1.6    </w:t>
      </w:r>
      <w:bookmarkEnd w:id="181"/>
      <w:bookmarkEnd w:id="182"/>
      <w:bookmarkEnd w:id="183"/>
      <w:bookmarkStart w:id="186" w:name="_Toc61877473"/>
      <w:r>
        <w:rPr>
          <w:rFonts w:hint="eastAsia" w:ascii="仿宋" w:hAnsi="仿宋" w:eastAsia="仿宋" w:cs="仿宋"/>
          <w:b/>
          <w:bCs/>
          <w:color w:val="auto"/>
          <w:sz w:val="24"/>
          <w:szCs w:val="24"/>
        </w:rPr>
        <w:t>关于《中华人民共和国政府采购法》第二十二条规定的承诺函格式</w:t>
      </w:r>
      <w:bookmarkEnd w:id="184"/>
      <w:bookmarkEnd w:id="185"/>
      <w:bookmarkEnd w:id="186"/>
    </w:p>
    <w:p>
      <w:pPr>
        <w:rPr>
          <w:color w:val="auto"/>
        </w:rPr>
      </w:pPr>
    </w:p>
    <w:p>
      <w:pPr>
        <w:rPr>
          <w:color w:val="auto"/>
        </w:rPr>
      </w:pPr>
    </w:p>
    <w:p>
      <w:pPr>
        <w:spacing w:line="360" w:lineRule="auto"/>
        <w:jc w:val="center"/>
        <w:rPr>
          <w:rFonts w:ascii="仿宋_GB2312" w:hAnsi="宋体" w:eastAsia="仿宋_GB2312"/>
          <w:b/>
          <w:color w:val="auto"/>
          <w:sz w:val="30"/>
          <w:szCs w:val="30"/>
        </w:rPr>
      </w:pPr>
      <w:bookmarkStart w:id="187" w:name="_Toc61271126"/>
      <w:r>
        <w:rPr>
          <w:rFonts w:hint="eastAsia" w:ascii="仿宋_GB2312" w:hAnsi="宋体" w:eastAsia="仿宋_GB2312"/>
          <w:b/>
          <w:color w:val="auto"/>
          <w:sz w:val="30"/>
          <w:szCs w:val="30"/>
        </w:rPr>
        <w:t>关于《中华人民共和国政府采购法》第二十二条规定的承诺函</w:t>
      </w:r>
      <w:bookmarkEnd w:id="187"/>
    </w:p>
    <w:p>
      <w:pPr>
        <w:rPr>
          <w:rFonts w:ascii="宋体" w:hAnsi="宋体" w:cs="宋体"/>
          <w:color w:val="auto"/>
          <w:szCs w:val="21"/>
        </w:rPr>
      </w:pPr>
    </w:p>
    <w:p>
      <w:pPr>
        <w:spacing w:line="440" w:lineRule="exact"/>
        <w:ind w:firstLine="420" w:firstLineChars="200"/>
        <w:rPr>
          <w:rFonts w:ascii="宋体" w:hAnsi="宋体" w:cs="宋体"/>
          <w:color w:val="auto"/>
          <w:szCs w:val="21"/>
        </w:rPr>
      </w:pPr>
      <w:r>
        <w:rPr>
          <w:rFonts w:hint="eastAsia" w:ascii="宋体" w:hAnsi="宋体" w:cs="宋体"/>
          <w:color w:val="auto"/>
          <w:szCs w:val="21"/>
        </w:rPr>
        <w:t>我单位</w:t>
      </w:r>
      <w:r>
        <w:rPr>
          <w:rFonts w:hint="eastAsia" w:ascii="宋体" w:hAnsi="宋体" w:cs="宋体"/>
          <w:bCs/>
          <w:color w:val="auto"/>
          <w:szCs w:val="21"/>
          <w:lang w:bidi="ar"/>
        </w:rPr>
        <w:t>参与</w:t>
      </w:r>
      <w:r>
        <w:rPr>
          <w:rFonts w:hint="eastAsia" w:ascii="宋体" w:hAnsi="宋体" w:cs="宋体"/>
          <w:bCs/>
          <w:color w:val="auto"/>
          <w:szCs w:val="21"/>
          <w:u w:val="single"/>
          <w:lang w:bidi="ar"/>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采购项目 </w:t>
      </w:r>
      <w:r>
        <w:rPr>
          <w:rFonts w:hint="eastAsia" w:ascii="宋体" w:hAnsi="宋体" w:cs="宋体"/>
          <w:color w:val="auto"/>
          <w:szCs w:val="21"/>
          <w:u w:val="single"/>
        </w:rPr>
        <w:t xml:space="preserve">标项    </w:t>
      </w:r>
      <w:r>
        <w:rPr>
          <w:rFonts w:hint="eastAsia" w:ascii="宋体" w:hAnsi="宋体" w:cs="宋体"/>
          <w:bCs/>
          <w:color w:val="auto"/>
          <w:szCs w:val="21"/>
          <w:lang w:bidi="ar"/>
        </w:rPr>
        <w:t>（项目编号：</w:t>
      </w:r>
      <w:r>
        <w:rPr>
          <w:rFonts w:hint="eastAsia" w:ascii="宋体" w:hAnsi="宋体" w:cs="宋体"/>
          <w:bCs/>
          <w:color w:val="auto"/>
          <w:szCs w:val="21"/>
          <w:u w:val="single"/>
          <w:lang w:bidi="ar"/>
        </w:rPr>
        <w:t xml:space="preserve"> </w:t>
      </w:r>
      <w:r>
        <w:rPr>
          <w:rFonts w:hint="eastAsia" w:ascii="宋体" w:hAnsi="宋体"/>
          <w:bCs/>
          <w:color w:val="auto"/>
          <w:szCs w:val="21"/>
          <w:u w:val="single"/>
        </w:rPr>
        <w:t xml:space="preserve">  </w:t>
      </w:r>
      <w:r>
        <w:rPr>
          <w:rFonts w:hint="eastAsia" w:ascii="宋体" w:hAnsi="宋体" w:cs="宋体"/>
          <w:bCs/>
          <w:color w:val="auto"/>
          <w:szCs w:val="21"/>
          <w:u w:val="single"/>
          <w:lang w:bidi="ar"/>
        </w:rPr>
        <w:t xml:space="preserve">  </w:t>
      </w:r>
      <w:r>
        <w:rPr>
          <w:rFonts w:hint="eastAsia" w:ascii="宋体" w:hAnsi="宋体" w:cs="宋体"/>
          <w:bCs/>
          <w:color w:val="auto"/>
          <w:szCs w:val="21"/>
          <w:lang w:bidi="ar"/>
        </w:rPr>
        <w:t xml:space="preserve"> ）投标，郑重</w:t>
      </w:r>
      <w:r>
        <w:rPr>
          <w:rFonts w:hint="eastAsia" w:ascii="宋体" w:hAnsi="宋体" w:cs="宋体"/>
          <w:color w:val="auto"/>
          <w:szCs w:val="21"/>
        </w:rPr>
        <w:t>承诺具备下列条件：</w:t>
      </w:r>
    </w:p>
    <w:p>
      <w:pPr>
        <w:tabs>
          <w:tab w:val="left" w:pos="9180"/>
        </w:tabs>
        <w:spacing w:line="440" w:lineRule="exact"/>
        <w:ind w:firstLine="420" w:firstLineChars="200"/>
        <w:rPr>
          <w:rFonts w:ascii="宋体" w:hAnsi="宋体" w:cs="宋体"/>
          <w:snapToGrid w:val="0"/>
          <w:color w:val="auto"/>
          <w:szCs w:val="21"/>
        </w:rPr>
      </w:pPr>
      <w:r>
        <w:rPr>
          <w:rFonts w:hint="eastAsia" w:ascii="宋体" w:hAnsi="宋体" w:cs="宋体"/>
          <w:snapToGrid w:val="0"/>
          <w:color w:val="auto"/>
          <w:szCs w:val="21"/>
        </w:rPr>
        <w:t>1.具有独立承担民事责任的能力；</w:t>
      </w:r>
    </w:p>
    <w:p>
      <w:pPr>
        <w:tabs>
          <w:tab w:val="left" w:pos="9180"/>
        </w:tabs>
        <w:spacing w:line="440" w:lineRule="exact"/>
        <w:ind w:firstLine="420" w:firstLineChars="200"/>
        <w:rPr>
          <w:rFonts w:ascii="宋体" w:hAnsi="宋体" w:cs="宋体"/>
          <w:snapToGrid w:val="0"/>
          <w:color w:val="auto"/>
          <w:szCs w:val="21"/>
        </w:rPr>
      </w:pPr>
      <w:r>
        <w:rPr>
          <w:rFonts w:hint="eastAsia" w:ascii="宋体" w:hAnsi="宋体" w:cs="宋体"/>
          <w:snapToGrid w:val="0"/>
          <w:color w:val="auto"/>
          <w:szCs w:val="21"/>
        </w:rPr>
        <w:t>2.具有良好的商业信誉和健全的财务会计制度；</w:t>
      </w:r>
    </w:p>
    <w:p>
      <w:pPr>
        <w:tabs>
          <w:tab w:val="left" w:pos="9180"/>
        </w:tabs>
        <w:spacing w:line="440" w:lineRule="exact"/>
        <w:ind w:firstLine="420" w:firstLineChars="200"/>
        <w:rPr>
          <w:rFonts w:ascii="宋体" w:hAnsi="宋体" w:cs="宋体"/>
          <w:snapToGrid w:val="0"/>
          <w:color w:val="auto"/>
          <w:szCs w:val="21"/>
        </w:rPr>
      </w:pPr>
      <w:r>
        <w:rPr>
          <w:rFonts w:hint="eastAsia" w:ascii="宋体" w:hAnsi="宋体" w:cs="宋体"/>
          <w:snapToGrid w:val="0"/>
          <w:color w:val="auto"/>
          <w:szCs w:val="21"/>
        </w:rPr>
        <w:t xml:space="preserve">3.具有履行合同所必需的设备和专业技术能力； </w:t>
      </w:r>
    </w:p>
    <w:p>
      <w:pPr>
        <w:tabs>
          <w:tab w:val="left" w:pos="9180"/>
        </w:tabs>
        <w:spacing w:line="440" w:lineRule="exact"/>
        <w:ind w:firstLine="420" w:firstLineChars="200"/>
        <w:rPr>
          <w:rFonts w:ascii="宋体" w:hAnsi="宋体" w:cs="宋体"/>
          <w:snapToGrid w:val="0"/>
          <w:color w:val="auto"/>
          <w:szCs w:val="21"/>
        </w:rPr>
      </w:pPr>
      <w:r>
        <w:rPr>
          <w:rFonts w:hint="eastAsia" w:ascii="宋体" w:hAnsi="宋体" w:cs="宋体"/>
          <w:snapToGrid w:val="0"/>
          <w:color w:val="auto"/>
          <w:szCs w:val="21"/>
        </w:rPr>
        <w:t xml:space="preserve">4.有依法缴纳税收和社会保障资金的良好记录； </w:t>
      </w:r>
    </w:p>
    <w:p>
      <w:pPr>
        <w:tabs>
          <w:tab w:val="left" w:pos="9180"/>
        </w:tabs>
        <w:spacing w:line="440" w:lineRule="exact"/>
        <w:ind w:firstLine="420" w:firstLineChars="200"/>
        <w:rPr>
          <w:rFonts w:ascii="宋体" w:hAnsi="宋体" w:cs="宋体"/>
          <w:snapToGrid w:val="0"/>
          <w:color w:val="auto"/>
          <w:szCs w:val="21"/>
        </w:rPr>
      </w:pPr>
      <w:r>
        <w:rPr>
          <w:rFonts w:hint="eastAsia" w:ascii="宋体" w:hAnsi="宋体" w:cs="宋体"/>
          <w:snapToGrid w:val="0"/>
          <w:color w:val="auto"/>
          <w:szCs w:val="21"/>
        </w:rPr>
        <w:t>5. 参加政府采购活动前三年内,在经营活动中没有重大违法记录（包括行贿犯罪记录）。</w:t>
      </w:r>
    </w:p>
    <w:p>
      <w:pPr>
        <w:tabs>
          <w:tab w:val="left" w:pos="9180"/>
        </w:tabs>
        <w:spacing w:line="440" w:lineRule="exact"/>
        <w:ind w:firstLine="420" w:firstLineChars="200"/>
        <w:rPr>
          <w:rFonts w:ascii="宋体" w:hAnsi="宋体" w:cs="宋体"/>
          <w:snapToGrid w:val="0"/>
          <w:color w:val="auto"/>
          <w:szCs w:val="21"/>
        </w:rPr>
      </w:pPr>
      <w:r>
        <w:rPr>
          <w:rFonts w:hint="eastAsia" w:ascii="宋体" w:hAnsi="宋体" w:cs="宋体"/>
          <w:snapToGrid w:val="0"/>
          <w:color w:val="auto"/>
          <w:szCs w:val="21"/>
        </w:rPr>
        <w:t>6.未被信用中国网站（www.creditchina.gov.cn）列入失信被执行人、重大税收违法件当事人名单，未被中国政府采购网（www.ccgp.gov.cn）列入政府采购严重违法失信行为记录名单：以采购代理机构在开标当日查询记录为准。</w:t>
      </w:r>
    </w:p>
    <w:p>
      <w:pPr>
        <w:snapToGrid w:val="0"/>
        <w:spacing w:line="440" w:lineRule="exact"/>
        <w:ind w:firstLine="422" w:firstLineChars="200"/>
        <w:rPr>
          <w:rFonts w:ascii="宋体" w:hAnsi="宋体" w:cs="宋体"/>
          <w:b/>
          <w:color w:val="auto"/>
          <w:szCs w:val="21"/>
        </w:rPr>
      </w:pPr>
    </w:p>
    <w:p>
      <w:pPr>
        <w:snapToGrid w:val="0"/>
        <w:spacing w:line="460" w:lineRule="exact"/>
        <w:ind w:firstLine="422" w:firstLineChars="200"/>
        <w:rPr>
          <w:rFonts w:ascii="宋体" w:hAnsi="宋体" w:cs="宋体"/>
          <w:b/>
          <w:color w:val="auto"/>
          <w:szCs w:val="21"/>
        </w:rPr>
      </w:pPr>
      <w:r>
        <w:rPr>
          <w:rFonts w:hint="eastAsia" w:ascii="宋体" w:hAnsi="宋体" w:cs="宋体"/>
          <w:b/>
          <w:color w:val="auto"/>
          <w:szCs w:val="21"/>
        </w:rPr>
        <w:t>如有虚假，采购人可取消我单位任何资格（投标/中标/签订合同），我单位对此无任何异议。</w:t>
      </w:r>
    </w:p>
    <w:p>
      <w:pPr>
        <w:snapToGrid w:val="0"/>
        <w:spacing w:line="460" w:lineRule="exact"/>
        <w:ind w:firstLine="422" w:firstLineChars="200"/>
        <w:rPr>
          <w:rFonts w:ascii="宋体" w:hAnsi="宋体" w:cs="宋体"/>
          <w:b/>
          <w:color w:val="auto"/>
          <w:szCs w:val="21"/>
        </w:rPr>
      </w:pPr>
    </w:p>
    <w:p>
      <w:pPr>
        <w:snapToGrid w:val="0"/>
        <w:spacing w:line="460" w:lineRule="exact"/>
        <w:ind w:firstLine="422" w:firstLineChars="200"/>
        <w:rPr>
          <w:rFonts w:ascii="宋体" w:hAnsi="宋体" w:cs="宋体"/>
          <w:b/>
          <w:color w:val="auto"/>
          <w:szCs w:val="21"/>
        </w:rPr>
      </w:pPr>
      <w:r>
        <w:rPr>
          <w:rFonts w:hint="eastAsia" w:ascii="宋体" w:hAnsi="宋体" w:cs="宋体"/>
          <w:b/>
          <w:color w:val="auto"/>
          <w:szCs w:val="21"/>
        </w:rPr>
        <w:t>特此承诺！</w:t>
      </w:r>
    </w:p>
    <w:p>
      <w:pPr>
        <w:tabs>
          <w:tab w:val="left" w:pos="9180"/>
        </w:tabs>
        <w:spacing w:line="440" w:lineRule="exact"/>
        <w:ind w:firstLine="420" w:firstLineChars="200"/>
        <w:rPr>
          <w:rFonts w:ascii="宋体" w:hAnsi="宋体" w:cs="宋体"/>
          <w:snapToGrid w:val="0"/>
          <w:color w:val="auto"/>
          <w:szCs w:val="21"/>
        </w:rPr>
      </w:pPr>
    </w:p>
    <w:p>
      <w:pPr>
        <w:tabs>
          <w:tab w:val="left" w:pos="9180"/>
        </w:tabs>
        <w:spacing w:line="440" w:lineRule="exact"/>
        <w:ind w:firstLine="420" w:firstLineChars="200"/>
        <w:rPr>
          <w:rFonts w:ascii="宋体" w:hAnsi="宋体" w:cs="宋体"/>
          <w:snapToGrid w:val="0"/>
          <w:color w:val="auto"/>
          <w:szCs w:val="21"/>
        </w:rPr>
      </w:pPr>
      <w:r>
        <w:rPr>
          <w:rFonts w:hint="eastAsia" w:ascii="宋体" w:hAnsi="宋体" w:cs="宋体"/>
          <w:snapToGrid w:val="0"/>
          <w:color w:val="auto"/>
          <w:szCs w:val="21"/>
        </w:rPr>
        <w:t>注：（1）参加政府采购活动的时间是指供应商参加本项目的政府采购活动时间为准（具体以投标截止时间为准）。</w:t>
      </w:r>
    </w:p>
    <w:p>
      <w:pPr>
        <w:tabs>
          <w:tab w:val="left" w:pos="9180"/>
        </w:tabs>
        <w:spacing w:line="440" w:lineRule="exact"/>
        <w:ind w:firstLine="840" w:firstLineChars="400"/>
        <w:rPr>
          <w:rFonts w:ascii="宋体" w:hAnsi="宋体" w:cs="宋体"/>
          <w:snapToGrid w:val="0"/>
          <w:color w:val="auto"/>
          <w:szCs w:val="21"/>
        </w:rPr>
      </w:pPr>
      <w:r>
        <w:rPr>
          <w:rFonts w:hint="eastAsia" w:ascii="宋体" w:hAnsi="宋体" w:cs="宋体"/>
          <w:snapToGrid w:val="0"/>
          <w:color w:val="auto"/>
          <w:szCs w:val="21"/>
        </w:rPr>
        <w:t>（2）本承诺函必须提供。</w:t>
      </w:r>
    </w:p>
    <w:p>
      <w:pPr>
        <w:spacing w:line="380" w:lineRule="exact"/>
        <w:ind w:left="4620" w:leftChars="2200"/>
        <w:rPr>
          <w:rFonts w:ascii="宋体" w:hAnsi="宋体" w:cs="宋体"/>
          <w:color w:val="auto"/>
          <w:szCs w:val="21"/>
        </w:rPr>
      </w:pPr>
    </w:p>
    <w:p>
      <w:pPr>
        <w:wordWrap w:val="0"/>
        <w:spacing w:line="480" w:lineRule="auto"/>
        <w:ind w:left="210" w:firstLine="480"/>
        <w:jc w:val="right"/>
        <w:rPr>
          <w:rFonts w:ascii="宋体" w:hAnsi="宋体" w:cs="宋体"/>
          <w:color w:val="auto"/>
          <w:szCs w:val="21"/>
          <w:u w:val="single"/>
        </w:rPr>
      </w:pPr>
      <w:r>
        <w:rPr>
          <w:rFonts w:hint="eastAsia" w:ascii="宋体" w:hAnsi="宋体" w:cs="宋体"/>
          <w:color w:val="auto"/>
          <w:szCs w:val="21"/>
        </w:rPr>
        <w:t>供应商盖章：</w:t>
      </w:r>
      <w:r>
        <w:rPr>
          <w:rFonts w:hint="eastAsia" w:ascii="宋体" w:hAnsi="宋体" w:cs="宋体"/>
          <w:color w:val="auto"/>
          <w:szCs w:val="21"/>
          <w:u w:val="single"/>
        </w:rPr>
        <w:t xml:space="preserve">                </w:t>
      </w:r>
    </w:p>
    <w:p>
      <w:pPr>
        <w:wordWrap w:val="0"/>
        <w:spacing w:line="480" w:lineRule="auto"/>
        <w:ind w:left="210" w:firstLine="480"/>
        <w:jc w:val="right"/>
        <w:rPr>
          <w:rFonts w:ascii="宋体" w:hAnsi="宋体" w:cs="宋体"/>
          <w:color w:val="auto"/>
          <w:szCs w:val="21"/>
          <w:u w:val="single"/>
        </w:rPr>
      </w:pPr>
      <w:r>
        <w:rPr>
          <w:rFonts w:hint="eastAsia" w:ascii="宋体" w:hAnsi="宋体" w:cs="宋体"/>
          <w:color w:val="auto"/>
          <w:szCs w:val="21"/>
        </w:rPr>
        <w:t>日      期：</w:t>
      </w:r>
      <w:r>
        <w:rPr>
          <w:rFonts w:hint="eastAsia" w:ascii="宋体" w:hAnsi="宋体" w:cs="宋体"/>
          <w:color w:val="auto"/>
          <w:szCs w:val="21"/>
          <w:u w:val="single"/>
        </w:rPr>
        <w:t xml:space="preserve">                </w:t>
      </w:r>
    </w:p>
    <w:p>
      <w:pPr>
        <w:spacing w:line="360" w:lineRule="auto"/>
        <w:rPr>
          <w:color w:val="auto"/>
        </w:rPr>
      </w:pPr>
    </w:p>
    <w:p>
      <w:pPr>
        <w:pStyle w:val="24"/>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5"/>
        <w:spacing w:before="0" w:after="0"/>
        <w:ind w:firstLine="0" w:firstLineChars="0"/>
        <w:jc w:val="left"/>
        <w:rPr>
          <w:rFonts w:hAnsi="宋体"/>
          <w:color w:val="auto"/>
          <w:sz w:val="24"/>
          <w:szCs w:val="24"/>
        </w:rPr>
      </w:pPr>
      <w:bookmarkStart w:id="188" w:name="_Toc69476911"/>
      <w:bookmarkStart w:id="189" w:name="_Toc83214152"/>
      <w:r>
        <w:rPr>
          <w:rFonts w:hAnsi="宋体"/>
          <w:color w:val="auto"/>
          <w:sz w:val="24"/>
          <w:szCs w:val="24"/>
        </w:rPr>
        <w:t xml:space="preserve">1.7    </w:t>
      </w:r>
      <w:r>
        <w:rPr>
          <w:rFonts w:hint="eastAsia" w:hAnsi="宋体"/>
          <w:color w:val="auto"/>
          <w:sz w:val="24"/>
          <w:szCs w:val="24"/>
        </w:rPr>
        <w:t>联合体协议书格式（若有）</w:t>
      </w:r>
      <w:bookmarkEnd w:id="188"/>
      <w:bookmarkEnd w:id="189"/>
    </w:p>
    <w:p>
      <w:pPr>
        <w:pStyle w:val="2"/>
        <w:spacing w:line="360" w:lineRule="auto"/>
        <w:ind w:firstLine="0"/>
        <w:rPr>
          <w:rFonts w:hint="eastAsia" w:ascii="仿宋_GB2312" w:eastAsia="仿宋_GB2312"/>
          <w:color w:val="auto"/>
        </w:rPr>
      </w:pPr>
    </w:p>
    <w:p>
      <w:pPr>
        <w:pStyle w:val="2"/>
        <w:spacing w:line="360" w:lineRule="auto"/>
        <w:ind w:firstLine="0"/>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联合体协议书</w:t>
      </w:r>
    </w:p>
    <w:p>
      <w:pPr>
        <w:pStyle w:val="12"/>
        <w:spacing w:line="360" w:lineRule="auto"/>
        <w:rPr>
          <w:rFonts w:ascii="仿宋_GB2312" w:hAnsi="Times New Roman" w:eastAsia="仿宋_GB2312"/>
          <w:color w:val="auto"/>
          <w:sz w:val="24"/>
          <w:szCs w:val="24"/>
        </w:rPr>
      </w:pPr>
      <w:r>
        <w:rPr>
          <w:rFonts w:hint="eastAsia" w:ascii="仿宋_GB2312" w:hAnsi="Times New Roman" w:eastAsia="仿宋_GB2312"/>
          <w:color w:val="auto"/>
          <w:sz w:val="24"/>
          <w:szCs w:val="24"/>
        </w:rPr>
        <w:t>甲方：</w:t>
      </w:r>
    </w:p>
    <w:p>
      <w:pPr>
        <w:pStyle w:val="12"/>
        <w:spacing w:line="360" w:lineRule="auto"/>
        <w:rPr>
          <w:rFonts w:ascii="仿宋_GB2312" w:hAnsi="Times New Roman" w:eastAsia="仿宋_GB2312"/>
          <w:color w:val="auto"/>
          <w:sz w:val="24"/>
          <w:szCs w:val="24"/>
        </w:rPr>
      </w:pPr>
      <w:r>
        <w:rPr>
          <w:rFonts w:hint="eastAsia" w:ascii="仿宋_GB2312" w:hAnsi="Times New Roman" w:eastAsia="仿宋_GB2312"/>
          <w:color w:val="auto"/>
          <w:sz w:val="24"/>
          <w:szCs w:val="24"/>
        </w:rPr>
        <w:t>乙方：</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（如果有的话，可按甲、乙、丙、丁…序列增加）</w:t>
      </w:r>
    </w:p>
    <w:p>
      <w:pPr>
        <w:pStyle w:val="12"/>
        <w:spacing w:line="360" w:lineRule="auto"/>
        <w:ind w:left="105" w:leftChars="50" w:firstLine="360" w:firstLineChars="150"/>
        <w:rPr>
          <w:rFonts w:ascii="仿宋_GB2312" w:hAnsi="Times New Roman" w:eastAsia="仿宋_GB2312"/>
          <w:color w:val="auto"/>
          <w:sz w:val="24"/>
          <w:szCs w:val="24"/>
        </w:rPr>
      </w:pPr>
      <w:r>
        <w:rPr>
          <w:rFonts w:hint="eastAsia" w:ascii="仿宋_GB2312" w:hAnsi="Times New Roman" w:eastAsia="仿宋_GB2312"/>
          <w:color w:val="auto"/>
          <w:sz w:val="24"/>
          <w:szCs w:val="24"/>
        </w:rPr>
        <w:t>各方经协商，就响应</w:t>
      </w:r>
      <w:r>
        <w:rPr>
          <w:rFonts w:hint="eastAsia" w:ascii="仿宋_GB2312" w:hAnsi="Times New Roman" w:eastAsia="仿宋_GB2312"/>
          <w:color w:val="auto"/>
          <w:sz w:val="24"/>
          <w:szCs w:val="24"/>
          <w:u w:val="single"/>
        </w:rPr>
        <w:t xml:space="preserve"> （采购</w:t>
      </w:r>
      <w:r>
        <w:rPr>
          <w:rFonts w:ascii="仿宋_GB2312" w:hAnsi="Times New Roman" w:eastAsia="仿宋_GB2312"/>
          <w:color w:val="auto"/>
          <w:sz w:val="24"/>
          <w:szCs w:val="24"/>
          <w:u w:val="single"/>
        </w:rPr>
        <w:t>代理机构名称</w:t>
      </w:r>
      <w:r>
        <w:rPr>
          <w:rFonts w:hint="eastAsia" w:ascii="仿宋_GB2312" w:hAnsi="Times New Roman" w:eastAsia="仿宋_GB2312"/>
          <w:color w:val="auto"/>
          <w:sz w:val="24"/>
          <w:szCs w:val="24"/>
          <w:u w:val="single"/>
        </w:rPr>
        <w:t xml:space="preserve">） </w:t>
      </w:r>
      <w:r>
        <w:rPr>
          <w:rFonts w:hint="eastAsia" w:ascii="仿宋_GB2312" w:hAnsi="Times New Roman" w:eastAsia="仿宋_GB2312"/>
          <w:color w:val="auto"/>
          <w:sz w:val="24"/>
          <w:szCs w:val="24"/>
        </w:rPr>
        <w:t>组织实施的</w:t>
      </w:r>
      <w:r>
        <w:rPr>
          <w:rFonts w:hint="eastAsia" w:ascii="仿宋_GB2312" w:hAnsi="Times New Roman" w:eastAsia="仿宋_GB2312"/>
          <w:color w:val="auto"/>
          <w:sz w:val="24"/>
          <w:szCs w:val="24"/>
          <w:u w:val="single"/>
        </w:rPr>
        <w:t xml:space="preserve">  </w:t>
      </w:r>
      <w:r>
        <w:rPr>
          <w:rFonts w:hint="eastAsia" w:ascii="仿宋_GB2312" w:hAnsi="宋体" w:eastAsia="仿宋_GB2312"/>
          <w:color w:val="auto"/>
          <w:sz w:val="24"/>
          <w:szCs w:val="24"/>
          <w:u w:val="single"/>
        </w:rPr>
        <w:t>（</w:t>
      </w:r>
      <w:r>
        <w:rPr>
          <w:rFonts w:ascii="仿宋_GB2312" w:hAnsi="宋体" w:eastAsia="仿宋_GB2312"/>
          <w:color w:val="auto"/>
          <w:sz w:val="24"/>
          <w:szCs w:val="24"/>
          <w:u w:val="single"/>
        </w:rPr>
        <w:t>项目名称</w:t>
      </w:r>
      <w:r>
        <w:rPr>
          <w:rFonts w:hint="eastAsia" w:ascii="仿宋_GB2312" w:hAnsi="宋体" w:eastAsia="仿宋_GB2312"/>
          <w:color w:val="auto"/>
          <w:sz w:val="24"/>
          <w:szCs w:val="24"/>
          <w:u w:val="single"/>
        </w:rPr>
        <w:t xml:space="preserve">）（项目编号）（标项）  </w:t>
      </w:r>
      <w:r>
        <w:rPr>
          <w:rFonts w:hint="eastAsia" w:ascii="仿宋_GB2312" w:hAnsi="Times New Roman" w:eastAsia="仿宋_GB2312"/>
          <w:color w:val="auto"/>
          <w:sz w:val="24"/>
          <w:szCs w:val="24"/>
        </w:rPr>
        <w:t>的采购活动联合参与采购之事宜，达成如下协议：</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一、各方一致决定，以</w:t>
      </w:r>
      <w:r>
        <w:rPr>
          <w:rFonts w:hint="eastAsia" w:ascii="仿宋_GB2312" w:hAnsi="Times New Roman" w:eastAsia="仿宋_GB2312"/>
          <w:color w:val="auto"/>
          <w:sz w:val="24"/>
          <w:szCs w:val="24"/>
          <w:u w:val="single"/>
        </w:rPr>
        <w:t xml:space="preserve">                           </w:t>
      </w:r>
      <w:r>
        <w:rPr>
          <w:rFonts w:hint="eastAsia" w:ascii="仿宋_GB2312" w:hAnsi="Times New Roman" w:eastAsia="仿宋_GB2312"/>
          <w:color w:val="auto"/>
          <w:sz w:val="24"/>
          <w:szCs w:val="24"/>
        </w:rPr>
        <w:t>为主办人进行采购活动，并按照招标文件的规定提交采购投标响应文件。</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二、在本次采购过程中，主办人的</w:t>
      </w:r>
      <w:r>
        <w:rPr>
          <w:rFonts w:hint="eastAsia" w:ascii="仿宋_GB2312" w:hAnsi="Times New Roman" w:eastAsia="仿宋_GB2312"/>
          <w:color w:val="auto"/>
          <w:sz w:val="24"/>
          <w:szCs w:val="24"/>
          <w:u w:val="single"/>
        </w:rPr>
        <w:t xml:space="preserve">  （法定代表人或委托</w:t>
      </w:r>
      <w:r>
        <w:rPr>
          <w:rFonts w:ascii="仿宋_GB2312" w:hAnsi="Times New Roman" w:eastAsia="仿宋_GB2312"/>
          <w:color w:val="auto"/>
          <w:sz w:val="24"/>
          <w:szCs w:val="24"/>
          <w:u w:val="single"/>
        </w:rPr>
        <w:t>代理人</w:t>
      </w:r>
      <w:r>
        <w:rPr>
          <w:rFonts w:hint="eastAsia" w:ascii="仿宋_GB2312" w:hAnsi="Times New Roman" w:eastAsia="仿宋_GB2312"/>
          <w:color w:val="auto"/>
          <w:sz w:val="24"/>
          <w:szCs w:val="24"/>
          <w:u w:val="single"/>
        </w:rPr>
        <w:t>）</w:t>
      </w:r>
      <w:r>
        <w:rPr>
          <w:rFonts w:hint="eastAsia" w:ascii="仿宋_GB2312" w:hAnsi="Times New Roman" w:eastAsia="仿宋_GB2312"/>
          <w:color w:val="auto"/>
          <w:sz w:val="24"/>
          <w:szCs w:val="24"/>
        </w:rPr>
        <w:t>根据招标文件规定及采购内容而对</w:t>
      </w:r>
      <w:r>
        <w:rPr>
          <w:rFonts w:hint="eastAsia" w:ascii="仿宋_GB2312" w:hAnsi="Times New Roman" w:eastAsia="仿宋_GB2312"/>
          <w:color w:val="auto"/>
          <w:sz w:val="24"/>
          <w:szCs w:val="24"/>
          <w:u w:val="single"/>
        </w:rPr>
        <w:t>（采购</w:t>
      </w:r>
      <w:r>
        <w:rPr>
          <w:rFonts w:ascii="仿宋_GB2312" w:hAnsi="Times New Roman" w:eastAsia="仿宋_GB2312"/>
          <w:color w:val="auto"/>
          <w:sz w:val="24"/>
          <w:szCs w:val="24"/>
          <w:u w:val="single"/>
        </w:rPr>
        <w:t>代理机构名称</w:t>
      </w:r>
      <w:r>
        <w:rPr>
          <w:rFonts w:hint="eastAsia" w:ascii="仿宋_GB2312" w:hAnsi="Times New Roman" w:eastAsia="仿宋_GB2312"/>
          <w:color w:val="auto"/>
          <w:sz w:val="24"/>
          <w:szCs w:val="24"/>
          <w:u w:val="single"/>
        </w:rPr>
        <w:t>）</w:t>
      </w:r>
      <w:r>
        <w:rPr>
          <w:rFonts w:hint="eastAsia" w:ascii="仿宋_GB2312" w:hAnsi="Times New Roman" w:eastAsia="仿宋_GB2312"/>
          <w:color w:val="auto"/>
          <w:sz w:val="24"/>
          <w:szCs w:val="24"/>
        </w:rPr>
        <w:t>和采购人所作的任何合法承诺，包括书面澄清及响应等均对联合体各方产生约束力。如果中标（或成交）并签订合同，则联合体各方将共同履行对</w:t>
      </w:r>
      <w:r>
        <w:rPr>
          <w:rFonts w:hint="eastAsia" w:ascii="仿宋_GB2312" w:hAnsi="Times New Roman" w:eastAsia="仿宋_GB2312"/>
          <w:color w:val="auto"/>
          <w:sz w:val="24"/>
          <w:szCs w:val="24"/>
          <w:u w:val="single"/>
        </w:rPr>
        <w:t>（采购</w:t>
      </w:r>
      <w:r>
        <w:rPr>
          <w:rFonts w:ascii="仿宋_GB2312" w:hAnsi="Times New Roman" w:eastAsia="仿宋_GB2312"/>
          <w:color w:val="auto"/>
          <w:sz w:val="24"/>
          <w:szCs w:val="24"/>
          <w:u w:val="single"/>
        </w:rPr>
        <w:t>代理机构名称</w:t>
      </w:r>
      <w:r>
        <w:rPr>
          <w:rFonts w:hint="eastAsia" w:ascii="仿宋_GB2312" w:hAnsi="Times New Roman" w:eastAsia="仿宋_GB2312"/>
          <w:color w:val="auto"/>
          <w:sz w:val="24"/>
          <w:szCs w:val="24"/>
          <w:u w:val="single"/>
        </w:rPr>
        <w:t>）</w:t>
      </w:r>
      <w:r>
        <w:rPr>
          <w:rFonts w:hint="eastAsia" w:ascii="仿宋_GB2312" w:hAnsi="Times New Roman" w:eastAsia="仿宋_GB2312"/>
          <w:color w:val="auto"/>
          <w:sz w:val="24"/>
          <w:szCs w:val="24"/>
        </w:rPr>
        <w:t>和采购人所负有的全部义务并就采购合同约定的事项对采购人承担连带责任。</w:t>
      </w:r>
    </w:p>
    <w:p>
      <w:pPr>
        <w:pStyle w:val="12"/>
        <w:spacing w:line="360" w:lineRule="auto"/>
        <w:ind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三、联合体其余各方保证对主办人为响应本次采购而提供的产品和服务提供全部质量保证及售后服务支持。</w:t>
      </w:r>
    </w:p>
    <w:p>
      <w:pPr>
        <w:pStyle w:val="12"/>
        <w:spacing w:line="360" w:lineRule="auto"/>
        <w:ind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四、本次联合体中</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甲方承担的工作和义务为:</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乙方承担的工作和义务为：</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（如果有的话，可按甲、乙、丙、丁…序列增加）</w:t>
      </w:r>
    </w:p>
    <w:p>
      <w:pPr>
        <w:pStyle w:val="12"/>
        <w:spacing w:line="360" w:lineRule="auto"/>
        <w:ind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五、有关本次联合体的其他事宜：</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六、本协议提交</w:t>
      </w:r>
      <w:r>
        <w:rPr>
          <w:rFonts w:hint="eastAsia" w:ascii="仿宋_GB2312" w:hAnsi="Times New Roman" w:eastAsia="仿宋_GB2312"/>
          <w:color w:val="auto"/>
          <w:sz w:val="24"/>
          <w:szCs w:val="24"/>
          <w:u w:val="single"/>
        </w:rPr>
        <w:t>（采购</w:t>
      </w:r>
      <w:r>
        <w:rPr>
          <w:rFonts w:ascii="仿宋_GB2312" w:hAnsi="Times New Roman" w:eastAsia="仿宋_GB2312"/>
          <w:color w:val="auto"/>
          <w:sz w:val="24"/>
          <w:szCs w:val="24"/>
          <w:u w:val="single"/>
        </w:rPr>
        <w:t>代理机构名称</w:t>
      </w:r>
      <w:r>
        <w:rPr>
          <w:rFonts w:hint="eastAsia" w:ascii="仿宋_GB2312" w:hAnsi="Times New Roman" w:eastAsia="仿宋_GB2312"/>
          <w:color w:val="auto"/>
          <w:sz w:val="24"/>
          <w:szCs w:val="24"/>
          <w:u w:val="single"/>
        </w:rPr>
        <w:t>）</w:t>
      </w:r>
      <w:r>
        <w:rPr>
          <w:rFonts w:hint="eastAsia" w:ascii="仿宋_GB2312" w:hAnsi="Times New Roman" w:eastAsia="仿宋_GB2312"/>
          <w:color w:val="auto"/>
          <w:sz w:val="24"/>
          <w:szCs w:val="24"/>
        </w:rPr>
        <w:t>后，联合体各方不得以任何形式对上述实质内容进行修改或撤销。</w:t>
      </w:r>
    </w:p>
    <w:p>
      <w:pPr>
        <w:pStyle w:val="12"/>
        <w:spacing w:line="360" w:lineRule="auto"/>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七、本协议一式</w:t>
      </w:r>
      <w:r>
        <w:rPr>
          <w:rFonts w:hint="eastAsia" w:ascii="仿宋_GB2312" w:hAnsi="Times New Roman" w:eastAsia="仿宋_GB2312"/>
          <w:color w:val="auto"/>
          <w:sz w:val="24"/>
          <w:szCs w:val="24"/>
          <w:u w:val="single"/>
        </w:rPr>
        <w:t xml:space="preserve">   </w:t>
      </w:r>
      <w:r>
        <w:rPr>
          <w:rFonts w:hint="eastAsia" w:ascii="仿宋_GB2312" w:hAnsi="Times New Roman" w:eastAsia="仿宋_GB2312"/>
          <w:color w:val="auto"/>
          <w:sz w:val="24"/>
          <w:szCs w:val="24"/>
        </w:rPr>
        <w:t>份，签约各方各持一份，提交</w:t>
      </w:r>
      <w:r>
        <w:rPr>
          <w:rFonts w:hint="eastAsia" w:ascii="仿宋_GB2312" w:hAnsi="Times New Roman" w:eastAsia="仿宋_GB2312"/>
          <w:color w:val="auto"/>
          <w:sz w:val="24"/>
          <w:szCs w:val="24"/>
          <w:u w:val="single"/>
        </w:rPr>
        <w:t>（采购</w:t>
      </w:r>
      <w:r>
        <w:rPr>
          <w:rFonts w:ascii="仿宋_GB2312" w:hAnsi="Times New Roman" w:eastAsia="仿宋_GB2312"/>
          <w:color w:val="auto"/>
          <w:sz w:val="24"/>
          <w:szCs w:val="24"/>
          <w:u w:val="single"/>
        </w:rPr>
        <w:t>代理机构名称</w:t>
      </w:r>
      <w:r>
        <w:rPr>
          <w:rFonts w:hint="eastAsia" w:ascii="仿宋_GB2312" w:hAnsi="Times New Roman" w:eastAsia="仿宋_GB2312"/>
          <w:color w:val="auto"/>
          <w:sz w:val="24"/>
          <w:szCs w:val="24"/>
          <w:u w:val="single"/>
        </w:rPr>
        <w:t>）</w:t>
      </w:r>
      <w:r>
        <w:rPr>
          <w:rFonts w:hint="eastAsia" w:ascii="仿宋_GB2312" w:hAnsi="Times New Roman" w:eastAsia="仿宋_GB2312"/>
          <w:color w:val="auto"/>
          <w:sz w:val="24"/>
          <w:szCs w:val="24"/>
        </w:rPr>
        <w:t>一份。</w:t>
      </w:r>
    </w:p>
    <w:p>
      <w:pPr>
        <w:pStyle w:val="12"/>
        <w:spacing w:line="360" w:lineRule="auto"/>
        <w:ind w:firstLine="480" w:firstLineChars="200"/>
        <w:rPr>
          <w:rFonts w:hint="eastAsia" w:ascii="仿宋_GB2312" w:hAnsi="Times New Roman" w:eastAsia="仿宋_GB2312"/>
          <w:color w:val="auto"/>
          <w:sz w:val="24"/>
          <w:szCs w:val="24"/>
        </w:rPr>
      </w:pPr>
    </w:p>
    <w:tbl>
      <w:tblPr>
        <w:tblStyle w:val="26"/>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12"/>
              <w:spacing w:line="56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甲方单位：          （公章）</w:t>
            </w:r>
          </w:p>
          <w:p>
            <w:pPr>
              <w:pStyle w:val="12"/>
              <w:spacing w:line="560" w:lineRule="exact"/>
              <w:jc w:val="left"/>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法定代表人或委托代理人：</w:t>
            </w:r>
          </w:p>
          <w:p>
            <w:pPr>
              <w:pStyle w:val="12"/>
              <w:spacing w:line="560" w:lineRule="exact"/>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（签字或盖章）</w:t>
            </w:r>
          </w:p>
          <w:p>
            <w:pPr>
              <w:pStyle w:val="12"/>
              <w:spacing w:line="560" w:lineRule="exact"/>
              <w:ind w:firstLine="480" w:firstLineChars="200"/>
              <w:rPr>
                <w:rFonts w:hint="eastAsia" w:ascii="仿宋_GB2312" w:hAnsi="Times New Roman" w:eastAsia="仿宋_GB2312"/>
                <w:color w:val="auto"/>
                <w:sz w:val="24"/>
                <w:szCs w:val="24"/>
              </w:rPr>
            </w:pPr>
          </w:p>
          <w:p>
            <w:pPr>
              <w:pStyle w:val="12"/>
              <w:spacing w:line="560" w:lineRule="exact"/>
              <w:ind w:firstLine="480" w:firstLineChars="200"/>
              <w:rPr>
                <w:rFonts w:ascii="仿宋_GB2312" w:hAnsi="Times New Roman" w:eastAsia="仿宋_GB2312"/>
                <w:color w:val="auto"/>
                <w:sz w:val="24"/>
                <w:szCs w:val="24"/>
              </w:rPr>
            </w:pPr>
            <w:r>
              <w:rPr>
                <w:rFonts w:hint="eastAsia" w:ascii="仿宋_GB2312" w:hAnsi="Times New Roman" w:eastAsia="仿宋_GB2312"/>
                <w:color w:val="auto"/>
                <w:sz w:val="24"/>
                <w:szCs w:val="24"/>
              </w:rPr>
              <w:t>日期：    年</w:t>
            </w:r>
            <w:r>
              <w:rPr>
                <w:rFonts w:ascii="仿宋_GB2312" w:hAnsi="Times New Roman" w:eastAsia="仿宋_GB2312"/>
                <w:color w:val="auto"/>
                <w:sz w:val="24"/>
                <w:szCs w:val="24"/>
              </w:rPr>
              <w:t xml:space="preserve">  </w:t>
            </w:r>
            <w:r>
              <w:rPr>
                <w:rFonts w:hint="eastAsia" w:ascii="仿宋_GB2312" w:hAnsi="Times New Roman" w:eastAsia="仿宋_GB2312"/>
                <w:color w:val="auto"/>
                <w:sz w:val="24"/>
                <w:szCs w:val="24"/>
              </w:rPr>
              <w:t xml:space="preserve"> 月</w:t>
            </w:r>
            <w:r>
              <w:rPr>
                <w:rFonts w:ascii="仿宋_GB2312" w:hAnsi="Times New Roman" w:eastAsia="仿宋_GB2312"/>
                <w:color w:val="auto"/>
                <w:sz w:val="24"/>
                <w:szCs w:val="24"/>
              </w:rPr>
              <w:t xml:space="preserve">   </w:t>
            </w:r>
            <w:r>
              <w:rPr>
                <w:rFonts w:hint="eastAsia" w:ascii="仿宋_GB2312" w:hAnsi="Times New Roman" w:eastAsia="仿宋_GB2312"/>
                <w:color w:val="auto"/>
                <w:sz w:val="24"/>
                <w:szCs w:val="24"/>
              </w:rPr>
              <w:t>日</w:t>
            </w:r>
          </w:p>
        </w:tc>
        <w:tc>
          <w:tcPr>
            <w:tcW w:w="4264" w:type="dxa"/>
            <w:noWrap w:val="0"/>
            <w:vAlign w:val="top"/>
          </w:tcPr>
          <w:p>
            <w:pPr>
              <w:pStyle w:val="12"/>
              <w:spacing w:line="560" w:lineRule="exact"/>
              <w:rPr>
                <w:rFonts w:ascii="仿宋_GB2312" w:hAnsi="Times New Roman" w:eastAsia="仿宋_GB2312"/>
                <w:color w:val="auto"/>
                <w:sz w:val="24"/>
                <w:szCs w:val="24"/>
              </w:rPr>
            </w:pPr>
            <w:r>
              <w:rPr>
                <w:rFonts w:hint="eastAsia" w:ascii="仿宋_GB2312" w:hAnsi="Times New Roman" w:eastAsia="仿宋_GB2312"/>
                <w:color w:val="auto"/>
                <w:sz w:val="24"/>
                <w:szCs w:val="24"/>
              </w:rPr>
              <w:t>乙方单位：           （公章）</w:t>
            </w:r>
          </w:p>
          <w:p>
            <w:pPr>
              <w:pStyle w:val="12"/>
              <w:spacing w:line="560" w:lineRule="exact"/>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法定代表人或委托代理人：</w:t>
            </w:r>
          </w:p>
          <w:p>
            <w:pPr>
              <w:pStyle w:val="12"/>
              <w:spacing w:line="560" w:lineRule="exact"/>
              <w:rPr>
                <w:rFonts w:ascii="仿宋_GB2312" w:hAnsi="Times New Roman" w:eastAsia="仿宋_GB2312"/>
                <w:color w:val="auto"/>
                <w:sz w:val="24"/>
                <w:szCs w:val="24"/>
              </w:rPr>
            </w:pPr>
            <w:r>
              <w:rPr>
                <w:rFonts w:hint="eastAsia" w:ascii="仿宋_GB2312" w:hAnsi="Times New Roman" w:eastAsia="仿宋_GB2312"/>
                <w:color w:val="auto"/>
                <w:sz w:val="24"/>
                <w:szCs w:val="24"/>
              </w:rPr>
              <w:t>（签字或盖章）</w:t>
            </w:r>
          </w:p>
          <w:p>
            <w:pPr>
              <w:pStyle w:val="12"/>
              <w:spacing w:line="560" w:lineRule="exact"/>
              <w:ind w:firstLine="480" w:firstLineChars="200"/>
              <w:rPr>
                <w:rFonts w:hint="eastAsia" w:ascii="仿宋_GB2312" w:hAnsi="Times New Roman" w:eastAsia="仿宋_GB2312"/>
                <w:color w:val="auto"/>
                <w:sz w:val="24"/>
                <w:szCs w:val="24"/>
              </w:rPr>
            </w:pPr>
          </w:p>
          <w:p>
            <w:pPr>
              <w:pStyle w:val="12"/>
              <w:spacing w:line="560" w:lineRule="exact"/>
              <w:ind w:firstLine="480" w:firstLineChars="200"/>
              <w:rPr>
                <w:rFonts w:hint="eastAsia" w:ascii="仿宋_GB2312" w:hAnsi="Times New Roman" w:eastAsia="仿宋_GB2312"/>
                <w:color w:val="auto"/>
                <w:sz w:val="24"/>
                <w:szCs w:val="24"/>
              </w:rPr>
            </w:pPr>
            <w:r>
              <w:rPr>
                <w:rFonts w:hint="eastAsia" w:ascii="仿宋_GB2312" w:hAnsi="Times New Roman" w:eastAsia="仿宋_GB2312"/>
                <w:color w:val="auto"/>
                <w:sz w:val="24"/>
                <w:szCs w:val="24"/>
              </w:rPr>
              <w:t>日期：   年</w:t>
            </w:r>
            <w:r>
              <w:rPr>
                <w:rFonts w:ascii="仿宋_GB2312" w:hAnsi="Times New Roman" w:eastAsia="仿宋_GB2312"/>
                <w:color w:val="auto"/>
                <w:sz w:val="24"/>
                <w:szCs w:val="24"/>
              </w:rPr>
              <w:t xml:space="preserve"> </w:t>
            </w:r>
            <w:r>
              <w:rPr>
                <w:rFonts w:hint="eastAsia" w:ascii="仿宋_GB2312" w:hAnsi="Times New Roman" w:eastAsia="仿宋_GB2312"/>
                <w:color w:val="auto"/>
                <w:sz w:val="24"/>
                <w:szCs w:val="24"/>
              </w:rPr>
              <w:t xml:space="preserve"> </w:t>
            </w:r>
            <w:r>
              <w:rPr>
                <w:rFonts w:ascii="仿宋_GB2312" w:hAnsi="Times New Roman" w:eastAsia="仿宋_GB2312"/>
                <w:color w:val="auto"/>
                <w:sz w:val="24"/>
                <w:szCs w:val="24"/>
              </w:rPr>
              <w:t xml:space="preserve"> </w:t>
            </w:r>
            <w:r>
              <w:rPr>
                <w:rFonts w:hint="eastAsia" w:ascii="仿宋_GB2312" w:hAnsi="Times New Roman" w:eastAsia="仿宋_GB2312"/>
                <w:color w:val="auto"/>
                <w:sz w:val="24"/>
                <w:szCs w:val="24"/>
              </w:rPr>
              <w:t>月</w:t>
            </w:r>
            <w:r>
              <w:rPr>
                <w:rFonts w:ascii="仿宋_GB2312" w:hAnsi="Times New Roman" w:eastAsia="仿宋_GB2312"/>
                <w:color w:val="auto"/>
                <w:sz w:val="24"/>
                <w:szCs w:val="24"/>
              </w:rPr>
              <w:t xml:space="preserve">   </w:t>
            </w:r>
            <w:r>
              <w:rPr>
                <w:rFonts w:hint="eastAsia" w:ascii="仿宋_GB2312" w:hAnsi="Times New Roman" w:eastAsia="仿宋_GB2312"/>
                <w:color w:val="auto"/>
                <w:sz w:val="24"/>
                <w:szCs w:val="24"/>
              </w:rPr>
              <w:t>日</w:t>
            </w:r>
          </w:p>
        </w:tc>
      </w:tr>
    </w:tbl>
    <w:p>
      <w:pPr>
        <w:pStyle w:val="12"/>
        <w:jc w:val="left"/>
        <w:rPr>
          <w:rFonts w:ascii="仿宋_GB2312" w:hAnsi="Times New Roman" w:eastAsia="仿宋_GB2312"/>
          <w:b/>
          <w:color w:val="auto"/>
          <w:sz w:val="24"/>
          <w:szCs w:val="24"/>
        </w:rPr>
      </w:pPr>
    </w:p>
    <w:p>
      <w:pPr>
        <w:pStyle w:val="12"/>
        <w:jc w:val="left"/>
        <w:rPr>
          <w:rFonts w:hint="eastAsia" w:ascii="仿宋_GB2312" w:hAnsi="Times New Roman" w:eastAsia="仿宋_GB2312"/>
          <w:color w:val="auto"/>
          <w:sz w:val="24"/>
          <w:szCs w:val="24"/>
        </w:rPr>
      </w:pPr>
      <w:r>
        <w:rPr>
          <w:rFonts w:hint="eastAsia" w:ascii="仿宋" w:hAnsi="仿宋" w:eastAsia="仿宋"/>
          <w:color w:val="auto"/>
          <w:sz w:val="24"/>
          <w:szCs w:val="24"/>
        </w:rPr>
        <w:t>▲</w:t>
      </w:r>
      <w:r>
        <w:rPr>
          <w:rFonts w:hint="eastAsia" w:ascii="仿宋_GB2312" w:hAnsi="Times New Roman" w:eastAsia="仿宋_GB2312"/>
          <w:b/>
          <w:color w:val="auto"/>
          <w:sz w:val="24"/>
          <w:szCs w:val="24"/>
        </w:rPr>
        <w:t>注</w:t>
      </w:r>
      <w:r>
        <w:rPr>
          <w:rFonts w:ascii="仿宋_GB2312" w:hAnsi="Times New Roman" w:eastAsia="仿宋_GB2312"/>
          <w:b/>
          <w:color w:val="auto"/>
          <w:sz w:val="24"/>
          <w:szCs w:val="24"/>
        </w:rPr>
        <w:t>：</w:t>
      </w:r>
      <w:r>
        <w:rPr>
          <w:rFonts w:hint="eastAsia" w:ascii="仿宋_GB2312" w:hAnsi="Times New Roman" w:eastAsia="仿宋_GB2312"/>
          <w:color w:val="auto"/>
          <w:sz w:val="24"/>
          <w:szCs w:val="24"/>
        </w:rPr>
        <w:t>1、若是</w:t>
      </w:r>
      <w:r>
        <w:rPr>
          <w:rFonts w:ascii="仿宋_GB2312" w:hAnsi="Times New Roman" w:eastAsia="仿宋_GB2312"/>
          <w:color w:val="auto"/>
          <w:sz w:val="24"/>
          <w:szCs w:val="24"/>
        </w:rPr>
        <w:t>联合体</w:t>
      </w:r>
      <w:r>
        <w:rPr>
          <w:rFonts w:hint="eastAsia" w:ascii="仿宋_GB2312" w:hAnsi="Times New Roman" w:eastAsia="仿宋_GB2312"/>
          <w:color w:val="auto"/>
          <w:sz w:val="24"/>
          <w:szCs w:val="24"/>
        </w:rPr>
        <w:t>参与响应</w:t>
      </w:r>
      <w:r>
        <w:rPr>
          <w:rFonts w:ascii="仿宋_GB2312" w:hAnsi="Times New Roman" w:eastAsia="仿宋_GB2312"/>
          <w:color w:val="auto"/>
          <w:sz w:val="24"/>
          <w:szCs w:val="24"/>
        </w:rPr>
        <w:t>的，须提供本协议</w:t>
      </w:r>
      <w:r>
        <w:rPr>
          <w:rFonts w:hint="eastAsia" w:ascii="仿宋_GB2312" w:hAnsi="Times New Roman" w:eastAsia="仿宋_GB2312"/>
          <w:color w:val="auto"/>
          <w:sz w:val="24"/>
          <w:szCs w:val="24"/>
        </w:rPr>
        <w:t>；</w:t>
      </w:r>
    </w:p>
    <w:p>
      <w:pPr>
        <w:pStyle w:val="38"/>
        <w:jc w:val="left"/>
        <w:rPr>
          <w:rFonts w:ascii="仿宋_GB2312" w:hAnsi="Times New Roman" w:eastAsia="仿宋_GB2312"/>
          <w:color w:val="auto"/>
          <w:sz w:val="24"/>
          <w:szCs w:val="21"/>
        </w:rPr>
      </w:pPr>
      <w:r>
        <w:rPr>
          <w:rFonts w:hint="eastAsia" w:ascii="仿宋_GB2312" w:hAnsi="Times New Roman" w:eastAsia="仿宋_GB2312"/>
          <w:color w:val="auto"/>
          <w:sz w:val="24"/>
          <w:szCs w:val="24"/>
          <w:lang w:eastAsia="zh-CN"/>
        </w:rPr>
        <w:t xml:space="preserve">      2、</w:t>
      </w:r>
      <w:r>
        <w:rPr>
          <w:rFonts w:hint="eastAsia" w:ascii="仿宋_GB2312" w:hAnsi="Times New Roman" w:eastAsia="仿宋_GB2312"/>
          <w:color w:val="auto"/>
          <w:sz w:val="24"/>
          <w:szCs w:val="24"/>
        </w:rPr>
        <w:t>联合体</w:t>
      </w:r>
      <w:r>
        <w:rPr>
          <w:rFonts w:ascii="仿宋_GB2312" w:hAnsi="Times New Roman" w:eastAsia="仿宋_GB2312"/>
          <w:color w:val="auto"/>
          <w:sz w:val="24"/>
          <w:szCs w:val="24"/>
        </w:rPr>
        <w:t>响应的</w:t>
      </w:r>
      <w:r>
        <w:rPr>
          <w:rFonts w:hint="eastAsia" w:ascii="仿宋_GB2312" w:hAnsi="Times New Roman" w:eastAsia="仿宋_GB2312"/>
          <w:color w:val="auto"/>
          <w:sz w:val="24"/>
          <w:szCs w:val="24"/>
        </w:rPr>
        <w:t>：联合体各方均需</w:t>
      </w:r>
      <w:r>
        <w:rPr>
          <w:rFonts w:ascii="仿宋_GB2312" w:hAnsi="Times New Roman" w:eastAsia="仿宋_GB2312"/>
          <w:color w:val="auto"/>
          <w:sz w:val="24"/>
          <w:szCs w:val="24"/>
        </w:rPr>
        <w:t>提供</w:t>
      </w:r>
      <w:r>
        <w:rPr>
          <w:rFonts w:hint="eastAsia" w:ascii="仿宋_GB2312" w:hAnsi="Times New Roman" w:eastAsia="仿宋_GB2312"/>
          <w:color w:val="auto"/>
          <w:sz w:val="24"/>
          <w:szCs w:val="24"/>
        </w:rPr>
        <w:t>营业执照电子文档、</w:t>
      </w:r>
      <w:r>
        <w:rPr>
          <w:rFonts w:hint="eastAsia" w:ascii="仿宋_GB2312" w:hAnsi="Times New Roman" w:eastAsia="仿宋_GB2312"/>
          <w:color w:val="auto"/>
          <w:sz w:val="24"/>
          <w:szCs w:val="24"/>
          <w:lang w:eastAsia="zh-CN"/>
        </w:rPr>
        <w:t>法定</w:t>
      </w:r>
      <w:r>
        <w:rPr>
          <w:rFonts w:ascii="仿宋_GB2312" w:hAnsi="Times New Roman" w:eastAsia="仿宋_GB2312"/>
          <w:color w:val="auto"/>
          <w:sz w:val="24"/>
          <w:szCs w:val="24"/>
          <w:lang w:eastAsia="zh-CN"/>
        </w:rPr>
        <w:t>代表人（</w:t>
      </w:r>
      <w:r>
        <w:rPr>
          <w:rFonts w:hint="eastAsia" w:ascii="仿宋_GB2312" w:hAnsi="Times New Roman" w:eastAsia="仿宋_GB2312"/>
          <w:color w:val="auto"/>
          <w:sz w:val="24"/>
          <w:szCs w:val="24"/>
          <w:lang w:eastAsia="zh-CN"/>
        </w:rPr>
        <w:t>或</w:t>
      </w:r>
      <w:r>
        <w:rPr>
          <w:rFonts w:ascii="仿宋_GB2312" w:hAnsi="Times New Roman" w:eastAsia="仿宋_GB2312"/>
          <w:color w:val="auto"/>
          <w:sz w:val="24"/>
          <w:szCs w:val="24"/>
          <w:lang w:eastAsia="zh-CN"/>
        </w:rPr>
        <w:t>负责人）</w:t>
      </w:r>
      <w:r>
        <w:rPr>
          <w:rFonts w:hint="eastAsia" w:ascii="仿宋_GB2312" w:hAnsi="Times New Roman" w:eastAsia="仿宋_GB2312"/>
          <w:color w:val="auto"/>
          <w:sz w:val="24"/>
          <w:szCs w:val="24"/>
          <w:lang w:eastAsia="zh-CN"/>
        </w:rPr>
        <w:t>身份证</w:t>
      </w:r>
      <w:r>
        <w:rPr>
          <w:rFonts w:ascii="仿宋_GB2312" w:hAnsi="Times New Roman" w:eastAsia="仿宋_GB2312"/>
          <w:color w:val="auto"/>
          <w:sz w:val="24"/>
          <w:szCs w:val="24"/>
          <w:lang w:eastAsia="zh-CN"/>
        </w:rPr>
        <w:t>电子文档、</w:t>
      </w:r>
      <w:r>
        <w:rPr>
          <w:rFonts w:hint="eastAsia" w:ascii="仿宋_GB2312" w:hAnsi="Times New Roman" w:eastAsia="仿宋_GB2312"/>
          <w:color w:val="auto"/>
          <w:sz w:val="24"/>
          <w:szCs w:val="24"/>
        </w:rPr>
        <w:t>财务</w:t>
      </w:r>
      <w:r>
        <w:rPr>
          <w:rFonts w:hint="eastAsia" w:ascii="仿宋_GB2312" w:hAnsi="Times New Roman" w:eastAsia="仿宋_GB2312"/>
          <w:color w:val="auto"/>
          <w:sz w:val="24"/>
          <w:szCs w:val="24"/>
          <w:lang w:eastAsia="zh-CN"/>
        </w:rPr>
        <w:t>状况</w:t>
      </w:r>
      <w:r>
        <w:rPr>
          <w:rFonts w:hint="eastAsia" w:ascii="仿宋_GB2312" w:hAnsi="Times New Roman" w:eastAsia="仿宋_GB2312"/>
          <w:color w:val="auto"/>
          <w:sz w:val="24"/>
          <w:szCs w:val="24"/>
        </w:rPr>
        <w:t>报告、依法缴纳税收和社会保障资金、</w:t>
      </w:r>
      <w:r>
        <w:rPr>
          <w:rFonts w:ascii="仿宋_GB2312" w:hAnsi="Times New Roman" w:eastAsia="仿宋_GB2312"/>
          <w:color w:val="auto"/>
          <w:sz w:val="24"/>
          <w:szCs w:val="24"/>
        </w:rPr>
        <w:t>资格证明、无重大违法</w:t>
      </w:r>
      <w:r>
        <w:rPr>
          <w:rFonts w:hint="eastAsia" w:ascii="仿宋_GB2312" w:hAnsi="Times New Roman" w:eastAsia="仿宋_GB2312"/>
          <w:color w:val="auto"/>
          <w:sz w:val="24"/>
          <w:szCs w:val="24"/>
        </w:rPr>
        <w:t>记录</w:t>
      </w:r>
      <w:r>
        <w:rPr>
          <w:rFonts w:ascii="仿宋_GB2312" w:hAnsi="Times New Roman" w:eastAsia="仿宋_GB2312"/>
          <w:color w:val="auto"/>
          <w:sz w:val="24"/>
          <w:szCs w:val="24"/>
        </w:rPr>
        <w:t>声明书</w:t>
      </w:r>
      <w:r>
        <w:rPr>
          <w:rFonts w:hint="eastAsia" w:ascii="仿宋_GB2312" w:hAnsi="Times New Roman" w:eastAsia="仿宋_GB2312"/>
          <w:color w:val="auto"/>
          <w:sz w:val="24"/>
          <w:szCs w:val="24"/>
        </w:rPr>
        <w:t>等</w:t>
      </w:r>
      <w:r>
        <w:rPr>
          <w:rFonts w:ascii="仿宋_GB2312" w:hAnsi="Times New Roman" w:eastAsia="仿宋_GB2312"/>
          <w:color w:val="auto"/>
          <w:sz w:val="24"/>
          <w:szCs w:val="24"/>
        </w:rPr>
        <w:t>相关</w:t>
      </w:r>
      <w:r>
        <w:rPr>
          <w:rFonts w:hint="eastAsia" w:ascii="仿宋_GB2312" w:hAnsi="Times New Roman" w:eastAsia="仿宋_GB2312"/>
          <w:color w:val="auto"/>
          <w:sz w:val="24"/>
          <w:szCs w:val="24"/>
        </w:rPr>
        <w:t>材料。</w:t>
      </w:r>
    </w:p>
    <w:p>
      <w:pPr>
        <w:pStyle w:val="38"/>
        <w:spacing w:line="360" w:lineRule="auto"/>
        <w:jc w:val="center"/>
        <w:rPr>
          <w:rFonts w:ascii="仿宋_GB2312" w:hAnsi="Times New Roman" w:eastAsia="仿宋_GB2312"/>
          <w:b/>
          <w:color w:val="auto"/>
          <w:sz w:val="24"/>
          <w:szCs w:val="21"/>
        </w:rPr>
      </w:pPr>
    </w:p>
    <w:p>
      <w:pPr>
        <w:pStyle w:val="38"/>
        <w:spacing w:line="360" w:lineRule="auto"/>
        <w:jc w:val="center"/>
        <w:rPr>
          <w:rFonts w:ascii="仿宋_GB2312" w:hAnsi="Times New Roman" w:eastAsia="仿宋_GB2312"/>
          <w:b/>
          <w:color w:val="auto"/>
          <w:sz w:val="24"/>
          <w:szCs w:val="21"/>
        </w:rPr>
      </w:pPr>
    </w:p>
    <w:p>
      <w:pPr>
        <w:pStyle w:val="38"/>
        <w:spacing w:line="360" w:lineRule="auto"/>
        <w:jc w:val="center"/>
        <w:rPr>
          <w:rFonts w:ascii="仿宋_GB2312" w:hAnsi="Times New Roman" w:eastAsia="仿宋_GB2312"/>
          <w:b/>
          <w:color w:val="auto"/>
          <w:sz w:val="24"/>
          <w:szCs w:val="21"/>
        </w:rPr>
      </w:pPr>
    </w:p>
    <w:p>
      <w:pPr>
        <w:pStyle w:val="38"/>
        <w:spacing w:line="360" w:lineRule="auto"/>
        <w:jc w:val="center"/>
        <w:rPr>
          <w:rFonts w:ascii="仿宋_GB2312" w:hAnsi="Times New Roman" w:eastAsia="仿宋_GB2312"/>
          <w:b/>
          <w:color w:val="auto"/>
          <w:sz w:val="24"/>
          <w:szCs w:val="21"/>
        </w:rPr>
      </w:pPr>
    </w:p>
    <w:p>
      <w:pPr>
        <w:pStyle w:val="38"/>
        <w:spacing w:line="360" w:lineRule="auto"/>
        <w:jc w:val="center"/>
        <w:rPr>
          <w:rFonts w:ascii="仿宋_GB2312" w:hAnsi="Times New Roman" w:eastAsia="仿宋_GB2312"/>
          <w:b/>
          <w:color w:val="auto"/>
          <w:sz w:val="24"/>
          <w:szCs w:val="21"/>
        </w:rPr>
      </w:pPr>
    </w:p>
    <w:p>
      <w:pPr>
        <w:pStyle w:val="38"/>
        <w:spacing w:line="360" w:lineRule="auto"/>
        <w:jc w:val="center"/>
        <w:rPr>
          <w:rFonts w:ascii="仿宋_GB2312" w:eastAsia="仿宋_GB2312"/>
          <w:color w:val="auto"/>
          <w:sz w:val="24"/>
          <w:szCs w:val="24"/>
        </w:rPr>
      </w:pPr>
    </w:p>
    <w:p>
      <w:pPr>
        <w:pStyle w:val="5"/>
        <w:spacing w:before="0" w:after="0"/>
        <w:ind w:firstLine="0" w:firstLineChars="0"/>
        <w:jc w:val="left"/>
        <w:rPr>
          <w:rFonts w:hAnsi="宋体"/>
          <w:color w:val="auto"/>
          <w:sz w:val="24"/>
          <w:szCs w:val="24"/>
        </w:rPr>
      </w:pPr>
      <w:bookmarkStart w:id="190" w:name="_Toc531359052"/>
      <w:bookmarkStart w:id="191" w:name="_Toc83214153"/>
      <w:bookmarkStart w:id="192" w:name="_Toc69476912"/>
      <w:r>
        <w:rPr>
          <w:rFonts w:hAnsi="宋体"/>
          <w:color w:val="auto"/>
          <w:sz w:val="24"/>
          <w:szCs w:val="24"/>
        </w:rPr>
        <w:t xml:space="preserve">1.8    </w:t>
      </w:r>
      <w:bookmarkEnd w:id="190"/>
      <w:r>
        <w:rPr>
          <w:rFonts w:hint="eastAsia" w:hAnsi="宋体"/>
          <w:color w:val="auto"/>
          <w:sz w:val="24"/>
          <w:szCs w:val="24"/>
        </w:rPr>
        <w:t>特定</w:t>
      </w:r>
      <w:r>
        <w:rPr>
          <w:rFonts w:hAnsi="宋体"/>
          <w:color w:val="auto"/>
          <w:sz w:val="24"/>
          <w:szCs w:val="24"/>
        </w:rPr>
        <w:t>资格条</w:t>
      </w:r>
      <w:r>
        <w:rPr>
          <w:rFonts w:hint="eastAsia" w:hAnsi="宋体"/>
          <w:color w:val="auto"/>
          <w:sz w:val="24"/>
          <w:szCs w:val="24"/>
        </w:rPr>
        <w:t>件</w:t>
      </w:r>
      <w:r>
        <w:rPr>
          <w:rFonts w:hAnsi="宋体"/>
          <w:color w:val="auto"/>
          <w:sz w:val="24"/>
          <w:szCs w:val="24"/>
        </w:rPr>
        <w:t>证明</w:t>
      </w:r>
      <w:r>
        <w:rPr>
          <w:rFonts w:hint="eastAsia" w:hAnsi="宋体"/>
          <w:color w:val="auto"/>
          <w:sz w:val="24"/>
          <w:szCs w:val="24"/>
        </w:rPr>
        <w:t>材料附件（若有）</w:t>
      </w:r>
      <w:bookmarkEnd w:id="191"/>
      <w:bookmarkEnd w:id="192"/>
    </w:p>
    <w:p>
      <w:pPr>
        <w:pStyle w:val="2"/>
        <w:spacing w:line="360" w:lineRule="auto"/>
        <w:ind w:firstLine="0"/>
        <w:jc w:val="left"/>
        <w:rPr>
          <w:rFonts w:hint="eastAsia"/>
          <w:color w:val="auto"/>
        </w:rPr>
      </w:pPr>
    </w:p>
    <w:p>
      <w:pPr>
        <w:rPr>
          <w:rFonts w:hint="eastAsia" w:ascii="仿宋_GB2312" w:hAnsi="Times New Roman" w:eastAsia="仿宋_GB2312" w:cs="Times New Roman"/>
          <w:color w:val="auto"/>
          <w:kern w:val="2"/>
          <w:sz w:val="24"/>
          <w:szCs w:val="24"/>
          <w:lang w:val="en-US" w:eastAsia="zh-CN" w:bidi="ar-SA"/>
        </w:rPr>
      </w:pPr>
      <w:r>
        <w:rPr>
          <w:rFonts w:hint="eastAsia" w:ascii="仿宋_GB2312" w:hAnsi="Times New Roman" w:eastAsia="仿宋_GB2312" w:cs="Times New Roman"/>
          <w:color w:val="auto"/>
          <w:kern w:val="2"/>
          <w:sz w:val="24"/>
          <w:szCs w:val="24"/>
          <w:lang w:val="en-US" w:eastAsia="zh-CN" w:bidi="ar-SA"/>
        </w:rPr>
        <w:t>地理信息系统工程专业和界线与不动产测绘专业乙级及以上测绘资质证书扫描件</w:t>
      </w:r>
    </w:p>
    <w:p>
      <w:pPr>
        <w:pStyle w:val="2"/>
        <w:rPr>
          <w:rFonts w:hint="eastAsia" w:ascii="仿宋_GB2312" w:hAnsi="Times New Roman" w:eastAsia="仿宋_GB2312" w:cs="Times New Roman"/>
          <w:color w:val="auto"/>
          <w:kern w:val="2"/>
          <w:sz w:val="24"/>
          <w:szCs w:val="24"/>
          <w:lang w:val="en-US" w:eastAsia="zh-CN" w:bidi="ar-SA"/>
        </w:rPr>
      </w:pPr>
    </w:p>
    <w:p>
      <w:pPr>
        <w:rPr>
          <w:rFonts w:hint="eastAsia" w:ascii="仿宋_GB2312" w:hAnsi="Times New Roman" w:eastAsia="仿宋_GB2312" w:cs="Times New Roman"/>
          <w:color w:val="auto"/>
          <w:kern w:val="2"/>
          <w:sz w:val="24"/>
          <w:szCs w:val="24"/>
          <w:lang w:val="en-US" w:eastAsia="zh-CN" w:bidi="ar-SA"/>
        </w:rPr>
      </w:pPr>
    </w:p>
    <w:p>
      <w:pPr>
        <w:pStyle w:val="2"/>
        <w:rPr>
          <w:rFonts w:hint="eastAsia" w:ascii="仿宋_GB2312" w:hAnsi="Times New Roman" w:eastAsia="仿宋_GB2312" w:cs="Times New Roman"/>
          <w:color w:val="auto"/>
          <w:kern w:val="2"/>
          <w:sz w:val="24"/>
          <w:szCs w:val="24"/>
          <w:lang w:val="en-US" w:eastAsia="zh-CN" w:bidi="ar-SA"/>
        </w:rPr>
      </w:pPr>
    </w:p>
    <w:p>
      <w:pPr>
        <w:rPr>
          <w:rFonts w:hint="eastAsia" w:ascii="仿宋_GB2312" w:hAnsi="Times New Roman" w:eastAsia="仿宋_GB2312" w:cs="Times New Roman"/>
          <w:color w:val="auto"/>
          <w:kern w:val="2"/>
          <w:sz w:val="24"/>
          <w:szCs w:val="24"/>
          <w:lang w:val="en-US" w:eastAsia="zh-CN" w:bidi="ar-SA"/>
        </w:rPr>
      </w:pPr>
    </w:p>
    <w:p>
      <w:pPr>
        <w:pStyle w:val="2"/>
        <w:rPr>
          <w:rFonts w:hint="eastAsia" w:ascii="仿宋_GB2312" w:hAnsi="Times New Roman" w:eastAsia="仿宋_GB2312" w:cs="Times New Roman"/>
          <w:color w:val="auto"/>
          <w:kern w:val="2"/>
          <w:sz w:val="24"/>
          <w:szCs w:val="24"/>
          <w:lang w:val="en-US" w:eastAsia="zh-CN" w:bidi="ar-SA"/>
        </w:rPr>
      </w:pPr>
    </w:p>
    <w:p>
      <w:pPr>
        <w:rPr>
          <w:rFonts w:hint="eastAsia" w:ascii="仿宋_GB2312" w:hAnsi="Times New Roman" w:eastAsia="仿宋_GB2312" w:cs="Times New Roman"/>
          <w:color w:val="auto"/>
          <w:kern w:val="2"/>
          <w:sz w:val="24"/>
          <w:szCs w:val="24"/>
          <w:lang w:val="en-US" w:eastAsia="zh-CN" w:bidi="ar-SA"/>
        </w:rPr>
      </w:pPr>
    </w:p>
    <w:p>
      <w:pPr>
        <w:pStyle w:val="2"/>
        <w:rPr>
          <w:rFonts w:hint="eastAsia" w:ascii="仿宋_GB2312" w:hAnsi="Times New Roman" w:eastAsia="仿宋_GB2312" w:cs="Times New Roman"/>
          <w:color w:val="auto"/>
          <w:kern w:val="2"/>
          <w:sz w:val="24"/>
          <w:szCs w:val="24"/>
          <w:lang w:val="en-US" w:eastAsia="zh-CN" w:bidi="ar-SA"/>
        </w:rPr>
      </w:pPr>
    </w:p>
    <w:p>
      <w:pPr>
        <w:rPr>
          <w:rFonts w:hint="eastAsia" w:ascii="仿宋_GB2312" w:hAnsi="Times New Roman" w:eastAsia="仿宋_GB2312" w:cs="Times New Roman"/>
          <w:color w:val="auto"/>
          <w:kern w:val="2"/>
          <w:sz w:val="24"/>
          <w:szCs w:val="24"/>
          <w:lang w:val="en-US" w:eastAsia="zh-CN" w:bidi="ar-SA"/>
        </w:rPr>
      </w:pPr>
    </w:p>
    <w:p>
      <w:pPr>
        <w:pStyle w:val="2"/>
        <w:rPr>
          <w:rFonts w:hint="eastAsia"/>
          <w:color w:val="auto"/>
          <w:lang w:val="en-US" w:eastAsia="zh-CN"/>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1.</w:t>
      </w:r>
      <w:r>
        <w:rPr>
          <w:rFonts w:hint="eastAsia" w:ascii="仿宋" w:hAnsi="仿宋" w:eastAsia="仿宋" w:cs="仿宋"/>
          <w:b/>
          <w:bCs/>
          <w:color w:val="auto"/>
          <w:sz w:val="24"/>
          <w:szCs w:val="24"/>
          <w:lang w:val="en-US" w:eastAsia="zh-CN"/>
        </w:rPr>
        <w:t>9</w:t>
      </w:r>
      <w:r>
        <w:rPr>
          <w:rFonts w:hint="eastAsia" w:ascii="仿宋" w:hAnsi="仿宋" w:eastAsia="仿宋" w:cs="仿宋"/>
          <w:b/>
          <w:bCs/>
          <w:color w:val="auto"/>
          <w:sz w:val="24"/>
          <w:szCs w:val="24"/>
        </w:rPr>
        <w:t xml:space="preserve">  其他</w:t>
      </w:r>
    </w:p>
    <w:p>
      <w:pPr>
        <w:pStyle w:val="38"/>
        <w:spacing w:line="360" w:lineRule="auto"/>
        <w:jc w:val="center"/>
        <w:rPr>
          <w:rFonts w:ascii="仿宋_GB2312" w:eastAsia="仿宋_GB2312"/>
          <w:color w:val="auto"/>
          <w:sz w:val="24"/>
          <w:szCs w:val="24"/>
        </w:rPr>
      </w:pPr>
      <w:r>
        <w:rPr>
          <w:rFonts w:hint="eastAsia" w:ascii="仿宋_GB2312" w:eastAsia="仿宋_GB2312"/>
          <w:color w:val="auto"/>
          <w:sz w:val="24"/>
          <w:szCs w:val="24"/>
        </w:rPr>
        <w:t>（格式自行设计）</w:t>
      </w:r>
    </w:p>
    <w:p>
      <w:pPr>
        <w:pStyle w:val="37"/>
        <w:spacing w:line="360" w:lineRule="auto"/>
        <w:ind w:left="420"/>
        <w:rPr>
          <w:rFonts w:ascii="仿宋_GB2312" w:eastAsia="仿宋_GB2312"/>
          <w:color w:val="auto"/>
          <w:spacing w:val="6"/>
          <w:sz w:val="24"/>
          <w:szCs w:val="24"/>
        </w:rPr>
      </w:pPr>
      <w:r>
        <w:rPr>
          <w:rFonts w:hint="eastAsia" w:ascii="仿宋_GB2312" w:eastAsia="仿宋_GB2312"/>
          <w:color w:val="auto"/>
          <w:spacing w:val="6"/>
          <w:sz w:val="24"/>
          <w:szCs w:val="24"/>
        </w:rPr>
        <w:t xml:space="preserve"> </w:t>
      </w:r>
    </w:p>
    <w:p>
      <w:pPr>
        <w:pStyle w:val="37"/>
        <w:spacing w:line="360" w:lineRule="auto"/>
        <w:ind w:left="420"/>
        <w:jc w:val="center"/>
        <w:rPr>
          <w:rFonts w:ascii="仿宋_GB2312" w:eastAsia="仿宋_GB2312"/>
          <w:color w:val="auto"/>
          <w:spacing w:val="6"/>
          <w:sz w:val="24"/>
          <w:szCs w:val="24"/>
        </w:rPr>
      </w:pPr>
      <w:r>
        <w:rPr>
          <w:rFonts w:hint="eastAsia" w:ascii="仿宋_GB2312" w:eastAsia="仿宋_GB2312"/>
          <w:color w:val="auto"/>
          <w:spacing w:val="6"/>
          <w:sz w:val="24"/>
          <w:szCs w:val="24"/>
        </w:rPr>
        <w:t>（供应商认为有利于其本次响应的其它资格证明材料等。）</w:t>
      </w:r>
    </w:p>
    <w:p>
      <w:pPr>
        <w:pStyle w:val="37"/>
        <w:spacing w:line="360" w:lineRule="auto"/>
        <w:ind w:left="420"/>
        <w:jc w:val="center"/>
        <w:rPr>
          <w:rFonts w:ascii="仿宋_GB2312" w:eastAsia="仿宋_GB2312"/>
          <w:color w:val="auto"/>
          <w:spacing w:val="6"/>
          <w:sz w:val="24"/>
          <w:szCs w:val="24"/>
        </w:rPr>
      </w:pPr>
      <w:r>
        <w:rPr>
          <w:rFonts w:hint="eastAsia" w:ascii="仿宋_GB2312" w:eastAsia="仿宋_GB2312"/>
          <w:color w:val="auto"/>
          <w:spacing w:val="6"/>
          <w:sz w:val="24"/>
          <w:szCs w:val="24"/>
        </w:rPr>
        <w:t xml:space="preserve"> </w:t>
      </w:r>
    </w:p>
    <w:p>
      <w:pPr>
        <w:pStyle w:val="37"/>
        <w:spacing w:line="360" w:lineRule="auto"/>
        <w:ind w:left="420"/>
        <w:jc w:val="center"/>
        <w:rPr>
          <w:rFonts w:ascii="仿宋_GB2312" w:eastAsia="仿宋_GB2312"/>
          <w:color w:val="auto"/>
          <w:spacing w:val="6"/>
          <w:sz w:val="24"/>
          <w:szCs w:val="24"/>
        </w:rPr>
      </w:pPr>
      <w:r>
        <w:rPr>
          <w:rFonts w:hint="eastAsia" w:ascii="仿宋_GB2312" w:eastAsia="仿宋_GB2312"/>
          <w:color w:val="auto"/>
          <w:spacing w:val="6"/>
          <w:sz w:val="24"/>
          <w:szCs w:val="24"/>
        </w:rPr>
        <w:t xml:space="preserve"> </w:t>
      </w:r>
    </w:p>
    <w:p>
      <w:pPr>
        <w:pStyle w:val="37"/>
        <w:spacing w:line="360" w:lineRule="auto"/>
        <w:ind w:left="420"/>
        <w:jc w:val="center"/>
        <w:rPr>
          <w:rFonts w:ascii="仿宋_GB2312" w:eastAsia="仿宋_GB2312"/>
          <w:color w:val="auto"/>
          <w:spacing w:val="6"/>
          <w:sz w:val="24"/>
          <w:szCs w:val="24"/>
        </w:rPr>
      </w:pPr>
      <w:r>
        <w:rPr>
          <w:rFonts w:hint="eastAsia" w:ascii="仿宋_GB2312" w:eastAsia="仿宋_GB2312"/>
          <w:color w:val="auto"/>
          <w:spacing w:val="6"/>
          <w:sz w:val="24"/>
          <w:szCs w:val="24"/>
        </w:rPr>
        <w:t xml:space="preserve"> </w:t>
      </w:r>
    </w:p>
    <w:p>
      <w:pPr>
        <w:rPr>
          <w:color w:val="auto"/>
        </w:rPr>
      </w:pPr>
    </w:p>
    <w:p>
      <w:pPr>
        <w:rPr>
          <w:color w:val="auto"/>
        </w:rPr>
      </w:pPr>
    </w:p>
    <w:p>
      <w:pPr>
        <w:pStyle w:val="24"/>
        <w:rPr>
          <w:color w:val="auto"/>
        </w:rPr>
      </w:pPr>
    </w:p>
    <w:p>
      <w:pPr>
        <w:rPr>
          <w:color w:val="auto"/>
        </w:rPr>
      </w:pPr>
    </w:p>
    <w:p>
      <w:pPr>
        <w:widowControl/>
        <w:jc w:val="left"/>
        <w:rPr>
          <w:color w:val="auto"/>
        </w:rPr>
      </w:pPr>
    </w:p>
    <w:p>
      <w:pPr>
        <w:rPr>
          <w:color w:val="auto"/>
        </w:rPr>
      </w:pPr>
    </w:p>
    <w:p>
      <w:pPr>
        <w:pStyle w:val="24"/>
        <w:spacing w:beforeLines="100" w:after="240" w:afterLines="100"/>
        <w:outlineLvl w:val="1"/>
        <w:rPr>
          <w:rFonts w:ascii="仿宋_GB2312" w:eastAsia="仿宋_GB2312"/>
          <w:color w:val="auto"/>
          <w:sz w:val="44"/>
          <w:szCs w:val="44"/>
        </w:rPr>
      </w:pPr>
      <w:bookmarkStart w:id="193" w:name="_Toc105577186"/>
      <w:bookmarkStart w:id="194" w:name="_Toc5408"/>
      <w:r>
        <w:rPr>
          <w:rFonts w:hint="eastAsia" w:ascii="仿宋_GB2312" w:eastAsia="仿宋_GB2312"/>
          <w:color w:val="auto"/>
          <w:sz w:val="44"/>
          <w:szCs w:val="44"/>
        </w:rPr>
        <w:t>二  资信商务及技术文件格式</w:t>
      </w:r>
      <w:bookmarkEnd w:id="193"/>
      <w:bookmarkEnd w:id="194"/>
    </w:p>
    <w:p>
      <w:pPr>
        <w:pStyle w:val="24"/>
        <w:rPr>
          <w:color w:val="auto"/>
        </w:rPr>
      </w:pPr>
    </w:p>
    <w:p>
      <w:pPr>
        <w:rPr>
          <w:color w:val="auto"/>
        </w:rPr>
      </w:pPr>
    </w:p>
    <w:p>
      <w:pPr>
        <w:spacing w:line="360" w:lineRule="auto"/>
        <w:rPr>
          <w:rFonts w:ascii="仿宋" w:hAnsi="仿宋" w:eastAsia="仿宋" w:cs="仿宋"/>
          <w:b/>
          <w:bCs/>
          <w:color w:val="auto"/>
          <w:sz w:val="24"/>
          <w:szCs w:val="24"/>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2.1    资信商务及技术文件封面格式</w:t>
      </w:r>
    </w:p>
    <w:p>
      <w:pPr>
        <w:rPr>
          <w:rFonts w:ascii="Times New Roman" w:hAnsi="Times New Roman"/>
          <w:color w:val="auto"/>
          <w:szCs w:val="21"/>
        </w:rPr>
      </w:pPr>
      <w:r>
        <w:rPr>
          <w:rFonts w:hint="eastAsia" w:ascii="Times New Roman" w:hAnsi="Times New Roman"/>
          <w:color w:val="auto"/>
          <w:szCs w:val="21"/>
        </w:rPr>
        <w:t xml:space="preserve"> </w:t>
      </w:r>
    </w:p>
    <w:p>
      <w:pPr>
        <w:spacing w:line="360" w:lineRule="auto"/>
        <w:jc w:val="center"/>
        <w:rPr>
          <w:rFonts w:ascii="宋体" w:hAnsi="宋体"/>
          <w:bCs/>
          <w:color w:val="auto"/>
          <w:sz w:val="24"/>
          <w:szCs w:val="24"/>
        </w:rPr>
      </w:pPr>
      <w:r>
        <w:rPr>
          <w:rFonts w:hint="eastAsia" w:ascii="仿宋_GB2312" w:hAnsi="宋体" w:eastAsia="仿宋_GB2312"/>
          <w:b/>
          <w:color w:val="auto"/>
          <w:sz w:val="32"/>
          <w:szCs w:val="32"/>
        </w:rPr>
        <w:t>投标文件</w:t>
      </w:r>
    </w:p>
    <w:tbl>
      <w:tblPr>
        <w:tblStyle w:val="26"/>
        <w:tblW w:w="0" w:type="auto"/>
        <w:jc w:val="center"/>
        <w:tblLayout w:type="autofit"/>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s="Calibri"/>
                <w:color w:val="auto"/>
                <w:sz w:val="24"/>
                <w:szCs w:val="24"/>
              </w:rPr>
              <w:t>投标文件名称：</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s="Calibri"/>
                <w:color w:val="auto"/>
                <w:sz w:val="24"/>
                <w:szCs w:val="24"/>
                <w:u w:val="single"/>
              </w:rPr>
              <w:t xml:space="preserve"> 资信商务及技术文件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s="Calibri"/>
                <w:color w:val="auto"/>
                <w:sz w:val="24"/>
                <w:szCs w:val="24"/>
              </w:rPr>
              <w:t>采 购 编 号：</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s="Calibri"/>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s="Calibri"/>
                <w:color w:val="auto"/>
                <w:sz w:val="24"/>
                <w:szCs w:val="24"/>
              </w:rPr>
              <w:t>项 目 名 称：</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s="Calibri"/>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s="Calibri"/>
                <w:color w:val="auto"/>
                <w:sz w:val="24"/>
                <w:szCs w:val="24"/>
              </w:rPr>
              <w:t>标      项：</w:t>
            </w:r>
          </w:p>
        </w:tc>
        <w:tc>
          <w:tcPr>
            <w:tcW w:w="4536" w:type="dxa"/>
            <w:tcBorders>
              <w:top w:val="nil"/>
              <w:left w:val="nil"/>
              <w:bottom w:val="nil"/>
              <w:right w:val="nil"/>
            </w:tcBorders>
            <w:vAlign w:val="center"/>
          </w:tcPr>
          <w:p>
            <w:pPr>
              <w:jc w:val="left"/>
              <w:rPr>
                <w:rFonts w:ascii="仿宋_GB2312" w:hAnsi="宋体" w:eastAsia="仿宋_GB2312" w:cs="Calibri"/>
                <w:color w:val="auto"/>
                <w:sz w:val="24"/>
                <w:szCs w:val="24"/>
                <w:u w:val="single"/>
              </w:rPr>
            </w:pPr>
            <w:r>
              <w:rPr>
                <w:rFonts w:hint="eastAsia" w:ascii="仿宋_GB2312" w:hAnsi="宋体" w:eastAsia="仿宋_GB2312" w:cs="Calibri"/>
                <w:color w:val="auto"/>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eastAsia="仿宋_GB2312" w:cs="Calibri"/>
                <w:color w:val="auto"/>
                <w:sz w:val="24"/>
                <w:szCs w:val="24"/>
              </w:rPr>
            </w:pPr>
            <w:r>
              <w:rPr>
                <w:rFonts w:hint="eastAsia" w:ascii="仿宋_GB2312" w:hAnsi="宋体" w:eastAsia="仿宋_GB2312" w:cs="Calibri"/>
                <w:color w:val="auto"/>
                <w:sz w:val="24"/>
                <w:szCs w:val="24"/>
              </w:rPr>
              <w:t>投标人全称（盖章）：</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s="Calibri"/>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jc w:val="distribute"/>
              <w:rPr>
                <w:rFonts w:ascii="仿宋_GB2312" w:hAnsi="宋体" w:eastAsia="仿宋_GB2312" w:cs="Calibri"/>
                <w:color w:val="auto"/>
                <w:sz w:val="24"/>
                <w:szCs w:val="24"/>
              </w:rPr>
            </w:pPr>
            <w:r>
              <w:rPr>
                <w:rFonts w:hint="eastAsia" w:ascii="仿宋_GB2312" w:hAnsi="宋体" w:eastAsia="仿宋_GB2312" w:cs="Calibri"/>
                <w:color w:val="auto"/>
                <w:sz w:val="24"/>
                <w:szCs w:val="24"/>
              </w:rPr>
              <w:t>投标人地址：</w:t>
            </w:r>
          </w:p>
        </w:tc>
        <w:tc>
          <w:tcPr>
            <w:tcW w:w="4536" w:type="dxa"/>
            <w:tcBorders>
              <w:top w:val="nil"/>
              <w:left w:val="nil"/>
              <w:bottom w:val="nil"/>
              <w:right w:val="nil"/>
            </w:tcBorders>
            <w:vAlign w:val="center"/>
          </w:tcPr>
          <w:p>
            <w:pPr>
              <w:jc w:val="left"/>
              <w:rPr>
                <w:rFonts w:ascii="仿宋_GB2312" w:eastAsia="仿宋_GB2312" w:cs="Calibri"/>
                <w:color w:val="auto"/>
                <w:sz w:val="24"/>
                <w:szCs w:val="24"/>
              </w:rPr>
            </w:pPr>
            <w:r>
              <w:rPr>
                <w:rFonts w:hint="eastAsia" w:ascii="仿宋_GB2312" w:hAnsi="宋体" w:eastAsia="仿宋_GB2312" w:cs="Calibri"/>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tcBorders>
              <w:top w:val="nil"/>
              <w:left w:val="nil"/>
              <w:bottom w:val="nil"/>
              <w:right w:val="nil"/>
            </w:tcBorders>
            <w:vAlign w:val="center"/>
          </w:tcPr>
          <w:p>
            <w:pPr>
              <w:jc w:val="left"/>
              <w:rPr>
                <w:rFonts w:ascii="仿宋_GB2312" w:hAnsi="宋体" w:eastAsia="仿宋_GB2312" w:cs="Calibri"/>
                <w:color w:val="auto"/>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tcBorders>
              <w:top w:val="nil"/>
              <w:left w:val="nil"/>
              <w:bottom w:val="nil"/>
              <w:right w:val="nil"/>
            </w:tcBorders>
            <w:vAlign w:val="center"/>
          </w:tcPr>
          <w:p>
            <w:pPr>
              <w:jc w:val="center"/>
              <w:rPr>
                <w:rFonts w:ascii="仿宋_GB2312" w:hAnsi="宋体" w:eastAsia="仿宋_GB2312" w:cs="Calibri"/>
                <w:color w:val="auto"/>
                <w:sz w:val="24"/>
                <w:szCs w:val="24"/>
              </w:rPr>
            </w:pPr>
            <w:r>
              <w:rPr>
                <w:rFonts w:hint="eastAsia" w:ascii="仿宋_GB2312" w:hAnsi="宋体" w:eastAsia="仿宋_GB2312" w:cs="Calibri"/>
                <w:color w:val="auto"/>
                <w:sz w:val="24"/>
                <w:szCs w:val="24"/>
              </w:rPr>
              <w:t>年  月  日</w:t>
            </w:r>
          </w:p>
        </w:tc>
      </w:tr>
    </w:tbl>
    <w:p>
      <w:pPr>
        <w:pStyle w:val="5"/>
        <w:spacing w:before="0" w:after="0"/>
        <w:ind w:firstLine="0" w:firstLineChars="0"/>
        <w:jc w:val="left"/>
        <w:rPr>
          <w:rFonts w:hint="eastAsia" w:cs="Calibri"/>
          <w:color w:val="auto"/>
          <w:sz w:val="24"/>
          <w:szCs w:val="24"/>
        </w:rPr>
      </w:pPr>
    </w:p>
    <w:p>
      <w:pPr>
        <w:pStyle w:val="5"/>
        <w:spacing w:before="0" w:after="0"/>
        <w:ind w:firstLine="0" w:firstLineChars="0"/>
        <w:jc w:val="left"/>
        <w:rPr>
          <w:rFonts w:hint="eastAsia" w:cs="Calibri"/>
          <w:color w:val="auto"/>
          <w:sz w:val="24"/>
          <w:szCs w:val="24"/>
        </w:rPr>
      </w:pPr>
    </w:p>
    <w:p>
      <w:pPr>
        <w:pStyle w:val="5"/>
        <w:spacing w:before="0" w:after="0"/>
        <w:ind w:firstLine="0" w:firstLineChars="0"/>
        <w:jc w:val="left"/>
        <w:rPr>
          <w:rFonts w:hint="eastAsia" w:cs="Calibri"/>
          <w:color w:val="auto"/>
          <w:sz w:val="24"/>
          <w:szCs w:val="24"/>
        </w:rPr>
      </w:pPr>
    </w:p>
    <w:p>
      <w:pPr>
        <w:pStyle w:val="5"/>
        <w:spacing w:before="0" w:after="0"/>
        <w:ind w:firstLine="0" w:firstLineChars="0"/>
        <w:jc w:val="left"/>
        <w:rPr>
          <w:rFonts w:hAnsi="宋体"/>
          <w:color w:val="auto"/>
          <w:sz w:val="24"/>
          <w:szCs w:val="24"/>
        </w:rPr>
      </w:pPr>
      <w:r>
        <w:rPr>
          <w:rFonts w:hint="eastAsia" w:cs="Calibri"/>
          <w:color w:val="auto"/>
          <w:sz w:val="24"/>
          <w:szCs w:val="24"/>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2.2    资信商务及技术文件目录</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 xml:space="preserve"> </w:t>
      </w:r>
    </w:p>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（格式自行设计）</w:t>
      </w:r>
    </w:p>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 </w:t>
      </w:r>
    </w:p>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 </w:t>
      </w:r>
    </w:p>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 </w:t>
      </w:r>
    </w:p>
    <w:p>
      <w:pPr>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 </w:t>
      </w:r>
    </w:p>
    <w:p>
      <w:pPr>
        <w:spacing w:line="360" w:lineRule="auto"/>
        <w:ind w:left="960" w:hanging="960" w:hangingChars="400"/>
        <w:rPr>
          <w:rFonts w:ascii="仿宋_GB2312" w:eastAsia="仿宋_GB2312"/>
          <w:color w:val="auto"/>
          <w:sz w:val="24"/>
          <w:szCs w:val="24"/>
        </w:rPr>
      </w:pPr>
      <w:r>
        <w:rPr>
          <w:rFonts w:hint="eastAsia" w:ascii="仿宋_GB2312" w:eastAsia="仿宋_GB2312"/>
          <w:color w:val="auto"/>
          <w:sz w:val="24"/>
          <w:szCs w:val="24"/>
        </w:rPr>
        <w:t xml:space="preserve"> </w:t>
      </w:r>
    </w:p>
    <w:p>
      <w:pPr>
        <w:pStyle w:val="24"/>
        <w:rPr>
          <w:color w:val="auto"/>
        </w:rPr>
      </w:pPr>
    </w:p>
    <w:p>
      <w:pPr>
        <w:rPr>
          <w:color w:val="auto"/>
        </w:rPr>
      </w:pPr>
    </w:p>
    <w:p>
      <w:pPr>
        <w:pStyle w:val="24"/>
        <w:rPr>
          <w:color w:val="auto"/>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2.3    投标函格式</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投标函</w:t>
      </w:r>
    </w:p>
    <w:p>
      <w:pPr>
        <w:pStyle w:val="40"/>
        <w:spacing w:line="360" w:lineRule="auto"/>
        <w:ind w:left="420"/>
        <w:rPr>
          <w:rFonts w:ascii="仿宋_GB2312" w:hAnsi="宋体" w:eastAsia="仿宋_GB2312"/>
          <w:color w:val="auto"/>
          <w:sz w:val="24"/>
          <w:szCs w:val="24"/>
        </w:rPr>
      </w:pPr>
      <w:r>
        <w:rPr>
          <w:rFonts w:hint="eastAsia" w:ascii="仿宋_GB2312" w:hAnsi="宋体" w:eastAsia="仿宋_GB2312"/>
          <w:color w:val="auto"/>
          <w:sz w:val="24"/>
          <w:szCs w:val="24"/>
        </w:rPr>
        <w:t>致：</w:t>
      </w:r>
      <w:r>
        <w:rPr>
          <w:rFonts w:hint="eastAsia" w:ascii="仿宋_GB2312" w:hAnsi="宋体" w:eastAsia="仿宋_GB2312"/>
          <w:color w:val="auto"/>
          <w:sz w:val="24"/>
          <w:szCs w:val="24"/>
          <w:u w:val="single"/>
        </w:rPr>
        <w:t>（采购人名称）</w:t>
      </w:r>
      <w:r>
        <w:rPr>
          <w:rFonts w:hint="eastAsia" w:ascii="仿宋_GB2312" w:hAnsi="宋体" w:eastAsia="仿宋_GB2312"/>
          <w:color w:val="auto"/>
          <w:sz w:val="24"/>
          <w:szCs w:val="24"/>
        </w:rPr>
        <w:t>：</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根据贵方</w:t>
      </w:r>
      <w:r>
        <w:rPr>
          <w:rFonts w:hint="eastAsia" w:ascii="仿宋_GB2312" w:hAnsi="宋体" w:eastAsia="仿宋_GB2312"/>
          <w:color w:val="auto"/>
          <w:sz w:val="24"/>
          <w:szCs w:val="24"/>
          <w:u w:val="single"/>
        </w:rPr>
        <w:t xml:space="preserve">（项目名称）（项目编号）（标项） </w:t>
      </w:r>
      <w:r>
        <w:rPr>
          <w:rFonts w:hint="eastAsia" w:ascii="仿宋_GB2312" w:hAnsi="宋体" w:eastAsia="仿宋_GB2312"/>
          <w:color w:val="auto"/>
          <w:sz w:val="24"/>
          <w:szCs w:val="24"/>
        </w:rPr>
        <w:t>的招标文件要求，正式授权下述签字人</w:t>
      </w:r>
      <w:r>
        <w:rPr>
          <w:rFonts w:hint="eastAsia" w:ascii="仿宋_GB2312" w:hAnsi="宋体" w:eastAsia="仿宋_GB2312"/>
          <w:color w:val="auto"/>
          <w:sz w:val="24"/>
          <w:szCs w:val="24"/>
          <w:u w:val="single"/>
        </w:rPr>
        <w:t>（姓名和职务）</w:t>
      </w:r>
      <w:r>
        <w:rPr>
          <w:rFonts w:hint="eastAsia" w:ascii="仿宋_GB2312" w:hAnsi="宋体" w:eastAsia="仿宋_GB2312"/>
          <w:color w:val="auto"/>
          <w:sz w:val="24"/>
          <w:szCs w:val="24"/>
        </w:rPr>
        <w:t>全权代表投标人</w:t>
      </w:r>
      <w:r>
        <w:rPr>
          <w:rFonts w:hint="eastAsia" w:ascii="仿宋_GB2312" w:hAnsi="宋体" w:eastAsia="仿宋_GB2312"/>
          <w:color w:val="auto"/>
          <w:sz w:val="24"/>
          <w:szCs w:val="24"/>
          <w:u w:val="single"/>
        </w:rPr>
        <w:t>（投标人全称）</w:t>
      </w:r>
      <w:r>
        <w:rPr>
          <w:rFonts w:hint="eastAsia" w:ascii="仿宋_GB2312" w:hAnsi="宋体" w:eastAsia="仿宋_GB2312"/>
          <w:color w:val="auto"/>
          <w:sz w:val="24"/>
          <w:szCs w:val="24"/>
        </w:rPr>
        <w:t>参加贵方组织的有关招标活动，并提交下述文件：</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政府采购云系统提交电子加密投标文件</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份；</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仿宋" w:eastAsia="仿宋_GB2312"/>
          <w:color w:val="auto"/>
          <w:sz w:val="24"/>
          <w:szCs w:val="24"/>
        </w:rPr>
        <w:t>通过电子邮件提交备份电子投标文件（打包压缩加密）</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份；</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据此函我方就本次投标有关事项郑重承诺如下：</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1、我方向贵方提交的所有投标文件、资料都是准确的和真实的。</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2、我方承诺已经具备《中华人民共和国政府采购法》、《中华人民共和国政府采购法实施条例》中规定的参加政府采购活动的投标人应当具备的条件，并真实提供相关材料。</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3、如果我方中标，将派出</w:t>
      </w:r>
      <w:r>
        <w:rPr>
          <w:rFonts w:hint="eastAsia" w:ascii="仿宋_GB2312" w:hAnsi="宋体" w:eastAsia="仿宋_GB2312"/>
          <w:color w:val="auto"/>
          <w:sz w:val="24"/>
          <w:szCs w:val="24"/>
          <w:u w:val="single"/>
        </w:rPr>
        <w:t>（姓名及身份证号码），</w:t>
      </w:r>
      <w:r>
        <w:rPr>
          <w:rFonts w:hint="eastAsia" w:ascii="仿宋_GB2312" w:hAnsi="宋体" w:eastAsia="仿宋_GB2312"/>
          <w:color w:val="auto"/>
          <w:sz w:val="24"/>
          <w:szCs w:val="24"/>
        </w:rPr>
        <w:t>作为本项目与采购单位联系的项目实施负责人，联系手机号码：</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。在项目实施过程中，并承诺项目实施负责人不更换，若确需要更换的，书面征得采购人同意后才准予更换。</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4、我方的投标有效期自在开标日起</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天内有效。如果在开标后规定的投标有效期内撤回投标，贵方可按相关规定处理我方。</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5、我方在投标之前已经与贵方进行了充分的沟通，完全理解并接受招标文件的各项规定和要求，对招标文件的合理性、合法性不再有异议。</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我方愿意向贵方提供真实完整的任何与该项投标有关的数据、情况和技术资料。若贵方需要，我方愿意提供我方作出的一切承诺的证明材料。</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6、我方已详细审核全部招标文件，包括招标文件的澄清或修改文件（如有的话）、参考资料及有关附件，已经了解我方对于招标文件、采购过程、采购结果有依法进行询问、质疑、投诉的权利及相关渠道和要求。</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7、我方不是采购人的附属机构，并未为本项目提供整体设计、规范编制或者项目管理、监理、监测等服务。</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8、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（一）提供虚假材料谋取中标、中标的；</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（二）采取不正当手段诋毁、排挤其他投标人的；</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（三）与采购人、其它投标人或者采购代理机构恶意串通的；</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（四）向采购人、采购代理机构行贿或者提供其他不正当利益的；</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（五）在招标采购过程中与采购人进行协商谈判的；</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（六）拒绝有关部门监督检查或提供虚假情况的。</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9、如中标，本投标文件至本项目合同履行完毕止均保持有效，我方将按招标文件及政府采购法律、法规的规定履行合同责任和义务。</w:t>
      </w:r>
    </w:p>
    <w:p>
      <w:pPr>
        <w:pStyle w:val="40"/>
        <w:spacing w:line="360" w:lineRule="auto"/>
        <w:ind w:left="420"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10、以上事项如有虚假或隐瞒，我方愿意承担一切不利后果，并不再寻求任何旨在减轻或免除法律责任。</w:t>
      </w:r>
    </w:p>
    <w:p>
      <w:pPr>
        <w:pStyle w:val="40"/>
        <w:spacing w:line="360" w:lineRule="auto"/>
        <w:ind w:left="420" w:firstLine="480"/>
        <w:rPr>
          <w:rFonts w:ascii="仿宋_GB2312" w:hAnsi="宋体" w:eastAsia="仿宋_GB2312"/>
          <w:color w:val="auto"/>
          <w:sz w:val="24"/>
          <w:szCs w:val="24"/>
        </w:rPr>
      </w:pPr>
      <w:r>
        <w:rPr>
          <w:rFonts w:hint="eastAsia" w:ascii="仿宋_GB2312" w:hAnsi="宋体" w:eastAsia="仿宋_GB2312"/>
          <w:color w:val="auto"/>
          <w:sz w:val="24"/>
          <w:szCs w:val="24"/>
        </w:rPr>
        <w:t>与本次投标有关的一切正式往来信函请寄：</w:t>
      </w:r>
    </w:p>
    <w:p>
      <w:pPr>
        <w:pStyle w:val="40"/>
        <w:spacing w:line="360" w:lineRule="auto"/>
        <w:ind w:left="420" w:firstLine="480"/>
        <w:rPr>
          <w:rFonts w:ascii="仿宋_GB2312" w:hAnsi="宋体" w:eastAsia="仿宋_GB2312"/>
          <w:color w:val="auto"/>
          <w:sz w:val="24"/>
          <w:szCs w:val="24"/>
        </w:rPr>
      </w:pPr>
      <w:r>
        <w:rPr>
          <w:rFonts w:hint="eastAsia" w:ascii="仿宋_GB2312" w:hAnsi="宋体" w:eastAsia="仿宋_GB2312"/>
          <w:color w:val="auto"/>
          <w:sz w:val="24"/>
          <w:szCs w:val="24"/>
        </w:rPr>
        <w:t>地址：</w:t>
      </w:r>
      <w:r>
        <w:rPr>
          <w:rFonts w:hint="eastAsia" w:ascii="仿宋_GB2312" w:eastAsia="仿宋_GB2312"/>
          <w:color w:val="auto"/>
          <w:spacing w:val="20"/>
          <w:sz w:val="24"/>
          <w:szCs w:val="24"/>
          <w:u w:val="single"/>
        </w:rPr>
        <w:t xml:space="preserve">             </w:t>
      </w:r>
      <w:r>
        <w:rPr>
          <w:rFonts w:hint="eastAsia" w:ascii="仿宋_GB2312" w:hAnsi="宋体" w:eastAsia="仿宋_GB2312"/>
          <w:color w:val="auto"/>
          <w:sz w:val="24"/>
          <w:szCs w:val="24"/>
        </w:rPr>
        <w:t xml:space="preserve">     邮编：</w:t>
      </w:r>
      <w:r>
        <w:rPr>
          <w:rFonts w:hint="eastAsia" w:ascii="仿宋_GB2312" w:eastAsia="仿宋_GB2312"/>
          <w:color w:val="auto"/>
          <w:spacing w:val="20"/>
          <w:sz w:val="24"/>
          <w:szCs w:val="24"/>
          <w:u w:val="single"/>
        </w:rPr>
        <w:t xml:space="preserve">           </w:t>
      </w:r>
      <w:r>
        <w:rPr>
          <w:rFonts w:hint="eastAsia" w:ascii="仿宋_GB2312" w:hAnsi="宋体" w:eastAsia="仿宋_GB2312"/>
          <w:color w:val="auto"/>
          <w:sz w:val="24"/>
          <w:szCs w:val="24"/>
        </w:rPr>
        <w:t xml:space="preserve"> </w:t>
      </w:r>
    </w:p>
    <w:p>
      <w:pPr>
        <w:pStyle w:val="12"/>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电话：</w:t>
      </w:r>
      <w:r>
        <w:rPr>
          <w:rFonts w:hint="eastAsia" w:ascii="仿宋_GB2312" w:eastAsia="仿宋_GB2312"/>
          <w:color w:val="auto"/>
          <w:spacing w:val="20"/>
          <w:sz w:val="24"/>
          <w:szCs w:val="24"/>
          <w:u w:val="single"/>
        </w:rPr>
        <w:t xml:space="preserve">             </w:t>
      </w:r>
      <w:r>
        <w:rPr>
          <w:rFonts w:hint="eastAsia" w:ascii="仿宋_GB2312" w:hAnsi="宋体" w:eastAsia="仿宋_GB2312"/>
          <w:color w:val="auto"/>
          <w:sz w:val="24"/>
          <w:szCs w:val="24"/>
        </w:rPr>
        <w:t xml:space="preserve">     传真：</w:t>
      </w:r>
      <w:r>
        <w:rPr>
          <w:rFonts w:hint="eastAsia" w:ascii="仿宋_GB2312" w:eastAsia="仿宋_GB2312"/>
          <w:color w:val="auto"/>
          <w:spacing w:val="20"/>
          <w:sz w:val="24"/>
          <w:szCs w:val="24"/>
          <w:u w:val="single"/>
        </w:rPr>
        <w:t xml:space="preserve">           </w:t>
      </w:r>
    </w:p>
    <w:p>
      <w:pPr>
        <w:pStyle w:val="41"/>
        <w:spacing w:line="360" w:lineRule="auto"/>
        <w:rPr>
          <w:rFonts w:ascii="仿宋_GB2312" w:eastAsia="仿宋_GB2312"/>
          <w:bCs/>
          <w:color w:val="auto"/>
          <w:sz w:val="24"/>
          <w:szCs w:val="24"/>
        </w:rPr>
      </w:pPr>
      <w:r>
        <w:rPr>
          <w:rFonts w:hint="eastAsia" w:ascii="仿宋_GB2312" w:eastAsia="仿宋_GB2312"/>
          <w:bCs/>
          <w:color w:val="auto"/>
          <w:sz w:val="24"/>
          <w:szCs w:val="24"/>
        </w:rPr>
        <w:t xml:space="preserve"> </w:t>
      </w:r>
    </w:p>
    <w:p>
      <w:pPr>
        <w:pStyle w:val="42"/>
        <w:spacing w:line="360" w:lineRule="auto"/>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投标人盖章：</w:t>
      </w:r>
      <w:r>
        <w:rPr>
          <w:rFonts w:hint="eastAsia" w:ascii="仿宋_GB2312" w:hAnsi="Courier New" w:eastAsia="仿宋_GB2312"/>
          <w:color w:val="auto"/>
          <w:sz w:val="24"/>
          <w:szCs w:val="24"/>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日      期：</w:t>
      </w:r>
      <w:r>
        <w:rPr>
          <w:rFonts w:hint="eastAsia" w:ascii="仿宋_GB2312" w:hAnsi="Courier New" w:eastAsia="仿宋_GB2312"/>
          <w:color w:val="auto"/>
          <w:sz w:val="24"/>
          <w:szCs w:val="24"/>
          <w:u w:val="single"/>
        </w:rPr>
        <w:t xml:space="preserve">                </w:t>
      </w:r>
    </w:p>
    <w:p>
      <w:pPr>
        <w:pStyle w:val="40"/>
        <w:spacing w:line="360" w:lineRule="auto"/>
        <w:ind w:left="420"/>
        <w:rPr>
          <w:rFonts w:ascii="仿宋_GB2312" w:hAnsi="宋体" w:eastAsia="仿宋_GB2312"/>
          <w:color w:val="auto"/>
          <w:sz w:val="24"/>
          <w:szCs w:val="24"/>
        </w:rPr>
      </w:pPr>
    </w:p>
    <w:p>
      <w:pPr>
        <w:pStyle w:val="40"/>
        <w:spacing w:line="360" w:lineRule="auto"/>
        <w:ind w:left="420"/>
        <w:rPr>
          <w:rFonts w:ascii="仿宋_GB2312" w:hAnsi="宋体" w:eastAsia="仿宋_GB2312"/>
          <w:color w:val="auto"/>
          <w:sz w:val="24"/>
          <w:szCs w:val="24"/>
        </w:rPr>
      </w:pPr>
      <w:r>
        <w:rPr>
          <w:rFonts w:hint="eastAsia" w:ascii="仿宋_GB2312" w:hAnsi="宋体" w:eastAsia="仿宋_GB2312"/>
          <w:color w:val="auto"/>
          <w:sz w:val="24"/>
          <w:szCs w:val="24"/>
        </w:rPr>
        <w:t>注：按照本声明书要求填报。</w:t>
      </w:r>
    </w:p>
    <w:p>
      <w:pPr>
        <w:pStyle w:val="40"/>
        <w:spacing w:line="360" w:lineRule="auto"/>
        <w:ind w:left="420"/>
        <w:rPr>
          <w:rFonts w:ascii="仿宋_GB2312" w:hAnsi="宋体" w:eastAsia="仿宋_GB2312"/>
          <w:color w:val="auto"/>
          <w:sz w:val="24"/>
          <w:szCs w:val="24"/>
        </w:rPr>
      </w:pPr>
      <w:r>
        <w:rPr>
          <w:rFonts w:hint="eastAsia" w:ascii="仿宋_GB2312" w:hAnsi="宋体" w:eastAsia="仿宋_GB2312"/>
          <w:color w:val="auto"/>
          <w:sz w:val="24"/>
          <w:szCs w:val="24"/>
        </w:rPr>
        <w:t xml:space="preserve"> </w:t>
      </w:r>
    </w:p>
    <w:p>
      <w:pPr>
        <w:pStyle w:val="40"/>
        <w:spacing w:line="360" w:lineRule="auto"/>
        <w:ind w:left="420"/>
        <w:rPr>
          <w:rFonts w:ascii="仿宋_GB2312" w:hAnsi="宋体" w:eastAsia="仿宋_GB2312"/>
          <w:color w:val="auto"/>
          <w:sz w:val="24"/>
          <w:szCs w:val="24"/>
        </w:rPr>
      </w:pPr>
      <w:r>
        <w:rPr>
          <w:rFonts w:hint="eastAsia" w:ascii="仿宋_GB2312" w:hAnsi="宋体" w:eastAsia="仿宋_GB2312"/>
          <w:color w:val="auto"/>
          <w:sz w:val="24"/>
          <w:szCs w:val="24"/>
        </w:rPr>
        <w:t xml:space="preserve"> </w:t>
      </w:r>
    </w:p>
    <w:p>
      <w:pPr>
        <w:pStyle w:val="40"/>
        <w:spacing w:line="360" w:lineRule="auto"/>
        <w:ind w:left="420"/>
        <w:rPr>
          <w:rFonts w:ascii="仿宋_GB2312" w:hAnsi="宋体" w:eastAsia="仿宋_GB2312"/>
          <w:color w:val="auto"/>
          <w:sz w:val="24"/>
          <w:szCs w:val="24"/>
        </w:rPr>
      </w:pPr>
      <w:r>
        <w:rPr>
          <w:rFonts w:hint="eastAsia" w:ascii="仿宋_GB2312" w:hAnsi="宋体" w:eastAsia="仿宋_GB2312"/>
          <w:color w:val="auto"/>
          <w:sz w:val="24"/>
          <w:szCs w:val="24"/>
        </w:rPr>
        <w:t xml:space="preserve"> </w:t>
      </w:r>
    </w:p>
    <w:p>
      <w:pPr>
        <w:pStyle w:val="40"/>
        <w:spacing w:line="360" w:lineRule="auto"/>
        <w:ind w:left="420"/>
        <w:rPr>
          <w:rFonts w:ascii="仿宋_GB2312" w:hAnsi="宋体" w:eastAsia="仿宋_GB2312"/>
          <w:color w:val="auto"/>
          <w:sz w:val="24"/>
          <w:szCs w:val="24"/>
        </w:rPr>
      </w:pPr>
    </w:p>
    <w:p>
      <w:pPr>
        <w:pStyle w:val="40"/>
        <w:spacing w:line="360" w:lineRule="auto"/>
        <w:ind w:left="420"/>
        <w:rPr>
          <w:rFonts w:hint="eastAsia" w:ascii="仿宋_GB2312" w:hAnsi="宋体" w:eastAsia="仿宋_GB2312"/>
          <w:color w:val="auto"/>
          <w:sz w:val="24"/>
          <w:szCs w:val="24"/>
        </w:rPr>
      </w:pPr>
      <w:r>
        <w:rPr>
          <w:rFonts w:hint="eastAsia" w:ascii="仿宋_GB2312" w:hAnsi="宋体" w:eastAsia="仿宋_GB2312"/>
          <w:color w:val="auto"/>
          <w:sz w:val="24"/>
          <w:szCs w:val="24"/>
        </w:rPr>
        <w:t xml:space="preserve"> </w:t>
      </w:r>
    </w:p>
    <w:p>
      <w:pPr>
        <w:pStyle w:val="40"/>
        <w:spacing w:line="360" w:lineRule="auto"/>
        <w:ind w:left="420"/>
        <w:rPr>
          <w:rFonts w:hint="eastAsia" w:ascii="仿宋_GB2312" w:hAnsi="宋体" w:eastAsia="仿宋_GB2312"/>
          <w:color w:val="auto"/>
          <w:sz w:val="24"/>
          <w:szCs w:val="24"/>
        </w:rPr>
      </w:pPr>
    </w:p>
    <w:p>
      <w:pPr>
        <w:pStyle w:val="40"/>
        <w:spacing w:line="360" w:lineRule="auto"/>
        <w:ind w:left="420"/>
        <w:rPr>
          <w:rFonts w:hint="eastAsia" w:ascii="仿宋_GB2312" w:hAnsi="宋体" w:eastAsia="仿宋_GB2312"/>
          <w:color w:val="auto"/>
          <w:sz w:val="24"/>
          <w:szCs w:val="24"/>
        </w:rPr>
      </w:pPr>
    </w:p>
    <w:p>
      <w:pPr>
        <w:pStyle w:val="40"/>
        <w:spacing w:line="360" w:lineRule="auto"/>
        <w:ind w:left="420"/>
        <w:rPr>
          <w:rFonts w:hint="eastAsia" w:ascii="仿宋_GB2312" w:hAnsi="宋体" w:eastAsia="仿宋_GB2312"/>
          <w:color w:val="auto"/>
          <w:sz w:val="24"/>
          <w:szCs w:val="24"/>
        </w:rPr>
      </w:pPr>
    </w:p>
    <w:p>
      <w:pPr>
        <w:pStyle w:val="40"/>
        <w:spacing w:line="360" w:lineRule="auto"/>
        <w:ind w:left="420"/>
        <w:rPr>
          <w:rFonts w:ascii="仿宋_GB2312" w:hAnsi="宋体" w:eastAsia="仿宋_GB2312"/>
          <w:color w:val="auto"/>
          <w:sz w:val="24"/>
          <w:szCs w:val="24"/>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 xml:space="preserve"> 2.4    类似案例成功的业绩格式</w:t>
      </w:r>
    </w:p>
    <w:p>
      <w:pPr>
        <w:pStyle w:val="2"/>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类似案例成功的业绩（若有）</w:t>
      </w:r>
    </w:p>
    <w:p>
      <w:pPr>
        <w:pStyle w:val="20"/>
        <w:snapToGrid w:val="0"/>
        <w:ind w:left="480" w:hanging="480"/>
        <w:jc w:val="center"/>
        <w:rPr>
          <w:rFonts w:ascii="仿宋_GB2312" w:hAnsi="宋体" w:eastAsia="仿宋_GB2312"/>
          <w:color w:val="auto"/>
          <w:sz w:val="24"/>
          <w:szCs w:val="24"/>
        </w:rPr>
      </w:pPr>
      <w:r>
        <w:rPr>
          <w:rFonts w:hint="eastAsia" w:ascii="仿宋_GB2312" w:hAnsi="宋体" w:eastAsia="仿宋_GB2312"/>
          <w:color w:val="auto"/>
          <w:sz w:val="24"/>
          <w:szCs w:val="24"/>
        </w:rPr>
        <w:t>供应商类似项目实施情况一览表</w:t>
      </w:r>
    </w:p>
    <w:tbl>
      <w:tblPr>
        <w:tblStyle w:val="26"/>
        <w:tblW w:w="4895"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5"/>
        <w:gridCol w:w="842"/>
        <w:gridCol w:w="1267"/>
        <w:gridCol w:w="698"/>
        <w:gridCol w:w="1127"/>
        <w:gridCol w:w="1325"/>
        <w:gridCol w:w="1417"/>
        <w:gridCol w:w="1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8" w:type="pct"/>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序号</w:t>
            </w:r>
          </w:p>
        </w:tc>
        <w:tc>
          <w:tcPr>
            <w:tcW w:w="463" w:type="pct"/>
            <w:vMerge w:val="restart"/>
            <w:tcBorders>
              <w:top w:val="single" w:color="auto" w:sz="4" w:space="0"/>
              <w:left w:val="nil"/>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采购人名称</w:t>
            </w:r>
          </w:p>
        </w:tc>
        <w:tc>
          <w:tcPr>
            <w:tcW w:w="697" w:type="pct"/>
            <w:vMerge w:val="restart"/>
            <w:tcBorders>
              <w:top w:val="single" w:color="auto" w:sz="4" w:space="0"/>
              <w:left w:val="nil"/>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产品或项目名称</w:t>
            </w:r>
          </w:p>
        </w:tc>
        <w:tc>
          <w:tcPr>
            <w:tcW w:w="384" w:type="pct"/>
            <w:vMerge w:val="restart"/>
            <w:tcBorders>
              <w:top w:val="single" w:color="auto" w:sz="4" w:space="0"/>
              <w:left w:val="nil"/>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采购数量</w:t>
            </w:r>
          </w:p>
        </w:tc>
        <w:tc>
          <w:tcPr>
            <w:tcW w:w="620" w:type="pct"/>
            <w:vMerge w:val="restart"/>
            <w:tcBorders>
              <w:top w:val="single" w:color="auto" w:sz="4" w:space="0"/>
              <w:left w:val="nil"/>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合同金额</w:t>
            </w:r>
          </w:p>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（万元）</w:t>
            </w:r>
          </w:p>
        </w:tc>
        <w:tc>
          <w:tcPr>
            <w:tcW w:w="729" w:type="pct"/>
            <w:vMerge w:val="restart"/>
            <w:tcBorders>
              <w:top w:val="single" w:color="auto" w:sz="4" w:space="0"/>
              <w:left w:val="nil"/>
              <w:bottom w:val="nil"/>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签约及完成日期</w:t>
            </w:r>
          </w:p>
        </w:tc>
        <w:tc>
          <w:tcPr>
            <w:tcW w:w="779" w:type="pct"/>
            <w:tcBorders>
              <w:top w:val="single" w:color="auto" w:sz="4" w:space="0"/>
              <w:left w:val="nil"/>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附件页码</w:t>
            </w:r>
          </w:p>
        </w:tc>
        <w:tc>
          <w:tcPr>
            <w:tcW w:w="940" w:type="pct"/>
            <w:vMerge w:val="restart"/>
            <w:tcBorders>
              <w:top w:val="single" w:color="auto" w:sz="4" w:space="0"/>
              <w:left w:val="nil"/>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s="Calibri"/>
                <w:color w:val="auto"/>
                <w:sz w:val="24"/>
                <w:szCs w:val="24"/>
              </w:rPr>
            </w:pPr>
            <w:r>
              <w:rPr>
                <w:rFonts w:hint="eastAsia" w:ascii="仿宋_GB2312" w:hAnsi="宋体" w:eastAsia="仿宋_GB2312"/>
                <w:color w:val="auto"/>
                <w:sz w:val="24"/>
                <w:szCs w:val="24"/>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Calibri"/>
                <w:color w:val="auto"/>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Calibri"/>
                <w:color w:val="auto"/>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Calibri"/>
                <w:color w:val="auto"/>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Calibri"/>
                <w:color w:val="auto"/>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Calibri"/>
                <w:color w:val="auto"/>
                <w:sz w:val="24"/>
                <w:szCs w:val="24"/>
              </w:rPr>
            </w:pPr>
          </w:p>
        </w:tc>
        <w:tc>
          <w:tcPr>
            <w:tcW w:w="0" w:type="auto"/>
            <w:vMerge w:val="continue"/>
            <w:tcBorders>
              <w:top w:val="single" w:color="auto" w:sz="4" w:space="0"/>
              <w:left w:val="nil"/>
              <w:bottom w:val="nil"/>
              <w:right w:val="single" w:color="auto" w:sz="4" w:space="0"/>
            </w:tcBorders>
            <w:vAlign w:val="center"/>
          </w:tcPr>
          <w:p>
            <w:pPr>
              <w:widowControl/>
              <w:jc w:val="left"/>
              <w:rPr>
                <w:rFonts w:ascii="仿宋_GB2312" w:hAnsi="宋体" w:eastAsia="仿宋_GB2312" w:cs="Calibri"/>
                <w:color w:val="auto"/>
                <w:sz w:val="24"/>
                <w:szCs w:val="24"/>
              </w:rPr>
            </w:pPr>
          </w:p>
        </w:tc>
        <w:tc>
          <w:tcPr>
            <w:tcW w:w="779"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r>
              <w:rPr>
                <w:rFonts w:hint="eastAsia" w:ascii="仿宋_GB2312" w:hAnsi="宋体" w:eastAsia="仿宋_GB2312"/>
                <w:color w:val="auto"/>
                <w:sz w:val="24"/>
                <w:szCs w:val="24"/>
              </w:rPr>
              <w:t>合同</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Calibri"/>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c>
          <w:tcPr>
            <w:tcW w:w="463"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c>
          <w:tcPr>
            <w:tcW w:w="697"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c>
          <w:tcPr>
            <w:tcW w:w="384"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c>
          <w:tcPr>
            <w:tcW w:w="620"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c>
          <w:tcPr>
            <w:tcW w:w="729"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c>
          <w:tcPr>
            <w:tcW w:w="779"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c>
          <w:tcPr>
            <w:tcW w:w="940" w:type="pct"/>
            <w:tcBorders>
              <w:top w:val="single" w:color="auto" w:sz="4" w:space="0"/>
              <w:left w:val="nil"/>
              <w:bottom w:val="single" w:color="auto" w:sz="4" w:space="0"/>
              <w:right w:val="single" w:color="auto" w:sz="4" w:space="0"/>
            </w:tcBorders>
            <w:vAlign w:val="center"/>
          </w:tcPr>
          <w:p>
            <w:pPr>
              <w:snapToGrid w:val="0"/>
              <w:jc w:val="center"/>
              <w:rPr>
                <w:rFonts w:ascii="仿宋_GB2312" w:hAnsi="宋体" w:eastAsia="仿宋_GB2312" w:cs="Calibri"/>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8"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r>
              <w:rPr>
                <w:rFonts w:hint="eastAsia" w:ascii="仿宋_GB2312" w:eastAsia="仿宋_GB2312"/>
                <w:color w:val="auto"/>
                <w:sz w:val="24"/>
                <w:szCs w:val="24"/>
              </w:rPr>
              <w:t>……</w:t>
            </w:r>
          </w:p>
        </w:tc>
        <w:tc>
          <w:tcPr>
            <w:tcW w:w="463" w:type="pct"/>
            <w:tcBorders>
              <w:top w:val="single" w:color="auto" w:sz="4" w:space="0"/>
              <w:left w:val="nil"/>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p>
        </w:tc>
        <w:tc>
          <w:tcPr>
            <w:tcW w:w="697" w:type="pct"/>
            <w:tcBorders>
              <w:top w:val="single" w:color="auto" w:sz="4" w:space="0"/>
              <w:left w:val="nil"/>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p>
        </w:tc>
        <w:tc>
          <w:tcPr>
            <w:tcW w:w="384" w:type="pct"/>
            <w:tcBorders>
              <w:top w:val="single" w:color="auto" w:sz="4" w:space="0"/>
              <w:left w:val="nil"/>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p>
        </w:tc>
        <w:tc>
          <w:tcPr>
            <w:tcW w:w="620" w:type="pct"/>
            <w:tcBorders>
              <w:top w:val="single" w:color="auto" w:sz="4" w:space="0"/>
              <w:left w:val="nil"/>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p>
        </w:tc>
        <w:tc>
          <w:tcPr>
            <w:tcW w:w="729" w:type="pct"/>
            <w:tcBorders>
              <w:top w:val="single" w:color="auto" w:sz="4" w:space="0"/>
              <w:left w:val="nil"/>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p>
        </w:tc>
        <w:tc>
          <w:tcPr>
            <w:tcW w:w="779" w:type="pct"/>
            <w:tcBorders>
              <w:top w:val="single" w:color="auto" w:sz="4" w:space="0"/>
              <w:left w:val="nil"/>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p>
        </w:tc>
        <w:tc>
          <w:tcPr>
            <w:tcW w:w="940" w:type="pct"/>
            <w:tcBorders>
              <w:top w:val="single" w:color="auto" w:sz="4" w:space="0"/>
              <w:left w:val="nil"/>
              <w:bottom w:val="single" w:color="auto" w:sz="4" w:space="0"/>
              <w:right w:val="single" w:color="auto" w:sz="4" w:space="0"/>
            </w:tcBorders>
            <w:vAlign w:val="center"/>
          </w:tcPr>
          <w:p>
            <w:pPr>
              <w:snapToGrid w:val="0"/>
              <w:spacing w:before="50" w:after="120" w:afterLines="50"/>
              <w:jc w:val="center"/>
              <w:rPr>
                <w:rFonts w:ascii="仿宋_GB2312" w:hAnsi="宋体" w:eastAsia="仿宋_GB2312" w:cs="Calibri"/>
                <w:color w:val="auto"/>
                <w:sz w:val="24"/>
                <w:szCs w:val="24"/>
              </w:rPr>
            </w:pPr>
          </w:p>
        </w:tc>
      </w:tr>
    </w:tbl>
    <w:p>
      <w:pPr>
        <w:pStyle w:val="20"/>
        <w:snapToGrid w:val="0"/>
        <w:ind w:left="480" w:hanging="480"/>
        <w:jc w:val="left"/>
        <w:rPr>
          <w:rFonts w:ascii="仿宋_GB2312" w:hAnsi="宋体" w:eastAsia="仿宋_GB2312"/>
          <w:color w:val="auto"/>
          <w:sz w:val="24"/>
          <w:szCs w:val="24"/>
        </w:rPr>
      </w:pPr>
      <w:r>
        <w:rPr>
          <w:rFonts w:hint="eastAsia" w:ascii="仿宋_GB2312" w:hAnsi="宋体" w:eastAsia="仿宋_GB2312"/>
          <w:color w:val="auto"/>
          <w:sz w:val="24"/>
          <w:szCs w:val="24"/>
        </w:rPr>
        <w:t>此表后附合同电子文档等相关证明材料。</w:t>
      </w:r>
    </w:p>
    <w:p>
      <w:pPr>
        <w:pStyle w:val="20"/>
        <w:snapToGrid w:val="0"/>
        <w:ind w:left="480" w:hanging="480"/>
        <w:jc w:val="left"/>
        <w:rPr>
          <w:rFonts w:ascii="仿宋_GB2312" w:hAnsi="宋体" w:eastAsia="仿宋_GB2312"/>
          <w:color w:val="auto"/>
          <w:sz w:val="24"/>
          <w:szCs w:val="24"/>
        </w:rPr>
      </w:pPr>
      <w:r>
        <w:rPr>
          <w:rFonts w:hint="eastAsia" w:ascii="仿宋_GB2312" w:hAnsi="宋体" w:eastAsia="仿宋_GB2312"/>
          <w:color w:val="auto"/>
          <w:sz w:val="24"/>
          <w:szCs w:val="24"/>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投标人盖章：</w:t>
      </w:r>
      <w:r>
        <w:rPr>
          <w:rFonts w:hint="eastAsia" w:ascii="仿宋_GB2312" w:hAnsi="Courier New" w:eastAsia="仿宋_GB2312"/>
          <w:color w:val="auto"/>
          <w:sz w:val="24"/>
          <w:szCs w:val="24"/>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日      期：</w:t>
      </w:r>
      <w:r>
        <w:rPr>
          <w:rFonts w:hint="eastAsia" w:ascii="仿宋_GB2312" w:hAnsi="Courier New" w:eastAsia="仿宋_GB2312"/>
          <w:color w:val="auto"/>
          <w:sz w:val="24"/>
          <w:szCs w:val="24"/>
          <w:u w:val="single"/>
        </w:rPr>
        <w:t xml:space="preserve">               </w:t>
      </w:r>
    </w:p>
    <w:p>
      <w:pPr>
        <w:widowControl/>
        <w:jc w:val="left"/>
        <w:rPr>
          <w:rFonts w:ascii="仿宋_GB2312" w:hAnsi="宋体" w:eastAsia="仿宋_GB2312"/>
          <w:color w:val="auto"/>
          <w:sz w:val="24"/>
          <w:szCs w:val="24"/>
        </w:rPr>
      </w:pPr>
      <w:r>
        <w:rPr>
          <w:rFonts w:ascii="仿宋_GB2312" w:hAnsi="宋体" w:eastAsia="仿宋_GB2312"/>
          <w:color w:val="auto"/>
          <w:sz w:val="24"/>
          <w:szCs w:val="24"/>
        </w:rPr>
        <w:br w:type="page"/>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2.5    商务响应表格式</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商务响应表</w:t>
      </w:r>
    </w:p>
    <w:p>
      <w:pPr>
        <w:pStyle w:val="44"/>
        <w:spacing w:line="560" w:lineRule="exact"/>
        <w:rPr>
          <w:rFonts w:ascii="仿宋_GB2312" w:hAnsi="Courier New" w:eastAsia="仿宋_GB2312"/>
          <w:color w:val="auto"/>
          <w:sz w:val="24"/>
          <w:szCs w:val="24"/>
        </w:rPr>
      </w:pPr>
      <w:r>
        <w:rPr>
          <w:rFonts w:hint="eastAsia" w:ascii="仿宋_GB2312" w:hAnsi="Courier New" w:eastAsia="仿宋_GB2312"/>
          <w:color w:val="auto"/>
          <w:sz w:val="24"/>
          <w:szCs w:val="24"/>
        </w:rPr>
        <w:t>项目编号：</w:t>
      </w:r>
    </w:p>
    <w:p>
      <w:pPr>
        <w:pStyle w:val="44"/>
        <w:spacing w:line="560" w:lineRule="exact"/>
        <w:rPr>
          <w:rFonts w:ascii="仿宋_GB2312" w:hAnsi="Courier New" w:eastAsia="仿宋_GB2312"/>
          <w:color w:val="auto"/>
          <w:sz w:val="24"/>
          <w:szCs w:val="24"/>
        </w:rPr>
      </w:pPr>
      <w:r>
        <w:rPr>
          <w:rFonts w:hint="eastAsia" w:ascii="仿宋_GB2312" w:hAnsi="Courier New" w:eastAsia="仿宋_GB2312"/>
          <w:color w:val="auto"/>
          <w:sz w:val="24"/>
          <w:szCs w:val="24"/>
        </w:rPr>
        <w:t>项目名称：                               标项（若有）：</w:t>
      </w:r>
    </w:p>
    <w:tbl>
      <w:tblPr>
        <w:tblStyle w:val="2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序号</w:t>
            </w:r>
          </w:p>
        </w:tc>
        <w:tc>
          <w:tcPr>
            <w:tcW w:w="1927"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类别</w:t>
            </w:r>
          </w:p>
        </w:tc>
        <w:tc>
          <w:tcPr>
            <w:tcW w:w="2546"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招标文件要求</w:t>
            </w:r>
          </w:p>
        </w:tc>
        <w:tc>
          <w:tcPr>
            <w:tcW w:w="2694"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供应商承诺</w:t>
            </w:r>
          </w:p>
        </w:tc>
        <w:tc>
          <w:tcPr>
            <w:tcW w:w="1275"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1</w:t>
            </w:r>
          </w:p>
        </w:tc>
        <w:tc>
          <w:tcPr>
            <w:tcW w:w="1927" w:type="dxa"/>
            <w:tcBorders>
              <w:top w:val="single" w:color="auto" w:sz="4" w:space="0"/>
              <w:left w:val="single" w:color="auto" w:sz="4" w:space="0"/>
              <w:bottom w:val="single" w:color="auto" w:sz="4" w:space="0"/>
              <w:right w:val="single" w:color="auto" w:sz="4" w:space="0"/>
            </w:tcBorders>
            <w:vAlign w:val="center"/>
          </w:tcPr>
          <w:p>
            <w:pPr>
              <w:pStyle w:val="44"/>
              <w:jc w:val="center"/>
              <w:rPr>
                <w:rFonts w:hint="eastAsia" w:ascii="仿宋_GB2312" w:eastAsia="仿宋_GB2312"/>
                <w:color w:val="auto"/>
                <w:sz w:val="24"/>
                <w:szCs w:val="24"/>
              </w:rPr>
            </w:pPr>
            <w:r>
              <w:rPr>
                <w:rFonts w:hint="eastAsia" w:ascii="仿宋_GB2312" w:eastAsia="仿宋_GB2312"/>
                <w:color w:val="auto"/>
                <w:sz w:val="24"/>
                <w:szCs w:val="24"/>
              </w:rPr>
              <w:t xml:space="preserve">项目背景 </w:t>
            </w:r>
          </w:p>
        </w:tc>
        <w:tc>
          <w:tcPr>
            <w:tcW w:w="2546"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2</w:t>
            </w:r>
          </w:p>
        </w:tc>
        <w:tc>
          <w:tcPr>
            <w:tcW w:w="1927" w:type="dxa"/>
            <w:tcBorders>
              <w:top w:val="single" w:color="auto" w:sz="4" w:space="0"/>
              <w:left w:val="single" w:color="auto" w:sz="4" w:space="0"/>
              <w:bottom w:val="single" w:color="auto" w:sz="4" w:space="0"/>
              <w:right w:val="single" w:color="auto" w:sz="4" w:space="0"/>
            </w:tcBorders>
            <w:vAlign w:val="center"/>
          </w:tcPr>
          <w:p>
            <w:pPr>
              <w:pStyle w:val="44"/>
              <w:jc w:val="center"/>
              <w:rPr>
                <w:rFonts w:hint="eastAsia" w:ascii="仿宋_GB2312" w:eastAsia="仿宋_GB2312"/>
                <w:color w:val="auto"/>
                <w:sz w:val="24"/>
                <w:szCs w:val="24"/>
              </w:rPr>
            </w:pPr>
            <w:r>
              <w:rPr>
                <w:rFonts w:hint="eastAsia" w:ascii="仿宋_GB2312" w:eastAsia="仿宋_GB2312"/>
                <w:color w:val="auto"/>
                <w:sz w:val="24"/>
                <w:szCs w:val="24"/>
              </w:rPr>
              <w:t>总体要求</w:t>
            </w:r>
          </w:p>
        </w:tc>
        <w:tc>
          <w:tcPr>
            <w:tcW w:w="2546"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3</w:t>
            </w:r>
          </w:p>
        </w:tc>
        <w:tc>
          <w:tcPr>
            <w:tcW w:w="1927" w:type="dxa"/>
            <w:tcBorders>
              <w:top w:val="single" w:color="auto" w:sz="4" w:space="0"/>
              <w:left w:val="single" w:color="auto" w:sz="4" w:space="0"/>
              <w:bottom w:val="single" w:color="auto" w:sz="4" w:space="0"/>
              <w:right w:val="single" w:color="auto" w:sz="4" w:space="0"/>
            </w:tcBorders>
            <w:vAlign w:val="center"/>
          </w:tcPr>
          <w:p>
            <w:pPr>
              <w:pStyle w:val="44"/>
              <w:jc w:val="center"/>
              <w:rPr>
                <w:rFonts w:hint="eastAsia" w:ascii="仿宋_GB2312" w:eastAsia="仿宋_GB2312"/>
                <w:color w:val="auto"/>
                <w:sz w:val="24"/>
                <w:szCs w:val="24"/>
              </w:rPr>
            </w:pPr>
            <w:r>
              <w:rPr>
                <w:rFonts w:hint="eastAsia" w:ascii="仿宋_GB2312" w:eastAsia="仿宋_GB2312"/>
                <w:color w:val="auto"/>
                <w:sz w:val="24"/>
                <w:szCs w:val="24"/>
              </w:rPr>
              <w:t>服务期限</w:t>
            </w:r>
          </w:p>
        </w:tc>
        <w:tc>
          <w:tcPr>
            <w:tcW w:w="2546"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4</w:t>
            </w:r>
          </w:p>
        </w:tc>
        <w:tc>
          <w:tcPr>
            <w:tcW w:w="1927" w:type="dxa"/>
            <w:tcBorders>
              <w:top w:val="single" w:color="auto" w:sz="4" w:space="0"/>
              <w:left w:val="single" w:color="auto" w:sz="4" w:space="0"/>
              <w:bottom w:val="single" w:color="auto" w:sz="4" w:space="0"/>
              <w:right w:val="single" w:color="auto" w:sz="4" w:space="0"/>
            </w:tcBorders>
            <w:vAlign w:val="center"/>
          </w:tcPr>
          <w:p>
            <w:pPr>
              <w:pStyle w:val="44"/>
              <w:jc w:val="center"/>
              <w:rPr>
                <w:rFonts w:hint="eastAsia" w:ascii="宋体" w:hAnsi="宋体" w:cs="宋体"/>
                <w:b/>
                <w:bCs/>
                <w:color w:val="auto"/>
                <w:sz w:val="24"/>
              </w:rPr>
            </w:pPr>
            <w:r>
              <w:rPr>
                <w:rFonts w:hint="eastAsia" w:ascii="仿宋_GB2312" w:eastAsia="仿宋_GB2312"/>
                <w:color w:val="auto"/>
                <w:sz w:val="24"/>
                <w:szCs w:val="24"/>
              </w:rPr>
              <w:t>款项支付</w:t>
            </w:r>
          </w:p>
        </w:tc>
        <w:tc>
          <w:tcPr>
            <w:tcW w:w="2546"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5</w:t>
            </w:r>
          </w:p>
        </w:tc>
        <w:tc>
          <w:tcPr>
            <w:tcW w:w="1927"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r>
              <w:rPr>
                <w:rFonts w:hint="eastAsia" w:ascii="仿宋_GB2312" w:eastAsia="仿宋_GB2312"/>
                <w:color w:val="auto"/>
                <w:sz w:val="24"/>
                <w:szCs w:val="24"/>
              </w:rPr>
              <w:t>……</w:t>
            </w:r>
          </w:p>
        </w:tc>
        <w:tc>
          <w:tcPr>
            <w:tcW w:w="2546"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1927"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2546"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4"/>
              <w:jc w:val="center"/>
              <w:rPr>
                <w:rFonts w:ascii="仿宋_GB2312" w:eastAsia="仿宋_GB2312"/>
                <w:color w:val="auto"/>
                <w:sz w:val="24"/>
                <w:szCs w:val="24"/>
              </w:rPr>
            </w:pPr>
          </w:p>
        </w:tc>
      </w:tr>
    </w:tbl>
    <w:p>
      <w:pPr>
        <w:snapToGrid w:val="0"/>
        <w:spacing w:line="360" w:lineRule="auto"/>
        <w:rPr>
          <w:rFonts w:ascii="仿宋_GB2312" w:hAnsi="宋体" w:eastAsia="仿宋_GB2312"/>
          <w:color w:val="auto"/>
          <w:sz w:val="24"/>
          <w:szCs w:val="24"/>
        </w:rPr>
      </w:pPr>
      <w:r>
        <w:rPr>
          <w:rFonts w:hint="eastAsia" w:ascii="仿宋_GB2312" w:hAnsi="宋体" w:eastAsia="仿宋_GB2312"/>
          <w:color w:val="auto"/>
          <w:sz w:val="24"/>
          <w:szCs w:val="24"/>
        </w:rPr>
        <w:t xml:space="preserve"> </w:t>
      </w:r>
    </w:p>
    <w:p>
      <w:pPr>
        <w:pStyle w:val="20"/>
        <w:snapToGrid w:val="0"/>
        <w:ind w:left="480" w:hanging="480"/>
        <w:jc w:val="left"/>
        <w:rPr>
          <w:rFonts w:ascii="仿宋_GB2312" w:hAnsi="宋体" w:eastAsia="仿宋_GB2312"/>
          <w:color w:val="auto"/>
          <w:sz w:val="24"/>
          <w:szCs w:val="24"/>
        </w:rPr>
      </w:pP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投标人盖章：</w:t>
      </w:r>
      <w:r>
        <w:rPr>
          <w:rFonts w:hint="eastAsia" w:ascii="仿宋_GB2312" w:hAnsi="Courier New" w:eastAsia="仿宋_GB2312"/>
          <w:color w:val="auto"/>
          <w:sz w:val="24"/>
          <w:szCs w:val="24"/>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日      期：</w:t>
      </w:r>
      <w:r>
        <w:rPr>
          <w:rFonts w:hint="eastAsia" w:ascii="仿宋_GB2312" w:hAnsi="Courier New" w:eastAsia="仿宋_GB2312"/>
          <w:color w:val="auto"/>
          <w:sz w:val="24"/>
          <w:szCs w:val="24"/>
          <w:u w:val="single"/>
        </w:rPr>
        <w:t xml:space="preserve">               </w:t>
      </w:r>
    </w:p>
    <w:p>
      <w:pPr>
        <w:pStyle w:val="20"/>
        <w:snapToGrid w:val="0"/>
        <w:ind w:left="480" w:hanging="480"/>
        <w:jc w:val="left"/>
        <w:rPr>
          <w:rFonts w:hAnsi="宋体"/>
          <w:color w:val="auto"/>
          <w:sz w:val="24"/>
          <w:szCs w:val="24"/>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2.6    项目实施方案</w:t>
      </w:r>
    </w:p>
    <w:p>
      <w:pPr>
        <w:spacing w:line="360" w:lineRule="auto"/>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 </w:t>
      </w:r>
    </w:p>
    <w:p>
      <w:pPr>
        <w:spacing w:line="360" w:lineRule="auto"/>
        <w:jc w:val="center"/>
        <w:rPr>
          <w:rFonts w:ascii="仿宋_GB2312" w:hAnsi="Times New Roman" w:eastAsia="仿宋_GB2312"/>
          <w:color w:val="auto"/>
          <w:sz w:val="24"/>
          <w:szCs w:val="24"/>
        </w:rPr>
      </w:pPr>
      <w:r>
        <w:rPr>
          <w:rFonts w:hint="eastAsia" w:ascii="仿宋_GB2312" w:hAnsi="Times New Roman" w:eastAsia="仿宋_GB2312"/>
          <w:color w:val="auto"/>
          <w:sz w:val="24"/>
          <w:szCs w:val="24"/>
        </w:rPr>
        <w:t>（格式自行设计）</w:t>
      </w:r>
    </w:p>
    <w:p>
      <w:pPr>
        <w:spacing w:line="360" w:lineRule="auto"/>
        <w:jc w:val="left"/>
        <w:rPr>
          <w:rFonts w:ascii="仿宋_GB2312" w:hAnsi="Times New Roman" w:eastAsia="仿宋_GB2312"/>
          <w:color w:val="auto"/>
          <w:sz w:val="24"/>
          <w:szCs w:val="24"/>
        </w:rPr>
      </w:pPr>
      <w:r>
        <w:rPr>
          <w:rFonts w:hint="eastAsia" w:ascii="仿宋_GB2312" w:hAnsi="Times New Roman" w:eastAsia="仿宋_GB2312"/>
          <w:color w:val="auto"/>
          <w:sz w:val="24"/>
          <w:szCs w:val="24"/>
        </w:rPr>
        <w:t xml:space="preserve"> </w:t>
      </w:r>
    </w:p>
    <w:p>
      <w:pPr>
        <w:snapToGrid w:val="0"/>
        <w:ind w:left="480" w:hanging="480" w:hangingChars="200"/>
        <w:jc w:val="left"/>
        <w:rPr>
          <w:rFonts w:ascii="仿宋_GB2312" w:hAnsi="宋体" w:eastAsia="仿宋_GB2312"/>
          <w:color w:val="auto"/>
          <w:sz w:val="24"/>
          <w:szCs w:val="24"/>
        </w:rPr>
      </w:pPr>
      <w:r>
        <w:rPr>
          <w:rFonts w:hint="eastAsia" w:ascii="仿宋_GB2312" w:hAnsi="宋体" w:eastAsia="仿宋_GB2312"/>
          <w:color w:val="auto"/>
          <w:sz w:val="24"/>
          <w:szCs w:val="24"/>
        </w:rPr>
        <w:t xml:space="preserve"> </w:t>
      </w:r>
    </w:p>
    <w:p>
      <w:pPr>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投标人盖章：</w:t>
      </w:r>
      <w:r>
        <w:rPr>
          <w:rFonts w:hint="eastAsia" w:ascii="仿宋_GB2312" w:hAnsi="Courier New" w:eastAsia="仿宋_GB2312"/>
          <w:color w:val="auto"/>
          <w:sz w:val="24"/>
          <w:szCs w:val="24"/>
          <w:u w:val="single"/>
        </w:rPr>
        <w:t xml:space="preserve">                </w:t>
      </w:r>
    </w:p>
    <w:p>
      <w:pPr>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日      期：</w:t>
      </w:r>
      <w:r>
        <w:rPr>
          <w:rFonts w:hint="eastAsia" w:ascii="仿宋_GB2312" w:hAnsi="Courier New" w:eastAsia="仿宋_GB2312"/>
          <w:color w:val="auto"/>
          <w:sz w:val="24"/>
          <w:szCs w:val="24"/>
          <w:u w:val="single"/>
        </w:rPr>
        <w:t xml:space="preserve">                </w:t>
      </w:r>
    </w:p>
    <w:p>
      <w:pPr>
        <w:spacing w:line="360" w:lineRule="auto"/>
        <w:ind w:firstLine="480"/>
        <w:jc w:val="right"/>
        <w:rPr>
          <w:rFonts w:ascii="仿宋_GB2312" w:hAnsi="Courier New" w:eastAsia="仿宋_GB2312"/>
          <w:color w:val="auto"/>
          <w:sz w:val="24"/>
          <w:szCs w:val="24"/>
          <w:u w:val="single"/>
        </w:rPr>
      </w:pPr>
    </w:p>
    <w:p>
      <w:pPr>
        <w:widowControl/>
        <w:jc w:val="left"/>
        <w:rPr>
          <w:rFonts w:ascii="仿宋" w:hAnsi="仿宋" w:eastAsia="仿宋" w:cs="仿宋"/>
          <w:b/>
          <w:bCs/>
          <w:color w:val="auto"/>
          <w:sz w:val="24"/>
          <w:szCs w:val="24"/>
        </w:rPr>
      </w:pPr>
      <w:r>
        <w:rPr>
          <w:rFonts w:ascii="仿宋" w:hAnsi="仿宋" w:eastAsia="仿宋" w:cs="仿宋"/>
          <w:b/>
          <w:bCs/>
          <w:color w:val="auto"/>
          <w:sz w:val="24"/>
          <w:szCs w:val="24"/>
        </w:rPr>
        <w:br w:type="page"/>
      </w:r>
    </w:p>
    <w:p>
      <w:pPr>
        <w:pStyle w:val="39"/>
        <w:spacing w:line="360" w:lineRule="auto"/>
        <w:ind w:firstLine="480"/>
        <w:jc w:val="right"/>
        <w:rPr>
          <w:rFonts w:ascii="仿宋_GB2312" w:hAnsi="Courier New" w:eastAsia="仿宋_GB2312"/>
          <w:color w:val="auto"/>
          <w:sz w:val="24"/>
          <w:szCs w:val="24"/>
          <w:u w:val="single"/>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2.7   拟投入的项目班子格式</w:t>
      </w:r>
    </w:p>
    <w:p>
      <w:pPr>
        <w:pStyle w:val="2"/>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拟投入的项目班子</w:t>
      </w:r>
    </w:p>
    <w:p>
      <w:pPr>
        <w:pStyle w:val="2"/>
        <w:spacing w:line="360" w:lineRule="auto"/>
        <w:ind w:firstLine="0"/>
        <w:jc w:val="center"/>
        <w:rPr>
          <w:rFonts w:ascii="仿宋_GB2312" w:eastAsia="仿宋_GB2312"/>
          <w:color w:val="auto"/>
          <w:sz w:val="24"/>
          <w:szCs w:val="24"/>
        </w:rPr>
      </w:pPr>
      <w:r>
        <w:rPr>
          <w:rFonts w:hint="eastAsia" w:ascii="仿宋_GB2312" w:eastAsia="仿宋_GB2312"/>
          <w:color w:val="auto"/>
          <w:sz w:val="24"/>
          <w:szCs w:val="24"/>
        </w:rPr>
        <w:t>（格式仅供参考）</w:t>
      </w:r>
    </w:p>
    <w:p>
      <w:pPr>
        <w:pStyle w:val="2"/>
        <w:ind w:firstLine="0"/>
        <w:jc w:val="center"/>
        <w:rPr>
          <w:rFonts w:ascii="仿宋_GB2312" w:eastAsia="仿宋_GB2312"/>
          <w:b/>
          <w:color w:val="auto"/>
          <w:sz w:val="24"/>
          <w:szCs w:val="24"/>
        </w:rPr>
      </w:pPr>
      <w:r>
        <w:rPr>
          <w:rFonts w:hint="eastAsia" w:ascii="仿宋_GB2312" w:eastAsia="仿宋_GB2312"/>
          <w:b/>
          <w:color w:val="auto"/>
          <w:sz w:val="24"/>
          <w:szCs w:val="24"/>
        </w:rPr>
        <w:t>项目负责人简历表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709"/>
        <w:gridCol w:w="456"/>
        <w:gridCol w:w="1155"/>
        <w:gridCol w:w="686"/>
        <w:gridCol w:w="469"/>
        <w:gridCol w:w="1232"/>
        <w:gridCol w:w="15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姓  名</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年  龄</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pStyle w:val="2"/>
              <w:ind w:firstLine="0"/>
              <w:rPr>
                <w:rFonts w:ascii="仿宋_GB2312" w:eastAsia="仿宋_GB2312"/>
                <w:color w:val="auto"/>
                <w:sz w:val="24"/>
                <w:szCs w:val="24"/>
              </w:rPr>
            </w:pPr>
            <w:r>
              <w:rPr>
                <w:rFonts w:hint="eastAsia" w:ascii="仿宋_GB2312" w:eastAsia="仿宋_GB2312"/>
                <w:color w:val="auto"/>
                <w:sz w:val="24"/>
                <w:szCs w:val="24"/>
              </w:rPr>
              <w:t>学历</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职  称</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15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职  务</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2745" w:type="dxa"/>
            <w:gridSpan w:val="2"/>
            <w:tcBorders>
              <w:top w:val="single" w:color="auto" w:sz="4" w:space="0"/>
              <w:left w:val="single" w:color="auto" w:sz="4" w:space="0"/>
              <w:bottom w:val="single" w:color="auto" w:sz="4" w:space="0"/>
              <w:right w:val="single" w:color="auto" w:sz="4" w:space="0"/>
            </w:tcBorders>
            <w:vAlign w:val="center"/>
          </w:tcPr>
          <w:p>
            <w:pPr>
              <w:pStyle w:val="2"/>
              <w:ind w:firstLine="0"/>
              <w:rPr>
                <w:rFonts w:ascii="仿宋_GB2312" w:eastAsia="仿宋_GB2312"/>
                <w:color w:val="auto"/>
                <w:sz w:val="24"/>
                <w:szCs w:val="24"/>
              </w:rPr>
            </w:pPr>
            <w:r>
              <w:rPr>
                <w:rFonts w:hint="eastAsia" w:ascii="仿宋_GB2312" w:eastAsia="仿宋_GB2312"/>
                <w:color w:val="auto"/>
                <w:sz w:val="24"/>
                <w:szCs w:val="24"/>
              </w:rPr>
              <w:t>拟在本项目任职</w:t>
            </w:r>
          </w:p>
        </w:tc>
        <w:tc>
          <w:tcPr>
            <w:tcW w:w="1800"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毕业院校</w:t>
            </w:r>
          </w:p>
        </w:tc>
        <w:tc>
          <w:tcPr>
            <w:tcW w:w="8020" w:type="dxa"/>
            <w:gridSpan w:val="8"/>
            <w:tcBorders>
              <w:top w:val="single" w:color="auto" w:sz="4" w:space="0"/>
              <w:left w:val="single" w:color="auto" w:sz="4" w:space="0"/>
              <w:bottom w:val="single" w:color="auto" w:sz="4" w:space="0"/>
              <w:right w:val="single" w:color="auto" w:sz="4" w:space="0"/>
            </w:tcBorders>
            <w:vAlign w:val="center"/>
          </w:tcPr>
          <w:p>
            <w:pPr>
              <w:pStyle w:val="2"/>
              <w:ind w:firstLine="480" w:firstLineChars="200"/>
              <w:rPr>
                <w:rFonts w:ascii="仿宋_GB2312" w:eastAsia="仿宋_GB2312"/>
                <w:color w:val="auto"/>
                <w:sz w:val="24"/>
                <w:szCs w:val="24"/>
              </w:rPr>
            </w:pPr>
            <w:r>
              <w:rPr>
                <w:rFonts w:hint="eastAsia" w:ascii="仿宋_GB2312" w:eastAsia="仿宋_GB2312"/>
                <w:color w:val="auto"/>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4" w:type="dxa"/>
            <w:gridSpan w:val="9"/>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主要工作履历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时间</w:t>
            </w:r>
          </w:p>
        </w:tc>
        <w:tc>
          <w:tcPr>
            <w:tcW w:w="2297" w:type="dxa"/>
            <w:gridSpan w:val="3"/>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参加过类似项目</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担任职务</w:t>
            </w:r>
          </w:p>
        </w:tc>
        <w:tc>
          <w:tcPr>
            <w:tcW w:w="3313"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2297" w:type="dxa"/>
            <w:gridSpan w:val="3"/>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3313"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2297" w:type="dxa"/>
            <w:gridSpan w:val="3"/>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3313" w:type="dxa"/>
            <w:gridSpan w:val="2"/>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r>
    </w:tbl>
    <w:p>
      <w:pPr>
        <w:pStyle w:val="2"/>
        <w:ind w:firstLine="0"/>
        <w:rPr>
          <w:rFonts w:ascii="仿宋_GB2312" w:eastAsia="仿宋_GB2312"/>
          <w:color w:val="auto"/>
          <w:sz w:val="24"/>
          <w:szCs w:val="24"/>
        </w:rPr>
      </w:pPr>
    </w:p>
    <w:p>
      <w:pPr>
        <w:pStyle w:val="2"/>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ind w:firstLine="0"/>
        <w:jc w:val="center"/>
        <w:rPr>
          <w:rFonts w:ascii="仿宋_GB2312" w:eastAsia="仿宋_GB2312"/>
          <w:b/>
          <w:color w:val="auto"/>
          <w:sz w:val="24"/>
          <w:szCs w:val="24"/>
        </w:rPr>
      </w:pPr>
      <w:r>
        <w:rPr>
          <w:rFonts w:hint="eastAsia" w:ascii="仿宋_GB2312" w:eastAsia="仿宋_GB2312"/>
          <w:b/>
          <w:color w:val="auto"/>
          <w:sz w:val="24"/>
          <w:szCs w:val="24"/>
        </w:rPr>
        <w:t>项目班子一览表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984"/>
        <w:gridCol w:w="184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姓名</w:t>
            </w:r>
          </w:p>
        </w:tc>
        <w:tc>
          <w:tcPr>
            <w:tcW w:w="1418"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职务</w:t>
            </w:r>
          </w:p>
        </w:tc>
        <w:tc>
          <w:tcPr>
            <w:tcW w:w="198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专业技术资格</w:t>
            </w:r>
          </w:p>
        </w:tc>
        <w:tc>
          <w:tcPr>
            <w:tcW w:w="1843"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证书编号</w:t>
            </w:r>
          </w:p>
        </w:tc>
        <w:tc>
          <w:tcPr>
            <w:tcW w:w="275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r>
              <w:rPr>
                <w:rFonts w:hint="eastAsia" w:ascii="仿宋_GB2312" w:eastAsia="仿宋_GB2312"/>
                <w:color w:val="auto"/>
                <w:sz w:val="24"/>
                <w:szCs w:val="24"/>
              </w:rPr>
              <w:t>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275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c>
          <w:tcPr>
            <w:tcW w:w="2755" w:type="dxa"/>
            <w:tcBorders>
              <w:top w:val="single" w:color="auto" w:sz="4" w:space="0"/>
              <w:left w:val="single" w:color="auto" w:sz="4" w:space="0"/>
              <w:bottom w:val="single" w:color="auto" w:sz="4" w:space="0"/>
              <w:right w:val="single" w:color="auto" w:sz="4" w:space="0"/>
            </w:tcBorders>
            <w:vAlign w:val="center"/>
          </w:tcPr>
          <w:p>
            <w:pPr>
              <w:pStyle w:val="2"/>
              <w:ind w:firstLine="0"/>
              <w:jc w:val="center"/>
              <w:rPr>
                <w:rFonts w:ascii="仿宋_GB2312" w:eastAsia="仿宋_GB2312"/>
                <w:color w:val="auto"/>
                <w:sz w:val="24"/>
                <w:szCs w:val="24"/>
              </w:rPr>
            </w:pPr>
          </w:p>
        </w:tc>
      </w:tr>
    </w:tbl>
    <w:p>
      <w:pPr>
        <w:pStyle w:val="2"/>
        <w:ind w:firstLine="0"/>
        <w:rPr>
          <w:rFonts w:ascii="仿宋_GB2312" w:eastAsia="仿宋_GB2312"/>
          <w:color w:val="auto"/>
          <w:sz w:val="24"/>
          <w:szCs w:val="24"/>
        </w:rPr>
      </w:pPr>
    </w:p>
    <w:p>
      <w:pPr>
        <w:pStyle w:val="39"/>
        <w:wordWrap w:val="0"/>
        <w:spacing w:line="360" w:lineRule="auto"/>
        <w:ind w:firstLine="480"/>
        <w:jc w:val="right"/>
        <w:rPr>
          <w:rFonts w:ascii="仿宋_GB2312" w:hAnsi="Courier New" w:eastAsia="仿宋_GB2312"/>
          <w:color w:val="auto"/>
          <w:sz w:val="24"/>
          <w:szCs w:val="24"/>
        </w:rPr>
      </w:pPr>
      <w:r>
        <w:rPr>
          <w:rFonts w:hint="eastAsia" w:ascii="仿宋_GB2312" w:hAnsi="Courier New" w:eastAsia="仿宋_GB2312"/>
          <w:color w:val="auto"/>
          <w:sz w:val="24"/>
          <w:szCs w:val="24"/>
        </w:rPr>
        <w:t xml:space="preserve"> </w:t>
      </w:r>
    </w:p>
    <w:p>
      <w:pPr>
        <w:rPr>
          <w:color w:val="auto"/>
          <w:u w:val="single"/>
        </w:rPr>
      </w:pPr>
      <w:r>
        <w:rPr>
          <w:rFonts w:hint="eastAsia"/>
          <w:color w:val="auto"/>
        </w:rPr>
        <w:t xml:space="preserve">                                                </w:t>
      </w:r>
      <w:r>
        <w:rPr>
          <w:rFonts w:hint="eastAsia" w:ascii="仿宋" w:hAnsi="仿宋" w:eastAsia="仿宋" w:cs="仿宋"/>
          <w:color w:val="auto"/>
          <w:sz w:val="24"/>
          <w:szCs w:val="24"/>
        </w:rPr>
        <w:t>投标人盖章</w:t>
      </w:r>
      <w:r>
        <w:rPr>
          <w:rFonts w:hint="eastAsia"/>
          <w:color w:val="auto"/>
        </w:rPr>
        <w:t>：</w:t>
      </w:r>
      <w:r>
        <w:rPr>
          <w:rFonts w:hint="eastAsia"/>
          <w:color w:val="auto"/>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 xml:space="preserve"> 日      期：</w:t>
      </w:r>
      <w:r>
        <w:rPr>
          <w:rFonts w:hint="eastAsia" w:ascii="仿宋_GB2312" w:hAnsi="Courier New" w:eastAsia="仿宋_GB2312"/>
          <w:color w:val="auto"/>
          <w:sz w:val="24"/>
          <w:szCs w:val="24"/>
          <w:u w:val="single"/>
        </w:rPr>
        <w:t xml:space="preserve">                </w:t>
      </w:r>
    </w:p>
    <w:p>
      <w:pPr>
        <w:pStyle w:val="39"/>
        <w:spacing w:line="360" w:lineRule="auto"/>
        <w:jc w:val="left"/>
        <w:rPr>
          <w:rFonts w:ascii="仿宋_GB2312" w:hAnsi="Courier New" w:eastAsia="仿宋_GB2312"/>
          <w:color w:val="auto"/>
          <w:sz w:val="24"/>
          <w:szCs w:val="24"/>
          <w:u w:val="single"/>
        </w:rPr>
      </w:pPr>
      <w:r>
        <w:rPr>
          <w:rFonts w:hint="eastAsia" w:ascii="仿宋_GB2312" w:hAnsi="Courier New" w:eastAsia="仿宋_GB2312"/>
          <w:color w:val="auto"/>
          <w:sz w:val="24"/>
          <w:szCs w:val="24"/>
          <w:u w:val="single"/>
        </w:rPr>
        <w:t xml:space="preserve"> </w:t>
      </w:r>
    </w:p>
    <w:p>
      <w:pPr>
        <w:pStyle w:val="39"/>
        <w:spacing w:line="360" w:lineRule="auto"/>
        <w:jc w:val="left"/>
        <w:rPr>
          <w:rFonts w:ascii="仿宋_GB2312" w:hAnsi="Courier New" w:eastAsia="仿宋_GB2312"/>
          <w:color w:val="auto"/>
          <w:sz w:val="24"/>
          <w:szCs w:val="24"/>
          <w:u w:val="single"/>
        </w:rPr>
      </w:pPr>
    </w:p>
    <w:p>
      <w:pPr>
        <w:widowControl/>
        <w:jc w:val="left"/>
        <w:rPr>
          <w:rFonts w:ascii="仿宋" w:hAnsi="仿宋" w:eastAsia="仿宋" w:cs="仿宋"/>
          <w:b/>
          <w:bCs/>
          <w:color w:val="auto"/>
          <w:sz w:val="24"/>
          <w:szCs w:val="24"/>
        </w:rPr>
      </w:pPr>
    </w:p>
    <w:p>
      <w:pPr>
        <w:widowControl/>
        <w:jc w:val="left"/>
        <w:rPr>
          <w:rFonts w:ascii="仿宋" w:hAnsi="仿宋" w:eastAsia="仿宋" w:cs="仿宋"/>
          <w:b/>
          <w:bCs/>
          <w:color w:val="auto"/>
          <w:sz w:val="24"/>
          <w:szCs w:val="24"/>
        </w:rPr>
      </w:pPr>
    </w:p>
    <w:p>
      <w:pPr>
        <w:widowControl/>
        <w:jc w:val="left"/>
        <w:rPr>
          <w:rFonts w:ascii="仿宋" w:hAnsi="仿宋" w:eastAsia="仿宋" w:cs="仿宋"/>
          <w:b/>
          <w:bCs/>
          <w:color w:val="auto"/>
          <w:sz w:val="24"/>
          <w:szCs w:val="24"/>
        </w:rPr>
      </w:pPr>
      <w:r>
        <w:rPr>
          <w:rFonts w:hint="eastAsia" w:ascii="仿宋" w:hAnsi="仿宋" w:eastAsia="仿宋" w:cs="仿宋"/>
          <w:b/>
          <w:bCs/>
          <w:color w:val="auto"/>
          <w:sz w:val="24"/>
          <w:szCs w:val="24"/>
        </w:rPr>
        <w:t>2.8  供应商需要说明的其他文件和说明</w:t>
      </w:r>
    </w:p>
    <w:p>
      <w:pPr>
        <w:pStyle w:val="46"/>
        <w:spacing w:line="360" w:lineRule="auto"/>
        <w:jc w:val="center"/>
        <w:rPr>
          <w:rFonts w:ascii="仿宋_GB2312" w:eastAsia="仿宋_GB2312"/>
          <w:color w:val="auto"/>
          <w:sz w:val="24"/>
          <w:szCs w:val="24"/>
        </w:rPr>
      </w:pPr>
      <w:r>
        <w:rPr>
          <w:rFonts w:hint="eastAsia" w:ascii="仿宋_GB2312" w:eastAsia="仿宋_GB2312"/>
          <w:color w:val="auto"/>
          <w:sz w:val="24"/>
          <w:szCs w:val="24"/>
        </w:rPr>
        <w:t>（格式自行设计）</w:t>
      </w:r>
    </w:p>
    <w:p>
      <w:pPr>
        <w:pStyle w:val="46"/>
        <w:spacing w:line="360" w:lineRule="auto"/>
        <w:jc w:val="left"/>
        <w:rPr>
          <w:rFonts w:ascii="仿宋_GB2312" w:eastAsia="仿宋_GB2312"/>
          <w:color w:val="auto"/>
          <w:sz w:val="24"/>
          <w:szCs w:val="24"/>
        </w:rPr>
      </w:pPr>
      <w:r>
        <w:rPr>
          <w:rFonts w:hint="eastAsia" w:ascii="仿宋_GB2312" w:eastAsia="仿宋_GB2312"/>
          <w:color w:val="auto"/>
          <w:sz w:val="24"/>
          <w:szCs w:val="24"/>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投标人盖章：</w:t>
      </w:r>
      <w:r>
        <w:rPr>
          <w:rFonts w:hint="eastAsia" w:ascii="仿宋_GB2312" w:hAnsi="Courier New" w:eastAsia="仿宋_GB2312"/>
          <w:color w:val="auto"/>
          <w:sz w:val="24"/>
          <w:szCs w:val="24"/>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日      期：</w:t>
      </w:r>
      <w:r>
        <w:rPr>
          <w:rFonts w:hint="eastAsia" w:ascii="仿宋_GB2312" w:hAnsi="Courier New" w:eastAsia="仿宋_GB2312"/>
          <w:color w:val="auto"/>
          <w:sz w:val="24"/>
          <w:szCs w:val="24"/>
          <w:u w:val="single"/>
        </w:rPr>
        <w:t xml:space="preserve">                </w:t>
      </w:r>
    </w:p>
    <w:p>
      <w:pPr>
        <w:pStyle w:val="39"/>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u w:val="single"/>
        </w:rPr>
        <w:t xml:space="preserve"> </w:t>
      </w:r>
    </w:p>
    <w:p>
      <w:pPr>
        <w:pStyle w:val="39"/>
        <w:spacing w:line="360" w:lineRule="auto"/>
        <w:jc w:val="left"/>
        <w:rPr>
          <w:rFonts w:ascii="仿宋_GB2312" w:hAnsi="Courier New" w:eastAsia="仿宋_GB2312"/>
          <w:color w:val="auto"/>
          <w:sz w:val="24"/>
          <w:szCs w:val="24"/>
          <w:u w:val="single"/>
        </w:rPr>
      </w:pPr>
      <w:r>
        <w:rPr>
          <w:rFonts w:hint="eastAsia" w:ascii="仿宋_GB2312" w:hAnsi="Courier New" w:eastAsia="仿宋_GB2312"/>
          <w:color w:val="auto"/>
          <w:sz w:val="24"/>
          <w:szCs w:val="24"/>
          <w:u w:val="single"/>
        </w:rPr>
        <w:t xml:space="preserve"> </w:t>
      </w:r>
    </w:p>
    <w:p>
      <w:pPr>
        <w:pStyle w:val="39"/>
        <w:spacing w:line="360" w:lineRule="auto"/>
        <w:jc w:val="left"/>
        <w:rPr>
          <w:rFonts w:ascii="仿宋_GB2312" w:hAnsi="Courier New" w:eastAsia="仿宋_GB2312"/>
          <w:color w:val="auto"/>
          <w:sz w:val="24"/>
          <w:szCs w:val="24"/>
          <w:u w:val="single"/>
        </w:rPr>
      </w:pPr>
      <w:r>
        <w:rPr>
          <w:rFonts w:hint="eastAsia" w:ascii="仿宋_GB2312" w:hAnsi="Courier New" w:eastAsia="仿宋_GB2312"/>
          <w:color w:val="auto"/>
          <w:sz w:val="24"/>
          <w:szCs w:val="24"/>
          <w:u w:val="single"/>
        </w:rPr>
        <w:t xml:space="preserve">  </w:t>
      </w:r>
    </w:p>
    <w:p>
      <w:pPr>
        <w:pStyle w:val="24"/>
        <w:spacing w:beforeLines="100" w:after="240" w:afterLines="100"/>
        <w:outlineLvl w:val="1"/>
        <w:rPr>
          <w:rFonts w:ascii="仿宋_GB2312" w:eastAsia="仿宋_GB2312"/>
          <w:color w:val="auto"/>
          <w:sz w:val="44"/>
          <w:szCs w:val="44"/>
        </w:rPr>
      </w:pPr>
      <w:bookmarkStart w:id="195" w:name="_Toc105577187"/>
      <w:bookmarkStart w:id="196" w:name="_Toc27390"/>
      <w:r>
        <w:rPr>
          <w:rFonts w:hint="eastAsia" w:ascii="仿宋_GB2312" w:eastAsia="仿宋_GB2312"/>
          <w:color w:val="auto"/>
          <w:sz w:val="44"/>
          <w:szCs w:val="44"/>
        </w:rPr>
        <w:t>三  报价文件格式</w:t>
      </w:r>
      <w:bookmarkEnd w:id="195"/>
      <w:bookmarkEnd w:id="196"/>
    </w:p>
    <w:p>
      <w:pPr>
        <w:pStyle w:val="5"/>
        <w:spacing w:before="0" w:after="0"/>
        <w:ind w:firstLine="0" w:firstLineChars="0"/>
        <w:jc w:val="left"/>
        <w:rPr>
          <w:rFonts w:hAnsi="宋体"/>
          <w:color w:val="auto"/>
          <w:sz w:val="24"/>
          <w:szCs w:val="24"/>
        </w:rPr>
      </w:pPr>
      <w:r>
        <w:rPr>
          <w:rFonts w:hint="eastAsia" w:hAnsi="宋体"/>
          <w:color w:val="auto"/>
          <w:sz w:val="24"/>
          <w:szCs w:val="24"/>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3.1     报价文件封面格式</w:t>
      </w:r>
    </w:p>
    <w:p>
      <w:pPr>
        <w:spacing w:line="360" w:lineRule="auto"/>
        <w:rPr>
          <w:color w:val="auto"/>
          <w:szCs w:val="21"/>
        </w:rPr>
      </w:pPr>
      <w:r>
        <w:rPr>
          <w:rFonts w:hint="eastAsia"/>
          <w:color w:val="auto"/>
        </w:rPr>
        <w:t xml:space="preserve"> </w:t>
      </w:r>
    </w:p>
    <w:p>
      <w:pPr>
        <w:pStyle w:val="2"/>
        <w:spacing w:line="360" w:lineRule="auto"/>
        <w:ind w:firstLine="0"/>
        <w:rPr>
          <w:rFonts w:ascii="仿宋_GB2312" w:hAnsi="宋体" w:eastAsia="仿宋_GB2312"/>
          <w:b/>
          <w:color w:val="auto"/>
          <w:sz w:val="32"/>
          <w:szCs w:val="32"/>
        </w:rPr>
      </w:pPr>
      <w:r>
        <w:rPr>
          <w:rFonts w:hint="eastAsia" w:ascii="仿宋_GB2312" w:hAnsi="宋体" w:eastAsia="仿宋_GB2312"/>
          <w:b/>
          <w:color w:val="auto"/>
          <w:sz w:val="32"/>
          <w:szCs w:val="32"/>
        </w:rPr>
        <w:t>投标文件</w:t>
      </w:r>
    </w:p>
    <w:tbl>
      <w:tblPr>
        <w:tblStyle w:val="26"/>
        <w:tblW w:w="0" w:type="auto"/>
        <w:jc w:val="center"/>
        <w:tblLayout w:type="autofit"/>
        <w:tblCellMar>
          <w:top w:w="0" w:type="dxa"/>
          <w:left w:w="108" w:type="dxa"/>
          <w:bottom w:w="0" w:type="dxa"/>
          <w:right w:w="108" w:type="dxa"/>
        </w:tblCellMar>
      </w:tblPr>
      <w:tblGrid>
        <w:gridCol w:w="2518"/>
        <w:gridCol w:w="4536"/>
      </w:tblGrid>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rPr>
              <w:t>投标文件名称：</w:t>
            </w:r>
          </w:p>
        </w:tc>
        <w:tc>
          <w:tcPr>
            <w:tcW w:w="4536"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报价文件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rPr>
              <w:t>采 购 编 号：</w:t>
            </w:r>
          </w:p>
        </w:tc>
        <w:tc>
          <w:tcPr>
            <w:tcW w:w="4536"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rPr>
              <w:t>项 目 名 称：</w:t>
            </w:r>
          </w:p>
        </w:tc>
        <w:tc>
          <w:tcPr>
            <w:tcW w:w="4536"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rPr>
              <w:t>标      项：</w:t>
            </w:r>
          </w:p>
        </w:tc>
        <w:tc>
          <w:tcPr>
            <w:tcW w:w="4536" w:type="dxa"/>
            <w:tcBorders>
              <w:top w:val="nil"/>
              <w:left w:val="nil"/>
              <w:bottom w:val="nil"/>
              <w:right w:val="nil"/>
            </w:tcBorders>
            <w:vAlign w:val="center"/>
          </w:tcPr>
          <w:p>
            <w:pPr>
              <w:rPr>
                <w:rFonts w:ascii="仿宋_GB2312" w:hAnsi="宋体" w:eastAsia="仿宋_GB2312" w:cs="Calibri"/>
                <w:color w:val="auto"/>
                <w:sz w:val="24"/>
                <w:szCs w:val="24"/>
                <w:u w:val="single"/>
              </w:rPr>
            </w:pPr>
            <w:r>
              <w:rPr>
                <w:rFonts w:hint="eastAsia" w:ascii="仿宋_GB2312" w:hAnsi="宋体" w:eastAsia="仿宋_GB2312"/>
                <w:color w:val="auto"/>
                <w:sz w:val="24"/>
                <w:szCs w:val="24"/>
                <w:u w:val="single"/>
              </w:rPr>
              <w:t xml:space="preserve">（若有）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rPr>
                <w:rFonts w:ascii="仿宋_GB2312" w:eastAsia="仿宋_GB2312" w:cs="Calibri"/>
                <w:color w:val="auto"/>
                <w:sz w:val="24"/>
                <w:szCs w:val="24"/>
              </w:rPr>
            </w:pPr>
          </w:p>
        </w:tc>
        <w:tc>
          <w:tcPr>
            <w:tcW w:w="4536" w:type="dxa"/>
            <w:tcBorders>
              <w:top w:val="nil"/>
              <w:left w:val="nil"/>
              <w:bottom w:val="nil"/>
              <w:right w:val="nil"/>
            </w:tcBorders>
            <w:vAlign w:val="center"/>
          </w:tcPr>
          <w:p>
            <w:pPr>
              <w:rPr>
                <w:rFonts w:ascii="仿宋_GB2312" w:eastAsia="仿宋_GB2312" w:cs="Calibri"/>
                <w:color w:val="auto"/>
                <w:sz w:val="24"/>
                <w:szCs w:val="24"/>
              </w:rPr>
            </w:pP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rPr>
              <w:t>投标人全称（盖章）：</w:t>
            </w:r>
          </w:p>
        </w:tc>
        <w:tc>
          <w:tcPr>
            <w:tcW w:w="4536"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2518" w:type="dxa"/>
            <w:tcBorders>
              <w:top w:val="nil"/>
              <w:left w:val="nil"/>
              <w:bottom w:val="nil"/>
              <w:right w:val="nil"/>
            </w:tcBorders>
            <w:vAlign w:val="center"/>
          </w:tcPr>
          <w:p>
            <w:pPr>
              <w:rPr>
                <w:rFonts w:ascii="仿宋_GB2312" w:hAnsi="宋体" w:eastAsia="仿宋_GB2312" w:cs="Calibri"/>
                <w:color w:val="auto"/>
                <w:sz w:val="24"/>
                <w:szCs w:val="24"/>
              </w:rPr>
            </w:pPr>
            <w:r>
              <w:rPr>
                <w:rFonts w:hint="eastAsia" w:ascii="仿宋_GB2312" w:hAnsi="宋体" w:eastAsia="仿宋_GB2312"/>
                <w:color w:val="auto"/>
                <w:sz w:val="24"/>
                <w:szCs w:val="24"/>
              </w:rPr>
              <w:t>投标人地址：</w:t>
            </w:r>
          </w:p>
        </w:tc>
        <w:tc>
          <w:tcPr>
            <w:tcW w:w="4536" w:type="dxa"/>
            <w:tcBorders>
              <w:top w:val="nil"/>
              <w:left w:val="nil"/>
              <w:bottom w:val="nil"/>
              <w:right w:val="nil"/>
            </w:tcBorders>
            <w:vAlign w:val="center"/>
          </w:tcPr>
          <w:p>
            <w:pPr>
              <w:rPr>
                <w:rFonts w:ascii="仿宋_GB2312" w:eastAsia="仿宋_GB2312" w:cs="Calibri"/>
                <w:color w:val="auto"/>
                <w:sz w:val="24"/>
                <w:szCs w:val="24"/>
              </w:rPr>
            </w:pPr>
            <w:r>
              <w:rPr>
                <w:rFonts w:hint="eastAsia" w:ascii="仿宋_GB2312" w:hAnsi="宋体" w:eastAsia="仿宋_GB2312"/>
                <w:color w:val="auto"/>
                <w:sz w:val="24"/>
                <w:szCs w:val="24"/>
                <w:u w:val="single"/>
              </w:rPr>
              <w:t xml:space="preserve">                                    </w:t>
            </w:r>
          </w:p>
        </w:tc>
      </w:tr>
      <w:tr>
        <w:tblPrEx>
          <w:tblCellMar>
            <w:top w:w="0" w:type="dxa"/>
            <w:left w:w="108" w:type="dxa"/>
            <w:bottom w:w="0" w:type="dxa"/>
            <w:right w:w="108" w:type="dxa"/>
          </w:tblCellMar>
        </w:tblPrEx>
        <w:trPr>
          <w:trHeight w:val="397" w:hRule="atLeast"/>
          <w:jc w:val="center"/>
        </w:trPr>
        <w:tc>
          <w:tcPr>
            <w:tcW w:w="7054" w:type="dxa"/>
            <w:gridSpan w:val="2"/>
            <w:tcBorders>
              <w:top w:val="nil"/>
              <w:left w:val="nil"/>
              <w:bottom w:val="nil"/>
              <w:right w:val="nil"/>
            </w:tcBorders>
            <w:vAlign w:val="center"/>
          </w:tcPr>
          <w:p>
            <w:pPr>
              <w:rPr>
                <w:rFonts w:ascii="仿宋_GB2312" w:hAnsi="宋体" w:eastAsia="仿宋_GB2312" w:cs="Calibri"/>
                <w:color w:val="auto"/>
                <w:sz w:val="24"/>
                <w:szCs w:val="24"/>
                <w:u w:val="single"/>
              </w:rPr>
            </w:pPr>
          </w:p>
        </w:tc>
      </w:tr>
      <w:tr>
        <w:tblPrEx>
          <w:tblCellMar>
            <w:top w:w="0" w:type="dxa"/>
            <w:left w:w="108" w:type="dxa"/>
            <w:bottom w:w="0" w:type="dxa"/>
            <w:right w:w="108" w:type="dxa"/>
          </w:tblCellMar>
        </w:tblPrEx>
        <w:trPr>
          <w:trHeight w:val="397" w:hRule="atLeast"/>
          <w:jc w:val="center"/>
        </w:trPr>
        <w:tc>
          <w:tcPr>
            <w:tcW w:w="7054" w:type="dxa"/>
            <w:gridSpan w:val="2"/>
            <w:tcBorders>
              <w:top w:val="nil"/>
              <w:left w:val="nil"/>
              <w:bottom w:val="nil"/>
              <w:right w:val="nil"/>
            </w:tcBorders>
            <w:vAlign w:val="center"/>
          </w:tcPr>
          <w:p>
            <w:pPr>
              <w:rPr>
                <w:rFonts w:ascii="仿宋_GB2312" w:hAnsi="宋体" w:eastAsia="仿宋_GB2312" w:cs="Calibri"/>
                <w:color w:val="auto"/>
                <w:sz w:val="24"/>
                <w:szCs w:val="24"/>
              </w:rPr>
            </w:pPr>
            <w:r>
              <w:rPr>
                <w:rFonts w:hint="eastAsia" w:ascii="仿宋_GB2312" w:hAnsi="宋体" w:eastAsia="仿宋_GB2312"/>
                <w:color w:val="auto"/>
                <w:sz w:val="24"/>
                <w:szCs w:val="24"/>
              </w:rPr>
              <w:t>年  月  日</w:t>
            </w:r>
          </w:p>
        </w:tc>
      </w:tr>
    </w:tbl>
    <w:p>
      <w:pPr>
        <w:spacing w:line="360" w:lineRule="auto"/>
        <w:rPr>
          <w:rFonts w:ascii="仿宋_GB2312" w:eastAsia="仿宋_GB2312" w:cs="Calibri"/>
          <w:color w:val="auto"/>
          <w:sz w:val="24"/>
          <w:szCs w:val="24"/>
        </w:rPr>
      </w:pPr>
      <w:r>
        <w:rPr>
          <w:rFonts w:hint="eastAsia" w:ascii="仿宋_GB2312" w:eastAsia="仿宋_GB2312"/>
          <w:color w:val="auto"/>
          <w:sz w:val="24"/>
          <w:szCs w:val="24"/>
        </w:rPr>
        <w:t xml:space="preserve"> </w:t>
      </w:r>
    </w:p>
    <w:p>
      <w:pPr>
        <w:spacing w:line="360" w:lineRule="auto"/>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3.2    报价文件文件目录</w:t>
      </w:r>
    </w:p>
    <w:p>
      <w:pPr>
        <w:pStyle w:val="2"/>
        <w:spacing w:line="360" w:lineRule="auto"/>
        <w:ind w:firstLine="0"/>
        <w:rPr>
          <w:color w:val="auto"/>
        </w:rPr>
      </w:pPr>
      <w:r>
        <w:rPr>
          <w:rFonts w:hint="eastAsia"/>
          <w:color w:val="auto"/>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（格式自行设计）</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pStyle w:val="2"/>
        <w:spacing w:line="360" w:lineRule="auto"/>
        <w:ind w:firstLine="0"/>
        <w:rPr>
          <w:rFonts w:ascii="仿宋_GB2312" w:eastAsia="仿宋_GB2312"/>
          <w:color w:val="auto"/>
          <w:sz w:val="24"/>
          <w:szCs w:val="24"/>
        </w:rPr>
      </w:pPr>
    </w:p>
    <w:p>
      <w:pPr>
        <w:pStyle w:val="2"/>
        <w:spacing w:line="360" w:lineRule="auto"/>
        <w:ind w:firstLine="0"/>
        <w:rPr>
          <w:rFonts w:ascii="仿宋_GB2312" w:eastAsia="仿宋_GB2312"/>
          <w:color w:val="auto"/>
          <w:sz w:val="24"/>
          <w:szCs w:val="24"/>
        </w:rPr>
      </w:pPr>
      <w:r>
        <w:rPr>
          <w:rFonts w:hint="eastAsia" w:ascii="仿宋_GB2312" w:eastAsia="仿宋_GB2312"/>
          <w:color w:val="auto"/>
          <w:sz w:val="24"/>
          <w:szCs w:val="24"/>
        </w:rPr>
        <w:t xml:space="preserve"> </w:t>
      </w:r>
    </w:p>
    <w:p>
      <w:pPr>
        <w:spacing w:line="360" w:lineRule="auto"/>
        <w:rPr>
          <w:rFonts w:hint="eastAsia" w:ascii="仿宋" w:hAnsi="仿宋" w:eastAsia="仿宋" w:cs="仿宋"/>
          <w:b/>
          <w:bCs/>
          <w:color w:val="auto"/>
          <w:sz w:val="24"/>
          <w:szCs w:val="24"/>
        </w:rPr>
      </w:pP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3.3     开标一览表格式</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开标一览表</w:t>
      </w:r>
    </w:p>
    <w:p>
      <w:pPr>
        <w:rPr>
          <w:rFonts w:ascii="宋体" w:hAnsi="宋体"/>
          <w:color w:val="auto"/>
          <w:szCs w:val="21"/>
        </w:rPr>
      </w:pPr>
      <w:r>
        <w:rPr>
          <w:rFonts w:hint="eastAsia" w:ascii="宋体" w:hAnsi="宋体"/>
          <w:color w:val="auto"/>
        </w:rPr>
        <w:t xml:space="preserve"> </w:t>
      </w:r>
    </w:p>
    <w:p>
      <w:pPr>
        <w:spacing w:line="360" w:lineRule="auto"/>
        <w:rPr>
          <w:rFonts w:ascii="仿宋_GB2312" w:hAnsi="宋体" w:eastAsia="仿宋_GB2312"/>
          <w:color w:val="auto"/>
          <w:sz w:val="24"/>
          <w:szCs w:val="24"/>
        </w:rPr>
      </w:pPr>
      <w:r>
        <w:rPr>
          <w:rFonts w:hint="eastAsia" w:ascii="仿宋_GB2312" w:hAnsi="宋体" w:eastAsia="仿宋_GB2312"/>
          <w:color w:val="auto"/>
          <w:sz w:val="24"/>
          <w:szCs w:val="24"/>
        </w:rPr>
        <w:t>项目编号：</w:t>
      </w:r>
      <w:r>
        <w:rPr>
          <w:rFonts w:hint="eastAsia" w:ascii="仿宋_GB2312" w:hAnsi="宋体" w:eastAsia="仿宋_GB2312"/>
          <w:color w:val="auto"/>
          <w:sz w:val="24"/>
          <w:szCs w:val="24"/>
          <w:u w:val="single"/>
        </w:rPr>
        <w:t xml:space="preserve">           </w:t>
      </w:r>
    </w:p>
    <w:p>
      <w:pPr>
        <w:spacing w:line="360" w:lineRule="auto"/>
        <w:rPr>
          <w:rFonts w:ascii="仿宋_GB2312" w:hAnsi="宋体" w:eastAsia="仿宋_GB2312"/>
          <w:color w:val="auto"/>
          <w:sz w:val="24"/>
          <w:szCs w:val="24"/>
        </w:rPr>
      </w:pPr>
      <w:r>
        <w:rPr>
          <w:rFonts w:hint="eastAsia" w:ascii="仿宋_GB2312" w:hAnsi="宋体" w:eastAsia="仿宋_GB2312"/>
          <w:color w:val="auto"/>
          <w:sz w:val="24"/>
          <w:szCs w:val="24"/>
        </w:rPr>
        <w:t>项目名称：</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标项：</w:t>
      </w:r>
      <w:r>
        <w:rPr>
          <w:rFonts w:hint="eastAsia" w:ascii="仿宋_GB2312" w:hAnsi="宋体" w:eastAsia="仿宋_GB2312"/>
          <w:color w:val="auto"/>
          <w:sz w:val="24"/>
          <w:szCs w:val="24"/>
          <w:u w:val="single"/>
        </w:rPr>
        <w:t>（若有）</w:t>
      </w:r>
    </w:p>
    <w:tbl>
      <w:tblPr>
        <w:tblStyle w:val="26"/>
        <w:tblW w:w="9005" w:type="dxa"/>
        <w:jc w:val="center"/>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double" w:color="000000" w:sz="2" w:space="0"/>
              <w:left w:val="double" w:color="000000" w:sz="2" w:space="0"/>
              <w:bottom w:val="single" w:color="000000" w:sz="6" w:space="0"/>
              <w:right w:val="single" w:color="000000" w:sz="6" w:space="0"/>
            </w:tcBorders>
            <w:vAlign w:val="center"/>
          </w:tcPr>
          <w:p>
            <w:pPr>
              <w:pStyle w:val="41"/>
              <w:adjustRightInd w:val="0"/>
              <w:rPr>
                <w:rFonts w:ascii="仿宋_GB2312" w:eastAsia="仿宋_GB2312"/>
                <w:caps/>
                <w:color w:val="auto"/>
                <w:spacing w:val="20"/>
                <w:kern w:val="0"/>
                <w:sz w:val="24"/>
                <w:szCs w:val="24"/>
              </w:rPr>
            </w:pPr>
            <w:r>
              <w:rPr>
                <w:rFonts w:hint="eastAsia" w:ascii="仿宋_GB2312" w:eastAsia="仿宋_GB2312"/>
                <w:caps/>
                <w:color w:val="auto"/>
                <w:spacing w:val="20"/>
                <w:kern w:val="0"/>
                <w:sz w:val="24"/>
                <w:szCs w:val="24"/>
              </w:rPr>
              <w:t>名称</w:t>
            </w:r>
          </w:p>
        </w:tc>
        <w:tc>
          <w:tcPr>
            <w:tcW w:w="6289" w:type="dxa"/>
            <w:tcBorders>
              <w:top w:val="double" w:color="000000" w:sz="2" w:space="0"/>
              <w:left w:val="nil"/>
              <w:bottom w:val="single" w:color="000000" w:sz="6" w:space="0"/>
              <w:right w:val="double" w:color="000000" w:sz="2" w:space="0"/>
            </w:tcBorders>
            <w:vAlign w:val="center"/>
          </w:tcPr>
          <w:p>
            <w:pPr>
              <w:pStyle w:val="41"/>
              <w:rPr>
                <w:rFonts w:ascii="仿宋_GB2312" w:eastAsia="仿宋_GB2312"/>
                <w:caps/>
                <w:color w:val="auto"/>
                <w:spacing w:val="20"/>
                <w:sz w:val="24"/>
                <w:szCs w:val="24"/>
              </w:rPr>
            </w:pPr>
            <w:r>
              <w:rPr>
                <w:rFonts w:hint="eastAsia" w:ascii="仿宋_GB2312" w:eastAsia="仿宋_GB2312"/>
                <w:caps/>
                <w:color w:val="auto"/>
                <w:spacing w:val="20"/>
                <w:sz w:val="24"/>
                <w:szCs w:val="24"/>
              </w:rPr>
              <w:t>总报价（元）</w:t>
            </w:r>
          </w:p>
        </w:tc>
      </w:tr>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2" w:space="0"/>
              <w:bottom w:val="double" w:color="000000" w:sz="2" w:space="0"/>
              <w:right w:val="single" w:color="000000" w:sz="6" w:space="0"/>
            </w:tcBorders>
            <w:vAlign w:val="center"/>
          </w:tcPr>
          <w:p>
            <w:pPr>
              <w:pStyle w:val="41"/>
              <w:rPr>
                <w:rFonts w:ascii="仿宋_GB2312" w:eastAsia="仿宋_GB2312"/>
                <w:color w:val="auto"/>
                <w:spacing w:val="20"/>
                <w:sz w:val="24"/>
                <w:szCs w:val="24"/>
              </w:rPr>
            </w:pPr>
            <w:r>
              <w:rPr>
                <w:rFonts w:hint="eastAsia" w:ascii="仿宋_GB2312" w:eastAsia="仿宋_GB2312"/>
                <w:color w:val="auto"/>
                <w:spacing w:val="20"/>
                <w:sz w:val="24"/>
                <w:szCs w:val="24"/>
              </w:rPr>
              <w:t>项目总报价</w:t>
            </w:r>
          </w:p>
        </w:tc>
        <w:tc>
          <w:tcPr>
            <w:tcW w:w="6289" w:type="dxa"/>
            <w:tcBorders>
              <w:top w:val="single" w:color="000000" w:sz="6" w:space="0"/>
              <w:left w:val="nil"/>
              <w:bottom w:val="double" w:color="000000" w:sz="2" w:space="0"/>
              <w:right w:val="double" w:color="000000" w:sz="2" w:space="0"/>
            </w:tcBorders>
            <w:vAlign w:val="center"/>
          </w:tcPr>
          <w:p>
            <w:pPr>
              <w:pStyle w:val="41"/>
              <w:rPr>
                <w:rFonts w:ascii="仿宋_GB2312" w:eastAsia="仿宋_GB2312"/>
                <w:color w:val="auto"/>
                <w:spacing w:val="20"/>
                <w:sz w:val="24"/>
                <w:szCs w:val="24"/>
              </w:rPr>
            </w:pPr>
            <w:r>
              <w:rPr>
                <w:rFonts w:hint="eastAsia" w:ascii="仿宋_GB2312" w:eastAsia="仿宋_GB2312"/>
                <w:color w:val="auto"/>
                <w:spacing w:val="20"/>
                <w:sz w:val="24"/>
                <w:szCs w:val="24"/>
              </w:rPr>
              <w:t>大写                （￥           ）</w:t>
            </w:r>
          </w:p>
        </w:tc>
      </w:tr>
    </w:tbl>
    <w:p>
      <w:pPr>
        <w:rPr>
          <w:rFonts w:ascii="宋体" w:hAnsi="宋体" w:cs="Calibri"/>
          <w:color w:val="auto"/>
          <w:szCs w:val="21"/>
        </w:rPr>
      </w:pPr>
      <w:r>
        <w:rPr>
          <w:rFonts w:hint="eastAsia" w:ascii="宋体" w:hAnsi="宋体"/>
          <w:color w:val="auto"/>
        </w:rPr>
        <w:t xml:space="preserve"> </w:t>
      </w:r>
    </w:p>
    <w:p>
      <w:pPr>
        <w:rPr>
          <w:rFonts w:ascii="宋体" w:hAnsi="宋体"/>
          <w:color w:val="auto"/>
        </w:rPr>
      </w:pPr>
      <w:r>
        <w:rPr>
          <w:rFonts w:hint="eastAsia" w:ascii="宋体" w:hAnsi="宋体"/>
          <w:color w:val="auto"/>
        </w:rPr>
        <w:t xml:space="preserve"> </w:t>
      </w:r>
    </w:p>
    <w:p>
      <w:pPr>
        <w:pStyle w:val="41"/>
        <w:rPr>
          <w:rFonts w:hint="eastAsia" w:ascii="仿宋_GB2312" w:eastAsia="仿宋_GB2312"/>
          <w:iCs/>
          <w:color w:val="auto"/>
          <w:sz w:val="24"/>
          <w:szCs w:val="24"/>
        </w:rPr>
      </w:pPr>
      <w:r>
        <w:rPr>
          <w:rFonts w:hint="eastAsia" w:ascii="仿宋_GB2312" w:eastAsia="仿宋_GB2312"/>
          <w:b/>
          <w:iCs/>
          <w:color w:val="auto"/>
          <w:spacing w:val="20"/>
          <w:sz w:val="24"/>
          <w:szCs w:val="24"/>
        </w:rPr>
        <w:t>注：</w:t>
      </w:r>
      <w:r>
        <w:rPr>
          <w:rFonts w:hint="eastAsia" w:ascii="仿宋_GB2312" w:eastAsia="仿宋_GB2312"/>
          <w:iCs/>
          <w:color w:val="auto"/>
          <w:sz w:val="24"/>
          <w:szCs w:val="24"/>
        </w:rPr>
        <w:t>1. 投标高于最高限价的作无效标处理。</w:t>
      </w:r>
    </w:p>
    <w:p>
      <w:pPr>
        <w:pStyle w:val="41"/>
        <w:ind w:firstLine="480" w:firstLineChars="200"/>
        <w:rPr>
          <w:rFonts w:hint="eastAsia" w:ascii="仿宋_GB2312" w:eastAsia="仿宋_GB2312"/>
          <w:iCs/>
          <w:color w:val="auto"/>
          <w:sz w:val="24"/>
          <w:szCs w:val="24"/>
        </w:rPr>
      </w:pPr>
      <w:r>
        <w:rPr>
          <w:rFonts w:hint="eastAsia" w:ascii="仿宋_GB2312" w:eastAsia="仿宋_GB2312"/>
          <w:bCs/>
          <w:color w:val="auto"/>
          <w:sz w:val="24"/>
          <w:szCs w:val="24"/>
        </w:rPr>
        <w:t xml:space="preserve">2. </w:t>
      </w:r>
      <w:r>
        <w:rPr>
          <w:rFonts w:hint="eastAsia" w:ascii="仿宋_GB2312" w:eastAsia="仿宋_GB2312"/>
          <w:iCs/>
          <w:color w:val="auto"/>
          <w:sz w:val="24"/>
          <w:szCs w:val="24"/>
        </w:rPr>
        <w:t>总报价应包括服务内容、包装、工时、运输、装卸、保险、税金、安装、调试与试运行、培训、保修、售后服务费、配套费、以及实施本项目所需的其他一切费用。</w:t>
      </w:r>
    </w:p>
    <w:p>
      <w:pPr>
        <w:pStyle w:val="41"/>
        <w:rPr>
          <w:rFonts w:hint="eastAsia" w:ascii="仿宋_GB2312" w:eastAsia="仿宋_GB2312"/>
          <w:iCs/>
          <w:color w:val="auto"/>
          <w:sz w:val="24"/>
          <w:szCs w:val="24"/>
        </w:rPr>
      </w:pPr>
      <w:r>
        <w:rPr>
          <w:rFonts w:hint="eastAsia" w:ascii="仿宋_GB2312" w:eastAsia="仿宋_GB2312"/>
          <w:iCs/>
          <w:color w:val="auto"/>
          <w:sz w:val="24"/>
          <w:szCs w:val="24"/>
        </w:rPr>
        <w:t xml:space="preserve"> </w:t>
      </w:r>
    </w:p>
    <w:p>
      <w:pPr>
        <w:pStyle w:val="41"/>
        <w:spacing w:line="440" w:lineRule="exact"/>
        <w:rPr>
          <w:rFonts w:ascii="仿宋_GB2312" w:hAnsi="宋体" w:eastAsia="仿宋_GB2312"/>
          <w:b/>
          <w:color w:val="auto"/>
          <w:sz w:val="24"/>
          <w:szCs w:val="24"/>
        </w:rPr>
      </w:pPr>
    </w:p>
    <w:p>
      <w:pPr>
        <w:spacing w:line="360" w:lineRule="auto"/>
        <w:rPr>
          <w:rFonts w:ascii="仿宋_GB2312" w:eastAsia="仿宋_GB2312"/>
          <w:color w:val="auto"/>
          <w:spacing w:val="20"/>
          <w:sz w:val="24"/>
          <w:szCs w:val="24"/>
        </w:rPr>
      </w:pPr>
      <w:r>
        <w:rPr>
          <w:rFonts w:hint="eastAsia" w:ascii="仿宋_GB2312" w:eastAsia="仿宋_GB2312"/>
          <w:color w:val="auto"/>
          <w:spacing w:val="20"/>
          <w:sz w:val="24"/>
          <w:szCs w:val="24"/>
        </w:rPr>
        <w:t xml:space="preserve"> </w:t>
      </w:r>
    </w:p>
    <w:p>
      <w:pPr>
        <w:rPr>
          <w:color w:val="auto"/>
        </w:rPr>
      </w:pP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投标人盖章：</w:t>
      </w:r>
      <w:r>
        <w:rPr>
          <w:rFonts w:hint="eastAsia" w:ascii="仿宋_GB2312" w:hAnsi="Courier New" w:eastAsia="仿宋_GB2312"/>
          <w:color w:val="auto"/>
          <w:sz w:val="24"/>
          <w:szCs w:val="24"/>
          <w:u w:val="single"/>
        </w:rPr>
        <w:t xml:space="preserve">               </w:t>
      </w:r>
      <w:r>
        <w:rPr>
          <w:rFonts w:hint="eastAsia" w:ascii="仿宋_GB2312" w:hAnsi="Courier New" w:eastAsia="仿宋_GB2312"/>
          <w:color w:val="auto"/>
          <w:spacing w:val="20"/>
          <w:sz w:val="24"/>
          <w:szCs w:val="24"/>
          <w:u w:val="single"/>
        </w:rPr>
        <w:t xml:space="preserve"> </w:t>
      </w:r>
    </w:p>
    <w:p>
      <w:pPr>
        <w:pStyle w:val="39"/>
        <w:wordWrap w:val="0"/>
        <w:spacing w:line="360" w:lineRule="auto"/>
        <w:ind w:firstLine="480"/>
        <w:jc w:val="right"/>
        <w:rPr>
          <w:rFonts w:ascii="仿宋_GB2312" w:hAnsi="Courier New" w:eastAsia="仿宋_GB2312"/>
          <w:color w:val="auto"/>
          <w:sz w:val="24"/>
          <w:szCs w:val="24"/>
          <w:u w:val="single"/>
        </w:rPr>
      </w:pPr>
      <w:r>
        <w:rPr>
          <w:rFonts w:hint="eastAsia" w:ascii="仿宋_GB2312" w:hAnsi="Courier New" w:eastAsia="仿宋_GB2312"/>
          <w:color w:val="auto"/>
          <w:sz w:val="24"/>
          <w:szCs w:val="24"/>
        </w:rPr>
        <w:t>日      期：</w:t>
      </w:r>
      <w:r>
        <w:rPr>
          <w:rFonts w:hint="eastAsia" w:ascii="仿宋_GB2312" w:hAnsi="Courier New" w:eastAsia="仿宋_GB2312"/>
          <w:color w:val="auto"/>
          <w:sz w:val="24"/>
          <w:szCs w:val="24"/>
          <w:u w:val="single"/>
        </w:rPr>
        <w:t xml:space="preserve">               </w:t>
      </w:r>
      <w:r>
        <w:rPr>
          <w:rFonts w:hint="eastAsia" w:ascii="仿宋_GB2312" w:hAnsi="Courier New" w:eastAsia="仿宋_GB2312"/>
          <w:color w:val="auto"/>
          <w:spacing w:val="20"/>
          <w:sz w:val="24"/>
          <w:szCs w:val="24"/>
          <w:u w:val="single"/>
        </w:rPr>
        <w:t xml:space="preserve"> </w:t>
      </w:r>
    </w:p>
    <w:p>
      <w:pPr>
        <w:pStyle w:val="2"/>
        <w:spacing w:line="360" w:lineRule="auto"/>
        <w:ind w:firstLine="0"/>
        <w:jc w:val="center"/>
        <w:rPr>
          <w:rFonts w:ascii="仿宋_GB2312" w:hAnsi="宋体" w:eastAsia="仿宋_GB2312"/>
          <w:b/>
          <w:color w:val="auto"/>
          <w:sz w:val="32"/>
          <w:szCs w:val="32"/>
        </w:rPr>
      </w:pP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 xml:space="preserve"> </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 xml:space="preserve"> </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 xml:space="preserve"> </w:t>
      </w:r>
    </w:p>
    <w:p>
      <w:pPr>
        <w:rPr>
          <w:color w:val="auto"/>
          <w:szCs w:val="21"/>
        </w:rPr>
      </w:pPr>
      <w:r>
        <w:rPr>
          <w:rFonts w:hint="eastAsia"/>
          <w:color w:val="auto"/>
        </w:rPr>
        <w:t xml:space="preserve"> </w:t>
      </w:r>
    </w:p>
    <w:p>
      <w:pPr>
        <w:rPr>
          <w:color w:val="auto"/>
        </w:rPr>
      </w:pPr>
      <w:r>
        <w:rPr>
          <w:rFonts w:hint="eastAsia"/>
          <w:color w:val="auto"/>
        </w:rPr>
        <w:t xml:space="preserve"> </w:t>
      </w:r>
    </w:p>
    <w:p>
      <w:pPr>
        <w:rPr>
          <w:color w:val="auto"/>
        </w:rPr>
      </w:pPr>
      <w:r>
        <w:rPr>
          <w:rFonts w:hint="eastAsia"/>
          <w:color w:val="auto"/>
        </w:rPr>
        <w:t xml:space="preserve"> </w:t>
      </w:r>
    </w:p>
    <w:p>
      <w:pPr>
        <w:rPr>
          <w:rFonts w:hint="eastAsia"/>
          <w:color w:val="auto"/>
        </w:rPr>
      </w:pPr>
      <w:r>
        <w:rPr>
          <w:rFonts w:hint="eastAsia"/>
          <w:color w:val="auto"/>
        </w:rPr>
        <w:t xml:space="preserve"> </w:t>
      </w:r>
    </w:p>
    <w:p>
      <w:pPr>
        <w:pStyle w:val="24"/>
        <w:rPr>
          <w:rFonts w:hint="eastAsia"/>
          <w:color w:val="auto"/>
        </w:rPr>
      </w:pPr>
    </w:p>
    <w:p>
      <w:pPr>
        <w:rPr>
          <w:rFonts w:hint="eastAsia"/>
          <w:color w:val="auto"/>
        </w:rPr>
      </w:pPr>
    </w:p>
    <w:p>
      <w:pPr>
        <w:pStyle w:val="24"/>
        <w:rPr>
          <w:color w:val="auto"/>
        </w:rPr>
      </w:pPr>
    </w:p>
    <w:p>
      <w:pPr>
        <w:rPr>
          <w:color w:val="auto"/>
        </w:rPr>
      </w:pPr>
      <w:r>
        <w:rPr>
          <w:rFonts w:hint="eastAsia"/>
          <w:color w:val="auto"/>
        </w:rPr>
        <w:t xml:space="preserve"> </w:t>
      </w:r>
    </w:p>
    <w:p>
      <w:pPr>
        <w:rPr>
          <w:color w:val="auto"/>
        </w:rPr>
      </w:pPr>
      <w:r>
        <w:rPr>
          <w:rFonts w:hint="eastAsia"/>
          <w:color w:val="auto"/>
        </w:rPr>
        <w:t xml:space="preserve"> </w:t>
      </w:r>
    </w:p>
    <w:p>
      <w:pPr>
        <w:rPr>
          <w:color w:val="auto"/>
        </w:rPr>
      </w:pPr>
      <w:r>
        <w:rPr>
          <w:rFonts w:hint="eastAsia"/>
          <w:color w:val="auto"/>
        </w:rPr>
        <w:t xml:space="preserve"> </w:t>
      </w:r>
    </w:p>
    <w:p>
      <w:pPr>
        <w:rPr>
          <w:rFonts w:ascii="仿宋" w:hAnsi="仿宋" w:eastAsia="仿宋" w:cs="仿宋"/>
          <w:b/>
          <w:bCs/>
          <w:color w:val="auto"/>
          <w:sz w:val="24"/>
          <w:szCs w:val="24"/>
        </w:rPr>
      </w:pPr>
      <w:r>
        <w:rPr>
          <w:rFonts w:hint="eastAsia"/>
          <w:color w:val="auto"/>
        </w:rPr>
        <w:t xml:space="preserve"> </w:t>
      </w:r>
      <w:r>
        <w:rPr>
          <w:rFonts w:hint="eastAsia" w:ascii="仿宋" w:hAnsi="仿宋" w:eastAsia="仿宋" w:cs="仿宋"/>
          <w:b/>
          <w:bCs/>
          <w:color w:val="auto"/>
          <w:sz w:val="24"/>
          <w:szCs w:val="24"/>
        </w:rPr>
        <w:t>3.4投标报价明细表格式</w:t>
      </w:r>
    </w:p>
    <w:p>
      <w:pPr>
        <w:rPr>
          <w:color w:val="auto"/>
          <w:szCs w:val="21"/>
        </w:rPr>
      </w:pPr>
      <w:r>
        <w:rPr>
          <w:rFonts w:hint="eastAsia"/>
          <w:color w:val="auto"/>
        </w:rPr>
        <w:t xml:space="preserve"> </w:t>
      </w:r>
    </w:p>
    <w:p>
      <w:pPr>
        <w:pStyle w:val="2"/>
        <w:spacing w:line="360" w:lineRule="auto"/>
        <w:ind w:firstLine="0"/>
        <w:jc w:val="center"/>
        <w:rPr>
          <w:rFonts w:ascii="仿宋_GB2312" w:hAnsi="宋体" w:eastAsia="仿宋_GB2312"/>
          <w:b/>
          <w:color w:val="auto"/>
          <w:sz w:val="32"/>
          <w:szCs w:val="32"/>
        </w:rPr>
      </w:pPr>
      <w:r>
        <w:rPr>
          <w:rFonts w:hint="eastAsia" w:ascii="仿宋_GB2312" w:hAnsi="宋体" w:eastAsia="仿宋_GB2312"/>
          <w:b/>
          <w:color w:val="auto"/>
          <w:sz w:val="32"/>
          <w:szCs w:val="32"/>
        </w:rPr>
        <w:t>投标报价明细表</w:t>
      </w:r>
    </w:p>
    <w:p>
      <w:pPr>
        <w:jc w:val="center"/>
        <w:rPr>
          <w:color w:val="auto"/>
          <w:szCs w:val="21"/>
        </w:rPr>
      </w:pPr>
      <w:r>
        <w:rPr>
          <w:rFonts w:hint="eastAsia" w:ascii="仿宋_GB2312" w:eastAsia="仿宋_GB2312"/>
          <w:color w:val="auto"/>
          <w:sz w:val="24"/>
        </w:rPr>
        <w:t>（格式仅供</w:t>
      </w:r>
      <w:r>
        <w:rPr>
          <w:rFonts w:ascii="仿宋_GB2312" w:eastAsia="仿宋_GB2312"/>
          <w:color w:val="auto"/>
          <w:sz w:val="24"/>
        </w:rPr>
        <w:t>参考，</w:t>
      </w:r>
      <w:r>
        <w:rPr>
          <w:rFonts w:hint="eastAsia" w:ascii="仿宋_GB2312" w:eastAsia="仿宋_GB2312"/>
          <w:color w:val="auto"/>
          <w:sz w:val="24"/>
        </w:rPr>
        <w:t>可以</w:t>
      </w:r>
      <w:r>
        <w:rPr>
          <w:rFonts w:ascii="仿宋_GB2312" w:eastAsia="仿宋_GB2312"/>
          <w:color w:val="auto"/>
          <w:sz w:val="24"/>
        </w:rPr>
        <w:t>根据</w:t>
      </w:r>
      <w:r>
        <w:rPr>
          <w:rFonts w:hint="eastAsia" w:ascii="仿宋_GB2312" w:eastAsia="仿宋_GB2312"/>
          <w:color w:val="auto"/>
          <w:sz w:val="24"/>
        </w:rPr>
        <w:t>实际</w:t>
      </w:r>
      <w:r>
        <w:rPr>
          <w:rFonts w:ascii="仿宋_GB2312" w:eastAsia="仿宋_GB2312"/>
          <w:color w:val="auto"/>
          <w:sz w:val="24"/>
        </w:rPr>
        <w:t>情况</w:t>
      </w:r>
      <w:r>
        <w:rPr>
          <w:rFonts w:hint="eastAsia" w:ascii="仿宋_GB2312" w:eastAsia="仿宋_GB2312"/>
          <w:color w:val="auto"/>
          <w:sz w:val="24"/>
        </w:rPr>
        <w:t>自行设计）</w:t>
      </w:r>
    </w:p>
    <w:p>
      <w:pPr>
        <w:spacing w:line="360" w:lineRule="auto"/>
        <w:jc w:val="left"/>
        <w:rPr>
          <w:rFonts w:hint="eastAsia" w:ascii="宋体" w:hAnsi="宋体" w:cs="宋体"/>
          <w:color w:val="auto"/>
          <w:sz w:val="24"/>
          <w:szCs w:val="24"/>
        </w:rPr>
      </w:pPr>
      <w:r>
        <w:rPr>
          <w:rFonts w:hint="eastAsia" w:ascii="仿宋_GB2312" w:eastAsia="仿宋_GB2312" w:cs="Calibri"/>
          <w:iCs/>
          <w:color w:val="auto"/>
          <w:sz w:val="24"/>
          <w:szCs w:val="24"/>
        </w:rPr>
        <w:t>项目编号</w:t>
      </w:r>
      <w:r>
        <w:rPr>
          <w:rFonts w:hint="eastAsia" w:ascii="宋体" w:hAnsi="宋体" w:cs="宋体"/>
          <w:color w:val="auto"/>
          <w:sz w:val="24"/>
          <w:szCs w:val="24"/>
        </w:rPr>
        <w:t>：</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line="360" w:lineRule="auto"/>
        <w:jc w:val="left"/>
        <w:rPr>
          <w:rFonts w:hint="eastAsia" w:ascii="仿宋_GB2312" w:eastAsia="仿宋_GB2312" w:cs="Calibri"/>
          <w:iCs/>
          <w:color w:val="auto"/>
          <w:sz w:val="24"/>
          <w:szCs w:val="24"/>
          <w:u w:val="single"/>
        </w:rPr>
      </w:pPr>
      <w:r>
        <w:rPr>
          <w:rFonts w:hint="eastAsia" w:ascii="仿宋_GB2312" w:eastAsia="仿宋_GB2312" w:cs="Calibri"/>
          <w:iCs/>
          <w:color w:val="auto"/>
          <w:sz w:val="24"/>
          <w:szCs w:val="24"/>
        </w:rPr>
        <w:t>项目名称</w:t>
      </w:r>
      <w:r>
        <w:rPr>
          <w:rFonts w:hint="eastAsia" w:ascii="宋体" w:hAnsi="宋体" w:cs="宋体"/>
          <w:color w:val="auto"/>
          <w:sz w:val="24"/>
          <w:szCs w:val="24"/>
        </w:rPr>
        <w:t>：</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r>
        <w:rPr>
          <w:rFonts w:hint="eastAsia" w:ascii="仿宋_GB2312" w:eastAsia="仿宋_GB2312" w:cs="Calibri"/>
          <w:iCs/>
          <w:color w:val="auto"/>
          <w:sz w:val="24"/>
          <w:szCs w:val="24"/>
        </w:rPr>
        <w:t>标项</w:t>
      </w:r>
      <w:r>
        <w:rPr>
          <w:rFonts w:hint="eastAsia" w:ascii="宋体" w:hAnsi="宋体" w:cs="宋体"/>
          <w:color w:val="auto"/>
          <w:sz w:val="24"/>
          <w:szCs w:val="24"/>
        </w:rPr>
        <w:t>：</w:t>
      </w:r>
      <w:r>
        <w:rPr>
          <w:rFonts w:hint="eastAsia" w:ascii="仿宋_GB2312" w:eastAsia="仿宋_GB2312" w:cs="Calibri"/>
          <w:iCs/>
          <w:color w:val="auto"/>
          <w:sz w:val="24"/>
          <w:szCs w:val="24"/>
          <w:u w:val="single"/>
        </w:rPr>
        <w:t>（若有）</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1"/>
        <w:gridCol w:w="3885"/>
        <w:gridCol w:w="891"/>
        <w:gridCol w:w="992"/>
        <w:gridCol w:w="1276"/>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序号</w:t>
            </w:r>
          </w:p>
        </w:tc>
        <w:tc>
          <w:tcPr>
            <w:tcW w:w="3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服务名称</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单位</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数量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单价（元）</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1</w:t>
            </w:r>
          </w:p>
        </w:tc>
        <w:tc>
          <w:tcPr>
            <w:tcW w:w="3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2</w:t>
            </w:r>
          </w:p>
        </w:tc>
        <w:tc>
          <w:tcPr>
            <w:tcW w:w="3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3</w:t>
            </w:r>
          </w:p>
        </w:tc>
        <w:tc>
          <w:tcPr>
            <w:tcW w:w="3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4</w:t>
            </w:r>
          </w:p>
        </w:tc>
        <w:tc>
          <w:tcPr>
            <w:tcW w:w="576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r>
              <w:rPr>
                <w:rFonts w:hint="eastAsia" w:ascii="仿宋_GB2312" w:eastAsia="仿宋_GB2312" w:cs="Calibri"/>
                <w:iCs/>
                <w:color w:val="auto"/>
                <w:sz w:val="24"/>
                <w:szCs w:val="24"/>
              </w:rPr>
              <w:t>小计</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Calibri"/>
                <w:iCs/>
                <w:color w:val="auto"/>
                <w:sz w:val="24"/>
                <w:szCs w:val="24"/>
              </w:rPr>
            </w:pPr>
          </w:p>
        </w:tc>
      </w:tr>
    </w:tbl>
    <w:p>
      <w:pPr>
        <w:jc w:val="left"/>
        <w:rPr>
          <w:rFonts w:hint="eastAsia" w:ascii="宋体" w:hAnsi="宋体" w:cs="宋体"/>
          <w:color w:val="auto"/>
          <w:sz w:val="24"/>
          <w:szCs w:val="24"/>
        </w:rPr>
      </w:pPr>
    </w:p>
    <w:p>
      <w:pPr>
        <w:jc w:val="left"/>
        <w:rPr>
          <w:rFonts w:hint="eastAsia" w:ascii="宋体" w:hAnsi="宋体" w:cs="宋体"/>
          <w:color w:val="auto"/>
          <w:sz w:val="24"/>
          <w:szCs w:val="24"/>
        </w:rPr>
      </w:pPr>
    </w:p>
    <w:p>
      <w:pPr>
        <w:jc w:val="left"/>
        <w:rPr>
          <w:rFonts w:hint="eastAsia" w:ascii="仿宋_GB2312" w:eastAsia="仿宋_GB2312" w:cs="Calibri"/>
          <w:iCs/>
          <w:color w:val="auto"/>
          <w:sz w:val="24"/>
          <w:szCs w:val="24"/>
        </w:rPr>
      </w:pPr>
      <w:r>
        <w:rPr>
          <w:rFonts w:hint="eastAsia" w:ascii="仿宋_GB2312" w:eastAsia="仿宋_GB2312" w:cs="Calibri"/>
          <w:iCs/>
          <w:color w:val="auto"/>
          <w:sz w:val="24"/>
          <w:szCs w:val="24"/>
        </w:rPr>
        <w:t>注：总报价应包括服务内容、包装、工时、运输、装卸、保险、税金、安装、调试与试运行、培训、保修、售后服务费、配套费、以及实施本项目所需的其他一切费用。</w:t>
      </w:r>
    </w:p>
    <w:p>
      <w:pPr>
        <w:rPr>
          <w:rFonts w:hint="eastAsia" w:ascii="宋体" w:hAnsi="宋体" w:cs="宋体"/>
          <w:color w:val="auto"/>
          <w:spacing w:val="20"/>
          <w:sz w:val="24"/>
          <w:szCs w:val="24"/>
        </w:rPr>
      </w:pPr>
    </w:p>
    <w:p>
      <w:pPr>
        <w:ind w:firstLine="5640" w:firstLineChars="2350"/>
        <w:jc w:val="left"/>
        <w:rPr>
          <w:rFonts w:hint="eastAsia" w:ascii="宋体" w:hAnsi="宋体" w:cs="宋体"/>
          <w:color w:val="auto"/>
          <w:sz w:val="24"/>
          <w:szCs w:val="21"/>
          <w:u w:val="single"/>
          <w:lang w:val="en-US" w:eastAsia="zh-CN"/>
        </w:rPr>
      </w:pPr>
      <w:bookmarkStart w:id="197" w:name="_Toc15813259"/>
      <w:bookmarkStart w:id="198" w:name="_Toc523398533"/>
      <w:bookmarkStart w:id="199" w:name="_Toc531359076"/>
      <w:bookmarkStart w:id="200" w:name="_Toc45506740"/>
      <w:bookmarkStart w:id="201" w:name="_Toc530551899"/>
      <w:bookmarkStart w:id="202" w:name="_Toc47756041"/>
      <w:bookmarkStart w:id="203" w:name="_Toc493956062"/>
      <w:r>
        <w:rPr>
          <w:rFonts w:hint="eastAsia" w:ascii="仿宋_GB2312" w:eastAsia="仿宋_GB2312" w:cs="Calibri"/>
          <w:iCs/>
          <w:color w:val="auto"/>
          <w:sz w:val="24"/>
          <w:szCs w:val="24"/>
        </w:rPr>
        <w:t>供应商盖章：</w:t>
      </w:r>
      <w:r>
        <w:rPr>
          <w:rFonts w:hint="eastAsia" w:ascii="宋体" w:hAnsi="宋体" w:cs="宋体"/>
          <w:color w:val="auto"/>
          <w:sz w:val="24"/>
          <w:szCs w:val="21"/>
          <w:u w:val="single"/>
          <w:lang w:val="en-US" w:eastAsia="zh-CN"/>
        </w:rPr>
        <w:t xml:space="preserve">               </w:t>
      </w:r>
      <w:r>
        <w:rPr>
          <w:rFonts w:hint="eastAsia" w:ascii="宋体" w:hAnsi="宋体" w:cs="宋体"/>
          <w:color w:val="auto"/>
          <w:spacing w:val="20"/>
          <w:sz w:val="24"/>
          <w:szCs w:val="21"/>
          <w:u w:val="single"/>
          <w:lang w:val="en-US" w:eastAsia="zh-CN"/>
        </w:rPr>
        <w:t xml:space="preserve"> </w:t>
      </w:r>
    </w:p>
    <w:p>
      <w:pPr>
        <w:ind w:firstLine="5640" w:firstLineChars="2350"/>
        <w:jc w:val="left"/>
        <w:rPr>
          <w:rFonts w:hint="eastAsia" w:ascii="仿宋_GB2312" w:eastAsia="仿宋_GB2312" w:cs="Calibri"/>
          <w:iCs/>
          <w:color w:val="auto"/>
          <w:sz w:val="24"/>
          <w:szCs w:val="24"/>
        </w:rPr>
      </w:pPr>
      <w:r>
        <w:rPr>
          <w:rFonts w:hint="eastAsia" w:ascii="仿宋_GB2312" w:eastAsia="仿宋_GB2312" w:cs="Calibri"/>
          <w:iCs/>
          <w:color w:val="auto"/>
          <w:sz w:val="24"/>
          <w:szCs w:val="24"/>
        </w:rPr>
        <w:t>日      期：</w:t>
      </w:r>
      <w:r>
        <w:rPr>
          <w:rFonts w:hint="eastAsia" w:ascii="仿宋_GB2312" w:eastAsia="仿宋_GB2312" w:cs="Calibri"/>
          <w:iCs/>
          <w:color w:val="auto"/>
          <w:sz w:val="24"/>
          <w:szCs w:val="24"/>
          <w:u w:val="single"/>
        </w:rPr>
        <w:t xml:space="preserve">                 </w:t>
      </w:r>
      <w:r>
        <w:rPr>
          <w:rFonts w:hint="eastAsia" w:ascii="仿宋_GB2312" w:eastAsia="仿宋_GB2312" w:cs="Calibri"/>
          <w:iCs/>
          <w:color w:val="auto"/>
          <w:sz w:val="24"/>
          <w:szCs w:val="24"/>
        </w:rPr>
        <w:t xml:space="preserve">                </w:t>
      </w:r>
    </w:p>
    <w:p>
      <w:pPr>
        <w:jc w:val="left"/>
        <w:rPr>
          <w:rFonts w:hint="eastAsia" w:ascii="仿宋_GB2312" w:eastAsia="仿宋_GB2312" w:cs="Calibri"/>
          <w:iCs/>
          <w:color w:val="auto"/>
          <w:sz w:val="24"/>
          <w:szCs w:val="24"/>
        </w:rPr>
        <w:sectPr>
          <w:footerReference r:id="rId5" w:type="default"/>
          <w:pgSz w:w="11906" w:h="16838"/>
          <w:pgMar w:top="1418" w:right="1418" w:bottom="1418" w:left="1418" w:header="851" w:footer="851" w:gutter="0"/>
          <w:pgNumType w:fmt="decimal" w:start="1"/>
          <w:cols w:space="720" w:num="1"/>
          <w:docGrid w:linePitch="312" w:charSpace="0"/>
        </w:sectPr>
      </w:pPr>
    </w:p>
    <w:bookmarkEnd w:id="197"/>
    <w:bookmarkEnd w:id="198"/>
    <w:bookmarkEnd w:id="199"/>
    <w:bookmarkEnd w:id="200"/>
    <w:bookmarkEnd w:id="201"/>
    <w:bookmarkEnd w:id="202"/>
    <w:bookmarkEnd w:id="203"/>
    <w:p>
      <w:pPr>
        <w:rPr>
          <w:rFonts w:ascii="仿宋" w:hAnsi="仿宋" w:eastAsia="仿宋" w:cs="Calibri"/>
          <w:color w:val="auto"/>
          <w:sz w:val="24"/>
          <w:szCs w:val="24"/>
        </w:rPr>
      </w:pPr>
    </w:p>
    <w:p>
      <w:pPr>
        <w:rPr>
          <w:color w:val="auto"/>
        </w:rPr>
      </w:pPr>
    </w:p>
    <w:p>
      <w:pPr>
        <w:pStyle w:val="2"/>
        <w:spacing w:line="360" w:lineRule="auto"/>
        <w:ind w:left="210" w:firstLine="0"/>
        <w:jc w:val="left"/>
        <w:outlineLvl w:val="2"/>
        <w:rPr>
          <w:rFonts w:ascii="宋体" w:hAnsi="宋体"/>
          <w:b/>
          <w:color w:val="auto"/>
          <w:sz w:val="24"/>
          <w:szCs w:val="24"/>
        </w:rPr>
      </w:pPr>
      <w:r>
        <w:rPr>
          <w:rFonts w:hint="eastAsia"/>
          <w:color w:val="auto"/>
        </w:rPr>
        <w:t xml:space="preserve"> </w:t>
      </w:r>
    </w:p>
    <w:p>
      <w:pPr>
        <w:spacing w:line="360" w:lineRule="auto"/>
        <w:rPr>
          <w:rFonts w:ascii="仿宋" w:hAnsi="仿宋" w:eastAsia="仿宋" w:cs="仿宋"/>
          <w:b/>
          <w:bCs/>
          <w:color w:val="auto"/>
          <w:sz w:val="24"/>
          <w:szCs w:val="24"/>
        </w:rPr>
      </w:pPr>
      <w:r>
        <w:rPr>
          <w:rFonts w:hint="eastAsia" w:ascii="仿宋" w:hAnsi="仿宋" w:eastAsia="仿宋" w:cs="仿宋"/>
          <w:b/>
          <w:bCs/>
          <w:color w:val="auto"/>
          <w:sz w:val="24"/>
          <w:szCs w:val="24"/>
        </w:rPr>
        <w:t>3.5企业类型声明函</w:t>
      </w:r>
    </w:p>
    <w:p>
      <w:pPr>
        <w:pStyle w:val="2"/>
        <w:spacing w:line="360" w:lineRule="auto"/>
        <w:ind w:left="210" w:firstLine="643"/>
        <w:jc w:val="center"/>
        <w:rPr>
          <w:rFonts w:ascii="Wingdings" w:hAnsi="Wingdings" w:cs="宋体"/>
          <w:b/>
          <w:color w:val="auto"/>
          <w:sz w:val="22"/>
          <w:szCs w:val="22"/>
        </w:rPr>
      </w:pPr>
    </w:p>
    <w:p>
      <w:pPr>
        <w:pStyle w:val="2"/>
        <w:spacing w:line="360" w:lineRule="auto"/>
        <w:ind w:left="210" w:firstLine="643"/>
        <w:jc w:val="center"/>
        <w:rPr>
          <w:rFonts w:ascii="宋体" w:hAnsi="宋体" w:eastAsia="Wingdings"/>
          <w:b/>
          <w:color w:val="auto"/>
          <w:sz w:val="22"/>
          <w:szCs w:val="22"/>
        </w:rPr>
      </w:pPr>
      <w:r>
        <w:rPr>
          <w:rFonts w:ascii="Wingdings" w:hAnsi="Wingdings" w:cs="宋体"/>
          <w:b/>
          <w:color w:val="auto"/>
          <w:sz w:val="22"/>
          <w:szCs w:val="22"/>
        </w:rPr>
        <w:t>中小企业声明函</w:t>
      </w:r>
    </w:p>
    <w:p>
      <w:pPr>
        <w:pStyle w:val="20"/>
        <w:snapToGrid w:val="0"/>
        <w:ind w:left="420" w:firstLine="0" w:firstLineChars="0"/>
        <w:jc w:val="center"/>
        <w:rPr>
          <w:rFonts w:ascii="宋体" w:hAnsi="宋体"/>
          <w:color w:val="auto"/>
          <w:sz w:val="22"/>
          <w:szCs w:val="22"/>
        </w:rPr>
      </w:pPr>
      <w:r>
        <w:rPr>
          <w:rFonts w:hint="eastAsia" w:ascii="宋体" w:hAnsi="宋体"/>
          <w:color w:val="auto"/>
          <w:sz w:val="22"/>
          <w:szCs w:val="22"/>
        </w:rPr>
        <w:t xml:space="preserve">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本公司（联合体）郑重声明，根据《政府采购促进中小企业发展管理办法》（财库﹝2020﹞46 号）的规定，本公司（联合体）参加</w:t>
      </w:r>
      <w:r>
        <w:rPr>
          <w:rFonts w:hint="eastAsia" w:asciiTheme="minorEastAsia" w:hAnsiTheme="minorEastAsia" w:eastAsiaTheme="minorEastAsia"/>
          <w:color w:val="auto"/>
          <w:u w:val="single"/>
        </w:rPr>
        <w:t xml:space="preserve">    （单位名称）</w:t>
      </w:r>
      <w:r>
        <w:rPr>
          <w:rFonts w:hint="eastAsia" w:asciiTheme="minorEastAsia" w:hAnsiTheme="minorEastAsia" w:eastAsiaTheme="minorEastAsia"/>
          <w:color w:val="auto"/>
        </w:rPr>
        <w:t>的</w:t>
      </w:r>
      <w:r>
        <w:rPr>
          <w:rFonts w:hint="eastAsia" w:asciiTheme="minorEastAsia" w:hAnsiTheme="minorEastAsia" w:eastAsiaTheme="minorEastAsia"/>
          <w:color w:val="auto"/>
          <w:u w:val="single"/>
        </w:rPr>
        <w:t xml:space="preserve"> （项目名称）</w:t>
      </w:r>
      <w:r>
        <w:rPr>
          <w:rFonts w:hint="eastAsia" w:asciiTheme="minorEastAsia" w:hAnsiTheme="minorEastAsia" w:eastAsiaTheme="minorEastAsia"/>
          <w:color w:val="auto"/>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1. </w:t>
      </w:r>
      <w:r>
        <w:rPr>
          <w:rFonts w:hint="eastAsia" w:asciiTheme="minorEastAsia" w:hAnsiTheme="minorEastAsia" w:eastAsiaTheme="minorEastAsia"/>
          <w:color w:val="auto"/>
          <w:u w:val="single"/>
        </w:rPr>
        <w:t xml:space="preserve">（标的名称） </w:t>
      </w:r>
      <w:r>
        <w:rPr>
          <w:rFonts w:hint="eastAsia" w:asciiTheme="minorEastAsia" w:hAnsiTheme="minorEastAsia" w:eastAsiaTheme="minorEastAsia"/>
          <w:color w:val="auto"/>
        </w:rPr>
        <w:t>，属于</w:t>
      </w:r>
      <w:r>
        <w:rPr>
          <w:rFonts w:hint="eastAsia" w:asciiTheme="minorEastAsia" w:hAnsiTheme="minorEastAsia" w:eastAsiaTheme="minorEastAsia"/>
          <w:color w:val="auto"/>
          <w:u w:val="single"/>
        </w:rPr>
        <w:t>（采购文件中明确的所属行业）</w:t>
      </w:r>
      <w:r>
        <w:rPr>
          <w:rFonts w:hint="eastAsia" w:asciiTheme="minorEastAsia" w:hAnsiTheme="minorEastAsia" w:eastAsiaTheme="minorEastAsia"/>
          <w:color w:val="auto"/>
        </w:rPr>
        <w:t>；制造商为</w:t>
      </w:r>
      <w:r>
        <w:rPr>
          <w:rFonts w:hint="eastAsia" w:asciiTheme="minorEastAsia" w:hAnsiTheme="minorEastAsia" w:eastAsiaTheme="minorEastAsia"/>
          <w:color w:val="auto"/>
          <w:u w:val="single"/>
        </w:rPr>
        <w:t>（企业名称）</w:t>
      </w:r>
      <w:r>
        <w:rPr>
          <w:rFonts w:hint="eastAsia" w:asciiTheme="minorEastAsia" w:hAnsiTheme="minorEastAsia" w:eastAsiaTheme="minorEastAsia"/>
          <w:color w:val="auto"/>
        </w:rPr>
        <w:t>，从业人员</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人，营业收入为</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万元，资产总额为</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万元，属于</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（中型企业、 小型企业、微型企业）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 2.  </w:t>
      </w:r>
      <w:r>
        <w:rPr>
          <w:rFonts w:hint="eastAsia" w:asciiTheme="minorEastAsia" w:hAnsiTheme="minorEastAsia" w:eastAsiaTheme="minorEastAsia"/>
          <w:color w:val="auto"/>
          <w:u w:val="single"/>
        </w:rPr>
        <w:t xml:space="preserve">（标的名称） </w:t>
      </w:r>
      <w:r>
        <w:rPr>
          <w:rFonts w:hint="eastAsia" w:asciiTheme="minorEastAsia" w:hAnsiTheme="minorEastAsia" w:eastAsiaTheme="minorEastAsia"/>
          <w:color w:val="auto"/>
        </w:rPr>
        <w:t>，属于</w:t>
      </w:r>
      <w:r>
        <w:rPr>
          <w:rFonts w:hint="eastAsia" w:asciiTheme="minorEastAsia" w:hAnsiTheme="minorEastAsia" w:eastAsiaTheme="minorEastAsia"/>
          <w:color w:val="auto"/>
          <w:u w:val="single"/>
        </w:rPr>
        <w:t>（采购文件中明确的所属行业）</w:t>
      </w:r>
      <w:r>
        <w:rPr>
          <w:rFonts w:hint="eastAsia" w:asciiTheme="minorEastAsia" w:hAnsiTheme="minorEastAsia" w:eastAsiaTheme="minorEastAsia"/>
          <w:color w:val="auto"/>
        </w:rPr>
        <w:t>；制造商为</w:t>
      </w:r>
      <w:r>
        <w:rPr>
          <w:rFonts w:hint="eastAsia" w:asciiTheme="minorEastAsia" w:hAnsiTheme="minorEastAsia" w:eastAsiaTheme="minorEastAsia"/>
          <w:color w:val="auto"/>
          <w:u w:val="single"/>
        </w:rPr>
        <w:t>（企业名称）</w:t>
      </w:r>
      <w:r>
        <w:rPr>
          <w:rFonts w:hint="eastAsia" w:asciiTheme="minorEastAsia" w:hAnsiTheme="minorEastAsia" w:eastAsiaTheme="minorEastAsia"/>
          <w:color w:val="auto"/>
        </w:rPr>
        <w:t>，从业人员</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人，营业收入为</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万元，资产总额为</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万元，属于</w:t>
      </w:r>
      <w:r>
        <w:rPr>
          <w:rFonts w:hint="eastAsia" w:asciiTheme="minorEastAsia" w:hAnsiTheme="minorEastAsia" w:eastAsiaTheme="minorEastAsia"/>
          <w:color w:val="auto"/>
          <w:u w:val="single"/>
        </w:rPr>
        <w:t xml:space="preserve">   </w:t>
      </w:r>
      <w:r>
        <w:rPr>
          <w:rFonts w:hint="eastAsia" w:asciiTheme="minorEastAsia" w:hAnsiTheme="minorEastAsia" w:eastAsiaTheme="minorEastAsia"/>
          <w:color w:val="auto"/>
        </w:rPr>
        <w:t>（中型企业、 小型企业、微型企业）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以上企业，不属于大企业的分支机构，不存在控股股东为大企业的情形，也不存在与大企业的负责人为同一人的情形。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本企业对上述声明内容的真实性负责。如有虚假，将依法承担相应责任。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企业名称（盖章）：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日 期：</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 xml:space="preserve"> </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注：1 从业人员、营业收入、资产总额填报上一年度数据，无上一年度数据的新成立企业可不填报。</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2、标的名称请填写投标产品名称。</w:t>
      </w:r>
    </w:p>
    <w:p>
      <w:pPr>
        <w:rPr>
          <w:color w:val="auto"/>
        </w:rPr>
      </w:pPr>
      <w:r>
        <w:rPr>
          <w:rFonts w:hint="eastAsia"/>
          <w:color w:val="auto"/>
        </w:rPr>
        <w:t xml:space="preserve"> </w:t>
      </w:r>
    </w:p>
    <w:p>
      <w:pPr>
        <w:rPr>
          <w:color w:val="auto"/>
        </w:rPr>
      </w:pPr>
      <w:r>
        <w:rPr>
          <w:rFonts w:hint="eastAsia" w:ascii="宋体" w:hAnsi="宋体"/>
          <w:color w:val="auto"/>
          <w:sz w:val="22"/>
        </w:rPr>
        <w:t xml:space="preserve"> </w:t>
      </w:r>
    </w:p>
    <w:p>
      <w:pPr>
        <w:rPr>
          <w:rFonts w:ascii="宋体" w:hAnsi="宋体"/>
          <w:color w:val="auto"/>
          <w:sz w:val="22"/>
        </w:rPr>
      </w:pPr>
      <w:r>
        <w:rPr>
          <w:rFonts w:hint="eastAsia" w:ascii="宋体" w:hAnsi="宋体"/>
          <w:color w:val="auto"/>
          <w:sz w:val="22"/>
        </w:rPr>
        <w:t xml:space="preserve"> </w:t>
      </w:r>
    </w:p>
    <w:p>
      <w:pPr>
        <w:jc w:val="center"/>
        <w:rPr>
          <w:rFonts w:ascii="宋体" w:hAnsi="宋体"/>
          <w:b/>
          <w:color w:val="auto"/>
          <w:sz w:val="22"/>
        </w:rPr>
      </w:pPr>
      <w:r>
        <w:rPr>
          <w:rFonts w:ascii="Wingdings" w:hAnsi="Wingdings" w:cs="宋体"/>
          <w:b/>
          <w:color w:val="auto"/>
          <w:sz w:val="22"/>
        </w:rPr>
        <w:t>监狱企业证明</w:t>
      </w:r>
    </w:p>
    <w:p>
      <w:pPr>
        <w:pStyle w:val="20"/>
        <w:snapToGrid w:val="0"/>
        <w:spacing w:line="360" w:lineRule="auto"/>
        <w:ind w:left="632" w:firstLine="422" w:firstLineChars="200"/>
        <w:jc w:val="left"/>
        <w:rPr>
          <w:rFonts w:ascii="宋体" w:hAnsi="宋体"/>
          <w:b/>
          <w:color w:val="auto"/>
        </w:rPr>
      </w:pPr>
    </w:p>
    <w:p>
      <w:pPr>
        <w:pStyle w:val="20"/>
        <w:snapToGrid w:val="0"/>
        <w:spacing w:before="0" w:beforeAutospacing="0" w:after="0" w:afterAutospacing="0" w:line="360" w:lineRule="auto"/>
        <w:ind w:left="0" w:firstLine="444" w:firstLineChars="200"/>
        <w:jc w:val="left"/>
        <w:rPr>
          <w:rFonts w:ascii="宋体" w:hAnsi="宋体"/>
          <w:color w:val="auto"/>
          <w:spacing w:val="6"/>
        </w:rPr>
      </w:pPr>
      <w:r>
        <w:rPr>
          <w:rFonts w:hint="eastAsia" w:ascii="宋体" w:hAnsi="宋体"/>
          <w:color w:val="auto"/>
          <w:spacing w:val="6"/>
        </w:rPr>
        <w:t>根据《财政部、司法部关于政府采购支持监狱企业发展有关问题的通知》（财库〔2014〕68号）的规定，监狱企业须提供由省级以上监狱管理局、戒毒管理局（含新疆生产建设兵团）出具的属于监狱企业的证明文件。</w:t>
      </w:r>
    </w:p>
    <w:p>
      <w:pPr>
        <w:pStyle w:val="47"/>
        <w:spacing w:line="360" w:lineRule="auto"/>
        <w:ind w:left="420" w:right="1559" w:firstLine="444" w:firstLineChars="200"/>
        <w:jc w:val="left"/>
        <w:rPr>
          <w:rFonts w:ascii="宋体" w:hAnsi="宋体"/>
          <w:color w:val="auto"/>
          <w:spacing w:val="6"/>
        </w:rPr>
      </w:pPr>
      <w:r>
        <w:rPr>
          <w:rFonts w:hint="eastAsia" w:ascii="宋体" w:hAnsi="宋体"/>
          <w:color w:val="auto"/>
          <w:spacing w:val="6"/>
        </w:rPr>
        <w:t xml:space="preserve"> </w:t>
      </w:r>
    </w:p>
    <w:p>
      <w:pPr>
        <w:pStyle w:val="47"/>
        <w:spacing w:line="360" w:lineRule="auto"/>
        <w:ind w:left="420" w:right="1559" w:firstLine="440" w:firstLineChars="200"/>
        <w:jc w:val="left"/>
        <w:rPr>
          <w:rFonts w:ascii="宋体" w:hAnsi="宋体"/>
          <w:color w:val="auto"/>
          <w:sz w:val="22"/>
          <w:szCs w:val="22"/>
        </w:rPr>
      </w:pPr>
      <w:r>
        <w:rPr>
          <w:rFonts w:hint="eastAsia" w:ascii="宋体" w:hAnsi="宋体"/>
          <w:color w:val="auto"/>
          <w:sz w:val="22"/>
          <w:szCs w:val="22"/>
        </w:rPr>
        <w:t xml:space="preserve"> </w:t>
      </w:r>
    </w:p>
    <w:p>
      <w:pPr>
        <w:pStyle w:val="47"/>
        <w:spacing w:line="360" w:lineRule="auto"/>
        <w:ind w:left="420" w:right="1559" w:firstLine="440" w:firstLineChars="200"/>
        <w:jc w:val="left"/>
        <w:rPr>
          <w:rFonts w:ascii="宋体" w:hAnsi="宋体"/>
          <w:color w:val="auto"/>
          <w:sz w:val="22"/>
          <w:szCs w:val="22"/>
        </w:rPr>
      </w:pPr>
      <w:r>
        <w:rPr>
          <w:rFonts w:hint="eastAsia" w:ascii="宋体" w:hAnsi="宋体"/>
          <w:color w:val="auto"/>
          <w:sz w:val="22"/>
          <w:szCs w:val="22"/>
        </w:rPr>
        <w:t xml:space="preserve"> </w:t>
      </w:r>
    </w:p>
    <w:p>
      <w:pPr>
        <w:rPr>
          <w:rFonts w:hint="eastAsia" w:ascii="宋体" w:hAnsi="宋体"/>
          <w:b/>
          <w:color w:val="auto"/>
          <w:sz w:val="22"/>
        </w:rPr>
      </w:pPr>
      <w:r>
        <w:rPr>
          <w:rFonts w:hint="eastAsia" w:ascii="宋体" w:hAnsi="宋体"/>
          <w:b/>
          <w:color w:val="auto"/>
          <w:sz w:val="22"/>
        </w:rPr>
        <w:t xml:space="preserve"> </w:t>
      </w:r>
    </w:p>
    <w:p>
      <w:pPr>
        <w:pStyle w:val="2"/>
        <w:rPr>
          <w:color w:val="auto"/>
        </w:rPr>
      </w:pPr>
    </w:p>
    <w:p>
      <w:pPr>
        <w:pStyle w:val="2"/>
        <w:spacing w:line="360" w:lineRule="auto"/>
        <w:ind w:left="210" w:firstLine="643"/>
        <w:jc w:val="center"/>
        <w:rPr>
          <w:rFonts w:ascii="宋体" w:hAnsi="宋体"/>
          <w:b/>
          <w:color w:val="auto"/>
          <w:sz w:val="22"/>
          <w:szCs w:val="22"/>
        </w:rPr>
      </w:pPr>
      <w:r>
        <w:rPr>
          <w:rFonts w:ascii="Wingdings" w:hAnsi="Wingdings" w:cs="宋体"/>
          <w:b/>
          <w:color w:val="auto"/>
          <w:sz w:val="22"/>
          <w:szCs w:val="22"/>
        </w:rPr>
        <w:t>残疾人福利性企业声明函</w:t>
      </w:r>
    </w:p>
    <w:p>
      <w:pPr>
        <w:pStyle w:val="47"/>
        <w:spacing w:line="360" w:lineRule="auto"/>
        <w:ind w:left="420" w:firstLine="464" w:firstLineChars="200"/>
        <w:rPr>
          <w:rFonts w:ascii="宋体" w:hAnsi="宋体"/>
          <w:color w:val="auto"/>
          <w:spacing w:val="6"/>
          <w:sz w:val="22"/>
          <w:szCs w:val="22"/>
        </w:rPr>
      </w:pPr>
    </w:p>
    <w:p>
      <w:pPr>
        <w:pStyle w:val="47"/>
        <w:spacing w:line="360" w:lineRule="auto"/>
        <w:ind w:left="420" w:firstLine="444" w:firstLineChars="200"/>
        <w:rPr>
          <w:rFonts w:ascii="宋体" w:hAnsi="宋体"/>
          <w:color w:val="auto"/>
          <w:spacing w:val="6"/>
        </w:rPr>
      </w:pPr>
      <w:r>
        <w:rPr>
          <w:rFonts w:hint="eastAsia" w:ascii="宋体" w:hAnsi="宋体"/>
          <w:color w:val="auto"/>
          <w:spacing w:val="6"/>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olor w:val="auto"/>
          <w:spacing w:val="6"/>
          <w:u w:val="single"/>
        </w:rPr>
        <w:t>______</w:t>
      </w:r>
      <w:r>
        <w:rPr>
          <w:rFonts w:hint="eastAsia" w:ascii="宋体" w:hAnsi="宋体"/>
          <w:color w:val="auto"/>
          <w:spacing w:val="6"/>
        </w:rPr>
        <w:t>单位的</w:t>
      </w:r>
      <w:r>
        <w:rPr>
          <w:rFonts w:hint="eastAsia" w:ascii="宋体" w:hAnsi="宋体"/>
          <w:color w:val="auto"/>
          <w:spacing w:val="6"/>
          <w:u w:val="single"/>
        </w:rPr>
        <w:t>____  __</w:t>
      </w:r>
      <w:r>
        <w:rPr>
          <w:rFonts w:hint="eastAsia" w:ascii="宋体" w:hAnsi="宋体"/>
          <w:color w:val="auto"/>
          <w:spacing w:val="6"/>
        </w:rPr>
        <w:t>项目采购活动由本单位提供服务。</w:t>
      </w:r>
    </w:p>
    <w:p>
      <w:pPr>
        <w:pStyle w:val="47"/>
        <w:spacing w:line="360" w:lineRule="auto"/>
        <w:ind w:left="420" w:firstLine="444" w:firstLineChars="200"/>
        <w:rPr>
          <w:rFonts w:ascii="宋体" w:hAnsi="宋体"/>
          <w:color w:val="auto"/>
          <w:spacing w:val="6"/>
        </w:rPr>
      </w:pPr>
      <w:r>
        <w:rPr>
          <w:rFonts w:hint="eastAsia" w:ascii="宋体" w:hAnsi="宋体"/>
          <w:color w:val="auto"/>
          <w:spacing w:val="6"/>
        </w:rPr>
        <w:t>本单位对上述声明的真实性负责。如有虚假，将依法承担相应责任。</w:t>
      </w:r>
    </w:p>
    <w:p>
      <w:pPr>
        <w:spacing w:line="588" w:lineRule="exact"/>
        <w:ind w:firstLine="444" w:firstLineChars="200"/>
        <w:rPr>
          <w:rFonts w:ascii="宋体" w:hAnsi="宋体"/>
          <w:color w:val="auto"/>
          <w:spacing w:val="6"/>
          <w:szCs w:val="21"/>
        </w:rPr>
      </w:pPr>
      <w:r>
        <w:rPr>
          <w:rFonts w:hint="eastAsia" w:ascii="宋体" w:hAnsi="宋体"/>
          <w:color w:val="auto"/>
          <w:spacing w:val="6"/>
          <w:szCs w:val="21"/>
        </w:rPr>
        <w:t xml:space="preserve"> </w:t>
      </w:r>
    </w:p>
    <w:p>
      <w:pPr>
        <w:spacing w:line="360" w:lineRule="auto"/>
        <w:ind w:firstLine="464" w:firstLineChars="200"/>
        <w:rPr>
          <w:rFonts w:ascii="宋体" w:hAnsi="宋体"/>
          <w:color w:val="auto"/>
          <w:spacing w:val="6"/>
          <w:sz w:val="22"/>
        </w:rPr>
      </w:pPr>
      <w:r>
        <w:rPr>
          <w:rFonts w:hint="eastAsia" w:ascii="宋体" w:hAnsi="宋体"/>
          <w:color w:val="auto"/>
          <w:spacing w:val="6"/>
          <w:sz w:val="22"/>
        </w:rPr>
        <w:t>单位名称（盖章）：</w:t>
      </w:r>
    </w:p>
    <w:p>
      <w:pPr>
        <w:spacing w:line="360" w:lineRule="auto"/>
        <w:ind w:firstLine="464" w:firstLineChars="200"/>
        <w:rPr>
          <w:rFonts w:ascii="宋体" w:hAnsi="宋体"/>
          <w:color w:val="auto"/>
          <w:spacing w:val="6"/>
          <w:sz w:val="22"/>
        </w:rPr>
      </w:pPr>
      <w:r>
        <w:rPr>
          <w:rFonts w:hint="eastAsia" w:ascii="宋体" w:hAnsi="宋体"/>
          <w:color w:val="auto"/>
          <w:spacing w:val="6"/>
          <w:sz w:val="22"/>
        </w:rPr>
        <w:t xml:space="preserve">日  期： </w:t>
      </w:r>
    </w:p>
    <w:p>
      <w:pPr>
        <w:pStyle w:val="20"/>
        <w:snapToGrid w:val="0"/>
        <w:ind w:left="612" w:leftChars="200" w:hanging="192" w:hangingChars="83"/>
        <w:jc w:val="left"/>
        <w:rPr>
          <w:rFonts w:ascii="宋体" w:hAnsi="宋体"/>
          <w:color w:val="auto"/>
          <w:spacing w:val="6"/>
          <w:sz w:val="22"/>
          <w:szCs w:val="22"/>
        </w:rPr>
      </w:pPr>
      <w:r>
        <w:rPr>
          <w:rFonts w:hint="eastAsia" w:ascii="宋体" w:hAnsi="宋体"/>
          <w:color w:val="auto"/>
          <w:spacing w:val="6"/>
          <w:sz w:val="22"/>
          <w:szCs w:val="22"/>
        </w:rPr>
        <w:t xml:space="preserve"> </w:t>
      </w:r>
    </w:p>
    <w:p>
      <w:pPr>
        <w:pStyle w:val="20"/>
        <w:snapToGrid w:val="0"/>
        <w:ind w:left="604" w:leftChars="200" w:hanging="184" w:hangingChars="83"/>
        <w:jc w:val="left"/>
        <w:rPr>
          <w:rFonts w:ascii="宋体" w:hAnsi="宋体"/>
          <w:color w:val="auto"/>
          <w:spacing w:val="6"/>
        </w:rPr>
      </w:pPr>
      <w:r>
        <w:rPr>
          <w:rFonts w:hint="eastAsia" w:ascii="宋体" w:hAnsi="宋体"/>
          <w:color w:val="auto"/>
          <w:spacing w:val="6"/>
        </w:rPr>
        <w:t xml:space="preserve"> </w:t>
      </w:r>
    </w:p>
    <w:p>
      <w:pPr>
        <w:pStyle w:val="20"/>
        <w:snapToGrid w:val="0"/>
        <w:spacing w:before="0" w:beforeAutospacing="0" w:after="0" w:afterAutospacing="0"/>
        <w:ind w:left="595" w:leftChars="200" w:hanging="175" w:hangingChars="83"/>
        <w:rPr>
          <w:rFonts w:ascii="宋体" w:hAnsi="宋体"/>
          <w:b/>
          <w:bCs/>
          <w:color w:val="auto"/>
        </w:rPr>
      </w:pPr>
      <w:r>
        <w:rPr>
          <w:rFonts w:hint="eastAsia" w:ascii="宋体" w:hAnsi="宋体"/>
          <w:b/>
          <w:bCs/>
          <w:color w:val="auto"/>
        </w:rPr>
        <w:t>注意：</w:t>
      </w:r>
    </w:p>
    <w:p>
      <w:pPr>
        <w:pStyle w:val="20"/>
        <w:snapToGrid w:val="0"/>
        <w:spacing w:before="0" w:beforeAutospacing="0" w:after="0" w:afterAutospacing="0"/>
        <w:ind w:left="595" w:leftChars="200" w:hanging="175" w:hangingChars="83"/>
        <w:rPr>
          <w:rFonts w:ascii="宋体" w:hAnsi="宋体"/>
          <w:b/>
          <w:bCs/>
          <w:color w:val="auto"/>
        </w:rPr>
      </w:pPr>
      <w:r>
        <w:rPr>
          <w:rFonts w:hint="eastAsia" w:ascii="宋体" w:hAnsi="宋体"/>
          <w:b/>
          <w:bCs/>
          <w:color w:val="auto"/>
        </w:rPr>
        <w:t>1、符合小微企业或监狱企业或残疾人福利性企业政策的供应商应提供以上相关材料，否则视为供应商放弃相关政策优惠处理。</w:t>
      </w:r>
    </w:p>
    <w:p>
      <w:pPr>
        <w:pStyle w:val="20"/>
        <w:snapToGrid w:val="0"/>
        <w:spacing w:before="0" w:beforeAutospacing="0" w:after="0" w:afterAutospacing="0"/>
        <w:ind w:left="595" w:leftChars="200" w:hanging="175" w:hangingChars="83"/>
        <w:rPr>
          <w:rFonts w:ascii="宋体" w:hAnsi="宋体"/>
          <w:b/>
          <w:bCs/>
          <w:color w:val="auto"/>
        </w:rPr>
      </w:pPr>
      <w:r>
        <w:rPr>
          <w:rFonts w:hint="eastAsia" w:ascii="宋体" w:hAnsi="宋体"/>
          <w:b/>
          <w:bCs/>
          <w:color w:val="auto"/>
        </w:rPr>
        <w:t>2、中小微型企业划分标准参照国家统计局印发的《统计上大中小微型企业划分办法（2017）》。</w:t>
      </w:r>
    </w:p>
    <w:p>
      <w:pPr>
        <w:pStyle w:val="20"/>
        <w:snapToGrid w:val="0"/>
        <w:spacing w:before="0" w:beforeAutospacing="0" w:after="0" w:afterAutospacing="0"/>
        <w:ind w:left="595" w:leftChars="200" w:hanging="175" w:hangingChars="83"/>
        <w:rPr>
          <w:rFonts w:ascii="宋体" w:hAnsi="宋体"/>
          <w:b/>
          <w:bCs/>
          <w:color w:val="auto"/>
        </w:rPr>
      </w:pPr>
      <w:r>
        <w:rPr>
          <w:rFonts w:hint="eastAsia" w:ascii="宋体" w:hAnsi="宋体"/>
          <w:b/>
          <w:bCs/>
          <w:color w:val="auto"/>
        </w:rPr>
        <w:t>3、供应商提供声明函内容不实的，属于提供虚假材料谋取中标、成交，依照《中华人民共和国政府采购法》等国家有关规定追究相应责任。</w:t>
      </w:r>
    </w:p>
    <w:p>
      <w:pPr>
        <w:pStyle w:val="24"/>
        <w:spacing w:before="0" w:after="0" w:line="360" w:lineRule="auto"/>
        <w:rPr>
          <w:rFonts w:ascii="仿宋" w:hAnsi="仿宋" w:eastAsia="仿宋" w:cs="宋体"/>
          <w:color w:val="auto"/>
          <w:sz w:val="48"/>
          <w:szCs w:val="48"/>
        </w:rPr>
      </w:pPr>
      <w:r>
        <w:rPr>
          <w:rFonts w:hint="eastAsia" w:ascii="宋体" w:hAnsi="宋体"/>
          <w:b w:val="0"/>
          <w:bCs w:val="0"/>
          <w:color w:val="auto"/>
          <w:sz w:val="22"/>
          <w:szCs w:val="22"/>
        </w:rPr>
        <w:br w:type="page"/>
      </w:r>
      <w:bookmarkStart w:id="204" w:name="_Toc105577188"/>
      <w:bookmarkStart w:id="205" w:name="_Toc99"/>
      <w:r>
        <w:rPr>
          <w:rFonts w:hint="eastAsia" w:ascii="仿宋" w:hAnsi="仿宋" w:eastAsia="仿宋" w:cs="宋体"/>
          <w:color w:val="auto"/>
          <w:sz w:val="48"/>
          <w:szCs w:val="48"/>
        </w:rPr>
        <w:t>第六章  评标办法和细则</w:t>
      </w:r>
      <w:bookmarkEnd w:id="204"/>
      <w:bookmarkEnd w:id="205"/>
    </w:p>
    <w:p>
      <w:pPr>
        <w:snapToGrid w:val="0"/>
        <w:spacing w:line="360" w:lineRule="auto"/>
        <w:ind w:firstLine="480" w:firstLineChars="200"/>
        <w:rPr>
          <w:rFonts w:eastAsia="仿宋_GB2312" w:cs="Calibri"/>
          <w:color w:val="auto"/>
          <w:sz w:val="24"/>
          <w:szCs w:val="24"/>
        </w:rPr>
      </w:pPr>
      <w:r>
        <w:rPr>
          <w:rFonts w:eastAsia="仿宋_GB2312" w:cs="Calibri"/>
          <w:color w:val="auto"/>
          <w:sz w:val="24"/>
          <w:szCs w:val="24"/>
        </w:rPr>
        <w:t xml:space="preserve"> </w:t>
      </w:r>
    </w:p>
    <w:p>
      <w:pPr>
        <w:snapToGrid w:val="0"/>
        <w:spacing w:line="360" w:lineRule="auto"/>
        <w:ind w:firstLine="480" w:firstLineChars="200"/>
        <w:rPr>
          <w:rFonts w:eastAsia="仿宋_GB2312" w:cs="Calibri"/>
          <w:color w:val="auto"/>
          <w:sz w:val="24"/>
          <w:szCs w:val="24"/>
        </w:rPr>
      </w:pPr>
      <w:r>
        <w:rPr>
          <w:rFonts w:hint="eastAsia" w:ascii="仿宋_GB2312" w:eastAsia="仿宋_GB2312" w:cs="Calibri"/>
          <w:color w:val="auto"/>
          <w:sz w:val="24"/>
          <w:szCs w:val="24"/>
        </w:rPr>
        <w:t>根据《中华人民共和国政府采购法》等有关法律法规的规定，并结合本项目的实际，特制定本办法，本办法只适用于本项目政府采购的评标。</w:t>
      </w:r>
    </w:p>
    <w:p>
      <w:pPr>
        <w:spacing w:before="312" w:beforeLines="100" w:after="312" w:afterLines="100"/>
        <w:rPr>
          <w:rFonts w:ascii="仿宋_GB2312" w:eastAsia="仿宋_GB2312" w:hAnsiTheme="majorHAnsi" w:cstheme="majorBidi"/>
          <w:b/>
          <w:bCs/>
          <w:color w:val="auto"/>
          <w:sz w:val="30"/>
          <w:szCs w:val="30"/>
        </w:rPr>
      </w:pPr>
      <w:r>
        <w:rPr>
          <w:rFonts w:hint="eastAsia" w:ascii="仿宋_GB2312" w:eastAsia="仿宋_GB2312" w:hAnsiTheme="majorHAnsi" w:cstheme="majorBidi"/>
          <w:b/>
          <w:bCs/>
          <w:color w:val="auto"/>
          <w:sz w:val="30"/>
          <w:szCs w:val="30"/>
        </w:rPr>
        <w:t>一    总则</w:t>
      </w:r>
    </w:p>
    <w:p>
      <w:pPr>
        <w:snapToGrid w:val="0"/>
        <w:spacing w:line="360" w:lineRule="auto"/>
        <w:ind w:firstLine="480" w:firstLineChars="200"/>
        <w:rPr>
          <w:rFonts w:eastAsia="仿宋_GB2312" w:cs="Calibri"/>
          <w:color w:val="auto"/>
          <w:sz w:val="24"/>
          <w:szCs w:val="24"/>
        </w:rPr>
      </w:pPr>
      <w:r>
        <w:rPr>
          <w:rFonts w:hint="eastAsia" w:ascii="仿宋_GB2312" w:eastAsia="仿宋_GB2312" w:cs="Calibri"/>
          <w:color w:val="auto"/>
          <w:sz w:val="24"/>
          <w:szCs w:val="24"/>
        </w:rPr>
        <w:t>1.1  评标</w:t>
      </w:r>
      <w:r>
        <w:rPr>
          <w:rFonts w:ascii="仿宋_GB2312" w:eastAsia="仿宋_GB2312" w:cs="Calibri"/>
          <w:color w:val="auto"/>
          <w:sz w:val="24"/>
          <w:szCs w:val="24"/>
        </w:rPr>
        <w:t>工作遵循</w:t>
      </w:r>
      <w:r>
        <w:rPr>
          <w:rFonts w:hint="eastAsia" w:ascii="仿宋_GB2312" w:eastAsia="仿宋_GB2312" w:cs="Calibri"/>
          <w:color w:val="auto"/>
          <w:sz w:val="24"/>
          <w:szCs w:val="24"/>
        </w:rPr>
        <w:t>公正、公平、科学、择优的原则确定中标候选人。评标</w:t>
      </w:r>
      <w:r>
        <w:rPr>
          <w:rFonts w:ascii="仿宋_GB2312" w:eastAsia="仿宋_GB2312" w:cs="Calibri"/>
          <w:color w:val="auto"/>
          <w:sz w:val="24"/>
          <w:szCs w:val="24"/>
        </w:rPr>
        <w:t>委员会</w:t>
      </w:r>
      <w:r>
        <w:rPr>
          <w:rFonts w:hint="eastAsia" w:ascii="仿宋_GB2312" w:eastAsia="仿宋_GB2312" w:cs="Calibri"/>
          <w:color w:val="auto"/>
          <w:sz w:val="24"/>
          <w:szCs w:val="24"/>
        </w:rPr>
        <w:t>应</w:t>
      </w:r>
      <w:r>
        <w:rPr>
          <w:rFonts w:ascii="仿宋_GB2312" w:eastAsia="仿宋_GB2312" w:cs="Calibri"/>
          <w:color w:val="auto"/>
          <w:sz w:val="24"/>
          <w:szCs w:val="24"/>
        </w:rPr>
        <w:t>严格按照招标文件的资信</w:t>
      </w:r>
      <w:r>
        <w:rPr>
          <w:rFonts w:hint="eastAsia" w:ascii="仿宋_GB2312" w:eastAsia="仿宋_GB2312" w:cs="Calibri"/>
          <w:color w:val="auto"/>
          <w:sz w:val="24"/>
          <w:szCs w:val="24"/>
        </w:rPr>
        <w:t>商务及</w:t>
      </w:r>
      <w:r>
        <w:rPr>
          <w:rFonts w:ascii="仿宋_GB2312" w:eastAsia="仿宋_GB2312" w:cs="Calibri"/>
          <w:color w:val="auto"/>
          <w:sz w:val="24"/>
          <w:szCs w:val="24"/>
        </w:rPr>
        <w:t>技术和报价要求，对投标文件</w:t>
      </w:r>
      <w:r>
        <w:rPr>
          <w:rFonts w:hint="eastAsia" w:ascii="仿宋_GB2312" w:eastAsia="仿宋_GB2312" w:cs="Calibri"/>
          <w:color w:val="auto"/>
          <w:sz w:val="24"/>
          <w:szCs w:val="24"/>
        </w:rPr>
        <w:t>综合</w:t>
      </w:r>
      <w:r>
        <w:rPr>
          <w:rFonts w:ascii="仿宋_GB2312" w:eastAsia="仿宋_GB2312" w:cs="Calibri"/>
          <w:color w:val="auto"/>
          <w:sz w:val="24"/>
          <w:szCs w:val="24"/>
        </w:rPr>
        <w:t>分析评价并编制评标</w:t>
      </w:r>
      <w:r>
        <w:rPr>
          <w:rFonts w:hint="eastAsia" w:ascii="仿宋_GB2312" w:eastAsia="仿宋_GB2312" w:cs="Calibri"/>
          <w:color w:val="auto"/>
          <w:sz w:val="24"/>
          <w:szCs w:val="24"/>
        </w:rPr>
        <w:t>报告。评审专家必须严格遵守保密规定，不得泄漏评标有关的情况，不得索贿受贿，不得参加影响评标的任何活动。</w:t>
      </w:r>
    </w:p>
    <w:p>
      <w:pPr>
        <w:snapToGrid w:val="0"/>
        <w:spacing w:line="360" w:lineRule="auto"/>
        <w:ind w:firstLine="480" w:firstLineChars="200"/>
        <w:rPr>
          <w:rFonts w:ascii="仿宋_GB2312" w:eastAsia="仿宋_GB2312" w:cs="Calibri"/>
          <w:color w:val="auto"/>
          <w:sz w:val="24"/>
          <w:szCs w:val="24"/>
        </w:rPr>
      </w:pPr>
      <w:r>
        <w:rPr>
          <w:rFonts w:hint="eastAsia" w:ascii="仿宋_GB2312" w:eastAsia="仿宋_GB2312" w:cs="Calibri"/>
          <w:color w:val="auto"/>
          <w:sz w:val="24"/>
          <w:szCs w:val="24"/>
        </w:rPr>
        <w:t>1.2  本次评标采用综合评分法，按最终得分由高到低顺序排列。最终得分相同的，按投标报价由低到高顺序排列；最终得分且投标报价相同的，</w:t>
      </w:r>
      <w:r>
        <w:rPr>
          <w:rFonts w:hint="eastAsia" w:ascii="仿宋_GB2312" w:hAnsi="宋体" w:eastAsia="仿宋_GB2312" w:cs="Calibri"/>
          <w:color w:val="auto"/>
          <w:kern w:val="0"/>
          <w:sz w:val="24"/>
          <w:szCs w:val="24"/>
        </w:rPr>
        <w:t>抽签产生中标候选人</w:t>
      </w:r>
      <w:r>
        <w:rPr>
          <w:rFonts w:hint="eastAsia" w:ascii="仿宋_GB2312" w:eastAsia="仿宋_GB2312" w:cs="Calibri"/>
          <w:color w:val="auto"/>
          <w:sz w:val="24"/>
          <w:szCs w:val="24"/>
        </w:rPr>
        <w:t>。评标委员会按顺序推荐中标候选人。评分过程中采用四舍五入法，并保留小数2位。</w:t>
      </w:r>
    </w:p>
    <w:p>
      <w:pPr>
        <w:spacing w:before="312" w:beforeLines="100" w:after="312" w:afterLines="100"/>
        <w:rPr>
          <w:rFonts w:ascii="仿宋_GB2312" w:eastAsia="仿宋_GB2312" w:hAnsiTheme="majorHAnsi" w:cstheme="majorBidi"/>
          <w:b/>
          <w:bCs/>
          <w:color w:val="auto"/>
          <w:sz w:val="30"/>
          <w:szCs w:val="30"/>
        </w:rPr>
      </w:pPr>
      <w:r>
        <w:rPr>
          <w:rFonts w:hint="eastAsia" w:ascii="仿宋_GB2312" w:eastAsia="仿宋_GB2312" w:hAnsiTheme="majorHAnsi" w:cstheme="majorBidi"/>
          <w:b/>
          <w:bCs/>
          <w:color w:val="auto"/>
          <w:sz w:val="30"/>
          <w:szCs w:val="30"/>
        </w:rPr>
        <w:t>二    评审一般规定</w:t>
      </w:r>
    </w:p>
    <w:p>
      <w:pPr>
        <w:snapToGrid w:val="0"/>
        <w:spacing w:line="360" w:lineRule="auto"/>
        <w:ind w:firstLine="480" w:firstLineChars="200"/>
        <w:rPr>
          <w:rFonts w:ascii="仿宋_GB2312" w:eastAsia="仿宋_GB2312" w:cs="Calibri"/>
          <w:color w:val="auto"/>
          <w:sz w:val="24"/>
          <w:szCs w:val="24"/>
        </w:rPr>
      </w:pPr>
      <w:r>
        <w:rPr>
          <w:rFonts w:hint="eastAsia" w:ascii="仿宋_GB2312" w:eastAsia="仿宋_GB2312" w:cs="Calibri"/>
          <w:color w:val="auto"/>
          <w:sz w:val="24"/>
          <w:szCs w:val="24"/>
        </w:rPr>
        <w:t>2.1  本次评审采用综合评分法，总分100分。</w:t>
      </w:r>
    </w:p>
    <w:p>
      <w:pPr>
        <w:snapToGrid w:val="0"/>
        <w:spacing w:line="360" w:lineRule="auto"/>
        <w:ind w:firstLine="480" w:firstLineChars="200"/>
        <w:rPr>
          <w:rFonts w:ascii="仿宋_GB2312" w:eastAsia="仿宋_GB2312" w:cs="Calibri"/>
          <w:color w:val="auto"/>
          <w:sz w:val="24"/>
          <w:szCs w:val="24"/>
        </w:rPr>
      </w:pPr>
      <w:r>
        <w:rPr>
          <w:rFonts w:hint="eastAsia" w:ascii="仿宋_GB2312" w:eastAsia="仿宋_GB2312" w:cs="Calibri"/>
          <w:color w:val="auto"/>
          <w:sz w:val="24"/>
          <w:szCs w:val="24"/>
        </w:rPr>
        <w:t>2.2  资信商务及技术分的权重为</w:t>
      </w:r>
      <w:r>
        <w:rPr>
          <w:rFonts w:hint="eastAsia" w:ascii="仿宋_GB2312" w:eastAsia="仿宋_GB2312" w:cs="Calibri"/>
          <w:color w:val="auto"/>
          <w:sz w:val="24"/>
          <w:szCs w:val="24"/>
          <w:u w:val="single"/>
        </w:rPr>
        <w:t>90%</w:t>
      </w:r>
      <w:r>
        <w:rPr>
          <w:rFonts w:hint="eastAsia" w:ascii="仿宋_GB2312" w:eastAsia="仿宋_GB2312" w:cs="Calibri"/>
          <w:color w:val="auto"/>
          <w:sz w:val="24"/>
          <w:szCs w:val="24"/>
        </w:rPr>
        <w:t>，评审分值为</w:t>
      </w:r>
      <w:r>
        <w:rPr>
          <w:rFonts w:hint="eastAsia" w:ascii="仿宋_GB2312" w:eastAsia="仿宋_GB2312" w:cs="Calibri"/>
          <w:color w:val="auto"/>
          <w:sz w:val="24"/>
          <w:szCs w:val="24"/>
          <w:u w:val="single"/>
        </w:rPr>
        <w:t>90</w:t>
      </w:r>
      <w:r>
        <w:rPr>
          <w:rFonts w:hint="eastAsia" w:ascii="仿宋_GB2312" w:eastAsia="仿宋_GB2312" w:cs="Calibri"/>
          <w:color w:val="auto"/>
          <w:sz w:val="24"/>
          <w:szCs w:val="24"/>
        </w:rPr>
        <w:t>分。评审专家对各供应商的资信商务及技术文件经充分审核，讨论后，其中客观部分（即资信商务部分）应统一意见后统一给分，其他部分（即技术部分）由评审专家独立评定打分。各有效供应商的资信商务及技术得分为各评审专家对该供应商的评审得分结果汇总后的算术平均值。</w:t>
      </w:r>
    </w:p>
    <w:p>
      <w:pPr>
        <w:snapToGrid w:val="0"/>
        <w:spacing w:line="360" w:lineRule="auto"/>
        <w:ind w:firstLine="480" w:firstLineChars="200"/>
        <w:rPr>
          <w:rFonts w:ascii="仿宋_GB2312" w:eastAsia="仿宋_GB2312" w:cs="Calibri"/>
          <w:color w:val="auto"/>
          <w:sz w:val="24"/>
          <w:szCs w:val="24"/>
        </w:rPr>
      </w:pPr>
      <w:r>
        <w:rPr>
          <w:rFonts w:hint="eastAsia" w:ascii="仿宋_GB2312" w:eastAsia="仿宋_GB2312" w:cs="Calibri"/>
          <w:color w:val="auto"/>
          <w:sz w:val="24"/>
          <w:szCs w:val="24"/>
        </w:rPr>
        <w:t>2.2   报价分的权重为</w:t>
      </w:r>
      <w:r>
        <w:rPr>
          <w:rFonts w:hint="eastAsia" w:ascii="仿宋_GB2312" w:eastAsia="仿宋_GB2312" w:cs="Calibri"/>
          <w:color w:val="auto"/>
          <w:sz w:val="24"/>
          <w:szCs w:val="24"/>
          <w:u w:val="single"/>
        </w:rPr>
        <w:t>10</w:t>
      </w:r>
      <w:r>
        <w:rPr>
          <w:rFonts w:hint="eastAsia" w:ascii="仿宋_GB2312" w:eastAsia="仿宋_GB2312" w:cs="Calibri"/>
          <w:color w:val="auto"/>
          <w:sz w:val="24"/>
          <w:szCs w:val="24"/>
        </w:rPr>
        <w:t>%，评审分值为</w:t>
      </w:r>
      <w:r>
        <w:rPr>
          <w:rFonts w:hint="eastAsia" w:ascii="仿宋_GB2312" w:eastAsia="仿宋_GB2312" w:cs="Calibri"/>
          <w:color w:val="auto"/>
          <w:sz w:val="24"/>
          <w:szCs w:val="24"/>
          <w:u w:val="single"/>
        </w:rPr>
        <w:t>10</w:t>
      </w:r>
      <w:r>
        <w:rPr>
          <w:rFonts w:hint="eastAsia" w:ascii="仿宋_GB2312" w:eastAsia="仿宋_GB2312" w:cs="Calibri"/>
          <w:color w:val="auto"/>
          <w:sz w:val="24"/>
          <w:szCs w:val="24"/>
        </w:rPr>
        <w:t>分，由评审小组按各供应商报价统一计算。</w:t>
      </w:r>
    </w:p>
    <w:p>
      <w:pPr>
        <w:snapToGrid w:val="0"/>
        <w:spacing w:line="360" w:lineRule="auto"/>
        <w:ind w:firstLine="480" w:firstLineChars="200"/>
        <w:rPr>
          <w:rFonts w:ascii="仿宋_GB2312" w:eastAsia="仿宋_GB2312" w:cs="Calibri"/>
          <w:color w:val="auto"/>
          <w:sz w:val="24"/>
          <w:szCs w:val="24"/>
        </w:rPr>
      </w:pPr>
      <w:r>
        <w:rPr>
          <w:rFonts w:hint="eastAsia" w:ascii="仿宋_GB2312" w:eastAsia="仿宋_GB2312" w:cs="Calibri"/>
          <w:color w:val="auto"/>
          <w:sz w:val="24"/>
          <w:szCs w:val="24"/>
        </w:rPr>
        <w:t>2.3   供应商总得分=资信商务及技术得分+报价得分。</w:t>
      </w:r>
    </w:p>
    <w:p>
      <w:pPr>
        <w:snapToGrid w:val="0"/>
        <w:spacing w:line="360" w:lineRule="auto"/>
        <w:ind w:firstLine="480" w:firstLineChars="200"/>
        <w:rPr>
          <w:rFonts w:ascii="仿宋_GB2312" w:eastAsia="仿宋_GB2312" w:cs="Calibri"/>
          <w:color w:val="auto"/>
          <w:sz w:val="24"/>
          <w:szCs w:val="24"/>
        </w:rPr>
      </w:pPr>
      <w:r>
        <w:rPr>
          <w:rFonts w:hint="eastAsia" w:ascii="仿宋_GB2312" w:eastAsia="仿宋_GB2312" w:cs="Calibri"/>
          <w:color w:val="auto"/>
          <w:sz w:val="24"/>
          <w:szCs w:val="24"/>
        </w:rPr>
        <w:t>2.3   评审专家在规定的分值范围内打分，评分保留两位小数。</w:t>
      </w:r>
    </w:p>
    <w:p>
      <w:pPr>
        <w:spacing w:before="312" w:beforeLines="100" w:after="312" w:afterLines="100"/>
        <w:rPr>
          <w:rFonts w:ascii="仿宋_GB2312" w:eastAsia="仿宋_GB2312" w:hAnsiTheme="majorHAnsi" w:cstheme="majorBidi"/>
          <w:b/>
          <w:bCs/>
          <w:color w:val="auto"/>
          <w:sz w:val="30"/>
          <w:szCs w:val="30"/>
        </w:rPr>
      </w:pPr>
      <w:r>
        <w:rPr>
          <w:rFonts w:hint="eastAsia" w:ascii="仿宋_GB2312" w:eastAsia="仿宋_GB2312" w:hAnsiTheme="majorHAnsi" w:cstheme="majorBidi"/>
          <w:b/>
          <w:bCs/>
          <w:color w:val="auto"/>
          <w:sz w:val="30"/>
          <w:szCs w:val="30"/>
        </w:rPr>
        <w:t>三    评审内容及标准</w:t>
      </w:r>
    </w:p>
    <w:p>
      <w:pPr>
        <w:snapToGrid w:val="0"/>
        <w:spacing w:line="360" w:lineRule="auto"/>
        <w:ind w:firstLine="480" w:firstLineChars="200"/>
        <w:rPr>
          <w:rFonts w:ascii="仿宋_GB2312" w:eastAsia="仿宋_GB2312" w:cs="Calibri"/>
          <w:color w:val="000000"/>
          <w:sz w:val="24"/>
          <w:szCs w:val="24"/>
        </w:rPr>
      </w:pPr>
      <w:r>
        <w:rPr>
          <w:rFonts w:hint="eastAsia" w:ascii="仿宋_GB2312" w:eastAsia="仿宋_GB2312" w:cs="Calibri"/>
          <w:color w:val="000000"/>
          <w:sz w:val="24"/>
          <w:szCs w:val="24"/>
        </w:rPr>
        <w:t>3.1   报价分（</w:t>
      </w:r>
      <w:r>
        <w:rPr>
          <w:rFonts w:hint="eastAsia" w:ascii="仿宋_GB2312" w:eastAsia="仿宋_GB2312" w:cs="Calibri"/>
          <w:color w:val="0000FF"/>
          <w:sz w:val="24"/>
          <w:szCs w:val="24"/>
          <w:u w:val="single"/>
        </w:rPr>
        <w:t>10</w:t>
      </w:r>
      <w:r>
        <w:rPr>
          <w:rFonts w:hint="eastAsia" w:ascii="仿宋_GB2312" w:eastAsia="仿宋_GB2312" w:cs="Calibri"/>
          <w:color w:val="000000"/>
          <w:sz w:val="24"/>
          <w:szCs w:val="24"/>
        </w:rPr>
        <w:t>分）</w:t>
      </w:r>
    </w:p>
    <w:p>
      <w:pPr>
        <w:snapToGrid w:val="0"/>
        <w:spacing w:line="360" w:lineRule="auto"/>
        <w:ind w:firstLine="480" w:firstLineChars="200"/>
        <w:rPr>
          <w:rFonts w:ascii="仿宋_GB2312" w:eastAsia="仿宋_GB2312" w:cs="Calibri"/>
          <w:color w:val="000000"/>
          <w:sz w:val="24"/>
          <w:szCs w:val="24"/>
        </w:rPr>
      </w:pPr>
      <w:r>
        <w:rPr>
          <w:rFonts w:hint="eastAsia" w:ascii="仿宋_GB2312" w:eastAsia="仿宋_GB2312" w:cs="Calibri"/>
          <w:color w:val="000000"/>
          <w:sz w:val="24"/>
          <w:szCs w:val="24"/>
        </w:rPr>
        <w:t xml:space="preserve">3.1.1 报价得分采用低价优先法计算，即满足招标文件要求且投标价格最低的报价为评审基准价，其他供应商的价格分按照下列公式计算： </w:t>
      </w:r>
    </w:p>
    <w:p>
      <w:pPr>
        <w:snapToGrid w:val="0"/>
        <w:spacing w:line="360" w:lineRule="auto"/>
        <w:ind w:firstLine="480" w:firstLineChars="200"/>
        <w:rPr>
          <w:rFonts w:ascii="仿宋_GB2312" w:eastAsia="仿宋_GB2312" w:cs="Calibri"/>
          <w:color w:val="000000"/>
          <w:sz w:val="24"/>
          <w:szCs w:val="24"/>
        </w:rPr>
      </w:pPr>
      <w:r>
        <w:rPr>
          <w:rFonts w:hint="eastAsia" w:ascii="仿宋_GB2312" w:eastAsia="仿宋_GB2312" w:cs="Calibri"/>
          <w:color w:val="000000"/>
          <w:sz w:val="24"/>
          <w:szCs w:val="24"/>
        </w:rPr>
        <w:t>投标报价得分=(评标基准价／投标报价)×</w:t>
      </w:r>
      <w:r>
        <w:rPr>
          <w:rFonts w:hint="eastAsia" w:ascii="仿宋_GB2312" w:eastAsia="仿宋_GB2312" w:cs="Calibri"/>
          <w:color w:val="0000FF"/>
          <w:sz w:val="24"/>
          <w:szCs w:val="24"/>
          <w:u w:val="single"/>
        </w:rPr>
        <w:t>10%</w:t>
      </w:r>
      <w:r>
        <w:rPr>
          <w:rFonts w:hint="eastAsia" w:ascii="仿宋_GB2312" w:eastAsia="仿宋_GB2312" w:cs="Calibri"/>
          <w:color w:val="000000"/>
          <w:sz w:val="24"/>
          <w:szCs w:val="24"/>
        </w:rPr>
        <w:t>×100。（四舍五入，保留两位小数）。</w:t>
      </w:r>
    </w:p>
    <w:p>
      <w:pPr>
        <w:snapToGrid w:val="0"/>
        <w:spacing w:line="360" w:lineRule="auto"/>
        <w:ind w:firstLine="480" w:firstLineChars="200"/>
        <w:rPr>
          <w:rFonts w:ascii="仿宋_GB2312" w:eastAsia="仿宋_GB2312" w:cs="Calibri"/>
          <w:color w:val="000000"/>
          <w:sz w:val="24"/>
          <w:szCs w:val="24"/>
        </w:rPr>
      </w:pPr>
      <w:r>
        <w:rPr>
          <w:rFonts w:hint="eastAsia" w:ascii="仿宋_GB2312" w:eastAsia="仿宋_GB2312" w:cs="Calibri"/>
          <w:color w:val="000000"/>
          <w:sz w:val="24"/>
          <w:szCs w:val="24"/>
        </w:rPr>
        <w:t>3.3.1  价格扣除：因落实政府采购政策进行价格调整的，以调整后的价格计算评审基准价和投标报价。</w:t>
      </w:r>
    </w:p>
    <w:p>
      <w:pPr>
        <w:pStyle w:val="14"/>
        <w:spacing w:line="360" w:lineRule="auto"/>
        <w:rPr>
          <w:rFonts w:ascii="仿宋_GB2312" w:eastAsia="仿宋_GB2312" w:cs="Calibri"/>
          <w:color w:val="000000"/>
          <w:sz w:val="24"/>
          <w:szCs w:val="24"/>
        </w:rPr>
      </w:pPr>
      <w:r>
        <w:rPr>
          <w:rFonts w:hint="eastAsia" w:ascii="仿宋_GB2312" w:eastAsia="仿宋_GB2312" w:cs="Calibri"/>
          <w:color w:val="000000"/>
          <w:sz w:val="24"/>
          <w:szCs w:val="24"/>
        </w:rPr>
        <w:t>调整后的投标报价（评审价）＝投标报价×(1-扣除率)</w:t>
      </w:r>
    </w:p>
    <w:p>
      <w:pPr>
        <w:snapToGrid w:val="0"/>
        <w:spacing w:line="360" w:lineRule="auto"/>
        <w:ind w:firstLine="480" w:firstLineChars="200"/>
        <w:rPr>
          <w:rFonts w:hint="eastAsia" w:ascii="仿宋_GB2312" w:eastAsia="仿宋_GB2312" w:cs="Calibri"/>
          <w:color w:val="000000"/>
          <w:sz w:val="24"/>
          <w:szCs w:val="24"/>
        </w:rPr>
      </w:pPr>
      <w:r>
        <w:rPr>
          <w:rFonts w:hint="eastAsia" w:ascii="仿宋_GB2312" w:eastAsia="仿宋_GB2312" w:cs="Calibri"/>
          <w:color w:val="000000"/>
          <w:sz w:val="24"/>
          <w:szCs w:val="24"/>
        </w:rPr>
        <w:t>3.2  资信商务及技术分</w:t>
      </w:r>
      <w:r>
        <w:rPr>
          <w:rFonts w:hint="eastAsia" w:ascii="仿宋_GB2312" w:eastAsia="仿宋_GB2312" w:cs="Calibri"/>
          <w:color w:val="0000FF"/>
          <w:sz w:val="24"/>
          <w:szCs w:val="24"/>
          <w:u w:val="single"/>
        </w:rPr>
        <w:t>90</w:t>
      </w:r>
      <w:r>
        <w:rPr>
          <w:rFonts w:hint="eastAsia" w:ascii="仿宋_GB2312" w:eastAsia="仿宋_GB2312" w:cs="Calibri"/>
          <w:color w:val="000000"/>
          <w:sz w:val="24"/>
          <w:szCs w:val="24"/>
        </w:rPr>
        <w:t>分，详细评分见下表：</w:t>
      </w:r>
    </w:p>
    <w:tbl>
      <w:tblPr>
        <w:tblStyle w:val="26"/>
        <w:tblW w:w="963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2"/>
        <w:gridCol w:w="1444"/>
        <w:gridCol w:w="74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722" w:type="dxa"/>
            <w:vAlign w:val="center"/>
          </w:tcPr>
          <w:p>
            <w:pPr>
              <w:spacing w:line="276" w:lineRule="auto"/>
              <w:jc w:val="center"/>
              <w:rPr>
                <w:rFonts w:ascii="宋体" w:hAnsi="宋体"/>
                <w:b/>
                <w:sz w:val="24"/>
              </w:rPr>
            </w:pPr>
            <w:r>
              <w:rPr>
                <w:rFonts w:hint="eastAsia" w:ascii="宋体" w:hAnsi="宋体"/>
                <w:b/>
                <w:sz w:val="24"/>
                <w:szCs w:val="24"/>
              </w:rPr>
              <w:t>序号</w:t>
            </w:r>
          </w:p>
        </w:tc>
        <w:tc>
          <w:tcPr>
            <w:tcW w:w="1444" w:type="dxa"/>
            <w:vAlign w:val="center"/>
          </w:tcPr>
          <w:p>
            <w:pPr>
              <w:spacing w:line="276" w:lineRule="auto"/>
              <w:jc w:val="center"/>
              <w:rPr>
                <w:rFonts w:ascii="宋体" w:hAnsi="宋体"/>
                <w:b/>
                <w:sz w:val="24"/>
              </w:rPr>
            </w:pPr>
            <w:r>
              <w:rPr>
                <w:rFonts w:hint="eastAsia" w:ascii="宋体" w:hAnsi="宋体"/>
                <w:b/>
                <w:sz w:val="24"/>
                <w:szCs w:val="24"/>
              </w:rPr>
              <w:t>评审内容</w:t>
            </w:r>
          </w:p>
        </w:tc>
        <w:tc>
          <w:tcPr>
            <w:tcW w:w="7466" w:type="dxa"/>
            <w:vAlign w:val="center"/>
          </w:tcPr>
          <w:p>
            <w:pPr>
              <w:spacing w:line="276" w:lineRule="auto"/>
              <w:jc w:val="center"/>
              <w:rPr>
                <w:rFonts w:ascii="宋体" w:hAnsi="宋体"/>
                <w:b/>
                <w:sz w:val="24"/>
              </w:rPr>
            </w:pPr>
            <w:r>
              <w:rPr>
                <w:rFonts w:hint="eastAsia" w:ascii="宋体" w:hAnsi="宋体"/>
                <w:b/>
                <w:sz w:val="24"/>
                <w:szCs w:val="24"/>
              </w:rPr>
              <w:t>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54" w:hRule="atLeast"/>
          <w:jc w:val="center"/>
        </w:trPr>
        <w:tc>
          <w:tcPr>
            <w:tcW w:w="722" w:type="dxa"/>
            <w:vAlign w:val="center"/>
          </w:tcPr>
          <w:p>
            <w:pPr>
              <w:spacing w:line="276" w:lineRule="auto"/>
              <w:jc w:val="center"/>
              <w:rPr>
                <w:rFonts w:ascii="仿宋_GB2312" w:eastAsia="仿宋_GB2312" w:cs="Calibri"/>
                <w:color w:val="000000"/>
                <w:sz w:val="24"/>
                <w:szCs w:val="24"/>
              </w:rPr>
            </w:pPr>
            <w:r>
              <w:rPr>
                <w:rFonts w:hint="eastAsia" w:ascii="仿宋_GB2312" w:eastAsia="仿宋_GB2312" w:cs="Calibri"/>
                <w:color w:val="000000"/>
                <w:sz w:val="24"/>
                <w:szCs w:val="24"/>
              </w:rPr>
              <w:t>1</w:t>
            </w:r>
          </w:p>
        </w:tc>
        <w:tc>
          <w:tcPr>
            <w:tcW w:w="1444" w:type="dxa"/>
            <w:vAlign w:val="center"/>
          </w:tcPr>
          <w:p>
            <w:pPr>
              <w:tabs>
                <w:tab w:val="left" w:pos="0"/>
              </w:tabs>
              <w:autoSpaceDE w:val="0"/>
              <w:autoSpaceDN w:val="0"/>
              <w:adjustRightInd w:val="0"/>
              <w:spacing w:line="276" w:lineRule="auto"/>
              <w:jc w:val="center"/>
              <w:rPr>
                <w:rFonts w:ascii="仿宋_GB2312" w:eastAsia="仿宋_GB2312" w:cs="Calibri"/>
                <w:color w:val="000000"/>
                <w:sz w:val="24"/>
                <w:szCs w:val="24"/>
              </w:rPr>
            </w:pPr>
            <w:r>
              <w:rPr>
                <w:rFonts w:hint="eastAsia" w:ascii="仿宋_GB2312" w:eastAsia="仿宋_GB2312" w:cs="Calibri"/>
                <w:color w:val="000000"/>
                <w:sz w:val="24"/>
                <w:szCs w:val="24"/>
                <w:lang w:eastAsia="zh-CN"/>
              </w:rPr>
              <w:t>类似</w:t>
            </w:r>
            <w:r>
              <w:rPr>
                <w:rFonts w:hint="eastAsia" w:ascii="仿宋_GB2312" w:eastAsia="仿宋_GB2312" w:cs="Calibri"/>
                <w:color w:val="000000"/>
                <w:sz w:val="24"/>
                <w:szCs w:val="24"/>
              </w:rPr>
              <w:t>业绩</w:t>
            </w:r>
          </w:p>
          <w:p>
            <w:pPr>
              <w:tabs>
                <w:tab w:val="left" w:pos="0"/>
              </w:tabs>
              <w:autoSpaceDE w:val="0"/>
              <w:autoSpaceDN w:val="0"/>
              <w:adjustRightInd w:val="0"/>
              <w:spacing w:line="276" w:lineRule="auto"/>
              <w:jc w:val="center"/>
              <w:rPr>
                <w:rFonts w:ascii="仿宋_GB2312" w:eastAsia="仿宋_GB2312" w:cs="Calibri"/>
                <w:color w:val="000000"/>
                <w:sz w:val="24"/>
                <w:szCs w:val="24"/>
              </w:rPr>
            </w:pPr>
            <w:r>
              <w:rPr>
                <w:rFonts w:hint="eastAsia" w:ascii="仿宋_GB2312" w:eastAsia="仿宋_GB2312" w:cs="Calibri"/>
                <w:color w:val="000000"/>
                <w:sz w:val="24"/>
                <w:szCs w:val="24"/>
              </w:rPr>
              <w:t>（1分）</w:t>
            </w:r>
          </w:p>
        </w:tc>
        <w:tc>
          <w:tcPr>
            <w:tcW w:w="7466" w:type="dxa"/>
            <w:vAlign w:val="center"/>
          </w:tcPr>
          <w:p>
            <w:pPr>
              <w:spacing w:line="276" w:lineRule="auto"/>
              <w:rPr>
                <w:rFonts w:ascii="仿宋_GB2312" w:eastAsia="仿宋_GB2312" w:cs="Calibri"/>
                <w:color w:val="000000"/>
                <w:sz w:val="24"/>
                <w:szCs w:val="24"/>
              </w:rPr>
            </w:pPr>
            <w:r>
              <w:rPr>
                <w:rFonts w:hint="eastAsia" w:ascii="仿宋_GB2312" w:eastAsia="仿宋_GB2312" w:cs="Calibri"/>
                <w:color w:val="000000"/>
                <w:sz w:val="24"/>
                <w:szCs w:val="24"/>
              </w:rPr>
              <w:t>供应商自2018年1月1日起（以合同签订时间为准）至投标截止时间止，具有集体土地更新汇交相关项目业绩，每个业绩得0.5分，最高得1分。</w:t>
            </w:r>
          </w:p>
          <w:p>
            <w:pPr>
              <w:spacing w:line="276" w:lineRule="auto"/>
              <w:rPr>
                <w:rFonts w:ascii="仿宋_GB2312" w:eastAsia="仿宋_GB2312" w:cs="Calibri"/>
                <w:b/>
                <w:color w:val="000000"/>
                <w:sz w:val="24"/>
                <w:szCs w:val="24"/>
              </w:rPr>
            </w:pPr>
            <w:r>
              <w:rPr>
                <w:rFonts w:hint="eastAsia" w:ascii="仿宋_GB2312" w:eastAsia="仿宋_GB2312" w:cs="Calibri"/>
                <w:b/>
                <w:color w:val="000000"/>
                <w:sz w:val="24"/>
                <w:szCs w:val="24"/>
              </w:rPr>
              <w:t>注：1.业绩合同扫描件</w:t>
            </w:r>
            <w:r>
              <w:rPr>
                <w:rFonts w:hint="eastAsia" w:ascii="仿宋_GB2312" w:eastAsia="仿宋_GB2312" w:cs="Calibri"/>
                <w:b/>
                <w:color w:val="000000"/>
                <w:sz w:val="24"/>
                <w:szCs w:val="24"/>
                <w:lang w:eastAsia="zh-CN"/>
              </w:rPr>
              <w:t>编</w:t>
            </w:r>
            <w:r>
              <w:rPr>
                <w:rFonts w:hint="eastAsia" w:ascii="仿宋_GB2312" w:eastAsia="仿宋_GB2312" w:cs="Calibri"/>
                <w:b/>
                <w:color w:val="000000"/>
                <w:sz w:val="24"/>
                <w:szCs w:val="24"/>
              </w:rPr>
              <w:t>入</w:t>
            </w:r>
            <w:r>
              <w:rPr>
                <w:rFonts w:hint="eastAsia" w:ascii="仿宋_GB2312" w:eastAsia="仿宋_GB2312" w:cs="Calibri"/>
                <w:b/>
                <w:color w:val="000000"/>
                <w:sz w:val="24"/>
                <w:szCs w:val="24"/>
                <w:lang w:eastAsia="zh-CN"/>
              </w:rPr>
              <w:t>投标</w:t>
            </w:r>
            <w:r>
              <w:rPr>
                <w:rFonts w:hint="eastAsia" w:ascii="仿宋_GB2312" w:eastAsia="仿宋_GB2312" w:cs="Calibri"/>
                <w:b/>
                <w:color w:val="000000"/>
                <w:sz w:val="24"/>
                <w:szCs w:val="24"/>
              </w:rPr>
              <w:t>文件</w:t>
            </w:r>
            <w:r>
              <w:rPr>
                <w:rFonts w:hint="eastAsia" w:ascii="仿宋_GB2312" w:eastAsia="仿宋_GB2312" w:cs="Calibri"/>
                <w:b/>
                <w:color w:val="000000"/>
                <w:sz w:val="24"/>
                <w:szCs w:val="24"/>
                <w:lang w:eastAsia="zh-CN"/>
              </w:rPr>
              <w:t>中</w:t>
            </w:r>
            <w:r>
              <w:rPr>
                <w:rFonts w:hint="eastAsia" w:ascii="仿宋_GB2312" w:eastAsia="仿宋_GB2312" w:cs="Calibri"/>
                <w:b/>
                <w:color w:val="000000"/>
                <w:sz w:val="24"/>
                <w:szCs w:val="24"/>
              </w:rPr>
              <w:t>，否则不得分。</w:t>
            </w:r>
          </w:p>
          <w:p>
            <w:pPr>
              <w:spacing w:line="276" w:lineRule="auto"/>
              <w:rPr>
                <w:rFonts w:ascii="仿宋_GB2312" w:eastAsia="仿宋_GB2312" w:cs="Calibri"/>
                <w:color w:val="000000"/>
                <w:sz w:val="24"/>
                <w:szCs w:val="24"/>
              </w:rPr>
            </w:pPr>
            <w:r>
              <w:rPr>
                <w:rFonts w:hint="eastAsia" w:ascii="仿宋_GB2312" w:eastAsia="仿宋_GB2312" w:cs="Calibri"/>
                <w:b/>
                <w:color w:val="000000"/>
                <w:sz w:val="24"/>
                <w:szCs w:val="24"/>
              </w:rPr>
              <w:t>2.是否属于类似业绩由评委小组根据业绩项目的服务内容、技术特点等与本项目的类似程度进行认定。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7" w:hRule="atLeast"/>
          <w:jc w:val="center"/>
        </w:trPr>
        <w:tc>
          <w:tcPr>
            <w:tcW w:w="722" w:type="dxa"/>
            <w:vAlign w:val="center"/>
          </w:tcPr>
          <w:p>
            <w:pPr>
              <w:spacing w:line="276" w:lineRule="auto"/>
              <w:jc w:val="center"/>
              <w:rPr>
                <w:rFonts w:hint="eastAsia" w:ascii="仿宋_GB2312" w:eastAsia="仿宋_GB2312" w:cs="Calibri"/>
                <w:color w:val="000000"/>
                <w:sz w:val="24"/>
                <w:szCs w:val="24"/>
              </w:rPr>
            </w:pPr>
            <w:r>
              <w:rPr>
                <w:rFonts w:hint="eastAsia" w:ascii="仿宋_GB2312" w:eastAsia="仿宋_GB2312" w:cs="Calibri"/>
                <w:color w:val="000000"/>
                <w:sz w:val="24"/>
                <w:szCs w:val="24"/>
              </w:rPr>
              <w:t>2</w:t>
            </w:r>
          </w:p>
        </w:tc>
        <w:tc>
          <w:tcPr>
            <w:tcW w:w="1444" w:type="dxa"/>
            <w:vAlign w:val="center"/>
          </w:tcPr>
          <w:p>
            <w:pPr>
              <w:tabs>
                <w:tab w:val="left" w:pos="0"/>
              </w:tabs>
              <w:autoSpaceDE w:val="0"/>
              <w:autoSpaceDN w:val="0"/>
              <w:adjustRightInd w:val="0"/>
              <w:spacing w:line="276" w:lineRule="auto"/>
              <w:rPr>
                <w:rFonts w:ascii="仿宋_GB2312" w:eastAsia="仿宋_GB2312" w:cs="Calibri"/>
                <w:color w:val="000000"/>
                <w:sz w:val="24"/>
                <w:szCs w:val="24"/>
              </w:rPr>
            </w:pPr>
            <w:r>
              <w:rPr>
                <w:rFonts w:hint="eastAsia" w:ascii="仿宋_GB2312" w:eastAsia="仿宋_GB2312" w:cs="Calibri"/>
                <w:color w:val="000000"/>
                <w:sz w:val="24"/>
                <w:szCs w:val="24"/>
              </w:rPr>
              <w:t>相关资质</w:t>
            </w:r>
          </w:p>
          <w:p>
            <w:pPr>
              <w:tabs>
                <w:tab w:val="left" w:pos="0"/>
              </w:tabs>
              <w:autoSpaceDE w:val="0"/>
              <w:autoSpaceDN w:val="0"/>
              <w:adjustRightInd w:val="0"/>
              <w:spacing w:line="276" w:lineRule="auto"/>
              <w:rPr>
                <w:rFonts w:ascii="仿宋_GB2312" w:eastAsia="仿宋_GB2312" w:cs="Calibri"/>
                <w:color w:val="000000"/>
                <w:sz w:val="24"/>
                <w:szCs w:val="24"/>
              </w:rPr>
            </w:pPr>
            <w:r>
              <w:rPr>
                <w:rFonts w:ascii="仿宋_GB2312" w:eastAsia="仿宋_GB2312" w:cs="Calibri"/>
                <w:color w:val="000000"/>
                <w:sz w:val="24"/>
                <w:szCs w:val="24"/>
              </w:rPr>
              <w:t>（</w:t>
            </w:r>
            <w:r>
              <w:rPr>
                <w:rFonts w:hint="eastAsia" w:ascii="仿宋_GB2312" w:eastAsia="仿宋_GB2312" w:cs="Calibri"/>
                <w:color w:val="000000"/>
                <w:sz w:val="24"/>
                <w:szCs w:val="24"/>
              </w:rPr>
              <w:t>2</w:t>
            </w:r>
            <w:r>
              <w:rPr>
                <w:rFonts w:ascii="仿宋_GB2312" w:eastAsia="仿宋_GB2312" w:cs="Calibri"/>
                <w:color w:val="000000"/>
                <w:sz w:val="24"/>
                <w:szCs w:val="24"/>
              </w:rPr>
              <w:t>分）</w:t>
            </w:r>
          </w:p>
        </w:tc>
        <w:tc>
          <w:tcPr>
            <w:tcW w:w="7466" w:type="dxa"/>
            <w:vAlign w:val="center"/>
          </w:tcPr>
          <w:p>
            <w:pPr>
              <w:spacing w:line="276" w:lineRule="auto"/>
              <w:rPr>
                <w:rFonts w:ascii="仿宋_GB2312" w:eastAsia="仿宋_GB2312" w:cs="Calibri"/>
                <w:color w:val="000000"/>
                <w:sz w:val="24"/>
                <w:szCs w:val="24"/>
              </w:rPr>
            </w:pPr>
            <w:r>
              <w:rPr>
                <w:rFonts w:hint="eastAsia" w:ascii="仿宋_GB2312" w:eastAsia="仿宋_GB2312" w:cs="Calibri"/>
                <w:color w:val="000000"/>
                <w:sz w:val="24"/>
                <w:szCs w:val="24"/>
              </w:rPr>
              <w:t>供应商具有有效的浙江省不动产调查登记代理甲级资质证书或CMA检验检测机构资质认定证书的得2分。</w:t>
            </w:r>
          </w:p>
          <w:p>
            <w:pPr>
              <w:spacing w:line="276" w:lineRule="auto"/>
              <w:rPr>
                <w:rFonts w:ascii="宋体" w:hAnsi="宋体"/>
                <w:color w:val="000000"/>
                <w:sz w:val="24"/>
              </w:rPr>
            </w:pPr>
            <w:r>
              <w:rPr>
                <w:rFonts w:hint="eastAsia" w:ascii="仿宋_GB2312" w:eastAsia="仿宋_GB2312" w:cs="Calibri"/>
                <w:b/>
                <w:color w:val="000000"/>
                <w:sz w:val="24"/>
                <w:szCs w:val="24"/>
              </w:rPr>
              <w:t>注：有效证书扫描件</w:t>
            </w:r>
            <w:r>
              <w:rPr>
                <w:rFonts w:hint="eastAsia" w:ascii="仿宋_GB2312" w:eastAsia="仿宋_GB2312" w:cs="Calibri"/>
                <w:b/>
                <w:color w:val="000000"/>
                <w:sz w:val="24"/>
                <w:szCs w:val="24"/>
                <w:lang w:eastAsia="zh-CN"/>
              </w:rPr>
              <w:t>编</w:t>
            </w:r>
            <w:r>
              <w:rPr>
                <w:rFonts w:hint="eastAsia" w:ascii="仿宋_GB2312" w:eastAsia="仿宋_GB2312" w:cs="Calibri"/>
                <w:b/>
                <w:color w:val="000000"/>
                <w:sz w:val="24"/>
                <w:szCs w:val="24"/>
              </w:rPr>
              <w:t>入</w:t>
            </w:r>
            <w:r>
              <w:rPr>
                <w:rFonts w:hint="eastAsia" w:ascii="仿宋_GB2312" w:eastAsia="仿宋_GB2312" w:cs="Calibri"/>
                <w:b/>
                <w:color w:val="000000"/>
                <w:sz w:val="24"/>
                <w:szCs w:val="24"/>
                <w:lang w:eastAsia="zh-CN"/>
              </w:rPr>
              <w:t>投标</w:t>
            </w:r>
            <w:r>
              <w:rPr>
                <w:rFonts w:hint="eastAsia" w:ascii="仿宋_GB2312" w:eastAsia="仿宋_GB2312" w:cs="Calibri"/>
                <w:b/>
                <w:color w:val="000000"/>
                <w:sz w:val="24"/>
                <w:szCs w:val="24"/>
              </w:rPr>
              <w:t>文件</w:t>
            </w:r>
            <w:r>
              <w:rPr>
                <w:rFonts w:hint="eastAsia" w:ascii="仿宋_GB2312" w:eastAsia="仿宋_GB2312" w:cs="Calibri"/>
                <w:b/>
                <w:color w:val="000000"/>
                <w:sz w:val="24"/>
                <w:szCs w:val="24"/>
                <w:lang w:eastAsia="zh-CN"/>
              </w:rPr>
              <w:t>中</w:t>
            </w:r>
            <w:r>
              <w:rPr>
                <w:rFonts w:hint="eastAsia" w:ascii="仿宋_GB2312" w:eastAsia="仿宋_GB2312" w:cs="Calibri"/>
                <w:b/>
                <w:color w:val="000000"/>
                <w:sz w:val="24"/>
                <w:szCs w:val="24"/>
              </w:rPr>
              <w:t>，否则不得分。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91" w:hRule="atLeast"/>
          <w:jc w:val="center"/>
        </w:trPr>
        <w:tc>
          <w:tcPr>
            <w:tcW w:w="722" w:type="dxa"/>
            <w:vAlign w:val="center"/>
          </w:tcPr>
          <w:p>
            <w:pPr>
              <w:spacing w:line="276" w:lineRule="auto"/>
              <w:jc w:val="center"/>
              <w:rPr>
                <w:rFonts w:hint="eastAsia" w:ascii="仿宋_GB2312" w:eastAsia="仿宋_GB2312" w:cs="Calibri"/>
                <w:color w:val="000000"/>
                <w:sz w:val="24"/>
                <w:szCs w:val="24"/>
              </w:rPr>
            </w:pPr>
            <w:r>
              <w:rPr>
                <w:rFonts w:hint="eastAsia" w:ascii="仿宋_GB2312" w:eastAsia="仿宋_GB2312" w:cs="Calibri"/>
                <w:color w:val="000000"/>
                <w:sz w:val="24"/>
                <w:szCs w:val="24"/>
              </w:rPr>
              <w:t>3</w:t>
            </w:r>
          </w:p>
        </w:tc>
        <w:tc>
          <w:tcPr>
            <w:tcW w:w="1444" w:type="dxa"/>
            <w:vAlign w:val="center"/>
          </w:tcPr>
          <w:p>
            <w:pPr>
              <w:tabs>
                <w:tab w:val="left" w:pos="0"/>
              </w:tabs>
              <w:autoSpaceDE w:val="0"/>
              <w:autoSpaceDN w:val="0"/>
              <w:adjustRightInd w:val="0"/>
              <w:spacing w:line="276" w:lineRule="auto"/>
              <w:rPr>
                <w:rFonts w:ascii="仿宋_GB2312" w:eastAsia="仿宋_GB2312" w:cs="Calibri"/>
                <w:color w:val="000000"/>
                <w:sz w:val="24"/>
                <w:szCs w:val="24"/>
              </w:rPr>
            </w:pPr>
            <w:r>
              <w:rPr>
                <w:rFonts w:hint="eastAsia" w:ascii="仿宋_GB2312" w:eastAsia="仿宋_GB2312" w:cs="Calibri"/>
                <w:color w:val="000000"/>
                <w:sz w:val="24"/>
                <w:szCs w:val="24"/>
              </w:rPr>
              <w:t>认证证书</w:t>
            </w:r>
          </w:p>
          <w:p>
            <w:pPr>
              <w:tabs>
                <w:tab w:val="left" w:pos="0"/>
              </w:tabs>
              <w:autoSpaceDE w:val="0"/>
              <w:autoSpaceDN w:val="0"/>
              <w:adjustRightInd w:val="0"/>
              <w:spacing w:line="276" w:lineRule="auto"/>
              <w:rPr>
                <w:rFonts w:ascii="仿宋_GB2312" w:eastAsia="仿宋_GB2312" w:cs="Calibri"/>
                <w:color w:val="000000"/>
                <w:sz w:val="24"/>
                <w:szCs w:val="24"/>
              </w:rPr>
            </w:pPr>
            <w:r>
              <w:rPr>
                <w:rFonts w:hint="eastAsia" w:ascii="仿宋_GB2312" w:eastAsia="仿宋_GB2312" w:cs="Calibri"/>
                <w:color w:val="000000"/>
                <w:sz w:val="24"/>
                <w:szCs w:val="24"/>
              </w:rPr>
              <w:t>（</w:t>
            </w:r>
            <w:r>
              <w:rPr>
                <w:rFonts w:hint="eastAsia" w:ascii="仿宋_GB2312" w:eastAsia="仿宋_GB2312" w:cs="Calibri"/>
                <w:color w:val="000000"/>
                <w:sz w:val="24"/>
                <w:szCs w:val="24"/>
                <w:lang w:val="en-US" w:eastAsia="zh-CN"/>
              </w:rPr>
              <w:t>3</w:t>
            </w:r>
            <w:r>
              <w:rPr>
                <w:rFonts w:hint="eastAsia" w:ascii="仿宋_GB2312" w:eastAsia="仿宋_GB2312" w:cs="Calibri"/>
                <w:color w:val="000000"/>
                <w:sz w:val="24"/>
                <w:szCs w:val="24"/>
              </w:rPr>
              <w:t>分）</w:t>
            </w:r>
          </w:p>
        </w:tc>
        <w:tc>
          <w:tcPr>
            <w:tcW w:w="7466" w:type="dxa"/>
            <w:vAlign w:val="center"/>
          </w:tcPr>
          <w:p>
            <w:pPr>
              <w:spacing w:line="276" w:lineRule="auto"/>
              <w:rPr>
                <w:rFonts w:ascii="仿宋_GB2312" w:eastAsia="仿宋_GB2312" w:cs="Calibri"/>
                <w:color w:val="000000"/>
                <w:sz w:val="24"/>
                <w:szCs w:val="24"/>
              </w:rPr>
            </w:pPr>
            <w:r>
              <w:rPr>
                <w:rFonts w:hint="eastAsia" w:ascii="仿宋_GB2312" w:eastAsia="仿宋_GB2312" w:cs="Calibri"/>
                <w:color w:val="000000"/>
                <w:sz w:val="24"/>
                <w:szCs w:val="24"/>
              </w:rPr>
              <w:t>供应商具有有效的质量管理体系认证，职业健康安全管理体系认证，信息安全管理体系认证，信息技术服务管理体系认证，知识产权管理体系认证，五星售后服务体系认证等证书的，每项得0.5分，最高得</w:t>
            </w:r>
            <w:r>
              <w:rPr>
                <w:rFonts w:hint="eastAsia" w:ascii="仿宋_GB2312" w:eastAsia="仿宋_GB2312" w:cs="Calibri"/>
                <w:color w:val="000000"/>
                <w:sz w:val="24"/>
                <w:szCs w:val="24"/>
                <w:lang w:val="en-US" w:eastAsia="zh-CN"/>
              </w:rPr>
              <w:t>3</w:t>
            </w:r>
            <w:r>
              <w:rPr>
                <w:rFonts w:hint="eastAsia" w:ascii="仿宋_GB2312" w:eastAsia="仿宋_GB2312" w:cs="Calibri"/>
                <w:color w:val="000000"/>
                <w:sz w:val="24"/>
                <w:szCs w:val="24"/>
              </w:rPr>
              <w:t>分；</w:t>
            </w:r>
          </w:p>
          <w:p>
            <w:pPr>
              <w:spacing w:line="276" w:lineRule="auto"/>
              <w:rPr>
                <w:rFonts w:ascii="仿宋_GB2312" w:eastAsia="仿宋_GB2312" w:cs="Calibri"/>
                <w:color w:val="000000"/>
                <w:sz w:val="24"/>
                <w:szCs w:val="24"/>
              </w:rPr>
            </w:pPr>
            <w:r>
              <w:rPr>
                <w:rFonts w:hint="eastAsia" w:ascii="仿宋_GB2312" w:eastAsia="仿宋_GB2312" w:cs="Calibri"/>
                <w:b/>
                <w:color w:val="000000"/>
                <w:sz w:val="24"/>
                <w:szCs w:val="24"/>
              </w:rPr>
              <w:t>注：有效证书扫描件</w:t>
            </w:r>
            <w:r>
              <w:rPr>
                <w:rFonts w:hint="eastAsia" w:ascii="仿宋_GB2312" w:eastAsia="仿宋_GB2312" w:cs="Calibri"/>
                <w:b/>
                <w:color w:val="000000"/>
                <w:sz w:val="24"/>
                <w:szCs w:val="24"/>
                <w:lang w:eastAsia="zh-CN"/>
              </w:rPr>
              <w:t>编</w:t>
            </w:r>
            <w:r>
              <w:rPr>
                <w:rFonts w:hint="eastAsia" w:ascii="仿宋_GB2312" w:eastAsia="仿宋_GB2312" w:cs="Calibri"/>
                <w:b/>
                <w:color w:val="000000"/>
                <w:sz w:val="24"/>
                <w:szCs w:val="24"/>
              </w:rPr>
              <w:t>入</w:t>
            </w:r>
            <w:r>
              <w:rPr>
                <w:rFonts w:hint="eastAsia" w:ascii="仿宋_GB2312" w:eastAsia="仿宋_GB2312" w:cs="Calibri"/>
                <w:b/>
                <w:color w:val="000000"/>
                <w:sz w:val="24"/>
                <w:szCs w:val="24"/>
                <w:lang w:eastAsia="zh-CN"/>
              </w:rPr>
              <w:t>投标</w:t>
            </w:r>
            <w:r>
              <w:rPr>
                <w:rFonts w:hint="eastAsia" w:ascii="仿宋_GB2312" w:eastAsia="仿宋_GB2312" w:cs="Calibri"/>
                <w:b/>
                <w:color w:val="000000"/>
                <w:sz w:val="24"/>
                <w:szCs w:val="24"/>
              </w:rPr>
              <w:t>文件</w:t>
            </w:r>
            <w:r>
              <w:rPr>
                <w:rFonts w:hint="eastAsia" w:ascii="仿宋_GB2312" w:eastAsia="仿宋_GB2312" w:cs="Calibri"/>
                <w:b/>
                <w:color w:val="000000"/>
                <w:sz w:val="24"/>
                <w:szCs w:val="24"/>
                <w:lang w:eastAsia="zh-CN"/>
              </w:rPr>
              <w:t>中</w:t>
            </w:r>
            <w:r>
              <w:rPr>
                <w:rFonts w:hint="eastAsia" w:ascii="仿宋_GB2312" w:eastAsia="仿宋_GB2312" w:cs="Calibri"/>
                <w:b/>
                <w:color w:val="000000"/>
                <w:sz w:val="24"/>
                <w:szCs w:val="24"/>
              </w:rPr>
              <w:t>，否则不得分。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80" w:hRule="atLeast"/>
          <w:jc w:val="center"/>
        </w:trPr>
        <w:tc>
          <w:tcPr>
            <w:tcW w:w="722" w:type="dxa"/>
            <w:vAlign w:val="center"/>
          </w:tcPr>
          <w:p>
            <w:pPr>
              <w:spacing w:line="276" w:lineRule="auto"/>
              <w:jc w:val="center"/>
              <w:rPr>
                <w:rFonts w:hint="eastAsia" w:ascii="仿宋_GB2312" w:eastAsia="仿宋_GB2312" w:cs="Calibri"/>
                <w:color w:val="000000"/>
                <w:sz w:val="24"/>
                <w:szCs w:val="24"/>
              </w:rPr>
            </w:pPr>
            <w:r>
              <w:rPr>
                <w:rFonts w:hint="eastAsia" w:ascii="仿宋_GB2312" w:eastAsia="仿宋_GB2312" w:cs="Calibri"/>
                <w:color w:val="000000"/>
                <w:sz w:val="24"/>
                <w:szCs w:val="24"/>
              </w:rPr>
              <w:t>4</w:t>
            </w:r>
          </w:p>
        </w:tc>
        <w:tc>
          <w:tcPr>
            <w:tcW w:w="1444" w:type="dxa"/>
            <w:vAlign w:val="center"/>
          </w:tcPr>
          <w:p>
            <w:pPr>
              <w:tabs>
                <w:tab w:val="left" w:pos="0"/>
              </w:tabs>
              <w:autoSpaceDE w:val="0"/>
              <w:autoSpaceDN w:val="0"/>
              <w:adjustRightInd w:val="0"/>
              <w:spacing w:line="276" w:lineRule="auto"/>
              <w:rPr>
                <w:rFonts w:ascii="仿宋_GB2312" w:eastAsia="仿宋_GB2312" w:cs="Calibri"/>
                <w:color w:val="000000"/>
                <w:sz w:val="24"/>
                <w:szCs w:val="24"/>
              </w:rPr>
            </w:pPr>
            <w:r>
              <w:rPr>
                <w:rFonts w:hint="eastAsia" w:ascii="仿宋_GB2312" w:eastAsia="仿宋_GB2312" w:cs="Calibri"/>
                <w:color w:val="000000"/>
                <w:sz w:val="24"/>
                <w:szCs w:val="24"/>
              </w:rPr>
              <w:t>技术实力（5分）</w:t>
            </w:r>
          </w:p>
        </w:tc>
        <w:tc>
          <w:tcPr>
            <w:tcW w:w="7466" w:type="dxa"/>
            <w:vAlign w:val="center"/>
          </w:tcPr>
          <w:p>
            <w:pPr>
              <w:spacing w:line="276" w:lineRule="auto"/>
              <w:rPr>
                <w:rFonts w:hint="eastAsia" w:ascii="仿宋_GB2312" w:eastAsia="仿宋_GB2312" w:cs="Calibri"/>
                <w:color w:val="000000"/>
                <w:sz w:val="24"/>
                <w:szCs w:val="24"/>
              </w:rPr>
            </w:pPr>
            <w:r>
              <w:rPr>
                <w:rFonts w:hint="eastAsia" w:ascii="仿宋_GB2312" w:eastAsia="仿宋_GB2312" w:cs="Calibri"/>
                <w:color w:val="000000"/>
                <w:sz w:val="24"/>
                <w:szCs w:val="24"/>
              </w:rPr>
              <w:t>供应商2018年1月1日以来主持编制测绘地理信息类国家标准每项得1分，主持编制省级地方标准的每个得0.5分，本项最高得5分（须提供技术标准发布文件，不提供不得分）；</w:t>
            </w:r>
          </w:p>
          <w:p>
            <w:pPr>
              <w:spacing w:line="276" w:lineRule="auto"/>
              <w:rPr>
                <w:rFonts w:ascii="仿宋_GB2312" w:eastAsia="仿宋_GB2312" w:cs="Calibri"/>
                <w:b/>
                <w:color w:val="000000"/>
                <w:sz w:val="24"/>
                <w:szCs w:val="24"/>
              </w:rPr>
            </w:pPr>
            <w:r>
              <w:rPr>
                <w:rFonts w:hint="eastAsia" w:ascii="仿宋_GB2312" w:eastAsia="仿宋_GB2312" w:cs="Calibri"/>
                <w:b/>
                <w:color w:val="000000"/>
                <w:sz w:val="24"/>
                <w:szCs w:val="24"/>
              </w:rPr>
              <w:t>注：主持编制指排名第一的参与编制单位。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0" w:hRule="atLeast"/>
          <w:jc w:val="center"/>
        </w:trPr>
        <w:tc>
          <w:tcPr>
            <w:tcW w:w="722" w:type="dxa"/>
            <w:vAlign w:val="center"/>
          </w:tcPr>
          <w:p>
            <w:pPr>
              <w:jc w:val="center"/>
              <w:rPr>
                <w:rFonts w:hint="eastAsia" w:ascii="仿宋_GB2312" w:eastAsia="仿宋_GB2312" w:cs="Calibri"/>
                <w:color w:val="000000"/>
                <w:sz w:val="24"/>
                <w:szCs w:val="24"/>
              </w:rPr>
            </w:pPr>
            <w:r>
              <w:rPr>
                <w:rFonts w:hint="eastAsia" w:ascii="仿宋_GB2312" w:eastAsia="仿宋_GB2312" w:cs="Calibri"/>
                <w:color w:val="000000"/>
                <w:sz w:val="24"/>
                <w:szCs w:val="24"/>
              </w:rPr>
              <w:t>5</w:t>
            </w:r>
          </w:p>
        </w:tc>
        <w:tc>
          <w:tcPr>
            <w:tcW w:w="1444" w:type="dxa"/>
            <w:vAlign w:val="center"/>
          </w:tcPr>
          <w:p>
            <w:pPr>
              <w:spacing w:line="276" w:lineRule="auto"/>
              <w:jc w:val="center"/>
              <w:rPr>
                <w:rFonts w:hint="eastAsia" w:ascii="仿宋_GB2312" w:eastAsia="仿宋_GB2312" w:cs="Calibri"/>
                <w:color w:val="000000"/>
                <w:sz w:val="24"/>
                <w:szCs w:val="24"/>
              </w:rPr>
            </w:pPr>
            <w:r>
              <w:rPr>
                <w:rFonts w:hint="eastAsia" w:ascii="仿宋_GB2312" w:eastAsia="仿宋_GB2312" w:cs="Calibri"/>
                <w:color w:val="000000"/>
                <w:sz w:val="24"/>
                <w:szCs w:val="24"/>
              </w:rPr>
              <w:t>项目的理解分析（4分）</w:t>
            </w:r>
          </w:p>
        </w:tc>
        <w:tc>
          <w:tcPr>
            <w:tcW w:w="7466" w:type="dxa"/>
            <w:vAlign w:val="center"/>
          </w:tcPr>
          <w:p>
            <w:pPr>
              <w:rPr>
                <w:rFonts w:hint="eastAsia" w:ascii="仿宋_GB2312" w:eastAsia="仿宋_GB2312" w:cs="Calibri"/>
                <w:color w:val="000000"/>
                <w:sz w:val="24"/>
                <w:szCs w:val="24"/>
              </w:rPr>
            </w:pPr>
            <w:r>
              <w:rPr>
                <w:rFonts w:hint="eastAsia" w:ascii="仿宋_GB2312" w:eastAsia="仿宋_GB2312" w:cs="Calibri"/>
                <w:color w:val="000000"/>
                <w:sz w:val="24"/>
                <w:szCs w:val="24"/>
                <w:lang w:val="en-US" w:eastAsia="zh-CN"/>
              </w:rPr>
              <w:t>1.</w:t>
            </w:r>
            <w:r>
              <w:rPr>
                <w:rFonts w:hint="eastAsia" w:ascii="仿宋_GB2312" w:eastAsia="仿宋_GB2312" w:cs="Calibri"/>
                <w:color w:val="000000"/>
                <w:sz w:val="24"/>
                <w:szCs w:val="24"/>
              </w:rPr>
              <w:t>根据供应商对采购需求分析得准确性和清晰性由评委打分（0-2分）；</w:t>
            </w:r>
          </w:p>
          <w:p>
            <w:pPr>
              <w:rPr>
                <w:rFonts w:hint="eastAsia" w:ascii="仿宋_GB2312" w:eastAsia="仿宋_GB2312" w:cs="Calibri"/>
                <w:b/>
                <w:color w:val="000000"/>
                <w:sz w:val="24"/>
                <w:szCs w:val="24"/>
              </w:rPr>
            </w:pPr>
            <w:r>
              <w:rPr>
                <w:rFonts w:hint="eastAsia" w:ascii="仿宋_GB2312" w:eastAsia="仿宋_GB2312" w:cs="Calibri"/>
                <w:color w:val="000000"/>
                <w:sz w:val="24"/>
                <w:szCs w:val="24"/>
                <w:lang w:val="en-US" w:eastAsia="zh-CN"/>
              </w:rPr>
              <w:t>2.</w:t>
            </w:r>
            <w:r>
              <w:rPr>
                <w:rFonts w:hint="eastAsia" w:ascii="仿宋_GB2312" w:eastAsia="仿宋_GB2312" w:cs="Calibri"/>
                <w:color w:val="000000"/>
                <w:sz w:val="24"/>
                <w:szCs w:val="24"/>
              </w:rPr>
              <w:t>根据供应商对项目的现状和区域特征分析理解定位的准确程度由评委打分（0-2分）。</w:t>
            </w:r>
          </w:p>
        </w:tc>
      </w:tr>
    </w:tbl>
    <w:p>
      <w:pPr>
        <w:spacing w:line="360" w:lineRule="auto"/>
        <w:jc w:val="left"/>
        <w:rPr>
          <w:rFonts w:ascii="宋体" w:hAnsi="宋体"/>
          <w:b/>
          <w:sz w:val="24"/>
        </w:rPr>
      </w:pPr>
    </w:p>
    <w:tbl>
      <w:tblPr>
        <w:tblStyle w:val="26"/>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25"/>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6</w:t>
            </w:r>
          </w:p>
        </w:tc>
        <w:tc>
          <w:tcPr>
            <w:tcW w:w="1525" w:type="dxa"/>
            <w:vMerge w:val="restart"/>
            <w:vAlign w:val="center"/>
          </w:tcPr>
          <w:p>
            <w:pPr>
              <w:autoSpaceDE w:val="0"/>
              <w:autoSpaceDN w:val="0"/>
              <w:adjustRightInd w:val="0"/>
              <w:snapToGrid w:val="0"/>
              <w:ind w:right="71"/>
              <w:jc w:val="center"/>
              <w:rPr>
                <w:rFonts w:ascii="仿宋_GB2312" w:eastAsia="仿宋_GB2312" w:cs="Calibri"/>
                <w:color w:val="000000"/>
                <w:sz w:val="24"/>
                <w:szCs w:val="24"/>
              </w:rPr>
            </w:pPr>
            <w:r>
              <w:rPr>
                <w:rFonts w:hint="eastAsia" w:ascii="仿宋_GB2312" w:eastAsia="仿宋_GB2312" w:cs="Calibri"/>
                <w:color w:val="000000"/>
                <w:sz w:val="24"/>
                <w:szCs w:val="24"/>
              </w:rPr>
              <w:t>实施方案</w:t>
            </w:r>
          </w:p>
          <w:p>
            <w:pPr>
              <w:autoSpaceDE w:val="0"/>
              <w:autoSpaceDN w:val="0"/>
              <w:adjustRightInd w:val="0"/>
              <w:snapToGrid w:val="0"/>
              <w:ind w:right="71"/>
              <w:jc w:val="center"/>
              <w:rPr>
                <w:rFonts w:ascii="仿宋_GB2312" w:eastAsia="仿宋_GB2312" w:cs="Calibri"/>
                <w:color w:val="000000"/>
                <w:sz w:val="24"/>
                <w:szCs w:val="24"/>
              </w:rPr>
            </w:pPr>
            <w:r>
              <w:rPr>
                <w:rFonts w:hint="eastAsia" w:ascii="仿宋_GB2312" w:eastAsia="仿宋_GB2312" w:cs="Calibri"/>
                <w:color w:val="000000"/>
                <w:sz w:val="24"/>
                <w:szCs w:val="24"/>
              </w:rPr>
              <w:t>（</w:t>
            </w:r>
            <w:r>
              <w:rPr>
                <w:rFonts w:hint="eastAsia" w:ascii="仿宋_GB2312" w:eastAsia="仿宋_GB2312" w:cs="Calibri"/>
                <w:color w:val="000000"/>
                <w:sz w:val="24"/>
                <w:szCs w:val="24"/>
                <w:lang w:val="en-US" w:eastAsia="zh-CN"/>
              </w:rPr>
              <w:t>28</w:t>
            </w:r>
            <w:r>
              <w:rPr>
                <w:rFonts w:hint="eastAsia" w:ascii="仿宋_GB2312" w:eastAsia="仿宋_GB2312" w:cs="Calibri"/>
                <w:color w:val="000000"/>
                <w:sz w:val="24"/>
                <w:szCs w:val="24"/>
              </w:rPr>
              <w:t>分）</w:t>
            </w:r>
          </w:p>
        </w:tc>
        <w:tc>
          <w:tcPr>
            <w:tcW w:w="7229" w:type="dxa"/>
            <w:vAlign w:val="center"/>
          </w:tcPr>
          <w:p>
            <w:pPr>
              <w:rPr>
                <w:rFonts w:ascii="仿宋_GB2312" w:eastAsia="仿宋_GB2312" w:cs="Calibri"/>
                <w:color w:val="000000"/>
                <w:sz w:val="24"/>
                <w:szCs w:val="24"/>
              </w:rPr>
            </w:pPr>
            <w:r>
              <w:rPr>
                <w:rFonts w:hint="eastAsia" w:ascii="仿宋_GB2312" w:eastAsia="仿宋_GB2312" w:cs="Calibri"/>
                <w:color w:val="000000"/>
                <w:sz w:val="24"/>
                <w:szCs w:val="24"/>
              </w:rPr>
              <w:t>供应商针对本项目提供的数据收集分析、转换方案由评委根据方案描述完整、可行、有针对性进行打分。（0-</w:t>
            </w:r>
            <w:r>
              <w:rPr>
                <w:rFonts w:hint="eastAsia" w:ascii="仿宋_GB2312" w:eastAsia="仿宋_GB2312" w:cs="Calibri"/>
                <w:color w:val="000000"/>
                <w:sz w:val="24"/>
                <w:szCs w:val="24"/>
                <w:lang w:val="en-US" w:eastAsia="zh-CN"/>
              </w:rPr>
              <w:t>7</w:t>
            </w:r>
            <w:r>
              <w:rPr>
                <w:rFonts w:hint="eastAsia" w:ascii="仿宋_GB2312" w:eastAsia="仿宋_GB2312" w:cs="Calibri"/>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仿宋_GB2312" w:eastAsia="仿宋_GB2312" w:cs="Calibri"/>
                <w:color w:val="000000"/>
                <w:sz w:val="24"/>
                <w:szCs w:val="24"/>
              </w:rPr>
            </w:pPr>
          </w:p>
        </w:tc>
        <w:tc>
          <w:tcPr>
            <w:tcW w:w="1525" w:type="dxa"/>
            <w:vMerge w:val="continue"/>
            <w:vAlign w:val="center"/>
          </w:tcPr>
          <w:p>
            <w:pPr>
              <w:autoSpaceDE w:val="0"/>
              <w:autoSpaceDN w:val="0"/>
              <w:adjustRightInd w:val="0"/>
              <w:snapToGrid w:val="0"/>
              <w:ind w:right="71"/>
              <w:jc w:val="center"/>
              <w:rPr>
                <w:rFonts w:ascii="仿宋_GB2312" w:eastAsia="仿宋_GB2312" w:cs="Calibri"/>
                <w:color w:val="000000"/>
                <w:sz w:val="24"/>
                <w:szCs w:val="24"/>
              </w:rPr>
            </w:pPr>
          </w:p>
        </w:tc>
        <w:tc>
          <w:tcPr>
            <w:tcW w:w="7229" w:type="dxa"/>
            <w:vAlign w:val="center"/>
          </w:tcPr>
          <w:p>
            <w:pPr>
              <w:rPr>
                <w:rFonts w:ascii="仿宋_GB2312" w:eastAsia="仿宋_GB2312" w:cs="Calibri"/>
                <w:color w:val="000000"/>
                <w:sz w:val="24"/>
                <w:szCs w:val="24"/>
              </w:rPr>
            </w:pPr>
            <w:r>
              <w:rPr>
                <w:rFonts w:hint="eastAsia" w:ascii="仿宋_GB2312" w:eastAsia="仿宋_GB2312" w:cs="Calibri"/>
                <w:color w:val="000000"/>
                <w:sz w:val="24"/>
                <w:szCs w:val="24"/>
              </w:rPr>
              <w:t>供应商提供的农村集体土地所有权确权登记成果调查更新方案由评委根据方案描述完整、可行、有针对性进行打分。（0-</w:t>
            </w:r>
            <w:r>
              <w:rPr>
                <w:rFonts w:hint="eastAsia" w:ascii="仿宋_GB2312" w:eastAsia="仿宋_GB2312" w:cs="Calibri"/>
                <w:color w:val="000000"/>
                <w:sz w:val="24"/>
                <w:szCs w:val="24"/>
                <w:lang w:val="en-US" w:eastAsia="zh-CN"/>
              </w:rPr>
              <w:t>7</w:t>
            </w:r>
            <w:r>
              <w:rPr>
                <w:rFonts w:hint="eastAsia" w:ascii="仿宋_GB2312" w:eastAsia="仿宋_GB2312" w:cs="Calibri"/>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仿宋_GB2312" w:eastAsia="仿宋_GB2312" w:cs="Calibri"/>
                <w:color w:val="000000"/>
                <w:sz w:val="24"/>
                <w:szCs w:val="24"/>
              </w:rPr>
            </w:pPr>
          </w:p>
        </w:tc>
        <w:tc>
          <w:tcPr>
            <w:tcW w:w="1525" w:type="dxa"/>
            <w:vMerge w:val="continue"/>
            <w:vAlign w:val="center"/>
          </w:tcPr>
          <w:p>
            <w:pPr>
              <w:autoSpaceDE w:val="0"/>
              <w:autoSpaceDN w:val="0"/>
              <w:adjustRightInd w:val="0"/>
              <w:snapToGrid w:val="0"/>
              <w:ind w:right="71"/>
              <w:jc w:val="center"/>
              <w:rPr>
                <w:rFonts w:ascii="仿宋_GB2312" w:eastAsia="仿宋_GB2312" w:cs="Calibri"/>
                <w:color w:val="000000"/>
                <w:sz w:val="24"/>
                <w:szCs w:val="24"/>
              </w:rPr>
            </w:pPr>
          </w:p>
        </w:tc>
        <w:tc>
          <w:tcPr>
            <w:tcW w:w="7229" w:type="dxa"/>
            <w:vAlign w:val="center"/>
          </w:tcPr>
          <w:p>
            <w:pPr>
              <w:rPr>
                <w:rFonts w:ascii="仿宋_GB2312" w:eastAsia="仿宋_GB2312" w:cs="Calibri"/>
                <w:color w:val="000000"/>
                <w:sz w:val="24"/>
                <w:szCs w:val="24"/>
              </w:rPr>
            </w:pPr>
            <w:r>
              <w:rPr>
                <w:rFonts w:hint="eastAsia" w:ascii="仿宋_GB2312" w:eastAsia="仿宋_GB2312" w:cs="Calibri"/>
                <w:color w:val="000000"/>
                <w:sz w:val="24"/>
                <w:szCs w:val="24"/>
              </w:rPr>
              <w:t>供应商针对本项目提供的数据整合关联、入库方案由评委根据方案描述完整、可行、有针对性进行打分。（0-</w:t>
            </w:r>
            <w:r>
              <w:rPr>
                <w:rFonts w:hint="eastAsia" w:ascii="仿宋_GB2312" w:eastAsia="仿宋_GB2312" w:cs="Calibri"/>
                <w:color w:val="000000"/>
                <w:sz w:val="24"/>
                <w:szCs w:val="24"/>
                <w:lang w:val="en-US" w:eastAsia="zh-CN"/>
              </w:rPr>
              <w:t>7</w:t>
            </w:r>
            <w:r>
              <w:rPr>
                <w:rFonts w:hint="eastAsia" w:ascii="仿宋_GB2312" w:eastAsia="仿宋_GB2312" w:cs="Calibri"/>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仿宋_GB2312" w:eastAsia="仿宋_GB2312" w:cs="Calibri"/>
                <w:color w:val="000000"/>
                <w:sz w:val="24"/>
                <w:szCs w:val="24"/>
              </w:rPr>
            </w:pPr>
          </w:p>
        </w:tc>
        <w:tc>
          <w:tcPr>
            <w:tcW w:w="1525" w:type="dxa"/>
            <w:vMerge w:val="continue"/>
            <w:vAlign w:val="center"/>
          </w:tcPr>
          <w:p>
            <w:pPr>
              <w:autoSpaceDE w:val="0"/>
              <w:autoSpaceDN w:val="0"/>
              <w:adjustRightInd w:val="0"/>
              <w:snapToGrid w:val="0"/>
              <w:ind w:right="71"/>
              <w:jc w:val="center"/>
              <w:rPr>
                <w:rFonts w:ascii="仿宋_GB2312" w:eastAsia="仿宋_GB2312" w:cs="Calibri"/>
                <w:color w:val="000000"/>
                <w:sz w:val="24"/>
                <w:szCs w:val="24"/>
              </w:rPr>
            </w:pPr>
          </w:p>
        </w:tc>
        <w:tc>
          <w:tcPr>
            <w:tcW w:w="7229" w:type="dxa"/>
            <w:vAlign w:val="center"/>
          </w:tcPr>
          <w:p>
            <w:pPr>
              <w:rPr>
                <w:rFonts w:ascii="仿宋_GB2312" w:eastAsia="仿宋_GB2312" w:cs="Calibri"/>
                <w:color w:val="000000"/>
                <w:sz w:val="24"/>
                <w:szCs w:val="24"/>
              </w:rPr>
            </w:pPr>
            <w:r>
              <w:rPr>
                <w:rFonts w:hint="eastAsia" w:ascii="仿宋_GB2312" w:eastAsia="仿宋_GB2312" w:cs="Calibri"/>
                <w:color w:val="000000"/>
                <w:sz w:val="24"/>
                <w:szCs w:val="24"/>
              </w:rPr>
              <w:t>供应商提供的登记成果资料归档、成果统一汇交方案由评委根据方案描述完整、可行、有针对性进行打分。（0-</w:t>
            </w:r>
            <w:r>
              <w:rPr>
                <w:rFonts w:hint="eastAsia" w:ascii="仿宋_GB2312" w:eastAsia="仿宋_GB2312" w:cs="Calibri"/>
                <w:color w:val="000000"/>
                <w:sz w:val="24"/>
                <w:szCs w:val="24"/>
                <w:lang w:val="en-US" w:eastAsia="zh-CN"/>
              </w:rPr>
              <w:t>7</w:t>
            </w:r>
            <w:r>
              <w:rPr>
                <w:rFonts w:hint="eastAsia" w:ascii="仿宋_GB2312" w:eastAsia="仿宋_GB2312" w:cs="Calibri"/>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09"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7</w:t>
            </w:r>
          </w:p>
        </w:tc>
        <w:tc>
          <w:tcPr>
            <w:tcW w:w="1525" w:type="dxa"/>
            <w:vAlign w:val="center"/>
          </w:tcPr>
          <w:p>
            <w:pPr>
              <w:autoSpaceDE w:val="0"/>
              <w:autoSpaceDN w:val="0"/>
              <w:adjustRightInd w:val="0"/>
              <w:snapToGrid w:val="0"/>
              <w:ind w:right="71"/>
              <w:jc w:val="center"/>
              <w:rPr>
                <w:rFonts w:ascii="仿宋_GB2312" w:eastAsia="仿宋_GB2312" w:cs="Calibri"/>
                <w:color w:val="000000"/>
                <w:sz w:val="24"/>
                <w:szCs w:val="24"/>
              </w:rPr>
            </w:pPr>
            <w:r>
              <w:rPr>
                <w:rFonts w:hint="eastAsia" w:ascii="仿宋_GB2312" w:eastAsia="仿宋_GB2312" w:cs="Calibri"/>
                <w:color w:val="000000"/>
                <w:sz w:val="24"/>
                <w:szCs w:val="24"/>
              </w:rPr>
              <w:t>重点难点分析和解决方案（</w:t>
            </w:r>
            <w:r>
              <w:rPr>
                <w:rFonts w:hint="eastAsia" w:ascii="仿宋_GB2312" w:eastAsia="仿宋_GB2312" w:cs="Calibri"/>
                <w:color w:val="000000"/>
                <w:sz w:val="24"/>
                <w:szCs w:val="24"/>
                <w:lang w:val="en-US" w:eastAsia="zh-CN"/>
              </w:rPr>
              <w:t>6</w:t>
            </w:r>
            <w:r>
              <w:rPr>
                <w:rFonts w:hint="eastAsia" w:ascii="仿宋_GB2312" w:eastAsia="仿宋_GB2312" w:cs="Calibri"/>
                <w:color w:val="000000"/>
                <w:sz w:val="24"/>
                <w:szCs w:val="24"/>
              </w:rPr>
              <w:t>分）</w:t>
            </w:r>
          </w:p>
        </w:tc>
        <w:tc>
          <w:tcPr>
            <w:tcW w:w="7229" w:type="dxa"/>
            <w:vAlign w:val="center"/>
          </w:tcPr>
          <w:p>
            <w:pPr>
              <w:spacing w:line="276" w:lineRule="auto"/>
              <w:jc w:val="left"/>
              <w:rPr>
                <w:rFonts w:ascii="仿宋_GB2312" w:eastAsia="仿宋_GB2312" w:cs="Calibri"/>
                <w:color w:val="000000"/>
                <w:sz w:val="24"/>
                <w:szCs w:val="24"/>
              </w:rPr>
            </w:pPr>
            <w:r>
              <w:rPr>
                <w:rFonts w:hint="eastAsia" w:ascii="仿宋_GB2312" w:eastAsia="仿宋_GB2312" w:cs="Calibri"/>
                <w:color w:val="000000"/>
                <w:sz w:val="24"/>
                <w:szCs w:val="24"/>
              </w:rPr>
              <w:t>针对本项目的重点、难点分析具有准确性，提出解决方案具有可行性由评委打分。（0-</w:t>
            </w:r>
            <w:r>
              <w:rPr>
                <w:rFonts w:hint="eastAsia" w:ascii="仿宋_GB2312" w:eastAsia="仿宋_GB2312" w:cs="Calibri"/>
                <w:color w:val="000000"/>
                <w:sz w:val="24"/>
                <w:szCs w:val="24"/>
                <w:lang w:val="en-US" w:eastAsia="zh-CN"/>
              </w:rPr>
              <w:t>6</w:t>
            </w:r>
            <w:r>
              <w:rPr>
                <w:rFonts w:hint="eastAsia" w:ascii="仿宋_GB2312" w:eastAsia="仿宋_GB2312" w:cs="Calibri"/>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8</w:t>
            </w:r>
          </w:p>
        </w:tc>
        <w:tc>
          <w:tcPr>
            <w:tcW w:w="1525"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人员配置方案（</w:t>
            </w:r>
            <w:r>
              <w:rPr>
                <w:rFonts w:hint="eastAsia" w:ascii="仿宋_GB2312" w:eastAsia="仿宋_GB2312" w:cs="Calibri"/>
                <w:color w:val="000000"/>
                <w:sz w:val="24"/>
                <w:szCs w:val="24"/>
                <w:lang w:val="en-US" w:eastAsia="zh-CN"/>
              </w:rPr>
              <w:t>13</w:t>
            </w:r>
            <w:r>
              <w:rPr>
                <w:rFonts w:hint="eastAsia" w:ascii="仿宋_GB2312" w:eastAsia="仿宋_GB2312" w:cs="Calibri"/>
                <w:color w:val="000000"/>
                <w:sz w:val="24"/>
                <w:szCs w:val="24"/>
              </w:rPr>
              <w:t>分）</w:t>
            </w:r>
          </w:p>
        </w:tc>
        <w:tc>
          <w:tcPr>
            <w:tcW w:w="7229" w:type="dxa"/>
            <w:vAlign w:val="center"/>
          </w:tcPr>
          <w:p>
            <w:pPr>
              <w:jc w:val="left"/>
              <w:rPr>
                <w:rFonts w:hint="eastAsia" w:ascii="仿宋_GB2312" w:eastAsia="仿宋_GB2312" w:cs="Calibri"/>
                <w:color w:val="000000"/>
                <w:sz w:val="24"/>
                <w:szCs w:val="24"/>
              </w:rPr>
            </w:pPr>
            <w:r>
              <w:rPr>
                <w:rFonts w:hint="eastAsia" w:ascii="仿宋_GB2312" w:eastAsia="仿宋_GB2312" w:cs="Calibri"/>
                <w:color w:val="000000"/>
                <w:sz w:val="24"/>
                <w:szCs w:val="24"/>
              </w:rPr>
              <w:t>1.项目负责人：具有测绘相关专业教授级高级工程师（正高级）职称证书,国家注册测绘师证书,高级自然资源确权登记项目管理证书；每提供一项得1分，最高得3分。</w:t>
            </w:r>
          </w:p>
          <w:p>
            <w:pPr>
              <w:jc w:val="left"/>
              <w:rPr>
                <w:rFonts w:hint="eastAsia" w:ascii="仿宋_GB2312" w:eastAsia="仿宋_GB2312" w:cs="Calibri"/>
                <w:color w:val="000000"/>
                <w:sz w:val="24"/>
                <w:szCs w:val="24"/>
              </w:rPr>
            </w:pPr>
            <w:r>
              <w:rPr>
                <w:rFonts w:hint="eastAsia" w:ascii="仿宋_GB2312" w:eastAsia="仿宋_GB2312" w:cs="Calibri"/>
                <w:color w:val="000000"/>
                <w:sz w:val="24"/>
                <w:szCs w:val="24"/>
              </w:rPr>
              <w:t>2.其他负责人：拟投入的“技术负责人、质量负责人、现场负责人、建库负责人、售后负责人”，同时具有测绘教授级高级工程师（正高）职称和国家注册测绘师证书的每人得1分；同时具有测绘高级工程师（副高）和国家级注册测绘师证书的每人得0.5分；最高得5分。</w:t>
            </w:r>
          </w:p>
          <w:p>
            <w:pPr>
              <w:jc w:val="left"/>
              <w:rPr>
                <w:rFonts w:hint="eastAsia" w:ascii="仿宋_GB2312" w:eastAsia="仿宋_GB2312" w:cs="Calibri"/>
                <w:color w:val="000000"/>
                <w:sz w:val="24"/>
                <w:szCs w:val="24"/>
              </w:rPr>
            </w:pPr>
            <w:r>
              <w:rPr>
                <w:rFonts w:hint="eastAsia" w:ascii="仿宋_GB2312" w:eastAsia="仿宋_GB2312" w:cs="Calibri"/>
                <w:color w:val="000000"/>
                <w:sz w:val="24"/>
                <w:szCs w:val="24"/>
              </w:rPr>
              <w:t>3.项目组</w:t>
            </w:r>
            <w:r>
              <w:rPr>
                <w:rFonts w:hint="eastAsia" w:ascii="仿宋_GB2312" w:eastAsia="仿宋_GB2312" w:cs="Calibri"/>
                <w:color w:val="000000"/>
                <w:sz w:val="24"/>
                <w:szCs w:val="24"/>
                <w:lang w:eastAsia="zh-CN"/>
              </w:rPr>
              <w:t>其他</w:t>
            </w:r>
            <w:r>
              <w:rPr>
                <w:rFonts w:hint="eastAsia" w:ascii="仿宋_GB2312" w:eastAsia="仿宋_GB2312" w:cs="Calibri"/>
                <w:color w:val="000000"/>
                <w:sz w:val="24"/>
                <w:szCs w:val="24"/>
              </w:rPr>
              <w:t>成员：同时具有三项证书（测绘相关专业高级工程师职称证书、资源调查与数据管理师高级证书和测绘涉密或保密知识培训证书）中两项的，每人得1分，最高得5分。</w:t>
            </w:r>
          </w:p>
          <w:p>
            <w:pPr>
              <w:jc w:val="left"/>
              <w:rPr>
                <w:rFonts w:ascii="仿宋_GB2312" w:eastAsia="仿宋_GB2312" w:cs="Calibri"/>
                <w:color w:val="000000"/>
                <w:sz w:val="24"/>
                <w:szCs w:val="24"/>
              </w:rPr>
            </w:pPr>
            <w:bookmarkStart w:id="206" w:name="_Toc25365"/>
            <w:r>
              <w:rPr>
                <w:rFonts w:hint="eastAsia" w:ascii="仿宋_GB2312" w:eastAsia="仿宋_GB2312" w:cs="Calibri"/>
                <w:b/>
                <w:color w:val="000000"/>
                <w:sz w:val="24"/>
                <w:szCs w:val="24"/>
              </w:rPr>
              <w:t>注：各负责人不能为</w:t>
            </w:r>
            <w:r>
              <w:rPr>
                <w:rFonts w:hint="eastAsia" w:ascii="仿宋_GB2312" w:eastAsia="仿宋_GB2312" w:cs="Calibri"/>
                <w:b/>
                <w:color w:val="000000"/>
                <w:sz w:val="24"/>
                <w:szCs w:val="24"/>
                <w:lang w:eastAsia="zh-CN"/>
              </w:rPr>
              <w:t>同</w:t>
            </w:r>
            <w:r>
              <w:rPr>
                <w:rFonts w:hint="eastAsia" w:ascii="仿宋_GB2312" w:eastAsia="仿宋_GB2312" w:cs="Calibri"/>
                <w:b/>
                <w:color w:val="000000"/>
                <w:sz w:val="24"/>
                <w:szCs w:val="24"/>
              </w:rPr>
              <w:t>一人，以上人员均须提供证书扫描件及近3个月本单位社保缴纳材料</w:t>
            </w:r>
            <w:r>
              <w:rPr>
                <w:rFonts w:hint="eastAsia" w:ascii="仿宋_GB2312" w:eastAsia="仿宋_GB2312" w:cs="Calibri"/>
                <w:b/>
                <w:color w:val="000000"/>
                <w:sz w:val="24"/>
                <w:szCs w:val="24"/>
                <w:lang w:eastAsia="zh-CN"/>
              </w:rPr>
              <w:t>（相关证明材料编入投标文件中）</w:t>
            </w:r>
            <w:r>
              <w:rPr>
                <w:rFonts w:hint="eastAsia" w:ascii="仿宋_GB2312" w:eastAsia="仿宋_GB2312" w:cs="Calibri"/>
                <w:b/>
                <w:color w:val="000000"/>
                <w:sz w:val="24"/>
                <w:szCs w:val="24"/>
              </w:rPr>
              <w:t>，不提供不得分</w:t>
            </w:r>
            <w:bookmarkEnd w:id="206"/>
            <w:r>
              <w:rPr>
                <w:rFonts w:hint="eastAsia" w:ascii="仿宋_GB2312" w:eastAsia="仿宋_GB2312" w:cs="Calibri"/>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9</w:t>
            </w:r>
          </w:p>
        </w:tc>
        <w:tc>
          <w:tcPr>
            <w:tcW w:w="1525"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进度保证措施（5分）</w:t>
            </w:r>
          </w:p>
        </w:tc>
        <w:tc>
          <w:tcPr>
            <w:tcW w:w="7229" w:type="dxa"/>
            <w:vAlign w:val="center"/>
          </w:tcPr>
          <w:p>
            <w:pPr>
              <w:jc w:val="left"/>
              <w:rPr>
                <w:rFonts w:ascii="仿宋_GB2312" w:eastAsia="仿宋_GB2312" w:cs="Calibri"/>
                <w:color w:val="000000"/>
                <w:sz w:val="24"/>
                <w:szCs w:val="24"/>
              </w:rPr>
            </w:pPr>
            <w:r>
              <w:rPr>
                <w:rFonts w:hint="eastAsia" w:ascii="仿宋_GB2312" w:eastAsia="仿宋_GB2312" w:cs="Calibri"/>
                <w:color w:val="000000"/>
                <w:sz w:val="24"/>
                <w:szCs w:val="24"/>
              </w:rPr>
              <w:t>根据供应商提供的进度保障措施具有合理性、可行性由评委打分。（0-5分）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10</w:t>
            </w:r>
          </w:p>
        </w:tc>
        <w:tc>
          <w:tcPr>
            <w:tcW w:w="1525" w:type="dxa"/>
            <w:vAlign w:val="center"/>
          </w:tcPr>
          <w:p>
            <w:pPr>
              <w:tabs>
                <w:tab w:val="left" w:pos="0"/>
              </w:tabs>
              <w:autoSpaceDE w:val="0"/>
              <w:autoSpaceDN w:val="0"/>
              <w:adjustRightInd w:val="0"/>
              <w:spacing w:line="276" w:lineRule="auto"/>
              <w:jc w:val="center"/>
              <w:rPr>
                <w:rFonts w:ascii="仿宋_GB2312" w:eastAsia="仿宋_GB2312" w:cs="Calibri"/>
                <w:color w:val="000000"/>
                <w:sz w:val="24"/>
                <w:szCs w:val="24"/>
              </w:rPr>
            </w:pPr>
            <w:r>
              <w:rPr>
                <w:rFonts w:hint="eastAsia" w:ascii="仿宋_GB2312" w:eastAsia="仿宋_GB2312" w:cs="Calibri"/>
                <w:color w:val="000000"/>
                <w:sz w:val="24"/>
                <w:szCs w:val="24"/>
              </w:rPr>
              <w:t>质量保证措施（5分）</w:t>
            </w:r>
          </w:p>
        </w:tc>
        <w:tc>
          <w:tcPr>
            <w:tcW w:w="7229" w:type="dxa"/>
            <w:vAlign w:val="center"/>
          </w:tcPr>
          <w:p>
            <w:pPr>
              <w:spacing w:line="276" w:lineRule="auto"/>
              <w:jc w:val="left"/>
              <w:rPr>
                <w:rFonts w:ascii="仿宋_GB2312" w:eastAsia="仿宋_GB2312" w:cs="Calibri"/>
                <w:color w:val="000000"/>
                <w:sz w:val="24"/>
                <w:szCs w:val="24"/>
              </w:rPr>
            </w:pPr>
            <w:r>
              <w:rPr>
                <w:rFonts w:hint="eastAsia" w:ascii="仿宋_GB2312" w:eastAsia="仿宋_GB2312" w:cs="Calibri"/>
                <w:color w:val="000000"/>
                <w:sz w:val="24"/>
                <w:szCs w:val="24"/>
              </w:rPr>
              <w:t>根据供应商提供的质量保障措施具有可靠性、合理性由评委打分。（0-5分）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11</w:t>
            </w:r>
          </w:p>
        </w:tc>
        <w:tc>
          <w:tcPr>
            <w:tcW w:w="1525" w:type="dxa"/>
            <w:vAlign w:val="center"/>
          </w:tcPr>
          <w:p>
            <w:pPr>
              <w:tabs>
                <w:tab w:val="left" w:pos="0"/>
              </w:tabs>
              <w:autoSpaceDE w:val="0"/>
              <w:autoSpaceDN w:val="0"/>
              <w:adjustRightInd w:val="0"/>
              <w:spacing w:line="360" w:lineRule="exact"/>
              <w:jc w:val="center"/>
              <w:rPr>
                <w:rFonts w:ascii="仿宋_GB2312" w:eastAsia="仿宋_GB2312" w:cs="Calibri"/>
                <w:color w:val="000000"/>
                <w:sz w:val="24"/>
                <w:szCs w:val="24"/>
              </w:rPr>
            </w:pPr>
            <w:r>
              <w:rPr>
                <w:rFonts w:hint="eastAsia" w:ascii="仿宋_GB2312" w:eastAsia="仿宋_GB2312" w:cs="Calibri"/>
                <w:color w:val="000000"/>
                <w:sz w:val="24"/>
                <w:szCs w:val="24"/>
              </w:rPr>
              <w:t>安全保障措施（</w:t>
            </w:r>
            <w:r>
              <w:rPr>
                <w:rFonts w:hint="eastAsia" w:ascii="仿宋_GB2312" w:eastAsia="仿宋_GB2312" w:cs="Calibri"/>
                <w:color w:val="000000"/>
                <w:sz w:val="24"/>
                <w:szCs w:val="24"/>
                <w:lang w:val="en-US" w:eastAsia="zh-CN"/>
              </w:rPr>
              <w:t>5</w:t>
            </w:r>
            <w:r>
              <w:rPr>
                <w:rFonts w:hint="eastAsia" w:ascii="仿宋_GB2312" w:eastAsia="仿宋_GB2312" w:cs="Calibri"/>
                <w:color w:val="000000"/>
                <w:sz w:val="24"/>
                <w:szCs w:val="24"/>
              </w:rPr>
              <w:t>分）</w:t>
            </w:r>
          </w:p>
        </w:tc>
        <w:tc>
          <w:tcPr>
            <w:tcW w:w="7229" w:type="dxa"/>
            <w:vAlign w:val="center"/>
          </w:tcPr>
          <w:p>
            <w:pPr>
              <w:spacing w:line="360" w:lineRule="exact"/>
              <w:jc w:val="left"/>
              <w:rPr>
                <w:rFonts w:ascii="仿宋_GB2312" w:eastAsia="仿宋_GB2312" w:cs="Calibri"/>
                <w:color w:val="000000"/>
                <w:sz w:val="24"/>
                <w:szCs w:val="24"/>
              </w:rPr>
            </w:pPr>
            <w:r>
              <w:rPr>
                <w:rFonts w:hint="eastAsia" w:ascii="仿宋_GB2312" w:eastAsia="仿宋_GB2312" w:cs="Calibri"/>
                <w:color w:val="000000"/>
                <w:sz w:val="24"/>
                <w:szCs w:val="24"/>
              </w:rPr>
              <w:t>根据供应商提供的安全保障措施具有可行性、合理性和数据资料的保密措施的有效性和严谨性由评委打分。（0-</w:t>
            </w:r>
            <w:r>
              <w:rPr>
                <w:rFonts w:hint="eastAsia" w:ascii="仿宋_GB2312" w:eastAsia="仿宋_GB2312" w:cs="Calibri"/>
                <w:color w:val="000000"/>
                <w:sz w:val="24"/>
                <w:szCs w:val="24"/>
                <w:lang w:val="en-US" w:eastAsia="zh-CN"/>
              </w:rPr>
              <w:t>5</w:t>
            </w:r>
            <w:r>
              <w:rPr>
                <w:rFonts w:hint="eastAsia" w:ascii="仿宋_GB2312" w:eastAsia="仿宋_GB2312" w:cs="Calibri"/>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12</w:t>
            </w:r>
          </w:p>
        </w:tc>
        <w:tc>
          <w:tcPr>
            <w:tcW w:w="1525"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突发事件应急预案</w:t>
            </w:r>
          </w:p>
          <w:p>
            <w:pPr>
              <w:jc w:val="center"/>
              <w:rPr>
                <w:rFonts w:ascii="仿宋_GB2312" w:eastAsia="仿宋_GB2312" w:cs="Calibri"/>
                <w:color w:val="000000"/>
                <w:sz w:val="24"/>
                <w:szCs w:val="24"/>
              </w:rPr>
            </w:pPr>
            <w:r>
              <w:rPr>
                <w:rFonts w:hint="eastAsia" w:ascii="仿宋_GB2312" w:eastAsia="仿宋_GB2312" w:cs="Calibri"/>
                <w:color w:val="000000"/>
                <w:sz w:val="24"/>
                <w:szCs w:val="24"/>
              </w:rPr>
              <w:t>（</w:t>
            </w:r>
            <w:r>
              <w:rPr>
                <w:rFonts w:hint="eastAsia" w:ascii="仿宋_GB2312" w:eastAsia="仿宋_GB2312" w:cs="Calibri"/>
                <w:color w:val="000000"/>
                <w:sz w:val="24"/>
                <w:szCs w:val="24"/>
                <w:lang w:val="en-US" w:eastAsia="zh-CN"/>
              </w:rPr>
              <w:t>5</w:t>
            </w:r>
            <w:r>
              <w:rPr>
                <w:rFonts w:hint="eastAsia" w:ascii="仿宋_GB2312" w:eastAsia="仿宋_GB2312" w:cs="Calibri"/>
                <w:color w:val="000000"/>
                <w:sz w:val="24"/>
                <w:szCs w:val="24"/>
              </w:rPr>
              <w:t>分）</w:t>
            </w:r>
          </w:p>
        </w:tc>
        <w:tc>
          <w:tcPr>
            <w:tcW w:w="7229" w:type="dxa"/>
            <w:vAlign w:val="center"/>
          </w:tcPr>
          <w:p>
            <w:pPr>
              <w:jc w:val="left"/>
              <w:rPr>
                <w:rFonts w:ascii="仿宋_GB2312" w:eastAsia="仿宋_GB2312" w:cs="Calibri"/>
                <w:color w:val="000000"/>
                <w:sz w:val="24"/>
                <w:szCs w:val="24"/>
              </w:rPr>
            </w:pPr>
            <w:r>
              <w:rPr>
                <w:rFonts w:hint="eastAsia" w:ascii="仿宋_GB2312" w:eastAsia="仿宋_GB2312" w:cs="Calibri"/>
                <w:color w:val="000000"/>
                <w:sz w:val="24"/>
                <w:szCs w:val="24"/>
              </w:rPr>
              <w:t>根据供应商提供的对突发事件的应急预案，突击保障、突发问题解决方案、故障的响应速度等方面由评委打分。（0-</w:t>
            </w:r>
            <w:r>
              <w:rPr>
                <w:rFonts w:hint="eastAsia" w:ascii="仿宋_GB2312" w:eastAsia="仿宋_GB2312" w:cs="Calibri"/>
                <w:color w:val="000000"/>
                <w:sz w:val="24"/>
                <w:szCs w:val="24"/>
                <w:lang w:val="en-US" w:eastAsia="zh-CN"/>
              </w:rPr>
              <w:t>5</w:t>
            </w:r>
            <w:r>
              <w:rPr>
                <w:rFonts w:hint="eastAsia" w:ascii="仿宋_GB2312" w:eastAsia="仿宋_GB2312" w:cs="Calibri"/>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13</w:t>
            </w:r>
          </w:p>
        </w:tc>
        <w:tc>
          <w:tcPr>
            <w:tcW w:w="1525" w:type="dxa"/>
            <w:vAlign w:val="center"/>
          </w:tcPr>
          <w:p>
            <w:pPr>
              <w:jc w:val="center"/>
              <w:rPr>
                <w:rFonts w:ascii="仿宋_GB2312" w:eastAsia="仿宋_GB2312" w:cs="Calibri"/>
                <w:color w:val="000000"/>
                <w:sz w:val="24"/>
                <w:szCs w:val="24"/>
              </w:rPr>
            </w:pPr>
            <w:r>
              <w:rPr>
                <w:rFonts w:hint="eastAsia" w:ascii="仿宋_GB2312" w:eastAsia="仿宋_GB2312" w:cs="Calibri"/>
                <w:color w:val="000000"/>
                <w:sz w:val="24"/>
                <w:szCs w:val="24"/>
              </w:rPr>
              <w:t>服务承诺</w:t>
            </w:r>
          </w:p>
          <w:p>
            <w:pPr>
              <w:jc w:val="center"/>
              <w:rPr>
                <w:rFonts w:ascii="仿宋_GB2312" w:eastAsia="仿宋_GB2312" w:cs="Calibri"/>
                <w:color w:val="000000"/>
                <w:sz w:val="24"/>
                <w:szCs w:val="24"/>
              </w:rPr>
            </w:pPr>
            <w:r>
              <w:rPr>
                <w:rFonts w:hint="eastAsia" w:ascii="仿宋_GB2312" w:eastAsia="仿宋_GB2312" w:cs="Calibri"/>
                <w:color w:val="000000"/>
                <w:sz w:val="24"/>
                <w:szCs w:val="24"/>
              </w:rPr>
              <w:t>（5分）</w:t>
            </w:r>
          </w:p>
        </w:tc>
        <w:tc>
          <w:tcPr>
            <w:tcW w:w="7229" w:type="dxa"/>
            <w:vAlign w:val="center"/>
          </w:tcPr>
          <w:p>
            <w:pPr>
              <w:jc w:val="left"/>
              <w:rPr>
                <w:rFonts w:ascii="仿宋_GB2312" w:eastAsia="仿宋_GB2312" w:cs="Calibri"/>
                <w:color w:val="000000"/>
                <w:sz w:val="24"/>
                <w:szCs w:val="24"/>
              </w:rPr>
            </w:pPr>
            <w:r>
              <w:rPr>
                <w:rFonts w:hint="eastAsia" w:ascii="仿宋_GB2312" w:eastAsia="仿宋_GB2312" w:cs="Calibri"/>
                <w:color w:val="000000"/>
                <w:sz w:val="24"/>
                <w:szCs w:val="24"/>
              </w:rPr>
              <w:t>根据供应商提供的服务承诺具有可行性和合理性由评委打分。（0-5分）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09" w:type="dxa"/>
            <w:vAlign w:val="center"/>
          </w:tcPr>
          <w:p>
            <w:pPr>
              <w:jc w:val="center"/>
              <w:rPr>
                <w:rFonts w:hint="default" w:ascii="仿宋_GB2312" w:eastAsia="仿宋_GB2312" w:cs="Calibri"/>
                <w:color w:val="000000"/>
                <w:sz w:val="24"/>
                <w:szCs w:val="24"/>
                <w:lang w:val="en-US" w:eastAsia="zh-CN"/>
              </w:rPr>
            </w:pPr>
            <w:r>
              <w:rPr>
                <w:rFonts w:hint="eastAsia" w:ascii="仿宋_GB2312" w:eastAsia="仿宋_GB2312" w:cs="Calibri"/>
                <w:color w:val="000000"/>
                <w:sz w:val="24"/>
                <w:szCs w:val="24"/>
                <w:lang w:val="en-US" w:eastAsia="zh-CN"/>
              </w:rPr>
              <w:t>14</w:t>
            </w:r>
          </w:p>
        </w:tc>
        <w:tc>
          <w:tcPr>
            <w:tcW w:w="1525" w:type="dxa"/>
            <w:vAlign w:val="center"/>
          </w:tcPr>
          <w:p>
            <w:pPr>
              <w:widowControl/>
              <w:ind w:firstLine="0" w:firstLineChars="0"/>
              <w:rPr>
                <w:rFonts w:hint="default" w:ascii="仿宋_GB2312" w:eastAsia="仿宋_GB2312" w:cs="Calibri"/>
                <w:color w:val="000000"/>
                <w:sz w:val="24"/>
                <w:szCs w:val="24"/>
                <w:lang w:val="en-US"/>
              </w:rPr>
            </w:pPr>
            <w:r>
              <w:rPr>
                <w:rFonts w:hint="eastAsia" w:ascii="仿宋_GB2312" w:eastAsia="仿宋_GB2312" w:cs="Calibri"/>
                <w:color w:val="000000"/>
                <w:sz w:val="24"/>
                <w:szCs w:val="24"/>
                <w:lang w:val="en-US" w:eastAsia="zh-CN"/>
              </w:rPr>
              <w:t>合理化建议（3分）</w:t>
            </w:r>
          </w:p>
        </w:tc>
        <w:tc>
          <w:tcPr>
            <w:tcW w:w="7229" w:type="dxa"/>
            <w:vAlign w:val="center"/>
          </w:tcPr>
          <w:p>
            <w:pPr>
              <w:widowControl/>
              <w:ind w:firstLine="0" w:firstLineChars="0"/>
              <w:rPr>
                <w:rFonts w:hint="eastAsia" w:ascii="仿宋_GB2312" w:eastAsia="仿宋_GB2312" w:cs="Calibri"/>
                <w:color w:val="000000"/>
                <w:sz w:val="24"/>
                <w:szCs w:val="24"/>
              </w:rPr>
            </w:pPr>
            <w:r>
              <w:rPr>
                <w:rFonts w:hint="eastAsia" w:ascii="仿宋_GB2312" w:eastAsia="仿宋_GB2312" w:cs="Calibri"/>
                <w:color w:val="000000"/>
                <w:sz w:val="24"/>
                <w:szCs w:val="24"/>
                <w:lang w:val="en-US" w:eastAsia="zh-CN"/>
              </w:rPr>
              <w:t>根据投标供应商对本项目的建议意见是否合理且具有较高实用价值进行</w:t>
            </w:r>
            <w:r>
              <w:rPr>
                <w:rFonts w:hint="eastAsia" w:ascii="仿宋_GB2312" w:eastAsia="仿宋_GB2312" w:cs="Calibri"/>
                <w:color w:val="000000"/>
                <w:sz w:val="24"/>
                <w:szCs w:val="24"/>
                <w:lang w:val="zh-CN" w:eastAsia="zh-CN"/>
              </w:rPr>
              <w:t>综合</w:t>
            </w:r>
            <w:r>
              <w:rPr>
                <w:rFonts w:hint="eastAsia" w:ascii="仿宋_GB2312" w:eastAsia="仿宋_GB2312" w:cs="Calibri"/>
                <w:color w:val="000000"/>
                <w:sz w:val="24"/>
                <w:szCs w:val="24"/>
                <w:lang w:val="en-US" w:eastAsia="zh-CN"/>
              </w:rPr>
              <w:t>评审。</w:t>
            </w:r>
            <w:r>
              <w:rPr>
                <w:rFonts w:hint="eastAsia" w:ascii="仿宋_GB2312" w:eastAsia="仿宋_GB2312" w:cs="Calibri"/>
                <w:color w:val="000000"/>
                <w:sz w:val="24"/>
                <w:szCs w:val="24"/>
              </w:rPr>
              <w:t>（0-</w:t>
            </w:r>
            <w:r>
              <w:rPr>
                <w:rFonts w:hint="eastAsia" w:ascii="仿宋_GB2312" w:eastAsia="仿宋_GB2312" w:cs="Calibri"/>
                <w:color w:val="000000"/>
                <w:sz w:val="24"/>
                <w:szCs w:val="24"/>
                <w:lang w:val="en-US" w:eastAsia="zh-CN"/>
              </w:rPr>
              <w:t>3</w:t>
            </w:r>
            <w:r>
              <w:rPr>
                <w:rFonts w:hint="eastAsia" w:ascii="仿宋_GB2312" w:eastAsia="仿宋_GB2312" w:cs="Calibri"/>
                <w:color w:val="000000"/>
                <w:sz w:val="24"/>
                <w:szCs w:val="24"/>
              </w:rPr>
              <w:t>分）</w:t>
            </w:r>
          </w:p>
        </w:tc>
      </w:tr>
    </w:tbl>
    <w:p>
      <w:pPr>
        <w:pStyle w:val="4"/>
        <w:pageBreakBefore/>
        <w:spacing w:before="312" w:beforeLines="100" w:after="312" w:afterLines="100"/>
        <w:rPr>
          <w:rFonts w:hAnsi="宋体"/>
          <w:sz w:val="28"/>
          <w:szCs w:val="28"/>
        </w:rPr>
      </w:pPr>
      <w:bookmarkStart w:id="207" w:name="_Toc105577189"/>
      <w:bookmarkStart w:id="208" w:name="_Toc8103"/>
      <w:r>
        <w:rPr>
          <w:rFonts w:hint="eastAsia" w:hAnsi="宋体"/>
          <w:sz w:val="28"/>
          <w:szCs w:val="28"/>
        </w:rPr>
        <w:t>附件一 政府采购活动现场确认声明书</w:t>
      </w:r>
      <w:bookmarkEnd w:id="207"/>
      <w:bookmarkEnd w:id="208"/>
    </w:p>
    <w:p>
      <w:pPr>
        <w:pStyle w:val="50"/>
        <w:snapToGrid w:val="0"/>
        <w:spacing w:line="360" w:lineRule="auto"/>
        <w:jc w:val="both"/>
        <w:rPr>
          <w:rFonts w:hAnsi="宋体"/>
          <w:b/>
        </w:rPr>
      </w:pPr>
      <w:r>
        <w:rPr>
          <w:rFonts w:hint="eastAsia" w:hAnsi="宋体"/>
          <w:kern w:val="0"/>
          <w:u w:val="single"/>
        </w:rPr>
        <w:t>浙江浙坤工程管理有限公司</w:t>
      </w:r>
      <w:r>
        <w:rPr>
          <w:rFonts w:hint="eastAsia" w:hAnsi="宋体"/>
          <w:kern w:val="0"/>
        </w:rPr>
        <w:t>（采购代理机构名称）：</w:t>
      </w:r>
    </w:p>
    <w:p>
      <w:pPr>
        <w:pStyle w:val="50"/>
        <w:snapToGrid w:val="0"/>
        <w:spacing w:line="360" w:lineRule="auto"/>
        <w:ind w:firstLine="504" w:firstLineChars="200"/>
        <w:jc w:val="both"/>
        <w:rPr>
          <w:rFonts w:hAnsi="宋体"/>
          <w:spacing w:val="6"/>
        </w:rPr>
      </w:pPr>
      <w:r>
        <w:rPr>
          <w:rFonts w:hint="eastAsia" w:hAnsi="宋体"/>
          <w:spacing w:val="6"/>
        </w:rPr>
        <w:t>本人</w:t>
      </w:r>
      <w:r>
        <w:rPr>
          <w:rFonts w:hint="eastAsia" w:hAnsi="宋体"/>
          <w:spacing w:val="6"/>
          <w:u w:val="single"/>
        </w:rPr>
        <w:t xml:space="preserve">           </w:t>
      </w:r>
      <w:r>
        <w:rPr>
          <w:rFonts w:hint="eastAsia" w:hAnsi="宋体"/>
          <w:spacing w:val="6"/>
        </w:rPr>
        <w:t>（授权代表姓名），经由</w:t>
      </w:r>
      <w:r>
        <w:rPr>
          <w:rFonts w:hint="eastAsia" w:hAnsi="宋体"/>
          <w:spacing w:val="6"/>
          <w:u w:val="single"/>
        </w:rPr>
        <w:t xml:space="preserve">                     （单位） </w:t>
      </w:r>
      <w:r>
        <w:rPr>
          <w:rFonts w:hint="eastAsia" w:hAnsi="宋体"/>
          <w:spacing w:val="6"/>
        </w:rPr>
        <w:t>负责人</w:t>
      </w:r>
      <w:r>
        <w:rPr>
          <w:rFonts w:hint="eastAsia" w:hAnsi="宋体"/>
          <w:spacing w:val="6"/>
          <w:u w:val="single"/>
        </w:rPr>
        <w:t xml:space="preserve">          </w:t>
      </w:r>
      <w:r>
        <w:rPr>
          <w:rFonts w:hint="eastAsia" w:hAnsi="宋体"/>
          <w:spacing w:val="6"/>
        </w:rPr>
        <w:t>（法定代表人）合法授权参加</w:t>
      </w:r>
      <w:r>
        <w:rPr>
          <w:rFonts w:hint="eastAsia" w:hAnsi="宋体"/>
          <w:spacing w:val="6"/>
          <w:u w:val="single"/>
        </w:rPr>
        <w:t xml:space="preserve">          </w:t>
      </w:r>
      <w:r>
        <w:rPr>
          <w:rFonts w:hint="eastAsia" w:hAnsi="宋体"/>
          <w:spacing w:val="6"/>
        </w:rPr>
        <w:t>（项目编号：</w:t>
      </w:r>
      <w:r>
        <w:rPr>
          <w:rFonts w:hint="eastAsia" w:hAnsi="宋体"/>
          <w:spacing w:val="6"/>
          <w:u w:val="single"/>
        </w:rPr>
        <w:t xml:space="preserve">      </w:t>
      </w:r>
      <w:r>
        <w:rPr>
          <w:rFonts w:hint="eastAsia" w:hAnsi="宋体"/>
          <w:spacing w:val="6"/>
        </w:rPr>
        <w:t>）标项：</w:t>
      </w:r>
      <w:r>
        <w:rPr>
          <w:rFonts w:hint="eastAsia" w:hAnsi="宋体"/>
          <w:spacing w:val="6"/>
          <w:u w:val="single"/>
        </w:rPr>
        <w:t xml:space="preserve">   </w:t>
      </w:r>
      <w:r>
        <w:rPr>
          <w:rFonts w:hint="eastAsia" w:hAnsi="宋体"/>
          <w:spacing w:val="6"/>
        </w:rPr>
        <w:t xml:space="preserve">政府采购活动，经与本单位法人代表（负责人）联系确认，现就有关公平竞争事项郑重声明如下： </w:t>
      </w:r>
    </w:p>
    <w:p>
      <w:pPr>
        <w:pStyle w:val="51"/>
        <w:numPr>
          <w:ilvl w:val="0"/>
          <w:numId w:val="4"/>
        </w:numPr>
        <w:snapToGrid w:val="0"/>
        <w:spacing w:line="360" w:lineRule="auto"/>
        <w:ind w:firstLine="480" w:firstLineChars="200"/>
        <w:jc w:val="both"/>
        <w:rPr>
          <w:rFonts w:ascii="宋体" w:hAnsi="宋体" w:eastAsia="Times New Roman"/>
        </w:rPr>
      </w:pPr>
      <w:r>
        <w:rPr>
          <w:rFonts w:hint="eastAsia" w:ascii="宋体" w:hAnsi="宋体" w:cs="宋体"/>
        </w:rPr>
        <w:t>本单位与采购人之间</w:t>
      </w:r>
      <w:r>
        <w:rPr>
          <w:rFonts w:hint="eastAsia" w:ascii="宋体" w:hAnsi="宋体"/>
        </w:rPr>
        <w:t>□</w:t>
      </w:r>
      <w:r>
        <w:rPr>
          <w:rFonts w:hint="eastAsia" w:ascii="宋体" w:hAnsi="宋体" w:cs="宋体"/>
        </w:rPr>
        <w:t>不存在利害关系</w:t>
      </w:r>
      <w:r>
        <w:rPr>
          <w:rFonts w:hint="eastAsia" w:ascii="宋体" w:hAnsi="宋体"/>
        </w:rPr>
        <w:t>□</w:t>
      </w:r>
      <w:r>
        <w:rPr>
          <w:rFonts w:hint="eastAsia" w:ascii="宋体" w:hAnsi="宋体" w:cs="宋体"/>
        </w:rPr>
        <w:t>存在下列利害关系</w:t>
      </w:r>
      <w:r>
        <w:rPr>
          <w:rFonts w:hint="eastAsia" w:ascii="宋体" w:hAnsi="宋体" w:eastAsia="Times New Roman"/>
          <w:u w:val="single"/>
        </w:rPr>
        <w:t xml:space="preserve">       </w:t>
      </w:r>
      <w:r>
        <w:rPr>
          <w:rFonts w:hint="eastAsia" w:ascii="宋体" w:hAnsi="宋体" w:cs="宋体"/>
        </w:rPr>
        <w:t>：</w:t>
      </w:r>
    </w:p>
    <w:p>
      <w:pPr>
        <w:pStyle w:val="51"/>
        <w:snapToGrid w:val="0"/>
        <w:spacing w:line="360" w:lineRule="auto"/>
        <w:ind w:firstLine="480" w:firstLineChars="200"/>
        <w:jc w:val="both"/>
        <w:rPr>
          <w:rFonts w:ascii="宋体" w:hAnsi="宋体"/>
        </w:rPr>
      </w:pPr>
      <w:r>
        <w:rPr>
          <w:rFonts w:hint="eastAsia" w:ascii="宋体" w:hAnsi="宋体" w:eastAsia="Times New Roman"/>
        </w:rPr>
        <w:t xml:space="preserve">    A.</w:t>
      </w:r>
      <w:r>
        <w:rPr>
          <w:rFonts w:hint="eastAsia" w:ascii="宋体" w:hAnsi="宋体" w:cs="宋体"/>
        </w:rPr>
        <w:t>投资关系</w:t>
      </w:r>
      <w:r>
        <w:rPr>
          <w:rFonts w:hint="eastAsia" w:eastAsia="Times New Roman"/>
        </w:rPr>
        <w:t xml:space="preserve">    </w:t>
      </w:r>
      <w:r>
        <w:rPr>
          <w:rFonts w:hint="eastAsia" w:ascii="宋体" w:hAnsi="宋体"/>
        </w:rPr>
        <w:t>B.</w:t>
      </w:r>
      <w:r>
        <w:rPr>
          <w:rFonts w:hint="eastAsia" w:ascii="宋体" w:hAnsi="宋体" w:cs="宋体"/>
        </w:rPr>
        <w:t>行政隶属关系</w:t>
      </w:r>
      <w:r>
        <w:rPr>
          <w:rFonts w:hint="eastAsia" w:eastAsia="Times New Roman"/>
        </w:rPr>
        <w:t xml:space="preserve">    </w:t>
      </w:r>
      <w:r>
        <w:rPr>
          <w:rFonts w:hint="eastAsia" w:ascii="宋体" w:hAnsi="宋体"/>
        </w:rPr>
        <w:t>C.</w:t>
      </w:r>
      <w:r>
        <w:rPr>
          <w:rFonts w:hint="eastAsia" w:ascii="宋体" w:hAnsi="宋体" w:cs="宋体"/>
        </w:rPr>
        <w:t>业务指导关系</w:t>
      </w:r>
      <w:r>
        <w:rPr>
          <w:rFonts w:hint="eastAsia" w:eastAsia="Times New Roman"/>
        </w:rPr>
        <w:t xml:space="preserve">    </w:t>
      </w:r>
      <w:r>
        <w:rPr>
          <w:rFonts w:hint="eastAsia" w:ascii="宋体" w:hAnsi="宋体"/>
        </w:rPr>
        <w:t>D.</w:t>
      </w:r>
      <w:r>
        <w:rPr>
          <w:rFonts w:hint="eastAsia" w:ascii="宋体" w:hAnsi="宋体" w:cs="宋体"/>
        </w:rPr>
        <w:t>其他可能影响采购公正的利害关系</w:t>
      </w:r>
      <w:r>
        <w:rPr>
          <w:rFonts w:hint="eastAsia" w:ascii="宋体" w:hAnsi="宋体" w:cs="宋体"/>
          <w:u w:val="single"/>
        </w:rPr>
        <w:t>（如有，请如实说明）</w:t>
      </w:r>
      <w:r>
        <w:rPr>
          <w:rFonts w:hint="eastAsia" w:ascii="宋体" w:hAnsi="宋体" w:eastAsia="Times New Roman"/>
          <w:u w:val="single"/>
        </w:rPr>
        <w:t xml:space="preserve">               </w:t>
      </w:r>
      <w:r>
        <w:rPr>
          <w:rFonts w:hint="eastAsia" w:ascii="宋体" w:hAnsi="宋体" w:cs="宋体"/>
        </w:rPr>
        <w:t>。</w:t>
      </w:r>
    </w:p>
    <w:p>
      <w:pPr>
        <w:pStyle w:val="51"/>
        <w:snapToGrid w:val="0"/>
        <w:spacing w:line="360" w:lineRule="auto"/>
        <w:ind w:firstLine="480" w:firstLineChars="200"/>
        <w:jc w:val="both"/>
        <w:rPr>
          <w:rFonts w:ascii="宋体" w:hAnsi="宋体" w:eastAsia="Times New Roman"/>
        </w:rPr>
      </w:pPr>
      <w:r>
        <w:rPr>
          <w:rFonts w:hint="eastAsia" w:ascii="宋体" w:hAnsi="宋体"/>
        </w:rPr>
        <w:t>二、现已清楚知道参加本项目采购活动的其他所有供应商名称，本单位 □与其他所有供应商之间均不存在利害关系  □与</w:t>
      </w:r>
      <w:r>
        <w:t xml:space="preserve"> </w:t>
      </w:r>
      <w:r>
        <w:rPr>
          <w:rFonts w:hint="eastAsia" w:ascii="宋体" w:hAnsi="宋体"/>
          <w:u w:val="single"/>
        </w:rPr>
        <w:t xml:space="preserve">（供应商名称）            </w:t>
      </w:r>
      <w:r>
        <w:rPr>
          <w:rFonts w:hint="eastAsia" w:ascii="宋体" w:hAnsi="宋体"/>
        </w:rPr>
        <w:t>之间存在下列利害关系</w:t>
      </w:r>
      <w:r>
        <w:rPr>
          <w:u w:val="single"/>
        </w:rPr>
        <w:t xml:space="preserve">        </w:t>
      </w:r>
      <w:r>
        <w:rPr>
          <w:rFonts w:hint="eastAsia" w:ascii="宋体" w:hAnsi="宋体"/>
        </w:rPr>
        <w:t>：</w:t>
      </w:r>
    </w:p>
    <w:p>
      <w:pPr>
        <w:pStyle w:val="50"/>
        <w:snapToGrid w:val="0"/>
        <w:spacing w:line="360" w:lineRule="auto"/>
        <w:ind w:firstLine="480" w:firstLineChars="200"/>
        <w:jc w:val="both"/>
        <w:rPr>
          <w:rFonts w:hAnsi="宋体"/>
          <w:kern w:val="0"/>
        </w:rPr>
      </w:pPr>
      <w:r>
        <w:rPr>
          <w:rFonts w:hint="eastAsia" w:hAnsi="宋体"/>
          <w:kern w:val="0"/>
        </w:rPr>
        <w:t>A.法定代表人或负责人或实际控制人是同一人</w:t>
      </w:r>
    </w:p>
    <w:p>
      <w:pPr>
        <w:pStyle w:val="50"/>
        <w:snapToGrid w:val="0"/>
        <w:spacing w:line="360" w:lineRule="auto"/>
        <w:ind w:firstLine="480" w:firstLineChars="200"/>
        <w:jc w:val="both"/>
        <w:rPr>
          <w:rFonts w:hAnsi="宋体"/>
          <w:spacing w:val="6"/>
        </w:rPr>
      </w:pPr>
      <w:r>
        <w:rPr>
          <w:rFonts w:hint="eastAsia" w:hAnsi="宋体"/>
          <w:kern w:val="0"/>
        </w:rPr>
        <w:t>B.法定代表人或负责人或实际控制人是夫妻关系</w:t>
      </w:r>
    </w:p>
    <w:p>
      <w:pPr>
        <w:pStyle w:val="50"/>
        <w:snapToGrid w:val="0"/>
        <w:spacing w:line="360" w:lineRule="auto"/>
        <w:ind w:firstLine="480" w:firstLineChars="200"/>
        <w:jc w:val="both"/>
        <w:rPr>
          <w:rFonts w:hAnsi="宋体"/>
          <w:spacing w:val="6"/>
        </w:rPr>
      </w:pPr>
      <w:r>
        <w:rPr>
          <w:rFonts w:hint="eastAsia" w:hAnsi="宋体"/>
          <w:kern w:val="0"/>
        </w:rPr>
        <w:t>C.法定代表人或负责人或实际控制人是直系血亲关系</w:t>
      </w:r>
    </w:p>
    <w:p>
      <w:pPr>
        <w:pStyle w:val="50"/>
        <w:snapToGrid w:val="0"/>
        <w:spacing w:line="360" w:lineRule="auto"/>
        <w:ind w:firstLine="480" w:firstLineChars="200"/>
        <w:jc w:val="both"/>
        <w:rPr>
          <w:rFonts w:hAnsi="宋体"/>
          <w:spacing w:val="6"/>
        </w:rPr>
      </w:pPr>
      <w:r>
        <w:rPr>
          <w:rFonts w:hint="eastAsia" w:hAnsi="宋体"/>
          <w:kern w:val="0"/>
        </w:rPr>
        <w:t>D.法定代表人或负责人或实际控制人存在三代以内旁系血亲关系</w:t>
      </w:r>
    </w:p>
    <w:p>
      <w:pPr>
        <w:pStyle w:val="50"/>
        <w:snapToGrid w:val="0"/>
        <w:spacing w:line="360" w:lineRule="auto"/>
        <w:ind w:firstLine="480" w:firstLineChars="200"/>
        <w:jc w:val="both"/>
        <w:rPr>
          <w:rFonts w:hAnsi="宋体"/>
          <w:kern w:val="0"/>
        </w:rPr>
      </w:pPr>
      <w:r>
        <w:rPr>
          <w:rFonts w:hint="eastAsia" w:hAnsi="宋体"/>
          <w:kern w:val="0"/>
        </w:rPr>
        <w:t>E.法定代表人或负责人或实际控制人存在近姻亲关系</w:t>
      </w:r>
    </w:p>
    <w:p>
      <w:pPr>
        <w:pStyle w:val="50"/>
        <w:snapToGrid w:val="0"/>
        <w:spacing w:line="360" w:lineRule="auto"/>
        <w:ind w:firstLine="480" w:firstLineChars="200"/>
        <w:jc w:val="both"/>
        <w:rPr>
          <w:rFonts w:hAnsi="宋体"/>
          <w:kern w:val="0"/>
        </w:rPr>
      </w:pPr>
      <w:r>
        <w:rPr>
          <w:rFonts w:hint="eastAsia" w:hAnsi="宋体"/>
          <w:kern w:val="0"/>
        </w:rPr>
        <w:t>F.法定代表人或负责人或实际控制人存在股份控制或实际控制关系</w:t>
      </w:r>
    </w:p>
    <w:p>
      <w:pPr>
        <w:pStyle w:val="50"/>
        <w:snapToGrid w:val="0"/>
        <w:spacing w:line="360" w:lineRule="auto"/>
        <w:ind w:firstLine="480" w:firstLineChars="200"/>
        <w:jc w:val="both"/>
        <w:rPr>
          <w:rFonts w:hAnsi="宋体"/>
          <w:kern w:val="0"/>
        </w:rPr>
      </w:pPr>
      <w:r>
        <w:rPr>
          <w:rFonts w:hint="eastAsia" w:hAnsi="宋体"/>
          <w:kern w:val="0"/>
        </w:rPr>
        <w:t>G.存在共同直接或间接投资设立子公司、联营企业和合营企业情况</w:t>
      </w:r>
    </w:p>
    <w:p>
      <w:pPr>
        <w:pStyle w:val="50"/>
        <w:snapToGrid w:val="0"/>
        <w:spacing w:line="360" w:lineRule="auto"/>
        <w:ind w:firstLine="480" w:firstLineChars="200"/>
        <w:jc w:val="both"/>
        <w:rPr>
          <w:rFonts w:hAnsi="宋体"/>
        </w:rPr>
      </w:pPr>
      <w:r>
        <w:rPr>
          <w:rFonts w:hint="eastAsia" w:hAnsi="宋体"/>
          <w:kern w:val="0"/>
        </w:rPr>
        <w:t>H.存在分级代理或代销关系、同一生产制造商关系、</w:t>
      </w:r>
      <w:r>
        <w:rPr>
          <w:rFonts w:hint="eastAsia" w:hAnsi="宋体"/>
        </w:rPr>
        <w:t>管理关系、重要业务（占主营业务收入50%以上）或重要财务往来关系（如融资）等其他实质性控制关系</w:t>
      </w:r>
    </w:p>
    <w:p>
      <w:pPr>
        <w:pStyle w:val="50"/>
        <w:snapToGrid w:val="0"/>
        <w:spacing w:line="360" w:lineRule="auto"/>
        <w:ind w:firstLine="480" w:firstLineChars="200"/>
        <w:jc w:val="both"/>
        <w:rPr>
          <w:rFonts w:hAnsi="宋体"/>
          <w:spacing w:val="6"/>
        </w:rPr>
      </w:pPr>
      <w:r>
        <w:rPr>
          <w:rFonts w:hint="eastAsia" w:hAnsi="宋体"/>
        </w:rPr>
        <w:t>I</w:t>
      </w:r>
      <w:r>
        <w:rPr>
          <w:rFonts w:hint="eastAsia" w:hAnsi="宋体"/>
          <w:kern w:val="0"/>
        </w:rPr>
        <w:t>.</w:t>
      </w:r>
      <w:r>
        <w:rPr>
          <w:rFonts w:hint="eastAsia" w:hAnsi="宋体"/>
        </w:rPr>
        <w:t>其他利害关系情况</w:t>
      </w:r>
      <w:r>
        <w:rPr>
          <w:rFonts w:hint="eastAsia" w:hAnsi="宋体"/>
          <w:u w:val="single"/>
        </w:rPr>
        <w:t xml:space="preserve">                              </w:t>
      </w:r>
      <w:r>
        <w:rPr>
          <w:rFonts w:hint="eastAsia" w:hAnsi="宋体"/>
          <w:kern w:val="0"/>
        </w:rPr>
        <w:t>。</w:t>
      </w:r>
    </w:p>
    <w:p>
      <w:pPr>
        <w:pStyle w:val="51"/>
        <w:numPr>
          <w:ilvl w:val="0"/>
          <w:numId w:val="5"/>
        </w:numPr>
        <w:snapToGrid w:val="0"/>
        <w:spacing w:line="360" w:lineRule="auto"/>
        <w:ind w:firstLine="480" w:firstLineChars="200"/>
        <w:jc w:val="both"/>
        <w:rPr>
          <w:rFonts w:ascii="宋体" w:hAnsi="宋体" w:eastAsia="Times New Roman"/>
        </w:rPr>
      </w:pPr>
      <w:r>
        <w:rPr>
          <w:rFonts w:hint="eastAsia" w:ascii="宋体" w:hAnsi="宋体" w:cs="宋体"/>
        </w:rPr>
        <w:t>现已清楚知道并严格遵守政府采购法律法规和现场纪律。</w:t>
      </w:r>
    </w:p>
    <w:p>
      <w:pPr>
        <w:pStyle w:val="51"/>
        <w:numPr>
          <w:ilvl w:val="0"/>
          <w:numId w:val="5"/>
        </w:numPr>
        <w:snapToGrid w:val="0"/>
        <w:spacing w:line="360" w:lineRule="auto"/>
        <w:ind w:firstLine="480" w:firstLineChars="200"/>
        <w:jc w:val="both"/>
        <w:rPr>
          <w:rFonts w:ascii="宋体" w:hAnsi="宋体" w:eastAsia="Times New Roman"/>
        </w:rPr>
      </w:pPr>
      <w:r>
        <w:rPr>
          <w:rFonts w:hint="eastAsia" w:ascii="宋体" w:hAnsi="宋体" w:cs="宋体"/>
        </w:rPr>
        <w:t>我发现</w:t>
      </w:r>
      <w:r>
        <w:rPr>
          <w:rFonts w:hint="eastAsia" w:ascii="宋体" w:hAnsi="宋体" w:eastAsia="Times New Roman"/>
          <w:u w:val="single"/>
        </w:rPr>
        <w:t xml:space="preserve">               </w:t>
      </w:r>
      <w:r>
        <w:rPr>
          <w:rFonts w:hint="eastAsia" w:ascii="宋体" w:hAnsi="宋体"/>
          <w:u w:val="single"/>
        </w:rPr>
        <w:t xml:space="preserve">                                 </w:t>
      </w:r>
      <w:r>
        <w:rPr>
          <w:rFonts w:hint="eastAsia" w:ascii="宋体" w:hAnsi="宋体" w:eastAsia="Times New Roman"/>
          <w:u w:val="single"/>
        </w:rPr>
        <w:t xml:space="preserve">     </w:t>
      </w:r>
      <w:r>
        <w:rPr>
          <w:rFonts w:hint="eastAsia" w:ascii="宋体" w:hAnsi="宋体" w:cs="宋体"/>
        </w:rPr>
        <w:t>供应商之间存在或可能存在上述第二条第</w:t>
      </w:r>
      <w:r>
        <w:rPr>
          <w:rFonts w:hint="eastAsia" w:ascii="宋体" w:hAnsi="宋体" w:eastAsia="Times New Roman"/>
          <w:u w:val="single"/>
        </w:rPr>
        <w:t xml:space="preserve">        </w:t>
      </w:r>
      <w:r>
        <w:rPr>
          <w:rFonts w:hint="eastAsia" w:ascii="宋体" w:hAnsi="宋体" w:cs="宋体"/>
        </w:rPr>
        <w:t>项利害关系。</w:t>
      </w:r>
    </w:p>
    <w:p>
      <w:pPr>
        <w:pStyle w:val="50"/>
        <w:snapToGrid w:val="0"/>
        <w:spacing w:line="360" w:lineRule="auto"/>
        <w:ind w:firstLine="480" w:firstLineChars="200"/>
        <w:jc w:val="both"/>
        <w:rPr>
          <w:rFonts w:hAnsi="宋体"/>
        </w:rPr>
      </w:pPr>
      <w:r>
        <w:rPr>
          <w:rFonts w:hint="eastAsia" w:hAnsi="宋体"/>
        </w:rPr>
        <w:t xml:space="preserve">                          供应商代表签名：</w:t>
      </w:r>
    </w:p>
    <w:p>
      <w:pPr>
        <w:pStyle w:val="50"/>
        <w:snapToGrid w:val="0"/>
        <w:spacing w:line="360" w:lineRule="auto"/>
        <w:jc w:val="right"/>
        <w:rPr>
          <w:rFonts w:hAnsi="宋体"/>
        </w:rPr>
      </w:pPr>
      <w:r>
        <w:rPr>
          <w:rFonts w:hint="eastAsia" w:hAnsi="宋体"/>
        </w:rPr>
        <w:t>2022年   月   日</w:t>
      </w:r>
    </w:p>
    <w:p>
      <w:pPr>
        <w:pStyle w:val="4"/>
        <w:pageBreakBefore/>
        <w:spacing w:before="312" w:beforeLines="100" w:after="312" w:afterLines="100"/>
        <w:rPr>
          <w:rFonts w:hAnsi="宋体"/>
          <w:sz w:val="28"/>
          <w:szCs w:val="28"/>
        </w:rPr>
      </w:pPr>
      <w:bookmarkStart w:id="209" w:name="_Toc105577190"/>
      <w:bookmarkStart w:id="210" w:name="_Toc30253"/>
      <w:r>
        <w:rPr>
          <w:rFonts w:hint="eastAsia" w:hAnsi="宋体"/>
          <w:sz w:val="28"/>
          <w:szCs w:val="28"/>
        </w:rPr>
        <w:t>附件二 启用备份投标文件申请书</w:t>
      </w:r>
      <w:bookmarkEnd w:id="209"/>
      <w:bookmarkEnd w:id="210"/>
    </w:p>
    <w:p>
      <w:pPr>
        <w:spacing w:line="360" w:lineRule="auto"/>
        <w:rPr>
          <w:rFonts w:ascii="宋体" w:hAnsi="宋体"/>
          <w:szCs w:val="21"/>
        </w:rPr>
      </w:pPr>
      <w:r>
        <w:rPr>
          <w:rFonts w:hint="eastAsia" w:ascii="宋体" w:hAnsi="宋体"/>
        </w:rPr>
        <w:t xml:space="preserve"> </w:t>
      </w:r>
    </w:p>
    <w:p>
      <w:pPr>
        <w:spacing w:before="78" w:beforeLines="25" w:after="78" w:afterLines="25" w:line="480" w:lineRule="exact"/>
        <w:rPr>
          <w:rFonts w:ascii="宋体" w:hAnsi="宋体"/>
        </w:rPr>
      </w:pPr>
      <w:r>
        <w:rPr>
          <w:rFonts w:hint="eastAsia" w:ascii="宋体" w:hAnsi="宋体"/>
        </w:rPr>
        <w:t>浙江浙坤工程管理有限公司：</w:t>
      </w:r>
    </w:p>
    <w:p>
      <w:pPr>
        <w:spacing w:before="78" w:beforeLines="25" w:after="78" w:afterLines="25" w:line="480" w:lineRule="exact"/>
        <w:rPr>
          <w:rFonts w:ascii="宋体" w:hAnsi="宋体"/>
          <w:bCs/>
          <w:u w:val="single"/>
        </w:rPr>
      </w:pPr>
      <w:r>
        <w:rPr>
          <w:rFonts w:hint="eastAsia" w:ascii="宋体" w:hAnsi="宋体"/>
          <w:bCs/>
          <w:u w:val="single"/>
        </w:rPr>
        <w:t xml:space="preserve">     （采购人名称）                 </w:t>
      </w:r>
      <w:r>
        <w:rPr>
          <w:rFonts w:hint="eastAsia" w:ascii="宋体" w:hAnsi="宋体"/>
        </w:rPr>
        <w:t>：</w:t>
      </w:r>
    </w:p>
    <w:p>
      <w:pPr>
        <w:spacing w:before="78" w:beforeLines="25" w:after="78" w:afterLines="25" w:line="480" w:lineRule="exact"/>
        <w:ind w:firstLine="420"/>
        <w:rPr>
          <w:rFonts w:ascii="宋体" w:hAnsi="宋体"/>
          <w:bCs/>
          <w:u w:val="single"/>
        </w:rPr>
      </w:pPr>
      <w:r>
        <w:rPr>
          <w:rFonts w:hint="eastAsia" w:ascii="宋体" w:hAnsi="宋体"/>
          <w:bCs/>
        </w:rPr>
        <w:t>我公司参与</w:t>
      </w:r>
      <w:r>
        <w:rPr>
          <w:rFonts w:hint="eastAsia" w:ascii="宋体" w:hAnsi="宋体"/>
          <w:bCs/>
          <w:u w:val="single"/>
        </w:rPr>
        <w:t xml:space="preserve">       </w:t>
      </w:r>
      <w:r>
        <w:rPr>
          <w:rFonts w:hint="eastAsia" w:ascii="宋体" w:hAnsi="宋体"/>
          <w:u w:val="single"/>
        </w:rPr>
        <w:t xml:space="preserve">（项目名称）   （标项：  </w:t>
      </w:r>
      <w:r>
        <w:rPr>
          <w:rFonts w:hint="eastAsia" w:ascii="宋体" w:hAnsi="宋体"/>
          <w:bCs/>
          <w:u w:val="single"/>
        </w:rPr>
        <w:t xml:space="preserve"> ）  </w:t>
      </w:r>
      <w:r>
        <w:rPr>
          <w:rFonts w:hint="eastAsia" w:ascii="宋体" w:hAnsi="宋体"/>
          <w:bCs/>
        </w:rPr>
        <w:t>（项目编号：</w:t>
      </w:r>
      <w:r>
        <w:rPr>
          <w:rFonts w:hAnsi="宋体" w:cs="宋体"/>
          <w:spacing w:val="6"/>
          <w:u w:val="single"/>
        </w:rPr>
        <w:t xml:space="preserve">          </w:t>
      </w:r>
      <w:r>
        <w:rPr>
          <w:rFonts w:hint="eastAsia" w:ascii="宋体" w:hAnsi="宋体"/>
          <w:bCs/>
        </w:rPr>
        <w:t xml:space="preserve"> ）投标，已按本项目招标文件要求提供备份投标文件。我方电子加密投标文件解密失败，现申请贵方启用备份投标文件上传至政采云平台，备份投标文件解压缩密码</w:t>
      </w:r>
      <w:r>
        <w:rPr>
          <w:rFonts w:hint="eastAsia" w:ascii="宋体" w:hAnsi="宋体"/>
          <w:bCs/>
          <w:u w:val="single"/>
        </w:rPr>
        <w:t>：                    。</w:t>
      </w:r>
    </w:p>
    <w:p>
      <w:pPr>
        <w:spacing w:before="78" w:beforeLines="25" w:after="78" w:afterLines="25" w:line="480" w:lineRule="exact"/>
        <w:ind w:firstLine="420"/>
        <w:rPr>
          <w:rFonts w:ascii="宋体" w:hAnsi="宋体"/>
          <w:bCs/>
        </w:rPr>
      </w:pPr>
      <w:r>
        <w:rPr>
          <w:rFonts w:hint="eastAsia" w:ascii="宋体" w:hAnsi="宋体"/>
          <w:bCs/>
        </w:rPr>
        <w:t>如备份投标文件上传失败，我方愿意承担一切风险和责任。</w:t>
      </w:r>
    </w:p>
    <w:p>
      <w:pPr>
        <w:rPr>
          <w:rFonts w:ascii="宋体" w:hAnsi="宋体"/>
          <w:bCs/>
          <w:sz w:val="24"/>
          <w:szCs w:val="24"/>
        </w:rPr>
      </w:pPr>
      <w:r>
        <w:rPr>
          <w:rFonts w:hint="eastAsia" w:ascii="宋体" w:hAnsi="宋体"/>
          <w:bCs/>
          <w:sz w:val="24"/>
          <w:szCs w:val="24"/>
        </w:rPr>
        <w:t xml:space="preserve"> </w:t>
      </w:r>
    </w:p>
    <w:p>
      <w:pPr>
        <w:rPr>
          <w:rFonts w:ascii="宋体" w:hAnsi="宋体"/>
          <w:bCs/>
          <w:sz w:val="24"/>
          <w:szCs w:val="24"/>
        </w:rPr>
      </w:pPr>
      <w:r>
        <w:rPr>
          <w:rFonts w:hint="eastAsia" w:ascii="宋体" w:hAnsi="宋体"/>
          <w:bCs/>
          <w:sz w:val="24"/>
          <w:szCs w:val="24"/>
        </w:rPr>
        <w:t xml:space="preserve"> </w:t>
      </w:r>
    </w:p>
    <w:p>
      <w:pPr>
        <w:rPr>
          <w:rFonts w:ascii="宋体" w:hAnsi="宋体"/>
          <w:bCs/>
          <w:sz w:val="24"/>
          <w:szCs w:val="24"/>
        </w:rPr>
      </w:pPr>
      <w:r>
        <w:rPr>
          <w:rFonts w:hint="eastAsia" w:ascii="宋体" w:hAnsi="宋体"/>
          <w:bCs/>
          <w:sz w:val="24"/>
          <w:szCs w:val="24"/>
        </w:rPr>
        <w:t xml:space="preserve"> </w:t>
      </w:r>
    </w:p>
    <w:p>
      <w:pPr>
        <w:rPr>
          <w:rFonts w:ascii="宋体" w:hAnsi="宋体"/>
          <w:bCs/>
          <w:sz w:val="24"/>
          <w:szCs w:val="24"/>
        </w:rPr>
      </w:pPr>
      <w:r>
        <w:rPr>
          <w:rFonts w:hint="eastAsia" w:ascii="宋体" w:hAnsi="宋体"/>
          <w:bCs/>
          <w:sz w:val="24"/>
          <w:szCs w:val="24"/>
        </w:rPr>
        <w:t xml:space="preserve"> </w:t>
      </w:r>
    </w:p>
    <w:p>
      <w:pPr>
        <w:rPr>
          <w:rFonts w:ascii="宋体" w:hAnsi="宋体"/>
          <w:bCs/>
          <w:sz w:val="24"/>
          <w:szCs w:val="24"/>
        </w:rPr>
      </w:pPr>
      <w:r>
        <w:rPr>
          <w:rFonts w:hint="eastAsia" w:ascii="宋体" w:hAnsi="宋体"/>
          <w:bCs/>
          <w:sz w:val="24"/>
          <w:szCs w:val="24"/>
        </w:rPr>
        <w:t xml:space="preserve"> </w:t>
      </w:r>
    </w:p>
    <w:p>
      <w:pPr>
        <w:spacing w:line="360" w:lineRule="auto"/>
        <w:ind w:firstLine="420"/>
        <w:rPr>
          <w:rFonts w:ascii="宋体" w:hAnsi="宋体"/>
          <w:bCs/>
          <w:szCs w:val="21"/>
        </w:rPr>
      </w:pPr>
      <w:r>
        <w:rPr>
          <w:rFonts w:hint="eastAsia" w:ascii="宋体" w:hAnsi="宋体"/>
          <w:bCs/>
          <w:sz w:val="24"/>
          <w:szCs w:val="24"/>
        </w:rPr>
        <w:t xml:space="preserve">                               </w:t>
      </w:r>
      <w:r>
        <w:rPr>
          <w:rFonts w:hint="eastAsia" w:ascii="宋体" w:hAnsi="宋体"/>
          <w:bCs/>
        </w:rPr>
        <w:t>供应商（盖章）：</w:t>
      </w:r>
    </w:p>
    <w:p>
      <w:pPr>
        <w:spacing w:line="360" w:lineRule="auto"/>
        <w:ind w:firstLine="420"/>
        <w:rPr>
          <w:rFonts w:ascii="宋体" w:hAnsi="宋体"/>
          <w:bCs/>
        </w:rPr>
      </w:pPr>
      <w:r>
        <w:rPr>
          <w:rFonts w:hint="eastAsia" w:ascii="宋体" w:hAnsi="宋体"/>
          <w:bCs/>
        </w:rPr>
        <w:t xml:space="preserve">                                          </w:t>
      </w:r>
    </w:p>
    <w:p>
      <w:pPr>
        <w:spacing w:line="360" w:lineRule="auto"/>
        <w:ind w:firstLine="5460" w:firstLineChars="2600"/>
        <w:rPr>
          <w:rFonts w:ascii="宋体" w:hAnsi="宋体"/>
          <w:bCs/>
        </w:rPr>
      </w:pPr>
      <w:r>
        <w:rPr>
          <w:rFonts w:hint="eastAsia" w:ascii="宋体" w:hAnsi="宋体"/>
          <w:bCs/>
        </w:rPr>
        <w:t>日     期：</w:t>
      </w:r>
    </w:p>
    <w:p>
      <w:pPr>
        <w:pStyle w:val="9"/>
        <w:spacing w:line="360" w:lineRule="auto"/>
        <w:rPr>
          <w:rFonts w:ascii="宋体" w:hAnsi="宋体"/>
          <w:b/>
        </w:rPr>
      </w:pPr>
      <w:r>
        <w:rPr>
          <w:rFonts w:hint="eastAsia" w:ascii="宋体" w:hAnsi="宋体"/>
          <w:b/>
        </w:rPr>
        <w:t xml:space="preserve"> </w:t>
      </w:r>
    </w:p>
    <w:p>
      <w:pPr>
        <w:pStyle w:val="50"/>
        <w:snapToGrid w:val="0"/>
        <w:spacing w:line="500" w:lineRule="exact"/>
        <w:ind w:firstLine="6240" w:firstLineChars="2600"/>
        <w:rPr>
          <w:rFonts w:hAnsi="宋体"/>
        </w:rPr>
      </w:pPr>
      <w:r>
        <w:rPr>
          <w:rFonts w:hint="eastAsia" w:hAnsi="宋体"/>
        </w:rPr>
        <w:t xml:space="preserve"> </w:t>
      </w:r>
    </w:p>
    <w:p>
      <w:pPr>
        <w:widowControl/>
        <w:spacing w:line="360" w:lineRule="auto"/>
        <w:ind w:firstLine="420"/>
      </w:pPr>
      <w:r>
        <w:rPr>
          <w:rFonts w:hint="eastAsia"/>
        </w:rPr>
        <w:t xml:space="preserve"> </w:t>
      </w:r>
    </w:p>
    <w:p>
      <w:pPr>
        <w:pStyle w:val="14"/>
        <w:spacing w:line="360" w:lineRule="auto"/>
        <w:ind w:firstLine="420" w:firstLineChars="200"/>
        <w:rPr>
          <w:rFonts w:ascii="仿宋_GB2312"/>
        </w:rPr>
      </w:pPr>
      <w:r>
        <w:rPr>
          <w:rFonts w:hint="eastAsia" w:ascii="仿宋_GB2312"/>
        </w:rPr>
        <w:t xml:space="preserve"> </w:t>
      </w:r>
    </w:p>
    <w:p>
      <w:pPr>
        <w:pStyle w:val="14"/>
        <w:spacing w:line="360" w:lineRule="auto"/>
        <w:ind w:firstLine="420" w:firstLineChars="200"/>
        <w:rPr>
          <w:rFonts w:ascii="仿宋_GB2312"/>
        </w:rPr>
      </w:pPr>
      <w:r>
        <w:rPr>
          <w:rFonts w:hint="eastAsia" w:ascii="仿宋_GB2312"/>
        </w:rPr>
        <w:t xml:space="preserve"> </w:t>
      </w:r>
    </w:p>
    <w:p>
      <w:pPr>
        <w:pStyle w:val="14"/>
        <w:spacing w:line="360" w:lineRule="auto"/>
        <w:ind w:firstLine="420" w:firstLineChars="200"/>
        <w:rPr>
          <w:rFonts w:ascii="仿宋_GB2312"/>
        </w:rPr>
      </w:pPr>
      <w:r>
        <w:rPr>
          <w:rFonts w:hint="eastAsia" w:ascii="仿宋_GB2312"/>
        </w:rPr>
        <w:t xml:space="preserve"> </w:t>
      </w:r>
    </w:p>
    <w:p>
      <w:pPr>
        <w:pStyle w:val="14"/>
        <w:spacing w:line="360" w:lineRule="auto"/>
        <w:ind w:firstLine="420" w:firstLineChars="200"/>
        <w:rPr>
          <w:rFonts w:ascii="仿宋_GB2312"/>
        </w:rPr>
      </w:pPr>
      <w:r>
        <w:rPr>
          <w:rFonts w:hint="eastAsia" w:ascii="仿宋_GB2312"/>
        </w:rPr>
        <w:t xml:space="preserve"> </w:t>
      </w:r>
    </w:p>
    <w:p>
      <w:pPr>
        <w:pStyle w:val="14"/>
        <w:spacing w:line="360" w:lineRule="auto"/>
        <w:ind w:firstLine="420" w:firstLineChars="200"/>
        <w:rPr>
          <w:rFonts w:ascii="仿宋_GB2312"/>
        </w:rPr>
      </w:pPr>
      <w:r>
        <w:rPr>
          <w:rFonts w:hint="eastAsia" w:ascii="仿宋_GB2312"/>
        </w:rPr>
        <w:t xml:space="preserve"> </w:t>
      </w:r>
    </w:p>
    <w:p>
      <w:pPr>
        <w:pStyle w:val="14"/>
        <w:spacing w:line="360" w:lineRule="auto"/>
        <w:ind w:firstLine="420" w:firstLineChars="200"/>
        <w:rPr>
          <w:rFonts w:ascii="仿宋_GB2312"/>
        </w:rPr>
      </w:pPr>
      <w:r>
        <w:rPr>
          <w:rFonts w:hint="eastAsia" w:ascii="仿宋_GB2312"/>
        </w:rPr>
        <w:t xml:space="preserve"> </w:t>
      </w:r>
    </w:p>
    <w:p>
      <w:pPr>
        <w:pStyle w:val="16"/>
      </w:pPr>
    </w:p>
    <w:sectPr>
      <w:headerReference r:id="rId6" w:type="default"/>
      <w:footerReference r:id="rId7"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华文新魏">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浙江</w:t>
    </w:r>
    <w:r>
      <w:rPr>
        <w:rFonts w:hint="eastAsia"/>
      </w:rPr>
      <w:t>浙江坤</w:t>
    </w:r>
    <w:r>
      <w:t>工程</w:t>
    </w:r>
    <w:r>
      <w:rPr>
        <w:rFonts w:hint="eastAsia"/>
      </w:rPr>
      <w:t>管理</w:t>
    </w:r>
    <w:r>
      <w:t>有限公司</w:t>
    </w:r>
    <w:r>
      <w:rPr>
        <w:rFonts w:hint="eastAsia"/>
      </w:rPr>
      <w:t xml:space="preserve">                              联系电话：135871328787 </w: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浙江</w:t>
                          </w:r>
                          <w:r>
                            <w:rPr>
                              <w:rFonts w:hint="eastAsia"/>
                            </w:rPr>
                            <w:t>浙江坤</w:t>
                          </w:r>
                          <w:r>
                            <w:t>工程</w:t>
                          </w:r>
                          <w:r>
                            <w:rPr>
                              <w:rFonts w:hint="eastAsia"/>
                            </w:rPr>
                            <w:t>管理</w:t>
                          </w:r>
                          <w:r>
                            <w:t>有限公司</w:t>
                          </w:r>
                          <w:r>
                            <w:rPr>
                              <w:rFonts w:hint="eastAsia"/>
                            </w:rPr>
                            <w:t xml:space="preserve">                              联系电话：135871328787       </w:t>
                          </w:r>
                          <w:r>
                            <w:fldChar w:fldCharType="begin"/>
                          </w:r>
                          <w:r>
                            <w:instrText xml:space="preserve">PAGE   \* MERGEFORMAT</w:instrText>
                          </w:r>
                          <w:r>
                            <w:fldChar w:fldCharType="separate"/>
                          </w:r>
                          <w:r>
                            <w:rPr>
                              <w:lang w:val="zh-CN"/>
                            </w:rP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t>浙江</w:t>
                    </w:r>
                    <w:r>
                      <w:rPr>
                        <w:rFonts w:hint="eastAsia"/>
                      </w:rPr>
                      <w:t>浙江坤</w:t>
                    </w:r>
                    <w:r>
                      <w:t>工程</w:t>
                    </w:r>
                    <w:r>
                      <w:rPr>
                        <w:rFonts w:hint="eastAsia"/>
                      </w:rPr>
                      <w:t>管理</w:t>
                    </w:r>
                    <w:r>
                      <w:t>有限公司</w:t>
                    </w:r>
                    <w:r>
                      <w:rPr>
                        <w:rFonts w:hint="eastAsia"/>
                      </w:rPr>
                      <w:t xml:space="preserve">                              联系电话：135871328787       </w:t>
                    </w:r>
                    <w:r>
                      <w:fldChar w:fldCharType="begin"/>
                    </w:r>
                    <w:r>
                      <w:instrText xml:space="preserve">PAGE   \* MERGEFORMAT</w:instrText>
                    </w:r>
                    <w:r>
                      <w:fldChar w:fldCharType="separate"/>
                    </w:r>
                    <w:r>
                      <w:rPr>
                        <w:lang w:val="zh-CN"/>
                      </w:rP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青田县集体土地所有权确权登记成果更新汇交项目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szCs w:val="21"/>
      </w:rPr>
      <w:t xml:space="preserve">                                            青田县集体土地所有权确权登记成果更新汇交项目</w:t>
    </w:r>
  </w:p>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szCs w:val="21"/>
      </w:rPr>
      <w:t xml:space="preserve">                                            青田县集体土地所有权确权登记成果更新汇交项目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CA9E6"/>
    <w:multiLevelType w:val="singleLevel"/>
    <w:tmpl w:val="8E5CA9E6"/>
    <w:lvl w:ilvl="0" w:tentative="0">
      <w:start w:val="1"/>
      <w:numFmt w:val="chineseCounting"/>
      <w:suff w:val="nothing"/>
      <w:lvlText w:val="（%1）"/>
      <w:lvlJc w:val="left"/>
      <w:pPr>
        <w:ind w:left="0" w:firstLine="0"/>
      </w:pPr>
    </w:lvl>
  </w:abstractNum>
  <w:abstractNum w:abstractNumId="1">
    <w:nsid w:val="26413333"/>
    <w:multiLevelType w:val="multilevel"/>
    <w:tmpl w:val="26413333"/>
    <w:lvl w:ilvl="0" w:tentative="0">
      <w:start w:val="1"/>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0B138FB"/>
    <w:multiLevelType w:val="multilevel"/>
    <w:tmpl w:val="60B138FB"/>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CF3E8B1"/>
    <w:multiLevelType w:val="singleLevel"/>
    <w:tmpl w:val="6CF3E8B1"/>
    <w:lvl w:ilvl="0" w:tentative="0">
      <w:start w:val="3"/>
      <w:numFmt w:val="chineseCounting"/>
      <w:suff w:val="space"/>
      <w:lvlText w:val="第%1章"/>
      <w:lvlJc w:val="left"/>
      <w:rPr>
        <w:rFonts w:hint="eastAsia"/>
      </w:rPr>
    </w:lvl>
  </w:abstractNum>
  <w:abstractNum w:abstractNumId="4">
    <w:nsid w:val="7D463FA2"/>
    <w:multiLevelType w:val="multilevel"/>
    <w:tmpl w:val="7D463FA2"/>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MzVkMzQxNjdiMDI3Y2M0ZTY4NDNjYzdmOTgyNjIifQ=="/>
  </w:docVars>
  <w:rsids>
    <w:rsidRoot w:val="69F94A95"/>
    <w:rsid w:val="0000170A"/>
    <w:rsid w:val="00001FDF"/>
    <w:rsid w:val="00005DEC"/>
    <w:rsid w:val="00007743"/>
    <w:rsid w:val="00011CF2"/>
    <w:rsid w:val="00011FA3"/>
    <w:rsid w:val="00026DCF"/>
    <w:rsid w:val="00034E58"/>
    <w:rsid w:val="00035F03"/>
    <w:rsid w:val="0003684B"/>
    <w:rsid w:val="00037219"/>
    <w:rsid w:val="00040106"/>
    <w:rsid w:val="000474FF"/>
    <w:rsid w:val="00047699"/>
    <w:rsid w:val="00052C5D"/>
    <w:rsid w:val="000541B0"/>
    <w:rsid w:val="00054A15"/>
    <w:rsid w:val="00055BA3"/>
    <w:rsid w:val="00063C93"/>
    <w:rsid w:val="000743F6"/>
    <w:rsid w:val="00077E19"/>
    <w:rsid w:val="00083800"/>
    <w:rsid w:val="0008423D"/>
    <w:rsid w:val="000842A1"/>
    <w:rsid w:val="0008794D"/>
    <w:rsid w:val="00090DD6"/>
    <w:rsid w:val="0009110B"/>
    <w:rsid w:val="00091C62"/>
    <w:rsid w:val="00091E84"/>
    <w:rsid w:val="00096084"/>
    <w:rsid w:val="000969C5"/>
    <w:rsid w:val="00096B56"/>
    <w:rsid w:val="0009701C"/>
    <w:rsid w:val="000A32D7"/>
    <w:rsid w:val="000B299F"/>
    <w:rsid w:val="000B3BA4"/>
    <w:rsid w:val="000C1C52"/>
    <w:rsid w:val="000C3CB9"/>
    <w:rsid w:val="000C3DF6"/>
    <w:rsid w:val="000D1887"/>
    <w:rsid w:val="000E3E55"/>
    <w:rsid w:val="000E7A02"/>
    <w:rsid w:val="000F03B0"/>
    <w:rsid w:val="000F2BAB"/>
    <w:rsid w:val="000F5135"/>
    <w:rsid w:val="000F514A"/>
    <w:rsid w:val="000F7034"/>
    <w:rsid w:val="000F71DC"/>
    <w:rsid w:val="001006A5"/>
    <w:rsid w:val="00100FFF"/>
    <w:rsid w:val="00102FCF"/>
    <w:rsid w:val="00105D2B"/>
    <w:rsid w:val="001132D3"/>
    <w:rsid w:val="001132D5"/>
    <w:rsid w:val="001156FE"/>
    <w:rsid w:val="00117C1C"/>
    <w:rsid w:val="00130508"/>
    <w:rsid w:val="00135C10"/>
    <w:rsid w:val="00144C7F"/>
    <w:rsid w:val="001515C1"/>
    <w:rsid w:val="001601AE"/>
    <w:rsid w:val="00160A74"/>
    <w:rsid w:val="00166135"/>
    <w:rsid w:val="00167F3B"/>
    <w:rsid w:val="00173C87"/>
    <w:rsid w:val="00176A68"/>
    <w:rsid w:val="00184798"/>
    <w:rsid w:val="00185DDD"/>
    <w:rsid w:val="001862FA"/>
    <w:rsid w:val="00186849"/>
    <w:rsid w:val="001A0110"/>
    <w:rsid w:val="001A2634"/>
    <w:rsid w:val="001A2E2B"/>
    <w:rsid w:val="001A314D"/>
    <w:rsid w:val="001A438F"/>
    <w:rsid w:val="001A6506"/>
    <w:rsid w:val="001A7696"/>
    <w:rsid w:val="001B4C4B"/>
    <w:rsid w:val="001C2717"/>
    <w:rsid w:val="001C5712"/>
    <w:rsid w:val="001C70A8"/>
    <w:rsid w:val="001D29E1"/>
    <w:rsid w:val="001D3B6A"/>
    <w:rsid w:val="001D4236"/>
    <w:rsid w:val="001D752D"/>
    <w:rsid w:val="001D7C77"/>
    <w:rsid w:val="001E108A"/>
    <w:rsid w:val="001E1227"/>
    <w:rsid w:val="001E2075"/>
    <w:rsid w:val="001E6C46"/>
    <w:rsid w:val="001F06E8"/>
    <w:rsid w:val="001F74C8"/>
    <w:rsid w:val="0020212C"/>
    <w:rsid w:val="002033A8"/>
    <w:rsid w:val="00206F87"/>
    <w:rsid w:val="00211737"/>
    <w:rsid w:val="00212127"/>
    <w:rsid w:val="00212923"/>
    <w:rsid w:val="00212C35"/>
    <w:rsid w:val="00213F3A"/>
    <w:rsid w:val="00215598"/>
    <w:rsid w:val="00216ECA"/>
    <w:rsid w:val="002223BF"/>
    <w:rsid w:val="00222C74"/>
    <w:rsid w:val="002241B4"/>
    <w:rsid w:val="0022655D"/>
    <w:rsid w:val="00226E98"/>
    <w:rsid w:val="00230073"/>
    <w:rsid w:val="00231DEE"/>
    <w:rsid w:val="00240072"/>
    <w:rsid w:val="00242453"/>
    <w:rsid w:val="00251F0E"/>
    <w:rsid w:val="00251FA1"/>
    <w:rsid w:val="00255AA5"/>
    <w:rsid w:val="00261399"/>
    <w:rsid w:val="00262701"/>
    <w:rsid w:val="00263521"/>
    <w:rsid w:val="0026725F"/>
    <w:rsid w:val="00270FAF"/>
    <w:rsid w:val="00271764"/>
    <w:rsid w:val="00271FB9"/>
    <w:rsid w:val="002720B1"/>
    <w:rsid w:val="00272F50"/>
    <w:rsid w:val="002734C6"/>
    <w:rsid w:val="002772EA"/>
    <w:rsid w:val="002778E5"/>
    <w:rsid w:val="00280A97"/>
    <w:rsid w:val="00287A56"/>
    <w:rsid w:val="00291127"/>
    <w:rsid w:val="002913A8"/>
    <w:rsid w:val="00294373"/>
    <w:rsid w:val="002943C6"/>
    <w:rsid w:val="002967D0"/>
    <w:rsid w:val="002A18BA"/>
    <w:rsid w:val="002A4EB4"/>
    <w:rsid w:val="002A7D20"/>
    <w:rsid w:val="002B06BB"/>
    <w:rsid w:val="002B1E81"/>
    <w:rsid w:val="002B6AEC"/>
    <w:rsid w:val="002D1D10"/>
    <w:rsid w:val="002D56EB"/>
    <w:rsid w:val="002D585D"/>
    <w:rsid w:val="002D67E5"/>
    <w:rsid w:val="002D67F4"/>
    <w:rsid w:val="002D767A"/>
    <w:rsid w:val="002E074C"/>
    <w:rsid w:val="002E2FFF"/>
    <w:rsid w:val="002E593B"/>
    <w:rsid w:val="002E6810"/>
    <w:rsid w:val="002F09EF"/>
    <w:rsid w:val="002F1E47"/>
    <w:rsid w:val="002F4255"/>
    <w:rsid w:val="002F71C8"/>
    <w:rsid w:val="003047DA"/>
    <w:rsid w:val="003102D2"/>
    <w:rsid w:val="003108D3"/>
    <w:rsid w:val="00313966"/>
    <w:rsid w:val="003141B5"/>
    <w:rsid w:val="00314999"/>
    <w:rsid w:val="00323ADA"/>
    <w:rsid w:val="00325C5A"/>
    <w:rsid w:val="003267C3"/>
    <w:rsid w:val="00326E83"/>
    <w:rsid w:val="00330BAC"/>
    <w:rsid w:val="00330CFD"/>
    <w:rsid w:val="0033282A"/>
    <w:rsid w:val="003347C8"/>
    <w:rsid w:val="00336735"/>
    <w:rsid w:val="00337376"/>
    <w:rsid w:val="00342457"/>
    <w:rsid w:val="00343595"/>
    <w:rsid w:val="00344829"/>
    <w:rsid w:val="00345B71"/>
    <w:rsid w:val="00346A9A"/>
    <w:rsid w:val="00350F03"/>
    <w:rsid w:val="00352129"/>
    <w:rsid w:val="00353D8A"/>
    <w:rsid w:val="00356925"/>
    <w:rsid w:val="00360ED6"/>
    <w:rsid w:val="00363955"/>
    <w:rsid w:val="00371FFC"/>
    <w:rsid w:val="0037359F"/>
    <w:rsid w:val="00373EC2"/>
    <w:rsid w:val="00381B87"/>
    <w:rsid w:val="00383A7E"/>
    <w:rsid w:val="0038480B"/>
    <w:rsid w:val="00392C4F"/>
    <w:rsid w:val="0039579C"/>
    <w:rsid w:val="00396802"/>
    <w:rsid w:val="003A032F"/>
    <w:rsid w:val="003A09F9"/>
    <w:rsid w:val="003A0DE8"/>
    <w:rsid w:val="003A412C"/>
    <w:rsid w:val="003A4166"/>
    <w:rsid w:val="003A4382"/>
    <w:rsid w:val="003A797D"/>
    <w:rsid w:val="003B0F1B"/>
    <w:rsid w:val="003B4BB0"/>
    <w:rsid w:val="003B617F"/>
    <w:rsid w:val="003C13B2"/>
    <w:rsid w:val="003C30D6"/>
    <w:rsid w:val="003C3CBD"/>
    <w:rsid w:val="003D073E"/>
    <w:rsid w:val="003D0F2F"/>
    <w:rsid w:val="003E1083"/>
    <w:rsid w:val="003F10CB"/>
    <w:rsid w:val="003F1C09"/>
    <w:rsid w:val="003F2DE3"/>
    <w:rsid w:val="003F35D5"/>
    <w:rsid w:val="003F7FB3"/>
    <w:rsid w:val="0040243C"/>
    <w:rsid w:val="0040434D"/>
    <w:rsid w:val="00406B8A"/>
    <w:rsid w:val="00406C0E"/>
    <w:rsid w:val="00406ED5"/>
    <w:rsid w:val="00417E52"/>
    <w:rsid w:val="00420893"/>
    <w:rsid w:val="00421670"/>
    <w:rsid w:val="00421987"/>
    <w:rsid w:val="004223C3"/>
    <w:rsid w:val="00423778"/>
    <w:rsid w:val="00423B85"/>
    <w:rsid w:val="00424151"/>
    <w:rsid w:val="00434556"/>
    <w:rsid w:val="00434704"/>
    <w:rsid w:val="00436823"/>
    <w:rsid w:val="00437948"/>
    <w:rsid w:val="0044499A"/>
    <w:rsid w:val="00446703"/>
    <w:rsid w:val="00447D05"/>
    <w:rsid w:val="00451A44"/>
    <w:rsid w:val="00452583"/>
    <w:rsid w:val="004525BD"/>
    <w:rsid w:val="00453BE6"/>
    <w:rsid w:val="00453F4D"/>
    <w:rsid w:val="00457AF6"/>
    <w:rsid w:val="0046670F"/>
    <w:rsid w:val="004679F6"/>
    <w:rsid w:val="0047089B"/>
    <w:rsid w:val="00475127"/>
    <w:rsid w:val="00475B37"/>
    <w:rsid w:val="00477222"/>
    <w:rsid w:val="00480E46"/>
    <w:rsid w:val="004878BF"/>
    <w:rsid w:val="004A14AB"/>
    <w:rsid w:val="004A2235"/>
    <w:rsid w:val="004A37D7"/>
    <w:rsid w:val="004A5471"/>
    <w:rsid w:val="004A6227"/>
    <w:rsid w:val="004B0D48"/>
    <w:rsid w:val="004B3AF8"/>
    <w:rsid w:val="004B741B"/>
    <w:rsid w:val="004C14E4"/>
    <w:rsid w:val="004C5157"/>
    <w:rsid w:val="004C5F42"/>
    <w:rsid w:val="004C6CEC"/>
    <w:rsid w:val="004D4280"/>
    <w:rsid w:val="004D4DA5"/>
    <w:rsid w:val="004D5A59"/>
    <w:rsid w:val="004E29C8"/>
    <w:rsid w:val="004E3A41"/>
    <w:rsid w:val="004E448A"/>
    <w:rsid w:val="004E79DD"/>
    <w:rsid w:val="004F03CA"/>
    <w:rsid w:val="004F0FE2"/>
    <w:rsid w:val="004F6041"/>
    <w:rsid w:val="00500526"/>
    <w:rsid w:val="0050095E"/>
    <w:rsid w:val="00500EB2"/>
    <w:rsid w:val="00502518"/>
    <w:rsid w:val="00503365"/>
    <w:rsid w:val="00504BBE"/>
    <w:rsid w:val="00505437"/>
    <w:rsid w:val="00506565"/>
    <w:rsid w:val="005075AD"/>
    <w:rsid w:val="005076EC"/>
    <w:rsid w:val="00512CF3"/>
    <w:rsid w:val="005132B3"/>
    <w:rsid w:val="00513B27"/>
    <w:rsid w:val="00521460"/>
    <w:rsid w:val="00522431"/>
    <w:rsid w:val="00522850"/>
    <w:rsid w:val="005311E9"/>
    <w:rsid w:val="00531378"/>
    <w:rsid w:val="00537063"/>
    <w:rsid w:val="005408D5"/>
    <w:rsid w:val="00544C83"/>
    <w:rsid w:val="00544CF5"/>
    <w:rsid w:val="00547B24"/>
    <w:rsid w:val="005501C8"/>
    <w:rsid w:val="0055442C"/>
    <w:rsid w:val="00556235"/>
    <w:rsid w:val="00556452"/>
    <w:rsid w:val="00556ABD"/>
    <w:rsid w:val="00556D7E"/>
    <w:rsid w:val="00557516"/>
    <w:rsid w:val="0056215F"/>
    <w:rsid w:val="0056492C"/>
    <w:rsid w:val="00566851"/>
    <w:rsid w:val="0056752C"/>
    <w:rsid w:val="00571955"/>
    <w:rsid w:val="00572728"/>
    <w:rsid w:val="005736D7"/>
    <w:rsid w:val="00577685"/>
    <w:rsid w:val="0058176E"/>
    <w:rsid w:val="005834B1"/>
    <w:rsid w:val="00585D6B"/>
    <w:rsid w:val="005868D4"/>
    <w:rsid w:val="00586B94"/>
    <w:rsid w:val="00591F63"/>
    <w:rsid w:val="005949A3"/>
    <w:rsid w:val="005969FC"/>
    <w:rsid w:val="00597582"/>
    <w:rsid w:val="005A08F2"/>
    <w:rsid w:val="005A4E71"/>
    <w:rsid w:val="005A5708"/>
    <w:rsid w:val="005A7679"/>
    <w:rsid w:val="005B0342"/>
    <w:rsid w:val="005B20E5"/>
    <w:rsid w:val="005C01F7"/>
    <w:rsid w:val="005C4B59"/>
    <w:rsid w:val="005C61AA"/>
    <w:rsid w:val="005D2A87"/>
    <w:rsid w:val="005D334E"/>
    <w:rsid w:val="005D43CF"/>
    <w:rsid w:val="005D4715"/>
    <w:rsid w:val="005E3C56"/>
    <w:rsid w:val="005E48C3"/>
    <w:rsid w:val="005F0648"/>
    <w:rsid w:val="005F1891"/>
    <w:rsid w:val="005F305E"/>
    <w:rsid w:val="005F416F"/>
    <w:rsid w:val="005F43F2"/>
    <w:rsid w:val="00601005"/>
    <w:rsid w:val="00601DBB"/>
    <w:rsid w:val="00602D32"/>
    <w:rsid w:val="00611481"/>
    <w:rsid w:val="00620E57"/>
    <w:rsid w:val="00626E28"/>
    <w:rsid w:val="00630074"/>
    <w:rsid w:val="0063010C"/>
    <w:rsid w:val="00636BBF"/>
    <w:rsid w:val="00637DC5"/>
    <w:rsid w:val="0064000F"/>
    <w:rsid w:val="0064280D"/>
    <w:rsid w:val="00645356"/>
    <w:rsid w:val="00647D43"/>
    <w:rsid w:val="006534AE"/>
    <w:rsid w:val="0065512B"/>
    <w:rsid w:val="0066002A"/>
    <w:rsid w:val="00664E52"/>
    <w:rsid w:val="006750A4"/>
    <w:rsid w:val="0067601F"/>
    <w:rsid w:val="00680597"/>
    <w:rsid w:val="006807DE"/>
    <w:rsid w:val="00685EA2"/>
    <w:rsid w:val="006863B2"/>
    <w:rsid w:val="00687A21"/>
    <w:rsid w:val="00691555"/>
    <w:rsid w:val="006942BC"/>
    <w:rsid w:val="006961BE"/>
    <w:rsid w:val="006979F2"/>
    <w:rsid w:val="00697EBC"/>
    <w:rsid w:val="006A1DCC"/>
    <w:rsid w:val="006A3B71"/>
    <w:rsid w:val="006A53D6"/>
    <w:rsid w:val="006A5FF9"/>
    <w:rsid w:val="006B1213"/>
    <w:rsid w:val="006B3ECF"/>
    <w:rsid w:val="006B4A4A"/>
    <w:rsid w:val="006B4FF6"/>
    <w:rsid w:val="006B78B4"/>
    <w:rsid w:val="006C1C5B"/>
    <w:rsid w:val="006C3187"/>
    <w:rsid w:val="006C4D6B"/>
    <w:rsid w:val="006D4825"/>
    <w:rsid w:val="006D59CA"/>
    <w:rsid w:val="006D63C6"/>
    <w:rsid w:val="006D6C05"/>
    <w:rsid w:val="006E14DC"/>
    <w:rsid w:val="006E2C43"/>
    <w:rsid w:val="006E3F06"/>
    <w:rsid w:val="006E4B66"/>
    <w:rsid w:val="006F1BD7"/>
    <w:rsid w:val="006F22CB"/>
    <w:rsid w:val="006F3FB8"/>
    <w:rsid w:val="006F687E"/>
    <w:rsid w:val="006F7112"/>
    <w:rsid w:val="006F7A9E"/>
    <w:rsid w:val="007036CF"/>
    <w:rsid w:val="00703723"/>
    <w:rsid w:val="007065AF"/>
    <w:rsid w:val="00707CBE"/>
    <w:rsid w:val="007120B1"/>
    <w:rsid w:val="007126F2"/>
    <w:rsid w:val="00712D0D"/>
    <w:rsid w:val="0071746D"/>
    <w:rsid w:val="00717584"/>
    <w:rsid w:val="00720095"/>
    <w:rsid w:val="00722EB0"/>
    <w:rsid w:val="007270D6"/>
    <w:rsid w:val="00727AA3"/>
    <w:rsid w:val="007325D9"/>
    <w:rsid w:val="00740E0E"/>
    <w:rsid w:val="00740FE9"/>
    <w:rsid w:val="00742206"/>
    <w:rsid w:val="00742315"/>
    <w:rsid w:val="00743986"/>
    <w:rsid w:val="007454E0"/>
    <w:rsid w:val="00746EA0"/>
    <w:rsid w:val="007500DB"/>
    <w:rsid w:val="00751306"/>
    <w:rsid w:val="00762168"/>
    <w:rsid w:val="00763543"/>
    <w:rsid w:val="00765C97"/>
    <w:rsid w:val="00771200"/>
    <w:rsid w:val="00774190"/>
    <w:rsid w:val="00777D39"/>
    <w:rsid w:val="00780AAD"/>
    <w:rsid w:val="00781904"/>
    <w:rsid w:val="007873E9"/>
    <w:rsid w:val="00790E7C"/>
    <w:rsid w:val="007A057F"/>
    <w:rsid w:val="007A3F59"/>
    <w:rsid w:val="007A49BA"/>
    <w:rsid w:val="007A4A73"/>
    <w:rsid w:val="007A6BB9"/>
    <w:rsid w:val="007A7936"/>
    <w:rsid w:val="007A7D53"/>
    <w:rsid w:val="007A7FFD"/>
    <w:rsid w:val="007B0BD1"/>
    <w:rsid w:val="007B0E0C"/>
    <w:rsid w:val="007B500D"/>
    <w:rsid w:val="007B5FFE"/>
    <w:rsid w:val="007C0F8D"/>
    <w:rsid w:val="007C2265"/>
    <w:rsid w:val="007C257B"/>
    <w:rsid w:val="007C31E4"/>
    <w:rsid w:val="007C5712"/>
    <w:rsid w:val="007D09F9"/>
    <w:rsid w:val="007D734D"/>
    <w:rsid w:val="007E0409"/>
    <w:rsid w:val="007E4425"/>
    <w:rsid w:val="007E4EED"/>
    <w:rsid w:val="007E798F"/>
    <w:rsid w:val="007E7F8A"/>
    <w:rsid w:val="007F1BEE"/>
    <w:rsid w:val="007F34D8"/>
    <w:rsid w:val="007F42FE"/>
    <w:rsid w:val="007F6974"/>
    <w:rsid w:val="00804780"/>
    <w:rsid w:val="008058B0"/>
    <w:rsid w:val="00806DA4"/>
    <w:rsid w:val="00807FE5"/>
    <w:rsid w:val="0081251B"/>
    <w:rsid w:val="008125F3"/>
    <w:rsid w:val="00814E81"/>
    <w:rsid w:val="00816F5C"/>
    <w:rsid w:val="00820DD9"/>
    <w:rsid w:val="00822CA8"/>
    <w:rsid w:val="00826ECB"/>
    <w:rsid w:val="00827331"/>
    <w:rsid w:val="00827426"/>
    <w:rsid w:val="00827762"/>
    <w:rsid w:val="008302C7"/>
    <w:rsid w:val="00833C0A"/>
    <w:rsid w:val="00834020"/>
    <w:rsid w:val="00836694"/>
    <w:rsid w:val="00844D2F"/>
    <w:rsid w:val="008507E3"/>
    <w:rsid w:val="0085161C"/>
    <w:rsid w:val="00851CCB"/>
    <w:rsid w:val="00852955"/>
    <w:rsid w:val="00854C34"/>
    <w:rsid w:val="00855412"/>
    <w:rsid w:val="0086198A"/>
    <w:rsid w:val="00862B0B"/>
    <w:rsid w:val="008642E4"/>
    <w:rsid w:val="00865CD7"/>
    <w:rsid w:val="0087393B"/>
    <w:rsid w:val="008750F9"/>
    <w:rsid w:val="00875C7E"/>
    <w:rsid w:val="00880C1F"/>
    <w:rsid w:val="00880CF1"/>
    <w:rsid w:val="00881C26"/>
    <w:rsid w:val="0088229D"/>
    <w:rsid w:val="00884899"/>
    <w:rsid w:val="00885D49"/>
    <w:rsid w:val="00886E9F"/>
    <w:rsid w:val="00887ED0"/>
    <w:rsid w:val="0089108C"/>
    <w:rsid w:val="0089195B"/>
    <w:rsid w:val="008949E8"/>
    <w:rsid w:val="0089674E"/>
    <w:rsid w:val="00897990"/>
    <w:rsid w:val="008A07FA"/>
    <w:rsid w:val="008A2795"/>
    <w:rsid w:val="008A3C4F"/>
    <w:rsid w:val="008A7B14"/>
    <w:rsid w:val="008B19E0"/>
    <w:rsid w:val="008B2191"/>
    <w:rsid w:val="008B452C"/>
    <w:rsid w:val="008B7ECE"/>
    <w:rsid w:val="008C41EA"/>
    <w:rsid w:val="008C5163"/>
    <w:rsid w:val="008C5916"/>
    <w:rsid w:val="008C5AB2"/>
    <w:rsid w:val="008C5CA9"/>
    <w:rsid w:val="008C5FD5"/>
    <w:rsid w:val="008D04D1"/>
    <w:rsid w:val="008D135F"/>
    <w:rsid w:val="008D136E"/>
    <w:rsid w:val="008D660E"/>
    <w:rsid w:val="008D6FD3"/>
    <w:rsid w:val="008D76F5"/>
    <w:rsid w:val="008E01DC"/>
    <w:rsid w:val="008E04E2"/>
    <w:rsid w:val="008E51E8"/>
    <w:rsid w:val="008E6161"/>
    <w:rsid w:val="008E77BF"/>
    <w:rsid w:val="008F4838"/>
    <w:rsid w:val="00906FB2"/>
    <w:rsid w:val="00912F54"/>
    <w:rsid w:val="00913E17"/>
    <w:rsid w:val="00920B67"/>
    <w:rsid w:val="0092309C"/>
    <w:rsid w:val="00926A7B"/>
    <w:rsid w:val="009270D2"/>
    <w:rsid w:val="009364E0"/>
    <w:rsid w:val="009423AE"/>
    <w:rsid w:val="00942633"/>
    <w:rsid w:val="0094401F"/>
    <w:rsid w:val="00944427"/>
    <w:rsid w:val="00946250"/>
    <w:rsid w:val="009468C9"/>
    <w:rsid w:val="00946A70"/>
    <w:rsid w:val="009476C4"/>
    <w:rsid w:val="00957305"/>
    <w:rsid w:val="00960E12"/>
    <w:rsid w:val="00964ECF"/>
    <w:rsid w:val="00965F31"/>
    <w:rsid w:val="0096736F"/>
    <w:rsid w:val="0097278C"/>
    <w:rsid w:val="009727EF"/>
    <w:rsid w:val="009736FC"/>
    <w:rsid w:val="00974ADF"/>
    <w:rsid w:val="009830DA"/>
    <w:rsid w:val="00992A69"/>
    <w:rsid w:val="00995124"/>
    <w:rsid w:val="009A00E5"/>
    <w:rsid w:val="009A2356"/>
    <w:rsid w:val="009A2626"/>
    <w:rsid w:val="009A6B70"/>
    <w:rsid w:val="009B3ABF"/>
    <w:rsid w:val="009B661D"/>
    <w:rsid w:val="009C645E"/>
    <w:rsid w:val="009D5501"/>
    <w:rsid w:val="009D6AEE"/>
    <w:rsid w:val="009E01D5"/>
    <w:rsid w:val="009E1133"/>
    <w:rsid w:val="009E1E2D"/>
    <w:rsid w:val="009E5227"/>
    <w:rsid w:val="009E7082"/>
    <w:rsid w:val="009F35D9"/>
    <w:rsid w:val="009F4532"/>
    <w:rsid w:val="009F5BF3"/>
    <w:rsid w:val="00A00E7B"/>
    <w:rsid w:val="00A02215"/>
    <w:rsid w:val="00A0486B"/>
    <w:rsid w:val="00A0531B"/>
    <w:rsid w:val="00A06262"/>
    <w:rsid w:val="00A07D34"/>
    <w:rsid w:val="00A12E23"/>
    <w:rsid w:val="00A1359F"/>
    <w:rsid w:val="00A14966"/>
    <w:rsid w:val="00A164BA"/>
    <w:rsid w:val="00A168D6"/>
    <w:rsid w:val="00A2325F"/>
    <w:rsid w:val="00A233D4"/>
    <w:rsid w:val="00A279DD"/>
    <w:rsid w:val="00A31BAD"/>
    <w:rsid w:val="00A32D4F"/>
    <w:rsid w:val="00A33E28"/>
    <w:rsid w:val="00A45AE6"/>
    <w:rsid w:val="00A4676A"/>
    <w:rsid w:val="00A53F71"/>
    <w:rsid w:val="00A552E8"/>
    <w:rsid w:val="00A57AA8"/>
    <w:rsid w:val="00A57F33"/>
    <w:rsid w:val="00A601C0"/>
    <w:rsid w:val="00A6041B"/>
    <w:rsid w:val="00A642DB"/>
    <w:rsid w:val="00A66FC9"/>
    <w:rsid w:val="00A67938"/>
    <w:rsid w:val="00A70564"/>
    <w:rsid w:val="00A71BE9"/>
    <w:rsid w:val="00A72C1E"/>
    <w:rsid w:val="00A817F3"/>
    <w:rsid w:val="00A8399F"/>
    <w:rsid w:val="00A90FE6"/>
    <w:rsid w:val="00A92B54"/>
    <w:rsid w:val="00A9604D"/>
    <w:rsid w:val="00A9662A"/>
    <w:rsid w:val="00A96B3A"/>
    <w:rsid w:val="00AA0773"/>
    <w:rsid w:val="00AA1E25"/>
    <w:rsid w:val="00AA2F4F"/>
    <w:rsid w:val="00AA505C"/>
    <w:rsid w:val="00AA54D7"/>
    <w:rsid w:val="00AA5951"/>
    <w:rsid w:val="00AB0B84"/>
    <w:rsid w:val="00AB1CB5"/>
    <w:rsid w:val="00AB1E6B"/>
    <w:rsid w:val="00AB677D"/>
    <w:rsid w:val="00AB7640"/>
    <w:rsid w:val="00AC1291"/>
    <w:rsid w:val="00AC42BE"/>
    <w:rsid w:val="00AC5BBA"/>
    <w:rsid w:val="00AC6B6A"/>
    <w:rsid w:val="00AC7850"/>
    <w:rsid w:val="00AD29B2"/>
    <w:rsid w:val="00AD51EB"/>
    <w:rsid w:val="00AD7626"/>
    <w:rsid w:val="00AD7DE4"/>
    <w:rsid w:val="00AE11AA"/>
    <w:rsid w:val="00AE6258"/>
    <w:rsid w:val="00AF31BE"/>
    <w:rsid w:val="00AF645E"/>
    <w:rsid w:val="00B10DAF"/>
    <w:rsid w:val="00B1395F"/>
    <w:rsid w:val="00B1422C"/>
    <w:rsid w:val="00B15BEB"/>
    <w:rsid w:val="00B17524"/>
    <w:rsid w:val="00B228D7"/>
    <w:rsid w:val="00B26363"/>
    <w:rsid w:val="00B31AC5"/>
    <w:rsid w:val="00B3403D"/>
    <w:rsid w:val="00B34461"/>
    <w:rsid w:val="00B36501"/>
    <w:rsid w:val="00B43F16"/>
    <w:rsid w:val="00B50B25"/>
    <w:rsid w:val="00B51145"/>
    <w:rsid w:val="00B53F5B"/>
    <w:rsid w:val="00B56793"/>
    <w:rsid w:val="00B56FF8"/>
    <w:rsid w:val="00B570EE"/>
    <w:rsid w:val="00B57462"/>
    <w:rsid w:val="00B62148"/>
    <w:rsid w:val="00B645B0"/>
    <w:rsid w:val="00B70D6C"/>
    <w:rsid w:val="00B71145"/>
    <w:rsid w:val="00B7299B"/>
    <w:rsid w:val="00B734E1"/>
    <w:rsid w:val="00B80303"/>
    <w:rsid w:val="00B836BF"/>
    <w:rsid w:val="00B85A4C"/>
    <w:rsid w:val="00B901E9"/>
    <w:rsid w:val="00B91AC9"/>
    <w:rsid w:val="00B93079"/>
    <w:rsid w:val="00BA39BF"/>
    <w:rsid w:val="00BA3F27"/>
    <w:rsid w:val="00BA5C9F"/>
    <w:rsid w:val="00BB39F8"/>
    <w:rsid w:val="00BC428E"/>
    <w:rsid w:val="00BC5860"/>
    <w:rsid w:val="00BC6D98"/>
    <w:rsid w:val="00BC7EDE"/>
    <w:rsid w:val="00BD17D5"/>
    <w:rsid w:val="00BD2672"/>
    <w:rsid w:val="00BD2F9F"/>
    <w:rsid w:val="00BD3C02"/>
    <w:rsid w:val="00BD5931"/>
    <w:rsid w:val="00BD6634"/>
    <w:rsid w:val="00BD6DD4"/>
    <w:rsid w:val="00BE386A"/>
    <w:rsid w:val="00BE5C87"/>
    <w:rsid w:val="00BE62AE"/>
    <w:rsid w:val="00BE685E"/>
    <w:rsid w:val="00BF18F1"/>
    <w:rsid w:val="00BF20E3"/>
    <w:rsid w:val="00BF2173"/>
    <w:rsid w:val="00BF31BC"/>
    <w:rsid w:val="00BF5AE8"/>
    <w:rsid w:val="00C07DAE"/>
    <w:rsid w:val="00C14596"/>
    <w:rsid w:val="00C146FB"/>
    <w:rsid w:val="00C14A60"/>
    <w:rsid w:val="00C158F3"/>
    <w:rsid w:val="00C16FBE"/>
    <w:rsid w:val="00C21860"/>
    <w:rsid w:val="00C2377C"/>
    <w:rsid w:val="00C23EC3"/>
    <w:rsid w:val="00C24960"/>
    <w:rsid w:val="00C25039"/>
    <w:rsid w:val="00C3026C"/>
    <w:rsid w:val="00C319CC"/>
    <w:rsid w:val="00C40202"/>
    <w:rsid w:val="00C4089E"/>
    <w:rsid w:val="00C4156C"/>
    <w:rsid w:val="00C43E60"/>
    <w:rsid w:val="00C447D4"/>
    <w:rsid w:val="00C46CEE"/>
    <w:rsid w:val="00C46ECD"/>
    <w:rsid w:val="00C54A3B"/>
    <w:rsid w:val="00C55E92"/>
    <w:rsid w:val="00C57372"/>
    <w:rsid w:val="00C60B90"/>
    <w:rsid w:val="00C635A9"/>
    <w:rsid w:val="00C640C1"/>
    <w:rsid w:val="00C67073"/>
    <w:rsid w:val="00C715F8"/>
    <w:rsid w:val="00C71857"/>
    <w:rsid w:val="00C82729"/>
    <w:rsid w:val="00C83F35"/>
    <w:rsid w:val="00C86F77"/>
    <w:rsid w:val="00C9028A"/>
    <w:rsid w:val="00C93282"/>
    <w:rsid w:val="00C94DF9"/>
    <w:rsid w:val="00C97EA9"/>
    <w:rsid w:val="00CA26DD"/>
    <w:rsid w:val="00CA38C6"/>
    <w:rsid w:val="00CA406A"/>
    <w:rsid w:val="00CA413D"/>
    <w:rsid w:val="00CA4531"/>
    <w:rsid w:val="00CA5A1D"/>
    <w:rsid w:val="00CB1057"/>
    <w:rsid w:val="00CB1664"/>
    <w:rsid w:val="00CB5E19"/>
    <w:rsid w:val="00CB6750"/>
    <w:rsid w:val="00CC14D2"/>
    <w:rsid w:val="00CC3F71"/>
    <w:rsid w:val="00CC424A"/>
    <w:rsid w:val="00CC5F1B"/>
    <w:rsid w:val="00CD10E5"/>
    <w:rsid w:val="00CD365E"/>
    <w:rsid w:val="00CD4FE2"/>
    <w:rsid w:val="00CD62B2"/>
    <w:rsid w:val="00CD7BCA"/>
    <w:rsid w:val="00CE2E3A"/>
    <w:rsid w:val="00CE461C"/>
    <w:rsid w:val="00CE4753"/>
    <w:rsid w:val="00CE7C17"/>
    <w:rsid w:val="00CF0F22"/>
    <w:rsid w:val="00CF3160"/>
    <w:rsid w:val="00CF76B5"/>
    <w:rsid w:val="00D01FCF"/>
    <w:rsid w:val="00D03A75"/>
    <w:rsid w:val="00D04083"/>
    <w:rsid w:val="00D042D1"/>
    <w:rsid w:val="00D04E2C"/>
    <w:rsid w:val="00D05AD8"/>
    <w:rsid w:val="00D05DB2"/>
    <w:rsid w:val="00D06AA5"/>
    <w:rsid w:val="00D10845"/>
    <w:rsid w:val="00D1107B"/>
    <w:rsid w:val="00D1284B"/>
    <w:rsid w:val="00D12E17"/>
    <w:rsid w:val="00D13A0E"/>
    <w:rsid w:val="00D20129"/>
    <w:rsid w:val="00D2041D"/>
    <w:rsid w:val="00D2121E"/>
    <w:rsid w:val="00D21F74"/>
    <w:rsid w:val="00D24C70"/>
    <w:rsid w:val="00D274B2"/>
    <w:rsid w:val="00D33759"/>
    <w:rsid w:val="00D35E42"/>
    <w:rsid w:val="00D42471"/>
    <w:rsid w:val="00D44A28"/>
    <w:rsid w:val="00D468DB"/>
    <w:rsid w:val="00D46A08"/>
    <w:rsid w:val="00D46ABD"/>
    <w:rsid w:val="00D4791F"/>
    <w:rsid w:val="00D550E9"/>
    <w:rsid w:val="00D60C8C"/>
    <w:rsid w:val="00D661BD"/>
    <w:rsid w:val="00D66E38"/>
    <w:rsid w:val="00D67C8C"/>
    <w:rsid w:val="00D7117C"/>
    <w:rsid w:val="00D72420"/>
    <w:rsid w:val="00D75785"/>
    <w:rsid w:val="00D76A9E"/>
    <w:rsid w:val="00D77A21"/>
    <w:rsid w:val="00D82733"/>
    <w:rsid w:val="00D830F1"/>
    <w:rsid w:val="00D84865"/>
    <w:rsid w:val="00D858AB"/>
    <w:rsid w:val="00D86776"/>
    <w:rsid w:val="00D947F0"/>
    <w:rsid w:val="00D9505C"/>
    <w:rsid w:val="00D951F0"/>
    <w:rsid w:val="00D957FB"/>
    <w:rsid w:val="00D96A71"/>
    <w:rsid w:val="00D96D9A"/>
    <w:rsid w:val="00DA15EC"/>
    <w:rsid w:val="00DA1F74"/>
    <w:rsid w:val="00DA3BEA"/>
    <w:rsid w:val="00DA4C8A"/>
    <w:rsid w:val="00DA6960"/>
    <w:rsid w:val="00DB3847"/>
    <w:rsid w:val="00DC1020"/>
    <w:rsid w:val="00DC56AD"/>
    <w:rsid w:val="00DC5ED1"/>
    <w:rsid w:val="00DD06C6"/>
    <w:rsid w:val="00DD340B"/>
    <w:rsid w:val="00DD5D94"/>
    <w:rsid w:val="00DD6C55"/>
    <w:rsid w:val="00DE009D"/>
    <w:rsid w:val="00DE5435"/>
    <w:rsid w:val="00DE5D99"/>
    <w:rsid w:val="00DE7637"/>
    <w:rsid w:val="00DF1774"/>
    <w:rsid w:val="00DF1904"/>
    <w:rsid w:val="00DF6070"/>
    <w:rsid w:val="00DF6486"/>
    <w:rsid w:val="00DF65AF"/>
    <w:rsid w:val="00DF699B"/>
    <w:rsid w:val="00DF74CE"/>
    <w:rsid w:val="00E00935"/>
    <w:rsid w:val="00E020DB"/>
    <w:rsid w:val="00E03A52"/>
    <w:rsid w:val="00E04AEC"/>
    <w:rsid w:val="00E04B90"/>
    <w:rsid w:val="00E173CF"/>
    <w:rsid w:val="00E2216D"/>
    <w:rsid w:val="00E2603C"/>
    <w:rsid w:val="00E307ED"/>
    <w:rsid w:val="00E318E8"/>
    <w:rsid w:val="00E31922"/>
    <w:rsid w:val="00E31DBB"/>
    <w:rsid w:val="00E32797"/>
    <w:rsid w:val="00E351EA"/>
    <w:rsid w:val="00E409C1"/>
    <w:rsid w:val="00E41116"/>
    <w:rsid w:val="00E47D07"/>
    <w:rsid w:val="00E47FD6"/>
    <w:rsid w:val="00E51226"/>
    <w:rsid w:val="00E53E52"/>
    <w:rsid w:val="00E54C31"/>
    <w:rsid w:val="00E5571E"/>
    <w:rsid w:val="00E55793"/>
    <w:rsid w:val="00E565B8"/>
    <w:rsid w:val="00E57733"/>
    <w:rsid w:val="00E609A2"/>
    <w:rsid w:val="00E65A30"/>
    <w:rsid w:val="00E667C0"/>
    <w:rsid w:val="00E67E46"/>
    <w:rsid w:val="00E71CC3"/>
    <w:rsid w:val="00E77F39"/>
    <w:rsid w:val="00E80A8D"/>
    <w:rsid w:val="00E860C9"/>
    <w:rsid w:val="00E8749C"/>
    <w:rsid w:val="00E9361C"/>
    <w:rsid w:val="00E962E8"/>
    <w:rsid w:val="00E978A0"/>
    <w:rsid w:val="00EA2718"/>
    <w:rsid w:val="00EA4527"/>
    <w:rsid w:val="00EA7435"/>
    <w:rsid w:val="00EB67F8"/>
    <w:rsid w:val="00EB7036"/>
    <w:rsid w:val="00EC02F2"/>
    <w:rsid w:val="00EC0FE1"/>
    <w:rsid w:val="00EC45C6"/>
    <w:rsid w:val="00EC48C7"/>
    <w:rsid w:val="00ED6AB0"/>
    <w:rsid w:val="00EE7B39"/>
    <w:rsid w:val="00EF333B"/>
    <w:rsid w:val="00EF648E"/>
    <w:rsid w:val="00EF703F"/>
    <w:rsid w:val="00F00258"/>
    <w:rsid w:val="00F015C0"/>
    <w:rsid w:val="00F03A1F"/>
    <w:rsid w:val="00F05A86"/>
    <w:rsid w:val="00F062A4"/>
    <w:rsid w:val="00F066B4"/>
    <w:rsid w:val="00F10C36"/>
    <w:rsid w:val="00F121DE"/>
    <w:rsid w:val="00F13115"/>
    <w:rsid w:val="00F133C7"/>
    <w:rsid w:val="00F155C1"/>
    <w:rsid w:val="00F23230"/>
    <w:rsid w:val="00F24ADE"/>
    <w:rsid w:val="00F264E2"/>
    <w:rsid w:val="00F27E84"/>
    <w:rsid w:val="00F33BC0"/>
    <w:rsid w:val="00F34594"/>
    <w:rsid w:val="00F35580"/>
    <w:rsid w:val="00F355A9"/>
    <w:rsid w:val="00F35F95"/>
    <w:rsid w:val="00F4062D"/>
    <w:rsid w:val="00F409F4"/>
    <w:rsid w:val="00F419CB"/>
    <w:rsid w:val="00F41ACF"/>
    <w:rsid w:val="00F463E9"/>
    <w:rsid w:val="00F46E8D"/>
    <w:rsid w:val="00F470C3"/>
    <w:rsid w:val="00F50006"/>
    <w:rsid w:val="00F51248"/>
    <w:rsid w:val="00F7092B"/>
    <w:rsid w:val="00F7163E"/>
    <w:rsid w:val="00F71718"/>
    <w:rsid w:val="00F7236C"/>
    <w:rsid w:val="00F74826"/>
    <w:rsid w:val="00F75325"/>
    <w:rsid w:val="00F85E7A"/>
    <w:rsid w:val="00F8749F"/>
    <w:rsid w:val="00F9152A"/>
    <w:rsid w:val="00F92DDC"/>
    <w:rsid w:val="00FA2025"/>
    <w:rsid w:val="00FA2249"/>
    <w:rsid w:val="00FA55F1"/>
    <w:rsid w:val="00FA724B"/>
    <w:rsid w:val="00FB0751"/>
    <w:rsid w:val="00FB1F69"/>
    <w:rsid w:val="00FB2F4E"/>
    <w:rsid w:val="00FB75DD"/>
    <w:rsid w:val="00FC14A7"/>
    <w:rsid w:val="00FD7FD3"/>
    <w:rsid w:val="00FE0835"/>
    <w:rsid w:val="00FE3B2C"/>
    <w:rsid w:val="00FE60D5"/>
    <w:rsid w:val="00FE6704"/>
    <w:rsid w:val="00FE77BA"/>
    <w:rsid w:val="00FF03D1"/>
    <w:rsid w:val="00FF30BF"/>
    <w:rsid w:val="01B24F01"/>
    <w:rsid w:val="01FA22B3"/>
    <w:rsid w:val="02B44AB4"/>
    <w:rsid w:val="02D0730E"/>
    <w:rsid w:val="03CB11EF"/>
    <w:rsid w:val="04EA3D84"/>
    <w:rsid w:val="05180DCE"/>
    <w:rsid w:val="05453FE3"/>
    <w:rsid w:val="05482261"/>
    <w:rsid w:val="05E932F4"/>
    <w:rsid w:val="061518FB"/>
    <w:rsid w:val="06616879"/>
    <w:rsid w:val="073B5B85"/>
    <w:rsid w:val="07440D07"/>
    <w:rsid w:val="099919D6"/>
    <w:rsid w:val="0A085412"/>
    <w:rsid w:val="0AD17467"/>
    <w:rsid w:val="0B6B0371"/>
    <w:rsid w:val="0BD012A8"/>
    <w:rsid w:val="0C9703BA"/>
    <w:rsid w:val="0D1150F2"/>
    <w:rsid w:val="0D1B1BBB"/>
    <w:rsid w:val="0D323213"/>
    <w:rsid w:val="0D5A09D3"/>
    <w:rsid w:val="0DB42D83"/>
    <w:rsid w:val="0DEC4F05"/>
    <w:rsid w:val="0E434AA8"/>
    <w:rsid w:val="0EE23527"/>
    <w:rsid w:val="0F4068CB"/>
    <w:rsid w:val="0F8C280E"/>
    <w:rsid w:val="0FA7788B"/>
    <w:rsid w:val="0FC93A62"/>
    <w:rsid w:val="0FC96E06"/>
    <w:rsid w:val="10580612"/>
    <w:rsid w:val="10B35F64"/>
    <w:rsid w:val="11D54318"/>
    <w:rsid w:val="12173AB5"/>
    <w:rsid w:val="129F6211"/>
    <w:rsid w:val="12CE06B5"/>
    <w:rsid w:val="15337150"/>
    <w:rsid w:val="15D67211"/>
    <w:rsid w:val="16614423"/>
    <w:rsid w:val="16D74B9E"/>
    <w:rsid w:val="16EE370D"/>
    <w:rsid w:val="176D4508"/>
    <w:rsid w:val="179571C5"/>
    <w:rsid w:val="17DA1249"/>
    <w:rsid w:val="181F3514"/>
    <w:rsid w:val="182659C8"/>
    <w:rsid w:val="1931379E"/>
    <w:rsid w:val="1A9E245F"/>
    <w:rsid w:val="1B7549F6"/>
    <w:rsid w:val="1B8532CB"/>
    <w:rsid w:val="1BFB2CBA"/>
    <w:rsid w:val="1C1E7648"/>
    <w:rsid w:val="1C776867"/>
    <w:rsid w:val="1D300C7D"/>
    <w:rsid w:val="1D6C77E5"/>
    <w:rsid w:val="1DAE0412"/>
    <w:rsid w:val="1DD010F1"/>
    <w:rsid w:val="1E276C6D"/>
    <w:rsid w:val="1E4D432B"/>
    <w:rsid w:val="1EAB5F46"/>
    <w:rsid w:val="20075D05"/>
    <w:rsid w:val="202C70A2"/>
    <w:rsid w:val="206F45BE"/>
    <w:rsid w:val="210A0DA2"/>
    <w:rsid w:val="2119568E"/>
    <w:rsid w:val="21B35926"/>
    <w:rsid w:val="22032C24"/>
    <w:rsid w:val="22F80BD1"/>
    <w:rsid w:val="22F878FD"/>
    <w:rsid w:val="23A94888"/>
    <w:rsid w:val="242D3ABB"/>
    <w:rsid w:val="2443399D"/>
    <w:rsid w:val="24ED206F"/>
    <w:rsid w:val="24F90008"/>
    <w:rsid w:val="252B6584"/>
    <w:rsid w:val="2555423E"/>
    <w:rsid w:val="25573A28"/>
    <w:rsid w:val="25B93680"/>
    <w:rsid w:val="27723B5D"/>
    <w:rsid w:val="27CC5A46"/>
    <w:rsid w:val="28996270"/>
    <w:rsid w:val="28B20D64"/>
    <w:rsid w:val="28B211CE"/>
    <w:rsid w:val="298D2D56"/>
    <w:rsid w:val="29B60EE6"/>
    <w:rsid w:val="2A2430EF"/>
    <w:rsid w:val="2A2F574E"/>
    <w:rsid w:val="2AEC6B2B"/>
    <w:rsid w:val="2B4125A7"/>
    <w:rsid w:val="2B45448D"/>
    <w:rsid w:val="2B661A3C"/>
    <w:rsid w:val="2BEC6A86"/>
    <w:rsid w:val="2C3950E7"/>
    <w:rsid w:val="2CAB3A68"/>
    <w:rsid w:val="2DB030FD"/>
    <w:rsid w:val="2E2546AC"/>
    <w:rsid w:val="2E2D6DDD"/>
    <w:rsid w:val="2E564C05"/>
    <w:rsid w:val="2F334AB6"/>
    <w:rsid w:val="2FCA7BFF"/>
    <w:rsid w:val="30A47133"/>
    <w:rsid w:val="30A94FCD"/>
    <w:rsid w:val="31480788"/>
    <w:rsid w:val="31CC2BDA"/>
    <w:rsid w:val="31DC5891"/>
    <w:rsid w:val="32BC3AF3"/>
    <w:rsid w:val="345B3482"/>
    <w:rsid w:val="358D6E84"/>
    <w:rsid w:val="363E2844"/>
    <w:rsid w:val="36784539"/>
    <w:rsid w:val="36A64509"/>
    <w:rsid w:val="36AA789A"/>
    <w:rsid w:val="37041BA9"/>
    <w:rsid w:val="37343113"/>
    <w:rsid w:val="377A483B"/>
    <w:rsid w:val="37FD7C95"/>
    <w:rsid w:val="3821719F"/>
    <w:rsid w:val="386D6352"/>
    <w:rsid w:val="38982B9C"/>
    <w:rsid w:val="38AA1D5E"/>
    <w:rsid w:val="38E7487A"/>
    <w:rsid w:val="39660175"/>
    <w:rsid w:val="39723BAE"/>
    <w:rsid w:val="39730401"/>
    <w:rsid w:val="39FB41BC"/>
    <w:rsid w:val="3B00217F"/>
    <w:rsid w:val="3B40040D"/>
    <w:rsid w:val="3B647AAC"/>
    <w:rsid w:val="3B7A0CB0"/>
    <w:rsid w:val="3B8944D0"/>
    <w:rsid w:val="3BD916CB"/>
    <w:rsid w:val="3BE1367C"/>
    <w:rsid w:val="3BF02456"/>
    <w:rsid w:val="3CF92432"/>
    <w:rsid w:val="3D392668"/>
    <w:rsid w:val="3D820FFC"/>
    <w:rsid w:val="3EF46468"/>
    <w:rsid w:val="3F923AC5"/>
    <w:rsid w:val="400A7364"/>
    <w:rsid w:val="405E1FAB"/>
    <w:rsid w:val="410C2669"/>
    <w:rsid w:val="41546D8B"/>
    <w:rsid w:val="415F1867"/>
    <w:rsid w:val="41B4616B"/>
    <w:rsid w:val="41B70324"/>
    <w:rsid w:val="421A034B"/>
    <w:rsid w:val="423F3D4E"/>
    <w:rsid w:val="427B4399"/>
    <w:rsid w:val="429B5EBD"/>
    <w:rsid w:val="42B65C07"/>
    <w:rsid w:val="42D2280E"/>
    <w:rsid w:val="43443498"/>
    <w:rsid w:val="438B764D"/>
    <w:rsid w:val="4403147C"/>
    <w:rsid w:val="440F7DFC"/>
    <w:rsid w:val="44797325"/>
    <w:rsid w:val="44EE0500"/>
    <w:rsid w:val="456653EA"/>
    <w:rsid w:val="458E352B"/>
    <w:rsid w:val="45C256BB"/>
    <w:rsid w:val="45EB741B"/>
    <w:rsid w:val="46063934"/>
    <w:rsid w:val="460C47E4"/>
    <w:rsid w:val="463E3B5B"/>
    <w:rsid w:val="474156B1"/>
    <w:rsid w:val="482B2D03"/>
    <w:rsid w:val="484F4527"/>
    <w:rsid w:val="48D22547"/>
    <w:rsid w:val="48F7696F"/>
    <w:rsid w:val="496141AC"/>
    <w:rsid w:val="49D469EC"/>
    <w:rsid w:val="4AB77EE6"/>
    <w:rsid w:val="4B4F58DA"/>
    <w:rsid w:val="4B6C29B4"/>
    <w:rsid w:val="4BE8321F"/>
    <w:rsid w:val="4C0D22EF"/>
    <w:rsid w:val="4C75743E"/>
    <w:rsid w:val="4CA67C66"/>
    <w:rsid w:val="4CD945DE"/>
    <w:rsid w:val="4CF03284"/>
    <w:rsid w:val="4D2515D1"/>
    <w:rsid w:val="4D5306FF"/>
    <w:rsid w:val="4D9B3EA0"/>
    <w:rsid w:val="4D9F6B46"/>
    <w:rsid w:val="4DD5559F"/>
    <w:rsid w:val="4E965C4A"/>
    <w:rsid w:val="4ED548F5"/>
    <w:rsid w:val="4F7014DC"/>
    <w:rsid w:val="4FC6709B"/>
    <w:rsid w:val="50611D05"/>
    <w:rsid w:val="50F339BB"/>
    <w:rsid w:val="510B0A72"/>
    <w:rsid w:val="511107EA"/>
    <w:rsid w:val="51275014"/>
    <w:rsid w:val="51A51E37"/>
    <w:rsid w:val="523E1886"/>
    <w:rsid w:val="526D5CE7"/>
    <w:rsid w:val="52A532B4"/>
    <w:rsid w:val="52AE626B"/>
    <w:rsid w:val="533055CA"/>
    <w:rsid w:val="544C3913"/>
    <w:rsid w:val="54506176"/>
    <w:rsid w:val="54877ACD"/>
    <w:rsid w:val="54DA7145"/>
    <w:rsid w:val="54E46373"/>
    <w:rsid w:val="555962E8"/>
    <w:rsid w:val="555A1524"/>
    <w:rsid w:val="566B5E16"/>
    <w:rsid w:val="566C128D"/>
    <w:rsid w:val="571115F6"/>
    <w:rsid w:val="57A516ED"/>
    <w:rsid w:val="57D33D1E"/>
    <w:rsid w:val="58442CE2"/>
    <w:rsid w:val="585A4559"/>
    <w:rsid w:val="58790107"/>
    <w:rsid w:val="587F5D5D"/>
    <w:rsid w:val="58EC3B19"/>
    <w:rsid w:val="591E1A3A"/>
    <w:rsid w:val="598A5F51"/>
    <w:rsid w:val="59997AAB"/>
    <w:rsid w:val="5A312D8C"/>
    <w:rsid w:val="5C443CDC"/>
    <w:rsid w:val="5C895217"/>
    <w:rsid w:val="5C93396F"/>
    <w:rsid w:val="5D597AA8"/>
    <w:rsid w:val="5D990C10"/>
    <w:rsid w:val="5DB779C1"/>
    <w:rsid w:val="5DEE7DDB"/>
    <w:rsid w:val="5E151CEA"/>
    <w:rsid w:val="5E391380"/>
    <w:rsid w:val="5E524E52"/>
    <w:rsid w:val="5E72165C"/>
    <w:rsid w:val="5ECA3D86"/>
    <w:rsid w:val="5EE878A4"/>
    <w:rsid w:val="5F176892"/>
    <w:rsid w:val="5F670802"/>
    <w:rsid w:val="5FAF1CA3"/>
    <w:rsid w:val="6000637E"/>
    <w:rsid w:val="601B2BE1"/>
    <w:rsid w:val="60436A52"/>
    <w:rsid w:val="6186527A"/>
    <w:rsid w:val="61BD7BD2"/>
    <w:rsid w:val="61D447B1"/>
    <w:rsid w:val="61F73390"/>
    <w:rsid w:val="62A15CA3"/>
    <w:rsid w:val="6351587E"/>
    <w:rsid w:val="636C5ADF"/>
    <w:rsid w:val="640E0ACA"/>
    <w:rsid w:val="644D29F9"/>
    <w:rsid w:val="64595C24"/>
    <w:rsid w:val="647D54F1"/>
    <w:rsid w:val="64DB4F3F"/>
    <w:rsid w:val="65561FFD"/>
    <w:rsid w:val="657F32E3"/>
    <w:rsid w:val="65A0228E"/>
    <w:rsid w:val="65AC3FAB"/>
    <w:rsid w:val="661C5726"/>
    <w:rsid w:val="661E0ABD"/>
    <w:rsid w:val="66594549"/>
    <w:rsid w:val="66C918D4"/>
    <w:rsid w:val="67430C70"/>
    <w:rsid w:val="68026B77"/>
    <w:rsid w:val="687438BB"/>
    <w:rsid w:val="68A7238C"/>
    <w:rsid w:val="69AE1C5B"/>
    <w:rsid w:val="69F94A95"/>
    <w:rsid w:val="6ADE57C9"/>
    <w:rsid w:val="6B0F68B3"/>
    <w:rsid w:val="6B7B547B"/>
    <w:rsid w:val="6BB917FD"/>
    <w:rsid w:val="6C296590"/>
    <w:rsid w:val="6CB55AEA"/>
    <w:rsid w:val="6D1C66E8"/>
    <w:rsid w:val="6E1C7C7E"/>
    <w:rsid w:val="6E444483"/>
    <w:rsid w:val="6E610BAA"/>
    <w:rsid w:val="6E8C7902"/>
    <w:rsid w:val="6EED1B3F"/>
    <w:rsid w:val="6F1277AF"/>
    <w:rsid w:val="6F4A19CD"/>
    <w:rsid w:val="6F821349"/>
    <w:rsid w:val="6F9E2756"/>
    <w:rsid w:val="70093BF7"/>
    <w:rsid w:val="70E909E4"/>
    <w:rsid w:val="7122158B"/>
    <w:rsid w:val="7233543C"/>
    <w:rsid w:val="72F713F2"/>
    <w:rsid w:val="7309711B"/>
    <w:rsid w:val="73552881"/>
    <w:rsid w:val="735C6B51"/>
    <w:rsid w:val="7386522E"/>
    <w:rsid w:val="743A6C07"/>
    <w:rsid w:val="75327179"/>
    <w:rsid w:val="75410DE2"/>
    <w:rsid w:val="75CF37E6"/>
    <w:rsid w:val="75D520B9"/>
    <w:rsid w:val="75DC0B17"/>
    <w:rsid w:val="761D1546"/>
    <w:rsid w:val="769E4031"/>
    <w:rsid w:val="76A6728F"/>
    <w:rsid w:val="76AD7DBE"/>
    <w:rsid w:val="76C959EF"/>
    <w:rsid w:val="76FD79BD"/>
    <w:rsid w:val="7728424C"/>
    <w:rsid w:val="777B7137"/>
    <w:rsid w:val="78724169"/>
    <w:rsid w:val="787E4304"/>
    <w:rsid w:val="789939D3"/>
    <w:rsid w:val="79094CF5"/>
    <w:rsid w:val="799A6DC9"/>
    <w:rsid w:val="7A201340"/>
    <w:rsid w:val="7A2D4104"/>
    <w:rsid w:val="7A58524B"/>
    <w:rsid w:val="7AA70F70"/>
    <w:rsid w:val="7ABB762A"/>
    <w:rsid w:val="7B47480A"/>
    <w:rsid w:val="7C1E3103"/>
    <w:rsid w:val="7C5909EB"/>
    <w:rsid w:val="7CC27876"/>
    <w:rsid w:val="7CD414F2"/>
    <w:rsid w:val="7D513944"/>
    <w:rsid w:val="7D5211D3"/>
    <w:rsid w:val="7DBF4AE5"/>
    <w:rsid w:val="7DC720AD"/>
    <w:rsid w:val="7E851B39"/>
    <w:rsid w:val="7E9A4905"/>
    <w:rsid w:val="7F431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2"/>
    <w:link w:val="32"/>
    <w:qFormat/>
    <w:uiPriority w:val="99"/>
    <w:pPr>
      <w:keepNext/>
      <w:keepLines/>
      <w:spacing w:before="260" w:after="260" w:line="360" w:lineRule="auto"/>
      <w:ind w:firstLine="602" w:firstLineChars="200"/>
      <w:outlineLvl w:val="2"/>
    </w:pPr>
    <w:rPr>
      <w:rFonts w:ascii="仿宋_GB2312" w:eastAsia="仿宋_GB2312" w:cs="宋体"/>
      <w:b/>
      <w:bCs/>
      <w:sz w:val="30"/>
      <w:szCs w:val="30"/>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60"/>
    <w:unhideWhenUsed/>
    <w:qFormat/>
    <w:uiPriority w:val="0"/>
    <w:pPr>
      <w:ind w:firstLine="420"/>
    </w:pPr>
    <w:rPr>
      <w:rFonts w:ascii="Times New Roman" w:hAnsi="Times New Roman"/>
      <w:szCs w:val="21"/>
    </w:r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Body Text"/>
    <w:basedOn w:val="1"/>
    <w:next w:val="8"/>
    <w:qFormat/>
    <w:uiPriority w:val="0"/>
    <w:pPr>
      <w:spacing w:after="120"/>
    </w:pPr>
    <w:rPr>
      <w:rFonts w:ascii="Times New Roman" w:hAnsi="Times New Roman"/>
      <w:szCs w:val="24"/>
    </w:rPr>
  </w:style>
  <w:style w:type="paragraph" w:styleId="8">
    <w:name w:val="toc 2"/>
    <w:basedOn w:val="1"/>
    <w:next w:val="1"/>
    <w:qFormat/>
    <w:uiPriority w:val="39"/>
    <w:pPr>
      <w:ind w:left="210"/>
      <w:jc w:val="left"/>
    </w:pPr>
    <w:rPr>
      <w:rFonts w:eastAsia="仿宋" w:asciiTheme="minorHAnsi" w:hAnsiTheme="minorHAnsi" w:cstheme="minorHAnsi"/>
      <w:smallCaps/>
      <w:sz w:val="24"/>
      <w:szCs w:val="20"/>
    </w:rPr>
  </w:style>
  <w:style w:type="paragraph" w:styleId="9">
    <w:name w:val="Body Text Indent"/>
    <w:basedOn w:val="1"/>
    <w:next w:val="2"/>
    <w:qFormat/>
    <w:uiPriority w:val="0"/>
    <w:pPr>
      <w:spacing w:after="120"/>
      <w:ind w:left="420" w:leftChars="200"/>
    </w:pPr>
    <w:rPr>
      <w:rFonts w:ascii="Times New Roman" w:hAnsi="Times New Roman"/>
    </w:rPr>
  </w:style>
  <w:style w:type="paragraph" w:styleId="10">
    <w:name w:val="toc 5"/>
    <w:basedOn w:val="1"/>
    <w:next w:val="1"/>
    <w:unhideWhenUsed/>
    <w:qFormat/>
    <w:uiPriority w:val="39"/>
    <w:pPr>
      <w:ind w:left="840"/>
      <w:jc w:val="left"/>
    </w:pPr>
    <w:rPr>
      <w:rFonts w:asciiTheme="minorHAnsi" w:hAnsiTheme="minorHAnsi" w:cstheme="minorHAnsi"/>
      <w:sz w:val="18"/>
      <w:szCs w:val="18"/>
    </w:rPr>
  </w:style>
  <w:style w:type="paragraph" w:styleId="11">
    <w:name w:val="toc 3"/>
    <w:basedOn w:val="1"/>
    <w:next w:val="1"/>
    <w:qFormat/>
    <w:uiPriority w:val="39"/>
    <w:pPr>
      <w:ind w:left="420"/>
      <w:jc w:val="left"/>
    </w:pPr>
    <w:rPr>
      <w:rFonts w:eastAsia="仿宋" w:asciiTheme="minorHAnsi" w:hAnsiTheme="minorHAnsi" w:cstheme="minorHAnsi"/>
      <w:i/>
      <w:iCs/>
      <w:sz w:val="24"/>
      <w:szCs w:val="20"/>
    </w:rPr>
  </w:style>
  <w:style w:type="paragraph" w:styleId="12">
    <w:name w:val="Plain Text"/>
    <w:basedOn w:val="1"/>
    <w:next w:val="1"/>
    <w:link w:val="36"/>
    <w:qFormat/>
    <w:uiPriority w:val="99"/>
    <w:rPr>
      <w:rFonts w:ascii="宋体" w:hAnsi="Courier New"/>
      <w:szCs w:val="20"/>
    </w:rPr>
  </w:style>
  <w:style w:type="paragraph" w:styleId="13">
    <w:name w:val="toc 8"/>
    <w:basedOn w:val="1"/>
    <w:next w:val="1"/>
    <w:unhideWhenUsed/>
    <w:qFormat/>
    <w:uiPriority w:val="39"/>
    <w:pPr>
      <w:ind w:left="1470"/>
      <w:jc w:val="left"/>
    </w:pPr>
    <w:rPr>
      <w:rFonts w:asciiTheme="minorHAnsi" w:hAnsiTheme="minorHAnsi" w:cstheme="minorHAnsi"/>
      <w:sz w:val="18"/>
      <w:szCs w:val="18"/>
    </w:rPr>
  </w:style>
  <w:style w:type="paragraph" w:styleId="14">
    <w:name w:val="Body Text Indent 2"/>
    <w:basedOn w:val="1"/>
    <w:link w:val="48"/>
    <w:qFormat/>
    <w:uiPriority w:val="0"/>
    <w:pPr>
      <w:spacing w:after="120" w:line="480" w:lineRule="auto"/>
      <w:ind w:left="420" w:leftChars="200"/>
    </w:pPr>
  </w:style>
  <w:style w:type="paragraph" w:styleId="15">
    <w:name w:val="Balloon Text"/>
    <w:basedOn w:val="1"/>
    <w:link w:val="29"/>
    <w:qFormat/>
    <w:uiPriority w:val="0"/>
    <w:rPr>
      <w:sz w:val="18"/>
      <w:szCs w:val="18"/>
    </w:rPr>
  </w:style>
  <w:style w:type="paragraph" w:styleId="16">
    <w:name w:val="footer"/>
    <w:basedOn w:val="1"/>
    <w:link w:val="30"/>
    <w:qFormat/>
    <w:uiPriority w:val="99"/>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adjustRightInd w:val="0"/>
      <w:spacing w:line="240" w:lineRule="atLeast"/>
      <w:jc w:val="center"/>
    </w:pPr>
    <w:rPr>
      <w:rFonts w:ascii="Times New Roman" w:hAnsi="Times New Roman"/>
      <w:kern w:val="0"/>
      <w:sz w:val="18"/>
      <w:szCs w:val="20"/>
    </w:rPr>
  </w:style>
  <w:style w:type="paragraph" w:styleId="18">
    <w:name w:val="toc 1"/>
    <w:basedOn w:val="1"/>
    <w:next w:val="1"/>
    <w:qFormat/>
    <w:uiPriority w:val="39"/>
    <w:pPr>
      <w:spacing w:before="120" w:after="120"/>
      <w:jc w:val="left"/>
    </w:pPr>
    <w:rPr>
      <w:rFonts w:eastAsia="仿宋" w:asciiTheme="minorHAnsi" w:hAnsiTheme="minorHAnsi" w:cstheme="minorHAnsi"/>
      <w:b/>
      <w:bCs/>
      <w:caps/>
      <w:sz w:val="24"/>
      <w:szCs w:val="20"/>
    </w:rPr>
  </w:style>
  <w:style w:type="paragraph" w:styleId="19">
    <w:name w:val="toc 4"/>
    <w:basedOn w:val="1"/>
    <w:next w:val="1"/>
    <w:unhideWhenUsed/>
    <w:qFormat/>
    <w:uiPriority w:val="39"/>
    <w:pPr>
      <w:ind w:left="630"/>
      <w:jc w:val="left"/>
    </w:pPr>
    <w:rPr>
      <w:rFonts w:asciiTheme="minorHAnsi" w:hAnsiTheme="minorHAnsi" w:cstheme="minorHAnsi"/>
      <w:sz w:val="18"/>
      <w:szCs w:val="18"/>
    </w:rPr>
  </w:style>
  <w:style w:type="paragraph" w:styleId="20">
    <w:name w:val="List"/>
    <w:basedOn w:val="1"/>
    <w:unhideWhenUsed/>
    <w:qFormat/>
    <w:uiPriority w:val="99"/>
    <w:pPr>
      <w:spacing w:before="100" w:beforeAutospacing="1" w:after="100" w:afterAutospacing="1"/>
      <w:ind w:left="200" w:hanging="200" w:hangingChars="200"/>
    </w:pPr>
    <w:rPr>
      <w:rFonts w:ascii="Times New Roman" w:hAnsi="Times New Roman"/>
      <w:szCs w:val="21"/>
    </w:rPr>
  </w:style>
  <w:style w:type="paragraph" w:styleId="21">
    <w:name w:val="toc 6"/>
    <w:basedOn w:val="1"/>
    <w:next w:val="1"/>
    <w:qFormat/>
    <w:uiPriority w:val="39"/>
    <w:pPr>
      <w:ind w:left="1050"/>
      <w:jc w:val="left"/>
    </w:pPr>
    <w:rPr>
      <w:rFonts w:asciiTheme="minorHAnsi" w:hAnsiTheme="minorHAnsi" w:cstheme="minorHAnsi"/>
      <w:sz w:val="18"/>
      <w:szCs w:val="18"/>
    </w:rPr>
  </w:style>
  <w:style w:type="paragraph" w:styleId="22">
    <w:name w:val="toc 9"/>
    <w:basedOn w:val="1"/>
    <w:next w:val="1"/>
    <w:unhideWhenUsed/>
    <w:qFormat/>
    <w:uiPriority w:val="39"/>
    <w:pPr>
      <w:ind w:left="1680"/>
      <w:jc w:val="left"/>
    </w:pPr>
    <w:rPr>
      <w:rFonts w:asciiTheme="minorHAnsi" w:hAnsiTheme="minorHAnsi" w:cstheme="minorHAnsi"/>
      <w:sz w:val="18"/>
      <w:szCs w:val="18"/>
    </w:rPr>
  </w:style>
  <w:style w:type="paragraph" w:styleId="23">
    <w:name w:val="Normal (Web)"/>
    <w:basedOn w:val="1"/>
    <w:qFormat/>
    <w:uiPriority w:val="99"/>
    <w:pPr>
      <w:widowControl/>
      <w:spacing w:before="100" w:beforeAutospacing="1" w:after="100" w:afterAutospacing="1"/>
      <w:jc w:val="left"/>
    </w:pPr>
    <w:rPr>
      <w:rFonts w:ascii="宋体" w:hAnsi="宋体"/>
      <w:kern w:val="0"/>
      <w:sz w:val="24"/>
    </w:rPr>
  </w:style>
  <w:style w:type="paragraph" w:styleId="24">
    <w:name w:val="Title"/>
    <w:basedOn w:val="1"/>
    <w:next w:val="1"/>
    <w:link w:val="31"/>
    <w:qFormat/>
    <w:uiPriority w:val="10"/>
    <w:pPr>
      <w:spacing w:before="240" w:after="60"/>
      <w:jc w:val="center"/>
      <w:outlineLvl w:val="0"/>
    </w:pPr>
    <w:rPr>
      <w:rFonts w:ascii="Arial" w:hAnsi="Arial" w:cs="Arial"/>
      <w:b/>
      <w:bCs/>
      <w:sz w:val="32"/>
      <w:szCs w:val="32"/>
    </w:rPr>
  </w:style>
  <w:style w:type="paragraph" w:styleId="25">
    <w:name w:val="Body Text First Indent"/>
    <w:basedOn w:val="7"/>
    <w:next w:val="1"/>
    <w:qFormat/>
    <w:uiPriority w:val="0"/>
    <w:pPr>
      <w:ind w:firstLine="420"/>
    </w:pPr>
  </w:style>
  <w:style w:type="character" w:styleId="28">
    <w:name w:val="Hyperlink"/>
    <w:basedOn w:val="27"/>
    <w:unhideWhenUsed/>
    <w:qFormat/>
    <w:uiPriority w:val="99"/>
    <w:rPr>
      <w:color w:val="0563C1" w:themeColor="hyperlink"/>
      <w:u w:val="single"/>
      <w14:textFill>
        <w14:solidFill>
          <w14:schemeClr w14:val="hlink"/>
        </w14:solidFill>
      </w14:textFill>
    </w:rPr>
  </w:style>
  <w:style w:type="character" w:customStyle="1" w:styleId="29">
    <w:name w:val="批注框文本 Char"/>
    <w:basedOn w:val="27"/>
    <w:link w:val="15"/>
    <w:qFormat/>
    <w:uiPriority w:val="0"/>
    <w:rPr>
      <w:rFonts w:ascii="Calibri" w:hAnsi="Calibri" w:eastAsia="宋体" w:cs="Times New Roman"/>
      <w:kern w:val="2"/>
      <w:sz w:val="18"/>
      <w:szCs w:val="18"/>
    </w:rPr>
  </w:style>
  <w:style w:type="character" w:customStyle="1" w:styleId="30">
    <w:name w:val="页脚 Char"/>
    <w:basedOn w:val="27"/>
    <w:link w:val="16"/>
    <w:qFormat/>
    <w:uiPriority w:val="99"/>
    <w:rPr>
      <w:rFonts w:ascii="Calibri" w:hAnsi="Calibri" w:eastAsia="宋体" w:cs="Times New Roman"/>
      <w:kern w:val="2"/>
      <w:sz w:val="18"/>
      <w:szCs w:val="22"/>
    </w:rPr>
  </w:style>
  <w:style w:type="character" w:customStyle="1" w:styleId="31">
    <w:name w:val="标题 Char"/>
    <w:basedOn w:val="27"/>
    <w:link w:val="24"/>
    <w:qFormat/>
    <w:uiPriority w:val="10"/>
    <w:rPr>
      <w:rFonts w:ascii="Arial" w:hAnsi="Arial" w:eastAsia="宋体" w:cs="Arial"/>
      <w:b/>
      <w:bCs/>
      <w:kern w:val="2"/>
      <w:sz w:val="32"/>
      <w:szCs w:val="32"/>
    </w:rPr>
  </w:style>
  <w:style w:type="character" w:customStyle="1" w:styleId="32">
    <w:name w:val="标题 3 Char"/>
    <w:basedOn w:val="27"/>
    <w:link w:val="5"/>
    <w:qFormat/>
    <w:uiPriority w:val="99"/>
    <w:rPr>
      <w:rFonts w:ascii="仿宋_GB2312" w:hAnsi="Calibri" w:eastAsia="仿宋_GB2312" w:cs="宋体"/>
      <w:b/>
      <w:bCs/>
      <w:kern w:val="2"/>
      <w:sz w:val="30"/>
      <w:szCs w:val="30"/>
    </w:rPr>
  </w:style>
  <w:style w:type="paragraph" w:customStyle="1" w:styleId="33">
    <w:name w:val="样式 标题 31.1.1标题 333rd levelBOD 0Bold HeadCTH3H31Heading ...1"/>
    <w:basedOn w:val="5"/>
    <w:qFormat/>
    <w:uiPriority w:val="0"/>
    <w:pPr>
      <w:spacing w:before="0" w:after="0"/>
      <w:ind w:firstLine="0" w:firstLineChars="0"/>
    </w:pPr>
    <w:rPr>
      <w:rFonts w:hAnsi="宋体"/>
      <w:sz w:val="24"/>
      <w:szCs w:val="24"/>
    </w:rPr>
  </w:style>
  <w:style w:type="character" w:customStyle="1" w:styleId="34">
    <w:name w:val="15"/>
    <w:basedOn w:val="27"/>
    <w:qFormat/>
    <w:uiPriority w:val="0"/>
    <w:rPr>
      <w:rFonts w:hint="default" w:ascii="Times New Roman" w:hAnsi="Times New Roman" w:cs="Times New Roman"/>
      <w:color w:val="0000FF"/>
      <w:u w:val="single"/>
    </w:rPr>
  </w:style>
  <w:style w:type="character" w:customStyle="1" w:styleId="35">
    <w:name w:val="标题 1 Char"/>
    <w:basedOn w:val="27"/>
    <w:link w:val="3"/>
    <w:qFormat/>
    <w:uiPriority w:val="0"/>
    <w:rPr>
      <w:rFonts w:ascii="Calibri" w:hAnsi="Calibri" w:eastAsia="宋体" w:cs="Times New Roman"/>
      <w:b/>
      <w:bCs/>
      <w:kern w:val="44"/>
      <w:sz w:val="44"/>
      <w:szCs w:val="44"/>
    </w:rPr>
  </w:style>
  <w:style w:type="character" w:customStyle="1" w:styleId="36">
    <w:name w:val="纯文本 Char"/>
    <w:basedOn w:val="27"/>
    <w:link w:val="12"/>
    <w:qFormat/>
    <w:uiPriority w:val="99"/>
    <w:rPr>
      <w:rFonts w:ascii="宋体" w:hAnsi="Courier New" w:eastAsia="宋体" w:cs="Times New Roman"/>
      <w:kern w:val="2"/>
      <w:sz w:val="21"/>
    </w:rPr>
  </w:style>
  <w:style w:type="paragraph" w:customStyle="1" w:styleId="37">
    <w:name w:val="正文_5"/>
    <w:basedOn w:val="1"/>
    <w:qFormat/>
    <w:uiPriority w:val="0"/>
    <w:rPr>
      <w:rFonts w:ascii="Times New Roman" w:hAnsi="Times New Roman"/>
      <w:szCs w:val="21"/>
    </w:rPr>
  </w:style>
  <w:style w:type="paragraph" w:customStyle="1" w:styleId="38">
    <w:name w:val="纯文本_3"/>
    <w:basedOn w:val="37"/>
    <w:qFormat/>
    <w:uiPriority w:val="0"/>
    <w:rPr>
      <w:rFonts w:ascii="宋体" w:hAnsi="Courier New" w:cs="宋体"/>
    </w:rPr>
  </w:style>
  <w:style w:type="paragraph" w:customStyle="1" w:styleId="39">
    <w:name w:val="正文_1_0"/>
    <w:basedOn w:val="1"/>
    <w:qFormat/>
    <w:uiPriority w:val="0"/>
    <w:rPr>
      <w:rFonts w:ascii="Times New Roman" w:hAnsi="Times New Roman"/>
      <w:szCs w:val="21"/>
    </w:rPr>
  </w:style>
  <w:style w:type="paragraph" w:customStyle="1" w:styleId="40">
    <w:name w:val="纯文本_0"/>
    <w:basedOn w:val="1"/>
    <w:semiHidden/>
    <w:qFormat/>
    <w:uiPriority w:val="0"/>
    <w:rPr>
      <w:rFonts w:ascii="宋体" w:hAnsi="Courier New" w:cs="宋体"/>
      <w:kern w:val="0"/>
      <w:sz w:val="20"/>
      <w:szCs w:val="20"/>
    </w:rPr>
  </w:style>
  <w:style w:type="paragraph" w:customStyle="1" w:styleId="41">
    <w:name w:val="正文_21"/>
    <w:basedOn w:val="1"/>
    <w:qFormat/>
    <w:uiPriority w:val="0"/>
    <w:rPr>
      <w:rFonts w:cs="Calibri"/>
      <w:szCs w:val="21"/>
    </w:rPr>
  </w:style>
  <w:style w:type="paragraph" w:customStyle="1" w:styleId="42">
    <w:name w:val="纯文本_1"/>
    <w:basedOn w:val="1"/>
    <w:qFormat/>
    <w:uiPriority w:val="0"/>
    <w:rPr>
      <w:rFonts w:ascii="宋体" w:hAnsi="Courier New" w:cs="宋体"/>
      <w:szCs w:val="21"/>
    </w:rPr>
  </w:style>
  <w:style w:type="paragraph" w:customStyle="1" w:styleId="43">
    <w:name w:val="纯文本_4_0"/>
    <w:basedOn w:val="1"/>
    <w:qFormat/>
    <w:uiPriority w:val="0"/>
    <w:rPr>
      <w:rFonts w:ascii="宋体" w:hAnsi="Courier New" w:cs="宋体"/>
      <w:szCs w:val="21"/>
    </w:rPr>
  </w:style>
  <w:style w:type="paragraph" w:customStyle="1" w:styleId="44">
    <w:name w:val="正文_8"/>
    <w:basedOn w:val="1"/>
    <w:qFormat/>
    <w:uiPriority w:val="0"/>
    <w:rPr>
      <w:rFonts w:ascii="Times New Roman" w:hAnsi="Times New Roman"/>
      <w:szCs w:val="21"/>
    </w:rPr>
  </w:style>
  <w:style w:type="paragraph" w:customStyle="1" w:styleId="45">
    <w:name w:val="正文_17"/>
    <w:basedOn w:val="1"/>
    <w:qFormat/>
    <w:uiPriority w:val="0"/>
    <w:rPr>
      <w:rFonts w:ascii="Times New Roman" w:hAnsi="Times New Roman"/>
      <w:szCs w:val="21"/>
    </w:rPr>
  </w:style>
  <w:style w:type="paragraph" w:customStyle="1" w:styleId="46">
    <w:name w:val="正文_13_0"/>
    <w:basedOn w:val="1"/>
    <w:qFormat/>
    <w:uiPriority w:val="0"/>
    <w:rPr>
      <w:rFonts w:ascii="Times New Roman" w:hAnsi="Times New Roman"/>
      <w:szCs w:val="21"/>
    </w:rPr>
  </w:style>
  <w:style w:type="paragraph" w:customStyle="1" w:styleId="47">
    <w:name w:val="正文_4"/>
    <w:basedOn w:val="1"/>
    <w:qFormat/>
    <w:uiPriority w:val="0"/>
    <w:rPr>
      <w:rFonts w:ascii="Times New Roman" w:hAnsi="Times New Roman"/>
      <w:szCs w:val="21"/>
    </w:rPr>
  </w:style>
  <w:style w:type="character" w:customStyle="1" w:styleId="48">
    <w:name w:val="正文文本缩进 2 Char"/>
    <w:basedOn w:val="27"/>
    <w:link w:val="14"/>
    <w:qFormat/>
    <w:uiPriority w:val="0"/>
    <w:rPr>
      <w:rFonts w:ascii="Calibri" w:hAnsi="Calibri" w:eastAsia="宋体" w:cs="Times New Roman"/>
      <w:kern w:val="2"/>
      <w:sz w:val="21"/>
      <w:szCs w:val="22"/>
    </w:rPr>
  </w:style>
  <w:style w:type="character" w:customStyle="1" w:styleId="49">
    <w:name w:val="标题 2 Char"/>
    <w:basedOn w:val="27"/>
    <w:link w:val="4"/>
    <w:semiHidden/>
    <w:qFormat/>
    <w:uiPriority w:val="0"/>
    <w:rPr>
      <w:rFonts w:asciiTheme="majorHAnsi" w:hAnsiTheme="majorHAnsi" w:eastAsiaTheme="majorEastAsia" w:cstheme="majorBidi"/>
      <w:b/>
      <w:bCs/>
      <w:kern w:val="2"/>
      <w:sz w:val="32"/>
      <w:szCs w:val="32"/>
    </w:rPr>
  </w:style>
  <w:style w:type="paragraph" w:customStyle="1" w:styleId="50">
    <w:name w:val="纯文本1"/>
    <w:basedOn w:val="1"/>
    <w:qFormat/>
    <w:uiPriority w:val="0"/>
    <w:pPr>
      <w:adjustRightInd w:val="0"/>
      <w:jc w:val="left"/>
      <w:textAlignment w:val="baseline"/>
    </w:pPr>
    <w:rPr>
      <w:rFonts w:ascii="宋体" w:hAnsi="Courier New" w:cs="宋体"/>
      <w:sz w:val="24"/>
      <w:szCs w:val="24"/>
    </w:rPr>
  </w:style>
  <w:style w:type="paragraph" w:customStyle="1" w:styleId="51">
    <w:name w:val="正文1"/>
    <w:basedOn w:val="1"/>
    <w:qFormat/>
    <w:uiPriority w:val="0"/>
    <w:pPr>
      <w:widowControl/>
      <w:jc w:val="left"/>
    </w:pPr>
    <w:rPr>
      <w:rFonts w:ascii="Times New Roman" w:hAnsi="Times New Roman"/>
      <w:kern w:val="0"/>
      <w:sz w:val="24"/>
      <w:szCs w:val="24"/>
    </w:rPr>
  </w:style>
  <w:style w:type="paragraph" w:customStyle="1" w:styleId="52">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53">
    <w:name w:val="正文段"/>
    <w:basedOn w:val="1"/>
    <w:qFormat/>
    <w:uiPriority w:val="0"/>
    <w:pPr>
      <w:widowControl/>
      <w:snapToGrid w:val="0"/>
      <w:spacing w:before="100" w:beforeAutospacing="1" w:afterLines="50"/>
      <w:ind w:firstLine="200" w:firstLineChars="200"/>
    </w:pPr>
    <w:rPr>
      <w:rFonts w:ascii="Times New Roman" w:hAnsi="Times New Roman"/>
      <w:kern w:val="0"/>
      <w:sz w:val="24"/>
      <w:szCs w:val="24"/>
    </w:rPr>
  </w:style>
  <w:style w:type="paragraph" w:styleId="54">
    <w:name w:val="List Paragraph"/>
    <w:basedOn w:val="1"/>
    <w:unhideWhenUsed/>
    <w:qFormat/>
    <w:uiPriority w:val="34"/>
    <w:pPr>
      <w:ind w:firstLine="420" w:firstLineChars="200"/>
    </w:pPr>
  </w:style>
  <w:style w:type="paragraph" w:customStyle="1" w:styleId="55">
    <w:name w:val="_Style 3"/>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Calibri"/>
      <w:kern w:val="0"/>
      <w:sz w:val="24"/>
      <w:szCs w:val="24"/>
    </w:rPr>
  </w:style>
  <w:style w:type="paragraph" w:customStyle="1" w:styleId="57">
    <w:name w:val="正文_1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8">
    <w:name w:val="bookmark-item"/>
    <w:qFormat/>
    <w:uiPriority w:val="0"/>
  </w:style>
  <w:style w:type="paragraph" w:customStyle="1" w:styleId="59">
    <w:name w:val="列表段落1"/>
    <w:basedOn w:val="1"/>
    <w:qFormat/>
    <w:uiPriority w:val="0"/>
    <w:pPr>
      <w:ind w:firstLine="200" w:firstLineChars="200"/>
    </w:pPr>
    <w:rPr>
      <w:szCs w:val="24"/>
    </w:rPr>
  </w:style>
  <w:style w:type="character" w:customStyle="1" w:styleId="60">
    <w:name w:val="正文缩进 Char"/>
    <w:link w:val="2"/>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54919-E9B0-4CAA-B86B-DCC78188E863}">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54</Pages>
  <Words>27185</Words>
  <Characters>29240</Characters>
  <Lines>248</Lines>
  <Paragraphs>69</Paragraphs>
  <TotalTime>9</TotalTime>
  <ScaleCrop>false</ScaleCrop>
  <LinksUpToDate>false</LinksUpToDate>
  <CharactersWithSpaces>32846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2022-08-11T04:18:00Z</dcterms:created>
  <dc:creator>Administrator</dc:creator>
  <cp:lastModifiedBy>Administrator</cp:lastModifiedBy>
  <dcterms:modified xsi:type="dcterms:W3CDTF">2022-08-19T07:55:31Z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6E3C888DE5E8425FA757AD1E9A388034</vt:lpwstr>
  </property>
</Properties>
</file>