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p>
    <w:p>
      <w:pPr>
        <w:shd w:val="clear" w:color="auto" w:fill="FFFFFF"/>
        <w:tabs>
          <w:tab w:val="left" w:pos="4500"/>
        </w:tabs>
        <w:snapToGrid w:val="0"/>
        <w:spacing w:line="360" w:lineRule="auto"/>
        <w:jc w:val="center"/>
        <w:textAlignment w:val="bottom"/>
        <w:rPr>
          <w:rFonts w:hint="eastAsia" w:ascii="宋体" w:hAnsi="宋体" w:cs="宋体"/>
          <w:b/>
          <w:bCs/>
          <w:color w:val="000000"/>
          <w:spacing w:val="6"/>
          <w:sz w:val="48"/>
          <w:szCs w:val="48"/>
        </w:rPr>
      </w:pPr>
      <w:r>
        <w:rPr>
          <w:rFonts w:hint="eastAsia" w:ascii="宋体" w:hAnsi="宋体" w:cs="宋体"/>
          <w:b/>
          <w:bCs/>
          <w:color w:val="000000"/>
          <w:spacing w:val="6"/>
          <w:sz w:val="48"/>
          <w:szCs w:val="48"/>
          <w:lang w:eastAsia="zh-CN"/>
        </w:rPr>
        <w:t>仓前街道居民生活垃圾前端收集及音乐线项目</w:t>
      </w:r>
    </w:p>
    <w:p>
      <w:pPr>
        <w:adjustRightInd/>
        <w:spacing w:line="360" w:lineRule="auto"/>
        <w:jc w:val="center"/>
        <w:rPr>
          <w:rFonts w:hint="eastAsia"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eastAsia" w:ascii="仿宋" w:hAnsi="仿宋" w:eastAsia="仿宋" w:cs="仿宋_GB2312"/>
          <w:sz w:val="30"/>
          <w:szCs w:val="30"/>
          <w:lang w:eastAsia="zh-CN"/>
        </w:rPr>
      </w:pPr>
      <w:r>
        <w:rPr>
          <w:rFonts w:hint="eastAsia" w:ascii="仿宋" w:hAnsi="仿宋" w:eastAsia="仿宋" w:cs="仿宋_GB2312"/>
          <w:sz w:val="30"/>
          <w:szCs w:val="30"/>
        </w:rPr>
        <w:t>编号:</w:t>
      </w:r>
      <w:r>
        <w:rPr>
          <w:rFonts w:hint="eastAsia" w:ascii="仿宋" w:hAnsi="仿宋" w:eastAsia="仿宋" w:cs="仿宋_GB2312"/>
          <w:sz w:val="30"/>
          <w:szCs w:val="30"/>
          <w:lang w:eastAsia="zh-CN"/>
        </w:rPr>
        <w:t>ZJXRYHCG2022-003</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hint="eastAsia" w:ascii="仿宋" w:hAnsi="仿宋" w:eastAsia="仿宋" w:cs="仿宋_GB2312"/>
          <w:sz w:val="32"/>
          <w:szCs w:val="32"/>
          <w:lang w:eastAsia="zh-CN"/>
        </w:rPr>
      </w:pPr>
      <w:r>
        <w:rPr>
          <w:rFonts w:hint="eastAsia" w:ascii="仿宋" w:hAnsi="仿宋" w:eastAsia="仿宋" w:cs="仿宋_GB2312"/>
          <w:sz w:val="32"/>
          <w:szCs w:val="32"/>
        </w:rPr>
        <w:t>采购人</w:t>
      </w:r>
      <w:r>
        <w:rPr>
          <w:rFonts w:hint="eastAsia" w:ascii="仿宋" w:hAnsi="仿宋" w:eastAsia="仿宋" w:cs="仿宋_GB2312"/>
          <w:sz w:val="32"/>
          <w:szCs w:val="32"/>
          <w:lang w:eastAsia="zh-CN"/>
        </w:rPr>
        <w:t>：杭州市余杭区人民政府仓前街道办事处</w:t>
      </w:r>
    </w:p>
    <w:p>
      <w:pPr>
        <w:snapToGrid w:val="0"/>
        <w:spacing w:line="360" w:lineRule="auto"/>
        <w:jc w:val="center"/>
        <w:rPr>
          <w:rFonts w:hint="eastAsia" w:ascii="仿宋" w:hAnsi="仿宋" w:eastAsia="仿宋" w:cs="仿宋_GB2312"/>
          <w:sz w:val="32"/>
          <w:szCs w:val="32"/>
          <w:lang w:eastAsia="zh-CN"/>
        </w:rPr>
      </w:pPr>
      <w:r>
        <w:rPr>
          <w:rFonts w:hint="eastAsia" w:ascii="仿宋" w:hAnsi="仿宋" w:eastAsia="仿宋" w:cs="仿宋_GB2312"/>
          <w:sz w:val="32"/>
          <w:szCs w:val="32"/>
        </w:rPr>
        <w:t>采购代理机构</w:t>
      </w:r>
      <w:r>
        <w:rPr>
          <w:rFonts w:hint="eastAsia" w:ascii="仿宋" w:hAnsi="仿宋" w:eastAsia="仿宋" w:cs="仿宋_GB2312"/>
          <w:sz w:val="32"/>
          <w:szCs w:val="32"/>
          <w:lang w:eastAsia="zh-CN"/>
        </w:rPr>
        <w:t>：</w:t>
      </w:r>
      <w:r>
        <w:rPr>
          <w:rFonts w:hint="eastAsia" w:ascii="仿宋" w:hAnsi="仿宋" w:eastAsia="仿宋" w:cs="仿宋_GB2312"/>
          <w:sz w:val="32"/>
          <w:szCs w:val="32"/>
        </w:rPr>
        <w:t>浙江鑫润工程管理有限公司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lang w:val="en-US" w:eastAsia="zh-CN"/>
        </w:rPr>
        <w:t>二</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二十八</w:t>
      </w:r>
      <w:r>
        <w:rPr>
          <w:rFonts w:hint="eastAsia" w:ascii="仿宋_GB2312" w:hAnsi="仿宋_GB2312" w:eastAsia="仿宋_GB2312" w:cs="仿宋_GB2312"/>
          <w:bCs/>
          <w:sz w:val="32"/>
          <w:szCs w:val="32"/>
        </w:rPr>
        <w:t>日</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29822"/>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Times New Roman"/>
          <w:sz w:val="24"/>
          <w:u w:val="single"/>
          <w:lang w:eastAsia="zh-CN"/>
        </w:rPr>
        <w:t>仓前街道居民生活垃圾前端收集及音乐线项目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bookmarkStart w:id="408" w:name="_GoBack"/>
      <w:bookmarkEnd w:id="408"/>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lang w:eastAsia="zh-CN"/>
        </w:rPr>
        <w:t>ZJXRYHCG2022-003</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lang w:eastAsia="zh-CN"/>
        </w:rPr>
        <w:t>仓前街道居民生活垃圾前端收集及音乐线项目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cs="仿宋_GB2312"/>
          <w:sz w:val="24"/>
          <w:lang w:val="en-US" w:eastAsia="zh-CN"/>
        </w:rPr>
        <w:t>14300000</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w:t>
      </w:r>
      <w:r>
        <w:rPr>
          <w:rFonts w:hint="eastAsia" w:ascii="仿宋_GB2312" w:hAnsi="仿宋" w:eastAsia="仿宋_GB2312" w:cs="仿宋_GB2312"/>
          <w:sz w:val="24"/>
          <w:lang w:val="en-US" w:eastAsia="zh-CN"/>
        </w:rPr>
        <w:t xml:space="preserve">14300000 </w:t>
      </w:r>
    </w:p>
    <w:p>
      <w:pPr>
        <w:pStyle w:val="7"/>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color w:val="auto"/>
          <w:kern w:val="2"/>
          <w:sz w:val="24"/>
          <w:szCs w:val="24"/>
        </w:rPr>
        <w:t>（项目名称）主要内容：</w:t>
      </w:r>
      <w:r>
        <w:rPr>
          <w:rFonts w:hint="eastAsia" w:ascii="仿宋_GB2312" w:hAnsi="仿宋" w:eastAsia="仿宋_GB2312" w:cs="Times New Roman"/>
          <w:bCs/>
          <w:color w:val="auto"/>
          <w:kern w:val="2"/>
          <w:sz w:val="24"/>
          <w:szCs w:val="24"/>
        </w:rPr>
        <w:t xml:space="preserve"> 本项目采购内容为</w:t>
      </w:r>
      <w:r>
        <w:rPr>
          <w:rFonts w:hint="eastAsia" w:ascii="仿宋_GB2312" w:hAnsi="仿宋" w:eastAsia="仿宋_GB2312" w:cs="Times New Roman"/>
          <w:sz w:val="24"/>
          <w:u w:val="single"/>
          <w:lang w:eastAsia="zh-CN"/>
        </w:rPr>
        <w:t>仓前街道居民生活垃圾前端收集及音乐线</w:t>
      </w:r>
      <w:r>
        <w:rPr>
          <w:rFonts w:hint="eastAsia" w:ascii="仿宋_GB2312" w:hAnsi="仿宋" w:eastAsia="仿宋_GB2312" w:cs="Times New Roman"/>
          <w:bCs/>
          <w:color w:val="auto"/>
          <w:kern w:val="2"/>
          <w:sz w:val="24"/>
          <w:szCs w:val="24"/>
        </w:rPr>
        <w:t>。详见招标文件第三部分</w:t>
      </w:r>
      <w:r>
        <w:rPr>
          <w:rFonts w:hint="eastAsia" w:ascii="仿宋_GB2312" w:hAnsi="仿宋" w:eastAsia="仿宋_GB2312"/>
          <w:bCs/>
          <w:color w:val="auto"/>
          <w:kern w:val="2"/>
          <w:sz w:val="24"/>
          <w:szCs w:val="24"/>
        </w:rPr>
        <w:t>采购需求。</w:t>
      </w:r>
    </w:p>
    <w:p>
      <w:pPr>
        <w:pStyle w:val="85"/>
        <w:ind w:firstLine="482"/>
        <w:outlineLvl w:val="2"/>
        <w:rPr>
          <w:rFonts w:hint="default" w:ascii="仿宋_GB2312" w:hAnsi="仿宋" w:eastAsia="仿宋_GB2312"/>
          <w:lang w:val="en-US" w:eastAsia="zh-CN"/>
        </w:rPr>
      </w:pPr>
      <w:r>
        <w:rPr>
          <w:rFonts w:hint="eastAsia" w:ascii="仿宋_GB2312" w:hAnsi="仿宋" w:eastAsia="仿宋_GB2312"/>
          <w:b/>
        </w:rPr>
        <w:t>合同履约期限：</w:t>
      </w:r>
      <w:r>
        <w:rPr>
          <w:rFonts w:hint="eastAsia" w:ascii="仿宋_GB2312" w:hAnsi="仿宋" w:eastAsia="仿宋_GB2312"/>
          <w:b/>
          <w:lang w:val="en-US" w:eastAsia="zh-CN"/>
        </w:rPr>
        <w:t>2年</w:t>
      </w:r>
    </w:p>
    <w:p>
      <w:pPr>
        <w:pStyle w:val="7"/>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r>
        <w:rPr>
          <w:rFonts w:ascii="Wingdings" w:hAnsi="Wingdings" w:eastAsia="MS Gothic" w:cs="Arial"/>
          <w:snapToGrid w:val="0"/>
          <w:color w:val="auto"/>
          <w:kern w:val="0"/>
          <w:sz w:val="24"/>
          <w:szCs w:val="20"/>
          <w:lang w:val="en-US" w:eastAsia="zh-CN" w:bidi="ar-SA"/>
        </w:rPr>
        <w:t>þ</w:t>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ascii="宋体" w:hAnsi="宋体" w:eastAsia="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Wingdings" w:hAnsi="Wingdings" w:eastAsia="MS Gothic" w:cs="Arial"/>
          <w:kern w:val="0"/>
          <w:sz w:val="24"/>
          <w:szCs w:val="24"/>
          <w:lang w:val="en-US" w:eastAsia="zh-CN" w:bidi="ar-SA"/>
        </w:rPr>
        <w:t>þ</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szCs w:val="24"/>
          <w:lang w:val="en-US" w:eastAsia="zh-CN" w:bidi="ar-SA"/>
        </w:rPr>
        <w:t>☐</w:t>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szCs w:val="24"/>
          <w:lang w:val="en-US" w:eastAsia="zh-CN" w:bidi="ar-SA"/>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szCs w:val="24"/>
          <w:lang w:val="en-US" w:eastAsia="zh-CN" w:bidi="ar-SA"/>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szCs w:val="24"/>
          <w:lang w:val="en-US" w:eastAsia="zh-CN" w:bidi="ar-SA"/>
        </w:rPr>
        <w:t>☐</w:t>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szCs w:val="24"/>
          <w:lang w:val="en-US" w:eastAsia="zh-CN" w:bidi="ar-SA"/>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cs="Times New Roman"/>
          <w:sz w:val="24"/>
        </w:rPr>
      </w:pPr>
      <w:r>
        <w:rPr>
          <w:rFonts w:ascii="仿宋_GB2312" w:hAnsi="仿宋" w:eastAsia="仿宋_GB2312"/>
          <w:sz w:val="24"/>
        </w:rPr>
        <w:t>3.本项目的特定资格要求：</w:t>
      </w:r>
      <w:r>
        <w:rPr>
          <w:rFonts w:hint="eastAsia" w:ascii="仿宋_GB2312" w:hAnsi="仿宋" w:eastAsia="仿宋_GB2312" w:cs="Times New Roman"/>
          <w:sz w:val="24"/>
          <w:lang w:val="en-US" w:eastAsia="zh-CN"/>
        </w:rPr>
        <w:t>无</w:t>
      </w:r>
      <w:r>
        <w:rPr>
          <w:rFonts w:hint="eastAsia" w:ascii="仿宋_GB2312" w:hAnsi="仿宋" w:eastAsia="仿宋_GB2312" w:cs="Times New Roman"/>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5</w:t>
      </w:r>
      <w:r>
        <w:rPr>
          <w:rFonts w:ascii="仿宋_GB2312" w:hAnsi="仿宋" w:eastAsia="仿宋_GB2312"/>
          <w:sz w:val="24"/>
          <w:u w:val="single"/>
        </w:rPr>
        <w:t>月</w:t>
      </w:r>
      <w:r>
        <w:rPr>
          <w:rFonts w:hint="eastAsia" w:ascii="仿宋_GB2312" w:hAnsi="仿宋" w:eastAsia="仿宋_GB2312"/>
          <w:sz w:val="24"/>
          <w:u w:val="single"/>
          <w:lang w:val="en-US" w:eastAsia="zh-CN"/>
        </w:rPr>
        <w:t>18</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18</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09</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eastAsia" w:ascii="仿宋" w:hAnsi="仿宋" w:eastAsia="仿宋" w:cs="仿宋"/>
          <w:sz w:val="24"/>
          <w:lang w:eastAsia="zh-CN"/>
        </w:rPr>
      </w:pPr>
      <w:r>
        <w:rPr>
          <w:rFonts w:ascii="仿宋_GB2312" w:hAnsi="仿宋" w:eastAsia="仿宋_GB2312"/>
          <w:sz w:val="24"/>
        </w:rPr>
        <w:t xml:space="preserve">    名   </w:t>
      </w:r>
      <w:r>
        <w:rPr>
          <w:rFonts w:hint="eastAsia" w:ascii="仿宋" w:hAnsi="仿宋" w:eastAsia="仿宋" w:cs="仿宋"/>
          <w:sz w:val="24"/>
        </w:rPr>
        <w:t xml:space="preserve"> 称：</w:t>
      </w:r>
      <w:r>
        <w:rPr>
          <w:rFonts w:hint="eastAsia" w:ascii="仿宋" w:hAnsi="仿宋" w:eastAsia="仿宋" w:cs="仿宋"/>
          <w:color w:val="000000"/>
          <w:kern w:val="0"/>
          <w:sz w:val="24"/>
          <w:lang w:eastAsia="zh-CN"/>
        </w:rPr>
        <w:t>杭州市余杭区人民政府仓前街道办事处</w:t>
      </w:r>
    </w:p>
    <w:p>
      <w:pPr>
        <w:spacing w:line="360" w:lineRule="auto"/>
        <w:rPr>
          <w:rFonts w:hint="eastAsia" w:ascii="仿宋" w:hAnsi="仿宋" w:eastAsia="仿宋" w:cs="仿宋"/>
          <w:sz w:val="24"/>
        </w:rPr>
      </w:pPr>
      <w:r>
        <w:rPr>
          <w:rFonts w:hint="eastAsia" w:ascii="仿宋" w:hAnsi="仿宋" w:eastAsia="仿宋" w:cs="仿宋"/>
          <w:sz w:val="24"/>
        </w:rPr>
        <w:t xml:space="preserve">    地    址：   </w:t>
      </w:r>
      <w:r>
        <w:rPr>
          <w:rFonts w:hint="eastAsia" w:ascii="仿宋" w:hAnsi="仿宋" w:eastAsia="仿宋" w:cs="仿宋"/>
          <w:color w:val="000000"/>
          <w:kern w:val="0"/>
          <w:sz w:val="24"/>
        </w:rPr>
        <w:t xml:space="preserve">杭州市余杭区仓前街道  </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sz w:val="24"/>
        </w:rPr>
        <w:t>传    真： /</w:t>
      </w:r>
    </w:p>
    <w:p>
      <w:pPr>
        <w:spacing w:line="360" w:lineRule="auto"/>
        <w:ind w:firstLine="0"/>
        <w:rPr>
          <w:rFonts w:hint="eastAsia" w:ascii="仿宋" w:hAnsi="仿宋" w:eastAsia="仿宋" w:cs="仿宋"/>
          <w:sz w:val="24"/>
        </w:rPr>
      </w:pPr>
      <w:r>
        <w:rPr>
          <w:rFonts w:hint="eastAsia" w:ascii="仿宋" w:hAnsi="仿宋" w:eastAsia="仿宋" w:cs="仿宋"/>
          <w:sz w:val="24"/>
        </w:rPr>
        <w:t>项目联系人（询问）：  陈文钟</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 </w:t>
      </w:r>
      <w:r>
        <w:rPr>
          <w:rFonts w:hint="eastAsia" w:ascii="仿宋" w:hAnsi="仿宋" w:eastAsia="仿宋" w:cs="仿宋"/>
          <w:sz w:val="24"/>
          <w:lang w:val="en-US" w:eastAsia="zh-CN"/>
        </w:rPr>
        <w:t>0571-</w:t>
      </w:r>
      <w:r>
        <w:rPr>
          <w:rFonts w:hint="eastAsia" w:ascii="仿宋" w:hAnsi="仿宋" w:eastAsia="仿宋" w:cs="仿宋"/>
          <w:sz w:val="24"/>
        </w:rPr>
        <w:t>88611800</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 周国平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 13777592253 </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w:t>
      </w:r>
      <w:r>
        <w:rPr>
          <w:rFonts w:hint="eastAsia" w:ascii="仿宋" w:hAnsi="仿宋" w:eastAsia="仿宋" w:cs="仿宋"/>
          <w:bCs w:val="0"/>
          <w:sz w:val="24"/>
          <w:lang w:eastAsia="zh-CN"/>
        </w:rPr>
        <w:t xml:space="preserve">浙江鑫润工程管理有限公司 </w:t>
      </w:r>
    </w:p>
    <w:p>
      <w:pPr>
        <w:spacing w:line="360" w:lineRule="auto"/>
        <w:ind w:firstLine="480"/>
        <w:rPr>
          <w:rFonts w:hint="eastAsia" w:ascii="仿宋" w:hAnsi="仿宋" w:eastAsia="仿宋" w:cs="仿宋"/>
          <w:kern w:val="2"/>
          <w:sz w:val="24"/>
          <w:szCs w:val="24"/>
          <w:lang w:val="en-US" w:eastAsia="zh-CN" w:bidi="ar-SA"/>
        </w:rPr>
      </w:pPr>
      <w:r>
        <w:rPr>
          <w:rFonts w:hint="eastAsia" w:ascii="仿宋" w:hAnsi="仿宋" w:eastAsia="仿宋" w:cs="仿宋"/>
          <w:sz w:val="24"/>
        </w:rPr>
        <w:t xml:space="preserve">地    址： </w:t>
      </w:r>
      <w:r>
        <w:rPr>
          <w:rFonts w:hint="eastAsia" w:ascii="仿宋" w:hAnsi="仿宋" w:eastAsia="仿宋" w:cs="仿宋"/>
          <w:kern w:val="2"/>
          <w:sz w:val="24"/>
          <w:szCs w:val="24"/>
          <w:lang w:val="en-US" w:eastAsia="zh-CN" w:bidi="ar-SA"/>
        </w:rPr>
        <w:t>浙江省杭州市临平区星桥街道鑫波大厦4楼</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 传    真：/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   </w:t>
      </w:r>
      <w:r>
        <w:rPr>
          <w:rFonts w:hint="eastAsia" w:ascii="仿宋" w:hAnsi="仿宋" w:eastAsia="仿宋" w:cs="仿宋"/>
          <w:sz w:val="24"/>
          <w:lang w:val="en-US" w:eastAsia="zh-CN"/>
        </w:rPr>
        <w:t>唐晓丽</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 </w:t>
      </w:r>
      <w:r>
        <w:rPr>
          <w:rFonts w:hint="eastAsia" w:ascii="仿宋" w:hAnsi="仿宋" w:eastAsia="仿宋" w:cs="仿宋"/>
          <w:color w:val="000000"/>
          <w:kern w:val="2"/>
          <w:sz w:val="24"/>
          <w:szCs w:val="24"/>
          <w:lang w:val="en-US" w:eastAsia="zh-CN" w:bidi="ar-SA"/>
        </w:rPr>
        <w:t>15336519552</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 </w:t>
      </w:r>
      <w:r>
        <w:rPr>
          <w:rFonts w:hint="eastAsia" w:ascii="仿宋" w:hAnsi="仿宋" w:eastAsia="仿宋" w:cs="仿宋"/>
          <w:sz w:val="24"/>
          <w:lang w:val="en-US" w:eastAsia="zh-CN"/>
        </w:rPr>
        <w:t>彭禹</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 </w:t>
      </w:r>
      <w:r>
        <w:rPr>
          <w:rFonts w:hint="eastAsia" w:ascii="仿宋" w:hAnsi="仿宋" w:eastAsia="仿宋" w:cs="仿宋"/>
          <w:color w:val="000000"/>
          <w:kern w:val="2"/>
          <w:sz w:val="24"/>
          <w:szCs w:val="24"/>
          <w:lang w:val="en-US" w:eastAsia="zh-CN" w:bidi="ar-SA"/>
        </w:rPr>
        <w:t>0571-88560515</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 杭州市余杭区财政局 </w:t>
      </w:r>
    </w:p>
    <w:p>
      <w:pPr>
        <w:spacing w:line="360" w:lineRule="auto"/>
        <w:rPr>
          <w:rFonts w:hint="eastAsia" w:ascii="仿宋" w:hAnsi="仿宋" w:eastAsia="仿宋" w:cs="仿宋"/>
          <w:sz w:val="24"/>
        </w:rPr>
      </w:pPr>
      <w:r>
        <w:rPr>
          <w:rFonts w:hint="eastAsia" w:ascii="仿宋" w:hAnsi="仿宋" w:eastAsia="仿宋" w:cs="仿宋"/>
          <w:sz w:val="24"/>
        </w:rPr>
        <w:t xml:space="preserve">    地    址： 杭州市余杭区五常街道溪沁路8号中国电信浙江创新园1号楼</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w:t>
      </w:r>
      <w:r>
        <w:rPr>
          <w:rFonts w:hint="eastAsia" w:ascii="仿宋" w:hAnsi="仿宋" w:eastAsia="仿宋" w:cs="仿宋"/>
          <w:sz w:val="24"/>
          <w:lang w:val="en-US" w:eastAsia="zh-CN"/>
        </w:rPr>
        <w:t>/</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联系人 ：  杜国强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 0571-88728858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pStyle w:val="25"/>
              <w:rPr>
                <w:rFonts w:hint="eastAsia" w:ascii="仿宋_GB2312" w:hAnsi="仿宋" w:eastAsia="仿宋_GB2312" w:cs="仿宋_GB2312"/>
                <w:b/>
                <w:color w:val="000000"/>
                <w:kern w:val="0"/>
                <w:szCs w:val="20"/>
                <w:lang w:val="en-US" w:eastAsia="zh-CN"/>
              </w:rPr>
            </w:pPr>
            <w:r>
              <w:rPr>
                <w:rFonts w:hint="eastAsia" w:ascii="仿宋_GB2312" w:hAnsi="仿宋" w:eastAsia="仿宋_GB2312" w:cs="仿宋_GB2312"/>
                <w:b/>
                <w:color w:val="000000"/>
                <w:kern w:val="0"/>
                <w:sz w:val="24"/>
                <w:szCs w:val="20"/>
                <w:lang w:val="en-US" w:eastAsia="zh-CN"/>
              </w:rPr>
              <w:t>本项目采用单价报价方式：</w:t>
            </w:r>
          </w:p>
          <w:tbl>
            <w:tblPr>
              <w:tblStyle w:val="64"/>
              <w:tblW w:w="5624"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2416"/>
              <w:gridCol w:w="149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序号</w:t>
                  </w:r>
                </w:p>
              </w:tc>
              <w:tc>
                <w:tcPr>
                  <w:tcW w:w="2416" w:type="dxa"/>
                  <w:vAlign w:val="center"/>
                </w:tcPr>
                <w:p>
                  <w:pPr>
                    <w:pStyle w:val="26"/>
                    <w:ind w:firstLine="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名称</w:t>
                  </w:r>
                </w:p>
              </w:tc>
              <w:tc>
                <w:tcPr>
                  <w:tcW w:w="1493"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数量</w:t>
                  </w:r>
                </w:p>
              </w:tc>
              <w:tc>
                <w:tcPr>
                  <w:tcW w:w="1267" w:type="dxa"/>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最高单价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vAlign w:val="center"/>
                </w:tcPr>
                <w:p>
                  <w:pPr>
                    <w:pStyle w:val="26"/>
                    <w:ind w:firstLine="0"/>
                    <w:jc w:val="center"/>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1</w:t>
                  </w:r>
                </w:p>
              </w:tc>
              <w:tc>
                <w:tcPr>
                  <w:tcW w:w="2416" w:type="dxa"/>
                  <w:vAlign w:val="center"/>
                </w:tcPr>
                <w:p>
                  <w:pPr>
                    <w:jc w:val="center"/>
                    <w:rPr>
                      <w:rFonts w:hint="eastAsia" w:ascii="仿宋" w:hAnsi="仿宋" w:eastAsia="仿宋" w:cs="仿宋"/>
                      <w:kern w:val="2"/>
                      <w:sz w:val="18"/>
                      <w:szCs w:val="18"/>
                      <w:highlight w:val="none"/>
                      <w:lang w:val="en-US" w:eastAsia="zh-CN" w:bidi="ar-SA"/>
                    </w:rPr>
                  </w:pPr>
                  <w:r>
                    <w:rPr>
                      <w:rFonts w:hint="eastAsia" w:ascii="仿宋" w:hAnsi="仿宋" w:eastAsia="仿宋" w:cs="仿宋"/>
                      <w:sz w:val="18"/>
                      <w:szCs w:val="18"/>
                      <w:highlight w:val="none"/>
                      <w:lang w:val="en-US" w:eastAsia="zh-CN"/>
                    </w:rPr>
                    <w:t>其他垃圾收集</w:t>
                  </w:r>
                </w:p>
              </w:tc>
              <w:tc>
                <w:tcPr>
                  <w:tcW w:w="1493"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46537.5吨/年</w:t>
                  </w:r>
                </w:p>
              </w:tc>
              <w:tc>
                <w:tcPr>
                  <w:tcW w:w="1267"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100元/吨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vAlign w:val="center"/>
                </w:tcPr>
                <w:p>
                  <w:pPr>
                    <w:pStyle w:val="26"/>
                    <w:ind w:firstLine="0"/>
                    <w:jc w:val="center"/>
                    <w:rPr>
                      <w:rFonts w:hint="eastAsia"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w:t>
                  </w:r>
                </w:p>
              </w:tc>
              <w:tc>
                <w:tcPr>
                  <w:tcW w:w="2416" w:type="dxa"/>
                  <w:vAlign w:val="center"/>
                </w:tcPr>
                <w:p>
                  <w:pPr>
                    <w:jc w:val="center"/>
                    <w:rPr>
                      <w:rFonts w:hint="eastAsia" w:ascii="仿宋" w:hAnsi="仿宋" w:eastAsia="仿宋" w:cs="仿宋"/>
                      <w:kern w:val="2"/>
                      <w:sz w:val="18"/>
                      <w:szCs w:val="18"/>
                      <w:highlight w:val="none"/>
                      <w:lang w:val="en-US" w:eastAsia="zh-CN" w:bidi="ar-SA"/>
                    </w:rPr>
                  </w:pPr>
                  <w:r>
                    <w:rPr>
                      <w:rFonts w:hint="eastAsia" w:ascii="仿宋" w:hAnsi="仿宋" w:eastAsia="仿宋" w:cs="仿宋"/>
                      <w:sz w:val="18"/>
                      <w:szCs w:val="18"/>
                      <w:highlight w:val="none"/>
                      <w:lang w:val="en-US" w:eastAsia="zh-CN"/>
                    </w:rPr>
                    <w:t>易腐垃圾收集</w:t>
                  </w:r>
                </w:p>
              </w:tc>
              <w:tc>
                <w:tcPr>
                  <w:tcW w:w="1493"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kern w:val="2"/>
                      <w:sz w:val="18"/>
                      <w:szCs w:val="18"/>
                      <w:lang w:val="en-US" w:eastAsia="zh-CN" w:bidi="ar-SA"/>
                    </w:rPr>
                    <w:t>9125吨/年</w:t>
                  </w:r>
                </w:p>
              </w:tc>
              <w:tc>
                <w:tcPr>
                  <w:tcW w:w="1267" w:type="dxa"/>
                  <w:vAlign w:val="center"/>
                </w:tcPr>
                <w:p>
                  <w:pPr>
                    <w:jc w:val="center"/>
                    <w:rPr>
                      <w:rFonts w:hint="eastAsia" w:ascii="仿宋" w:hAnsi="仿宋" w:eastAsia="仿宋" w:cs="仿宋"/>
                      <w:kern w:val="2"/>
                      <w:sz w:val="18"/>
                      <w:szCs w:val="18"/>
                      <w:lang w:val="en-US" w:eastAsia="zh-CN" w:bidi="ar-SA"/>
                    </w:rPr>
                  </w:pPr>
                  <w:r>
                    <w:rPr>
                      <w:rFonts w:hint="eastAsia" w:ascii="仿宋" w:hAnsi="仿宋" w:eastAsia="仿宋" w:cs="仿宋"/>
                      <w:sz w:val="18"/>
                      <w:szCs w:val="18"/>
                      <w:lang w:val="en-US" w:eastAsia="zh-CN"/>
                    </w:rPr>
                    <w:t>120元/吨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vAlign w:val="center"/>
                </w:tcPr>
                <w:p>
                  <w:pPr>
                    <w:jc w:val="center"/>
                    <w:rPr>
                      <w:rFonts w:hint="eastAsia" w:ascii="仿宋" w:hAnsi="仿宋" w:eastAsia="仿宋" w:cs="仿宋"/>
                      <w:sz w:val="18"/>
                      <w:szCs w:val="18"/>
                    </w:rPr>
                  </w:pPr>
                  <w:r>
                    <w:rPr>
                      <w:rFonts w:hint="eastAsia" w:ascii="仿宋" w:hAnsi="仿宋" w:eastAsia="仿宋" w:cs="仿宋"/>
                      <w:sz w:val="18"/>
                      <w:szCs w:val="18"/>
                      <w:highlight w:val="none"/>
                      <w:lang w:val="en-US" w:eastAsia="zh-CN"/>
                    </w:rPr>
                    <w:t>3</w:t>
                  </w:r>
                </w:p>
              </w:tc>
              <w:tc>
                <w:tcPr>
                  <w:tcW w:w="2416"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垃圾音乐线</w:t>
                  </w:r>
                </w:p>
              </w:tc>
              <w:tc>
                <w:tcPr>
                  <w:tcW w:w="1493"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4条</w:t>
                  </w:r>
                </w:p>
              </w:tc>
              <w:tc>
                <w:tcPr>
                  <w:tcW w:w="126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18.75万元/年/条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w:t>
                  </w:r>
                </w:p>
              </w:tc>
              <w:tc>
                <w:tcPr>
                  <w:tcW w:w="2416"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杭师园林垃圾清运及化粪池吸污</w:t>
                  </w:r>
                </w:p>
              </w:tc>
              <w:tc>
                <w:tcPr>
                  <w:tcW w:w="1493" w:type="dxa"/>
                  <w:vAlign w:val="center"/>
                </w:tcPr>
                <w:p>
                  <w:pPr>
                    <w:jc w:val="center"/>
                    <w:rPr>
                      <w:rFonts w:hint="eastAsia" w:ascii="仿宋" w:hAnsi="仿宋" w:eastAsia="仿宋" w:cs="仿宋"/>
                      <w:sz w:val="18"/>
                      <w:szCs w:val="18"/>
                    </w:rPr>
                  </w:pPr>
                </w:p>
              </w:tc>
              <w:tc>
                <w:tcPr>
                  <w:tcW w:w="126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5</w:t>
                  </w:r>
                </w:p>
              </w:tc>
              <w:tc>
                <w:tcPr>
                  <w:tcW w:w="2416"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color w:val="auto"/>
                      <w:sz w:val="18"/>
                      <w:szCs w:val="18"/>
                      <w:lang w:val="en-US" w:eastAsia="zh-CN"/>
                    </w:rPr>
                    <w:t>苕溪生活垃圾音乐线集置点管理</w:t>
                  </w:r>
                </w:p>
              </w:tc>
              <w:tc>
                <w:tcPr>
                  <w:tcW w:w="1493" w:type="dxa"/>
                  <w:vAlign w:val="center"/>
                </w:tcPr>
                <w:p>
                  <w:pPr>
                    <w:jc w:val="center"/>
                    <w:rPr>
                      <w:rFonts w:hint="eastAsia" w:ascii="仿宋" w:hAnsi="仿宋" w:eastAsia="仿宋" w:cs="仿宋"/>
                      <w:sz w:val="18"/>
                      <w:szCs w:val="18"/>
                    </w:rPr>
                  </w:pPr>
                </w:p>
              </w:tc>
              <w:tc>
                <w:tcPr>
                  <w:tcW w:w="1267"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15万元/年</w:t>
                  </w:r>
                </w:p>
              </w:tc>
            </w:tr>
          </w:tbl>
          <w:p>
            <w:pPr>
              <w:pStyle w:val="25"/>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w:t>
            </w:r>
            <w:r>
              <w:rPr>
                <w:rFonts w:hint="eastAsia" w:ascii="仿宋_GB2312" w:hAnsi="仿宋" w:eastAsia="仿宋_GB2312" w:cs="仿宋_GB2312"/>
                <w:b/>
                <w:kern w:val="0"/>
                <w:sz w:val="24"/>
                <w:lang w:val="en-US" w:eastAsia="zh-CN"/>
              </w:rPr>
              <w:t>或最高单价</w:t>
            </w:r>
            <w:r>
              <w:rPr>
                <w:rFonts w:hint="eastAsia" w:ascii="仿宋_GB2312" w:hAnsi="仿宋" w:eastAsia="仿宋_GB2312" w:cs="仿宋_GB2312"/>
                <w:b/>
                <w:kern w:val="0"/>
                <w:sz w:val="24"/>
                <w:lang w:val="zh-CN"/>
              </w:rPr>
              <w:t>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ascii="MS Gothic" w:hAnsi="MS Gothic" w:eastAsia="MS Gothic" w:cs="Arial"/>
                <w:kern w:val="0"/>
                <w:sz w:val="24"/>
              </w:rPr>
              <w:t>☐</w:t>
            </w:r>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r>
              <w:rPr>
                <w:rFonts w:ascii="仿宋_GB2312" w:hAnsi="仿宋" w:eastAsia="仿宋_GB2312"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仿宋_GB2312" w:hAnsi="仿宋"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ascii="MS Gothic" w:hAnsi="MS Gothic" w:eastAsia="MS Gothic" w:cs="Arial"/>
                <w:kern w:val="0"/>
                <w:sz w:val="24"/>
              </w:rPr>
              <w:t>☐</w:t>
            </w:r>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MS Gothic" w:cs="Arial"/>
                <w:kern w:val="0"/>
                <w:sz w:val="24"/>
                <w:szCs w:val="24"/>
                <w:lang w:val="en-US" w:eastAsia="zh-CN" w:bidi="ar-SA"/>
              </w:rPr>
              <w:t>þ</w:t>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ascii="MS Gothic" w:hAnsi="MS Gothic" w:eastAsia="MS Gothic" w:cs="Arial"/>
                <w:kern w:val="0"/>
                <w:sz w:val="24"/>
                <w:szCs w:val="24"/>
                <w:lang w:val="en-US" w:eastAsia="zh-CN" w:bidi="ar-SA"/>
              </w:rPr>
              <w:t>☐</w:t>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 w:hAnsi="仿宋" w:eastAsia="仿宋"/>
                <w:snapToGrid w:val="0"/>
                <w:kern w:val="28"/>
                <w:sz w:val="24"/>
              </w:rPr>
              <w:t>样品：</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 w:hAnsi="仿宋" w:eastAsia="仿宋"/>
                <w:snapToGrid w:val="0"/>
                <w:kern w:val="28"/>
                <w:sz w:val="24"/>
              </w:rPr>
              <w:t>样品制作的标准和要求：</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4）是否需要随样品提交检测报告</w:t>
            </w:r>
            <w:r>
              <w:rPr>
                <w:rFonts w:hint="eastAsia" w:ascii="仿宋_GB2312" w:hAnsi="仿宋" w:eastAsia="仿宋_GB2312"/>
                <w:kern w:val="0"/>
                <w:sz w:val="24"/>
              </w:rPr>
              <w:t>：</w:t>
            </w:r>
            <w:r>
              <w:rPr>
                <w:rFonts w:ascii="MS Gothic" w:hAnsi="MS Gothic" w:eastAsia="仿宋_GB2312" w:cs="Arial"/>
                <w:kern w:val="0"/>
                <w:sz w:val="24"/>
              </w:rPr>
              <w:sym w:font="Wingdings" w:char="F0FE"/>
            </w:r>
            <w:r>
              <w:rPr>
                <w:rFonts w:ascii="仿宋_GB2312" w:hAnsi="仿宋" w:eastAsia="仿宋_GB2312"/>
                <w:kern w:val="0"/>
                <w:sz w:val="24"/>
              </w:rPr>
              <w:t>否；</w:t>
            </w:r>
            <w:r>
              <w:rPr>
                <w:rFonts w:ascii="MS Gothic" w:hAnsi="MS Gothic" w:eastAsia="仿宋_GB2312" w:cs="Arial"/>
                <w:kern w:val="0"/>
                <w:sz w:val="24"/>
              </w:rPr>
              <w:t>☐</w:t>
            </w:r>
            <w:r>
              <w:rPr>
                <w:rFonts w:ascii="仿宋_GB2312" w:hAnsi="仿宋" w:eastAsia="仿宋_GB2312"/>
                <w:kern w:val="0"/>
                <w:sz w:val="24"/>
              </w:rPr>
              <w:t>是，检测机构的要求</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5）提供样品的时间：</w:t>
            </w:r>
            <w:r>
              <w:rPr>
                <w:rFonts w:hint="eastAsia" w:ascii="仿宋_GB2312" w:hAnsi="仿宋" w:eastAsia="仿宋_GB2312"/>
                <w:sz w:val="24"/>
                <w:u w:val="single"/>
              </w:rPr>
              <w:t xml:space="preserve">    </w:t>
            </w:r>
            <w:r>
              <w:rPr>
                <w:rFonts w:hint="eastAsia" w:ascii="仿宋_GB2312" w:hAnsi="仿宋" w:eastAsia="仿宋_GB2312"/>
                <w:kern w:val="0"/>
                <w:sz w:val="24"/>
              </w:rPr>
              <w:t>；地点：</w:t>
            </w:r>
            <w:r>
              <w:rPr>
                <w:rFonts w:hint="eastAsia"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hint="eastAsia"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hint="eastAsia" w:ascii="仿宋_GB2312" w:hAnsi="仿宋" w:eastAsia="仿宋_GB2312"/>
                <w:sz w:val="24"/>
                <w:u w:val="single"/>
              </w:rPr>
              <w:t xml:space="preserve">    </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rPr>
            </w:pPr>
            <w:r>
              <w:rPr>
                <w:rFonts w:ascii="仿宋_GB2312" w:hAnsi="仿宋" w:eastAsia="仿宋_GB2312"/>
                <w:sz w:val="24"/>
              </w:rPr>
              <w:t xml:space="preserve"> (6)采购活动结束后，对于未中标人提供的样品，</w:t>
            </w:r>
            <w:r>
              <w:rPr>
                <w:rFonts w:hint="eastAsia" w:ascii="仿宋_GB2312" w:hAnsi="仿宋" w:eastAsia="仿宋_GB2312"/>
                <w:sz w:val="24"/>
              </w:rPr>
              <w:t>采购人、采购机构将通知</w:t>
            </w:r>
            <w:r>
              <w:rPr>
                <w:rFonts w:ascii="仿宋_GB2312" w:hAnsi="仿宋" w:eastAsia="仿宋_GB2312"/>
                <w:sz w:val="24"/>
              </w:rPr>
              <w:t>未中标人</w:t>
            </w:r>
            <w:r>
              <w:rPr>
                <w:rFonts w:hint="eastAsia" w:ascii="仿宋_GB2312" w:hAnsi="仿宋" w:eastAsia="仿宋_GB2312"/>
                <w:sz w:val="24"/>
              </w:rPr>
              <w:t>在规定的时间内取回，逾期未取回的，采购人、采购机构不负保管义务</w:t>
            </w:r>
            <w:r>
              <w:rPr>
                <w:rFonts w:ascii="仿宋_GB2312" w:hAnsi="仿宋" w:eastAsia="仿宋_GB2312"/>
                <w:sz w:val="24"/>
              </w:rPr>
              <w:t>；对于中标人提供的样品，</w:t>
            </w:r>
            <w:r>
              <w:rPr>
                <w:rFonts w:hint="eastAsia" w:ascii="仿宋_GB2312" w:hAnsi="仿宋" w:eastAsia="仿宋_GB2312"/>
                <w:sz w:val="24"/>
              </w:rPr>
              <w:t>采购人将进</w:t>
            </w:r>
            <w:r>
              <w:rPr>
                <w:rFonts w:ascii="仿宋_GB2312" w:hAnsi="仿宋" w:eastAsia="仿宋_GB2312"/>
                <w:sz w:val="24"/>
              </w:rPr>
              <w:t>行保管、封存，并作为履约验收的参考。</w:t>
            </w:r>
          </w:p>
          <w:p>
            <w:pPr>
              <w:spacing w:line="360" w:lineRule="auto"/>
              <w:rPr>
                <w:rFonts w:ascii="仿宋_GB2312" w:hAnsi="仿宋" w:eastAsia="仿宋_GB2312"/>
                <w:b/>
                <w:sz w:val="24"/>
              </w:rPr>
            </w:pPr>
            <w:r>
              <w:rPr>
                <w:rFonts w:hint="eastAsia" w:ascii="仿宋_GB2312" w:hAnsi="仿宋" w:eastAsia="仿宋_GB2312"/>
                <w:sz w:val="24"/>
              </w:rPr>
              <w:t>（</w:t>
            </w:r>
            <w:r>
              <w:rPr>
                <w:rFonts w:ascii="仿宋_GB2312" w:hAnsi="仿宋" w:eastAsia="仿宋_GB2312"/>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ascii="仿宋_GB2312" w:hAnsi="仿宋"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ascii="MS Gothic" w:hAnsi="MS Gothic" w:eastAsia="MS Gothic"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MS Gothic" w:hAnsi="MS Gothic" w:eastAsia="仿宋_GB2312" w:cs="Arial"/>
                <w:kern w:val="0"/>
                <w:sz w:val="24"/>
                <w:szCs w:val="24"/>
                <w:lang w:val="en-US" w:eastAsia="zh-CN" w:bidi="ar-SA"/>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ascii="Wingdings" w:hAnsi="Wingdings" w:eastAsia="仿宋_GB2312" w:cs="Arial"/>
                <w:kern w:val="0"/>
                <w:sz w:val="24"/>
                <w:szCs w:val="24"/>
                <w:lang w:val="en-US" w:eastAsia="zh-CN" w:bidi="ar-SA"/>
              </w:rPr>
              <w:t>þ</w:t>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5"/>
              <w:rPr>
                <w:lang w:val="en-US"/>
              </w:rPr>
            </w:pPr>
            <w:r>
              <w:rPr>
                <w:rFonts w:hint="eastAsia" w:ascii="仿宋_GB2312" w:hAnsi="仿宋" w:eastAsia="仿宋_GB2312" w:cs="Arial"/>
                <w:b w:val="0"/>
                <w:bCs w:val="0"/>
                <w:kern w:val="0"/>
                <w:sz w:val="24"/>
                <w:szCs w:val="24"/>
                <w:lang w:val="en-US" w:eastAsia="zh-CN" w:bidi="ar-SA"/>
              </w:rPr>
              <w:t>（1）标</w:t>
            </w:r>
            <w:r>
              <w:rPr>
                <w:rFonts w:hint="eastAsia" w:ascii="仿宋_GB2312" w:hAnsi="仿宋" w:eastAsia="仿宋_GB2312" w:cs="Arial"/>
                <w:b w:val="0"/>
                <w:bCs w:val="0"/>
                <w:kern w:val="0"/>
                <w:sz w:val="24"/>
                <w:szCs w:val="24"/>
                <w:u w:val="none"/>
                <w:lang w:val="en-US" w:eastAsia="zh-CN" w:bidi="ar-SA"/>
              </w:rPr>
              <w:t>的：</w:t>
            </w:r>
            <w:r>
              <w:rPr>
                <w:rFonts w:hint="eastAsia" w:ascii="仿宋_GB2312" w:hAnsi="仿宋" w:eastAsia="仿宋_GB2312" w:cs="Arial"/>
                <w:b w:val="0"/>
                <w:bCs w:val="0"/>
                <w:kern w:val="0"/>
                <w:sz w:val="24"/>
                <w:szCs w:val="24"/>
                <w:u w:val="none"/>
                <w:lang w:val="en-US" w:eastAsia="zh-CN"/>
              </w:rPr>
              <w:t>生活垃圾前端收集及音乐线</w:t>
            </w:r>
            <w:r>
              <w:rPr>
                <w:rFonts w:hint="eastAsia" w:ascii="仿宋_GB2312" w:hAnsi="仿宋" w:eastAsia="仿宋_GB2312" w:cs="Arial"/>
                <w:b w:val="0"/>
                <w:bCs w:val="0"/>
                <w:kern w:val="0"/>
                <w:sz w:val="24"/>
                <w:szCs w:val="24"/>
                <w:lang w:val="en-US" w:eastAsia="zh-CN" w:bidi="ar-SA"/>
              </w:rPr>
              <w:t xml:space="preserve">，属于 </w:t>
            </w:r>
            <w:r>
              <w:rPr>
                <w:rFonts w:hint="eastAsia" w:cs="Arial"/>
                <w:b w:val="0"/>
                <w:bCs w:val="0"/>
                <w:spacing w:val="0"/>
                <w:kern w:val="0"/>
                <w:sz w:val="24"/>
                <w:szCs w:val="24"/>
                <w:u w:val="none"/>
                <w:lang w:val="en-US"/>
              </w:rPr>
              <w:t>其他未列明行业</w:t>
            </w:r>
            <w:r>
              <w:rPr>
                <w:rFonts w:hint="eastAsia" w:ascii="仿宋_GB2312" w:hAnsi="仿宋" w:eastAsia="仿宋_GB2312" w:cs="Arial"/>
                <w:b w:val="0"/>
                <w:bCs w:val="0"/>
                <w:kern w:val="0"/>
                <w:sz w:val="24"/>
                <w:szCs w:val="24"/>
                <w:lang w:val="en-US" w:eastAsia="zh-CN" w:bidi="ar-SA"/>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 xml:space="preserve"> 浙江省杭州市</w:t>
            </w:r>
            <w:r>
              <w:rPr>
                <w:rFonts w:hint="eastAsia" w:ascii="仿宋_GB2312" w:hAnsi="仿宋" w:eastAsia="仿宋_GB2312"/>
                <w:sz w:val="24"/>
                <w:u w:val="single"/>
                <w:lang w:val="en-US" w:eastAsia="zh-CN"/>
              </w:rPr>
              <w:t>临平区</w:t>
            </w:r>
            <w:r>
              <w:rPr>
                <w:rFonts w:hint="eastAsia" w:ascii="仿宋_GB2312" w:hAnsi="仿宋" w:eastAsia="仿宋_GB2312"/>
                <w:sz w:val="24"/>
                <w:u w:val="single"/>
              </w:rPr>
              <w:t xml:space="preserve">星桥街道鑫波大厦4楼 </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 xml:space="preserve"> </w:t>
            </w:r>
            <w:r>
              <w:rPr>
                <w:rFonts w:hint="eastAsia" w:ascii="仿宋_GB2312" w:hAnsi="仿宋" w:eastAsia="仿宋_GB2312"/>
                <w:sz w:val="24"/>
                <w:u w:val="single"/>
                <w:lang w:val="en-US" w:eastAsia="zh-CN"/>
              </w:rPr>
              <w:t xml:space="preserve">唐晓丽15336519552 </w:t>
            </w:r>
            <w:r>
              <w:rPr>
                <w:rFonts w:hint="eastAsia" w:ascii="仿宋_GB2312" w:hAnsi="仿宋" w:eastAsia="仿宋_GB2312"/>
                <w:sz w:val="24"/>
                <w:u w:val="single"/>
              </w:rPr>
              <w:t xml:space="preserve"> </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default" w:ascii="仿宋_GB2312" w:hAnsi="仿宋" w:eastAsia="仿宋_GB2312" w:cs="仿宋_GB2312"/>
                <w:sz w:val="24"/>
                <w:lang w:val="en-US" w:eastAsia="zh-CN"/>
              </w:rPr>
            </w:pPr>
            <w:r>
              <w:rPr>
                <w:rFonts w:hint="eastAsia" w:ascii="仿宋_GB2312" w:hAnsi="仿宋" w:eastAsia="仿宋_GB2312" w:cs="仿宋_GB2312"/>
                <w:sz w:val="24"/>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sz w:val="24"/>
              </w:rPr>
            </w:pPr>
            <w:r>
              <w:rPr>
                <w:rFonts w:hint="eastAsia" w:ascii="宋体" w:hAnsi="宋体" w:eastAsia="宋体" w:cs="宋体"/>
                <w:snapToGrid w:val="0"/>
                <w:color w:val="000000"/>
                <w:kern w:val="28"/>
                <w:sz w:val="24"/>
              </w:rPr>
              <w:t>中标服务费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85"/>
              <w:snapToGrid w:val="0"/>
              <w:spacing w:line="360" w:lineRule="exact"/>
              <w:ind w:firstLine="0" w:firstLineChars="0"/>
              <w:rPr>
                <w:rFonts w:ascii="仿宋" w:hAnsi="仿宋" w:eastAsia="仿宋"/>
                <w:color w:val="auto"/>
              </w:rPr>
            </w:pPr>
            <w:r>
              <w:rPr>
                <w:rFonts w:hint="eastAsia" w:ascii="仿宋" w:hAnsi="仿宋" w:eastAsia="仿宋" w:cs="仿宋"/>
                <w:color w:val="auto"/>
              </w:rPr>
              <w:t>中标人在领取中标通知书前需向招标代理机构支付人民币</w:t>
            </w:r>
            <w:r>
              <w:rPr>
                <w:rFonts w:hint="eastAsia" w:ascii="仿宋" w:hAnsi="仿宋" w:eastAsia="仿宋" w:cs="仿宋"/>
                <w:color w:val="auto"/>
                <w:lang w:val="en-US" w:eastAsia="zh-CN"/>
              </w:rPr>
              <w:t>83500</w:t>
            </w:r>
            <w:r>
              <w:rPr>
                <w:rFonts w:hint="eastAsia" w:ascii="仿宋" w:hAnsi="仿宋" w:eastAsia="仿宋" w:cs="仿宋"/>
                <w:color w:val="auto"/>
              </w:rPr>
              <w:t>元招标代理服务费，费用包含在总报价中，不单独列项报价。</w:t>
            </w:r>
          </w:p>
          <w:p>
            <w:pPr>
              <w:pStyle w:val="85"/>
              <w:snapToGrid w:val="0"/>
              <w:spacing w:line="360" w:lineRule="exact"/>
              <w:ind w:firstLine="0" w:firstLineChars="0"/>
              <w:rPr>
                <w:rFonts w:ascii="仿宋" w:hAnsi="仿宋" w:eastAsia="仿宋" w:cs="仿宋"/>
                <w:color w:val="auto"/>
              </w:rPr>
            </w:pPr>
            <w:r>
              <w:rPr>
                <w:rFonts w:hint="eastAsia" w:ascii="仿宋" w:hAnsi="仿宋" w:eastAsia="仿宋" w:cs="仿宋"/>
                <w:color w:val="auto"/>
              </w:rPr>
              <w:t>中标服务费的交纳方式：以转帐或支票的形式支付</w:t>
            </w:r>
          </w:p>
          <w:p>
            <w:pPr>
              <w:spacing w:line="360" w:lineRule="auto"/>
              <w:rPr>
                <w:rFonts w:hint="eastAsia" w:ascii="仿宋_GB2312" w:hAnsi="仿宋" w:eastAsia="仿宋_GB2312"/>
                <w:snapToGrid w:val="0"/>
                <w:kern w:val="28"/>
                <w:sz w:val="24"/>
              </w:rPr>
            </w:pPr>
            <w:r>
              <w:rPr>
                <w:rFonts w:hint="eastAsia" w:ascii="仿宋" w:hAnsi="仿宋" w:eastAsia="仿宋" w:cs="仿宋"/>
                <w:color w:val="auto"/>
              </w:rPr>
              <w:t>中标单位需在领取中标通知书时缴纳中标服务费，缴纳时注明招标编号。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sz w:val="24"/>
                <w:lang w:eastAsia="zh-CN"/>
              </w:rPr>
            </w:pPr>
            <w:r>
              <w:rPr>
                <w:rFonts w:ascii="仿宋_GB2312" w:hAnsi="仿宋" w:eastAsia="仿宋_GB2312" w:cs="仿宋_GB2312"/>
                <w:sz w:val="24"/>
              </w:rPr>
              <w:t>1</w:t>
            </w:r>
            <w:r>
              <w:rPr>
                <w:rFonts w:hint="eastAsia" w:ascii="仿宋_GB2312" w:hAnsi="仿宋" w:eastAsia="仿宋_GB2312" w:cs="仿宋_GB2312"/>
                <w:sz w:val="24"/>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无</w:t>
            </w:r>
            <w:r>
              <w:rPr>
                <w:rFonts w:hint="eastAsia" w:ascii="仿宋_GB2312" w:hAnsi="仿宋" w:eastAsia="仿宋_GB2312" w:cs="宋体"/>
                <w:b/>
                <w:kern w:val="0"/>
                <w:sz w:val="24"/>
              </w:rPr>
              <w:t>。</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5"/>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5"/>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5"/>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5"/>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5"/>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5"/>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5"/>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z w:val="24"/>
          <w:szCs w:val="24"/>
        </w:rPr>
        <w:t>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7"/>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5"/>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5"/>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5"/>
        <w:spacing w:before="0"/>
        <w:ind w:firstLine="643"/>
        <w:rPr>
          <w:rFonts w:ascii="仿宋_GB2312" w:hAnsi="仿宋" w:eastAsia="仿宋_GB2312" w:cs="仿宋_GB2312"/>
          <w:b/>
          <w:sz w:val="32"/>
        </w:rPr>
      </w:pPr>
    </w:p>
    <w:p>
      <w:pPr>
        <w:pStyle w:val="85"/>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0"/>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5"/>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5"/>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5"/>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5"/>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5"/>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85"/>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5"/>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5"/>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7"/>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5%。</w:t>
      </w:r>
    </w:p>
    <w:p>
      <w:pPr>
        <w:pStyle w:val="5"/>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5"/>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5"/>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5"/>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7"/>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403820"/>
      <w:bookmarkEnd w:id="14"/>
      <w:bookmarkStart w:id="15" w:name="_Hlt74707468"/>
      <w:bookmarkEnd w:id="15"/>
      <w:bookmarkStart w:id="16" w:name="_Hlt74714665"/>
      <w:bookmarkEnd w:id="16"/>
      <w:bookmarkStart w:id="17" w:name="_Hlt68072998"/>
      <w:bookmarkEnd w:id="17"/>
      <w:bookmarkStart w:id="18" w:name="_Hlt68073093"/>
      <w:bookmarkEnd w:id="18"/>
      <w:bookmarkStart w:id="19" w:name="_Hlt68072990"/>
      <w:bookmarkEnd w:id="19"/>
      <w:bookmarkStart w:id="20" w:name="_Hlt74730295"/>
      <w:bookmarkEnd w:id="20"/>
      <w:bookmarkStart w:id="21" w:name="_Hlt75236011"/>
      <w:bookmarkEnd w:id="21"/>
      <w:bookmarkStart w:id="22" w:name="_Hlt75236290"/>
      <w:bookmarkEnd w:id="22"/>
      <w:bookmarkStart w:id="23" w:name="_Hlt68057669"/>
      <w:bookmarkEnd w:id="23"/>
      <w:bookmarkStart w:id="24" w:name="_Hlt75236101"/>
      <w:bookmarkEnd w:id="24"/>
      <w:bookmarkStart w:id="25" w:name="_Hlt74729768"/>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ind w:firstLine="723" w:firstLineChars="300"/>
        <w:rPr>
          <w:rFonts w:hint="eastAsia" w:ascii="宋体" w:hAnsi="宋体"/>
          <w:b/>
          <w:bCs/>
          <w:sz w:val="24"/>
        </w:rPr>
      </w:pPr>
      <w:bookmarkStart w:id="27" w:name="_Toc33194401"/>
      <w:r>
        <w:rPr>
          <w:rFonts w:hint="eastAsia" w:ascii="宋体" w:hAnsi="宋体" w:cs="宋体"/>
          <w:b/>
          <w:sz w:val="24"/>
        </w:rPr>
        <w:t>采购需求中</w:t>
      </w:r>
      <w:r>
        <w:rPr>
          <w:rFonts w:hint="eastAsia" w:ascii="宋体" w:hAnsi="宋体"/>
          <w:b/>
          <w:bCs/>
          <w:sz w:val="24"/>
        </w:rPr>
        <w:t>带</w:t>
      </w:r>
      <w:r>
        <w:rPr>
          <w:rFonts w:ascii="宋体" w:hAnsi="宋体"/>
          <w:b/>
          <w:bCs/>
          <w:sz w:val="24"/>
        </w:rPr>
        <w:t>“▲”</w:t>
      </w:r>
      <w:r>
        <w:rPr>
          <w:rFonts w:hint="eastAsia" w:ascii="宋体" w:hAnsi="宋体"/>
          <w:b/>
          <w:bCs/>
          <w:sz w:val="24"/>
        </w:rPr>
        <w:t>条款为实质性内容，投标人须在投标文件中提供《实质性内容响应表》（格式见第五部分</w:t>
      </w:r>
      <w:r>
        <w:rPr>
          <w:rFonts w:ascii="宋体" w:hAnsi="宋体"/>
          <w:b/>
          <w:bCs/>
          <w:sz w:val="24"/>
        </w:rPr>
        <w:t xml:space="preserve"> </w:t>
      </w:r>
      <w:r>
        <w:rPr>
          <w:rFonts w:hint="eastAsia" w:ascii="宋体" w:hAnsi="宋体"/>
          <w:b/>
          <w:bCs/>
          <w:sz w:val="24"/>
        </w:rPr>
        <w:t>应提交的有关格式范例），如有任意一条未响应或不满足，将被视为无效。</w:t>
      </w:r>
    </w:p>
    <w:p>
      <w:pPr>
        <w:pStyle w:val="4"/>
        <w:spacing w:line="360" w:lineRule="auto"/>
        <w:jc w:val="both"/>
        <w:rPr>
          <w:rFonts w:hint="eastAsia" w:ascii="宋体" w:hAnsi="宋体" w:eastAsia="宋体"/>
          <w:sz w:val="24"/>
          <w:szCs w:val="24"/>
        </w:rPr>
      </w:pPr>
      <w:r>
        <w:rPr>
          <w:rFonts w:hint="eastAsia" w:ascii="宋体" w:hAnsi="宋体" w:eastAsia="宋体"/>
          <w:sz w:val="24"/>
          <w:szCs w:val="24"/>
        </w:rPr>
        <w:t>一、项目概况</w:t>
      </w:r>
    </w:p>
    <w:p>
      <w:pPr>
        <w:pStyle w:val="4"/>
        <w:spacing w:line="360" w:lineRule="auto"/>
        <w:ind w:firstLine="481"/>
        <w:jc w:val="both"/>
        <w:rPr>
          <w:rFonts w:hint="eastAsia" w:ascii="宋体" w:hAnsi="宋体" w:eastAsia="宋体"/>
          <w:color w:val="000000"/>
          <w:sz w:val="24"/>
          <w:szCs w:val="24"/>
        </w:rPr>
      </w:pPr>
      <w:r>
        <w:rPr>
          <w:rFonts w:hint="eastAsia" w:ascii="宋体" w:hAnsi="宋体" w:eastAsia="宋体"/>
          <w:b w:val="0"/>
          <w:bCs/>
          <w:sz w:val="24"/>
          <w:szCs w:val="24"/>
        </w:rPr>
        <w:t>本次招标范围内的所有作业内容，包括但不限于人工工资（含节假日加班费）、易损材料、生产工具、运输工具、修理费、清洗费、卫生用具、办公、车辆停放场地、食宿、通信、劳保（含高温补贴费、反光服、雨衣、夏令防暑等）、福利、利润、税金、保险（包括医疗、工伤、养老等社会保险及人身意外保险）以及因国家政策性调整（包括但不限于最</w:t>
      </w:r>
      <w:r>
        <w:rPr>
          <w:rFonts w:hint="eastAsia" w:ascii="宋体" w:hAnsi="宋体" w:eastAsia="宋体"/>
          <w:b w:val="0"/>
          <w:bCs/>
          <w:color w:val="000000"/>
          <w:sz w:val="24"/>
          <w:szCs w:val="24"/>
        </w:rPr>
        <w:t>低工资调整和社保保障缴费调整）等一切费用</w:t>
      </w:r>
      <w:r>
        <w:rPr>
          <w:rFonts w:hint="eastAsia" w:ascii="宋体" w:hAnsi="宋体" w:eastAsia="宋体"/>
          <w:color w:val="000000"/>
          <w:sz w:val="24"/>
          <w:szCs w:val="24"/>
        </w:rPr>
        <w:t>，其他详见项目采购清单；</w:t>
      </w:r>
    </w:p>
    <w:p>
      <w:pPr>
        <w:pStyle w:val="618"/>
        <w:spacing w:line="360" w:lineRule="auto"/>
        <w:rPr>
          <w:rFonts w:hint="eastAsia" w:cs="宋体"/>
          <w:b/>
          <w:bCs/>
          <w:color w:val="000000"/>
          <w:szCs w:val="24"/>
        </w:rPr>
      </w:pPr>
      <w:r>
        <w:rPr>
          <w:rFonts w:hint="eastAsia"/>
          <w:color w:val="000000"/>
        </w:rPr>
        <w:t>二、</w:t>
      </w:r>
      <w:r>
        <w:rPr>
          <w:rFonts w:hint="eastAsia" w:cs="宋体"/>
          <w:b/>
          <w:bCs/>
          <w:color w:val="000000"/>
          <w:szCs w:val="24"/>
        </w:rPr>
        <w:t>服务范围：</w:t>
      </w:r>
    </w:p>
    <w:tbl>
      <w:tblPr>
        <w:tblStyle w:val="63"/>
        <w:tblW w:w="89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80"/>
        <w:gridCol w:w="3215"/>
        <w:gridCol w:w="1410"/>
        <w:gridCol w:w="3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rPr>
              <w:t>内容</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rPr>
              <w:t>合同期限</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rPr>
              <w:t>1</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18"/>
                <w:szCs w:val="18"/>
                <w:highlight w:val="none"/>
                <w:lang w:val="en-US" w:eastAsia="zh-CN" w:bidi="ar-SA"/>
              </w:rPr>
            </w:pPr>
            <w:r>
              <w:rPr>
                <w:rFonts w:hint="eastAsia" w:ascii="仿宋" w:hAnsi="仿宋" w:eastAsia="仿宋" w:cs="仿宋"/>
                <w:sz w:val="18"/>
                <w:szCs w:val="18"/>
                <w:highlight w:val="none"/>
                <w:lang w:val="en-US" w:eastAsia="zh-CN"/>
              </w:rPr>
              <w:t>其他垃圾收集</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color w:val="00000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 xml:space="preserve">  年</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color w:val="000000"/>
                <w:sz w:val="24"/>
              </w:rPr>
            </w:pPr>
            <w:r>
              <w:rPr>
                <w:rFonts w:hint="eastAsia" w:ascii="仿宋" w:hAnsi="仿宋" w:eastAsia="仿宋" w:cs="仿宋"/>
                <w:sz w:val="18"/>
                <w:szCs w:val="18"/>
                <w:highlight w:val="none"/>
                <w:lang w:val="en-US" w:eastAsia="zh-CN"/>
              </w:rPr>
              <w:t>其他</w:t>
            </w:r>
            <w:r>
              <w:rPr>
                <w:rFonts w:hint="eastAsia" w:ascii="仿宋" w:hAnsi="仿宋" w:eastAsia="仿宋" w:cs="仿宋"/>
                <w:kern w:val="2"/>
                <w:sz w:val="18"/>
                <w:szCs w:val="18"/>
                <w:highlight w:val="none"/>
              </w:rPr>
              <w:t>垃圾收集、清运至街道指定</w:t>
            </w:r>
            <w:r>
              <w:rPr>
                <w:rFonts w:hint="eastAsia" w:ascii="仿宋" w:hAnsi="仿宋" w:eastAsia="仿宋" w:cs="仿宋"/>
                <w:kern w:val="2"/>
                <w:sz w:val="18"/>
                <w:szCs w:val="18"/>
                <w:highlight w:val="none"/>
                <w:lang w:eastAsia="zh-CN"/>
              </w:rPr>
              <w:t>生活垃圾集置点</w:t>
            </w:r>
            <w:r>
              <w:rPr>
                <w:rFonts w:hint="eastAsia" w:ascii="仿宋" w:hAnsi="仿宋" w:eastAsia="仿宋" w:cs="仿宋"/>
                <w:kern w:val="2"/>
                <w:sz w:val="18"/>
                <w:szCs w:val="18"/>
                <w:highlight w:val="none"/>
              </w:rPr>
              <w:t>，最终收集清运工程量根据实际收集清运工程量按实结算。单价按投标时单价</w:t>
            </w:r>
            <w:r>
              <w:rPr>
                <w:rFonts w:hint="eastAsia" w:ascii="宋体" w:hAns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cs="宋体"/>
                <w:sz w:val="24"/>
              </w:rPr>
            </w:pPr>
            <w:r>
              <w:rPr>
                <w:rFonts w:hint="eastAsia" w:ascii="宋体" w:hAnsi="宋体" w:cs="宋体"/>
                <w:sz w:val="24"/>
              </w:rPr>
              <w:t>2</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18"/>
                <w:szCs w:val="18"/>
                <w:highlight w:val="none"/>
                <w:lang w:val="en-US" w:eastAsia="zh-CN" w:bidi="ar-SA"/>
              </w:rPr>
            </w:pPr>
            <w:r>
              <w:rPr>
                <w:rFonts w:hint="eastAsia" w:ascii="仿宋" w:hAnsi="仿宋" w:eastAsia="仿宋" w:cs="仿宋"/>
                <w:sz w:val="18"/>
                <w:szCs w:val="18"/>
                <w:highlight w:val="none"/>
                <w:lang w:val="en-US" w:eastAsia="zh-CN"/>
              </w:rPr>
              <w:t>易腐垃圾收集</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sz w:val="18"/>
                <w:szCs w:val="18"/>
                <w:highlight w:val="none"/>
              </w:rPr>
            </w:pPr>
            <w:r>
              <w:rPr>
                <w:rFonts w:hint="eastAsia" w:ascii="仿宋" w:hAnsi="仿宋" w:eastAsia="仿宋" w:cs="仿宋"/>
                <w:kern w:val="2"/>
                <w:sz w:val="18"/>
                <w:szCs w:val="18"/>
                <w:highlight w:val="none"/>
                <w:lang w:val="en-US" w:eastAsia="zh-CN"/>
              </w:rPr>
              <w:t>2</w:t>
            </w:r>
            <w:r>
              <w:rPr>
                <w:rFonts w:hint="eastAsia" w:ascii="仿宋" w:hAnsi="仿宋" w:eastAsia="仿宋" w:cs="仿宋"/>
                <w:kern w:val="2"/>
                <w:sz w:val="18"/>
                <w:szCs w:val="18"/>
                <w:highlight w:val="none"/>
              </w:rPr>
              <w:t xml:space="preserve"> 年</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sz w:val="18"/>
                <w:szCs w:val="18"/>
                <w:highlight w:val="none"/>
              </w:rPr>
            </w:pPr>
            <w:r>
              <w:rPr>
                <w:rFonts w:hint="eastAsia" w:ascii="仿宋" w:hAnsi="仿宋" w:eastAsia="仿宋" w:cs="仿宋"/>
                <w:sz w:val="18"/>
                <w:szCs w:val="18"/>
                <w:highlight w:val="none"/>
                <w:lang w:val="en-US" w:eastAsia="zh-CN"/>
              </w:rPr>
              <w:t>易腐</w:t>
            </w:r>
            <w:r>
              <w:rPr>
                <w:rFonts w:hint="eastAsia" w:ascii="仿宋" w:hAnsi="仿宋" w:eastAsia="仿宋" w:cs="仿宋"/>
                <w:kern w:val="2"/>
                <w:sz w:val="18"/>
                <w:szCs w:val="18"/>
                <w:highlight w:val="none"/>
              </w:rPr>
              <w:t>垃圾收集、清运至街道指定</w:t>
            </w:r>
            <w:r>
              <w:rPr>
                <w:rFonts w:hint="eastAsia" w:ascii="仿宋" w:hAnsi="仿宋" w:eastAsia="仿宋" w:cs="仿宋"/>
                <w:kern w:val="2"/>
                <w:sz w:val="18"/>
                <w:szCs w:val="18"/>
                <w:highlight w:val="none"/>
                <w:lang w:eastAsia="zh-CN"/>
              </w:rPr>
              <w:t>生活垃圾集置点</w:t>
            </w:r>
            <w:r>
              <w:rPr>
                <w:rFonts w:hint="eastAsia" w:ascii="仿宋" w:hAnsi="仿宋" w:eastAsia="仿宋" w:cs="仿宋"/>
                <w:kern w:val="2"/>
                <w:sz w:val="18"/>
                <w:szCs w:val="18"/>
                <w:highlight w:val="none"/>
              </w:rPr>
              <w:t>，最终收集清运工程量根据实际收集清运工程量按实结算。单价按投标时单价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lang w:val="en-US" w:eastAsia="zh-CN"/>
              </w:rPr>
            </w:pPr>
            <w:r>
              <w:rPr>
                <w:rFonts w:hint="eastAsia" w:ascii="宋体" w:hAnsi="宋体" w:cs="宋体"/>
                <w:sz w:val="24"/>
                <w:lang w:val="en-US" w:eastAsia="zh-CN"/>
              </w:rPr>
              <w:t>3</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18"/>
                <w:szCs w:val="18"/>
                <w:highlight w:val="none"/>
                <w:lang w:val="en-US" w:eastAsia="zh-CN" w:bidi="ar-SA"/>
              </w:rPr>
            </w:pPr>
            <w:r>
              <w:rPr>
                <w:rFonts w:hint="eastAsia" w:ascii="仿宋" w:hAnsi="仿宋" w:eastAsia="仿宋" w:cs="仿宋"/>
                <w:sz w:val="18"/>
                <w:szCs w:val="18"/>
                <w:highlight w:val="none"/>
                <w:lang w:val="en-US" w:eastAsia="zh-CN"/>
              </w:rPr>
              <w:t>垃圾音乐线</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kern w:val="2"/>
                <w:sz w:val="18"/>
                <w:szCs w:val="18"/>
                <w:highlight w:val="none"/>
                <w:lang w:val="en-US" w:eastAsia="zh-CN"/>
              </w:rPr>
            </w:pPr>
            <w:r>
              <w:rPr>
                <w:rFonts w:hint="eastAsia" w:ascii="仿宋" w:hAnsi="仿宋" w:eastAsia="仿宋" w:cs="仿宋"/>
                <w:kern w:val="2"/>
                <w:sz w:val="18"/>
                <w:szCs w:val="18"/>
                <w:highlight w:val="none"/>
                <w:lang w:val="en-US" w:eastAsia="zh-CN"/>
              </w:rPr>
              <w:t>2</w:t>
            </w:r>
            <w:r>
              <w:rPr>
                <w:rFonts w:hint="eastAsia" w:ascii="仿宋" w:hAnsi="仿宋" w:eastAsia="仿宋" w:cs="仿宋"/>
                <w:kern w:val="2"/>
                <w:sz w:val="18"/>
                <w:szCs w:val="18"/>
                <w:highlight w:val="none"/>
              </w:rPr>
              <w:t xml:space="preserve"> 年</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kern w:val="2"/>
                <w:sz w:val="18"/>
                <w:szCs w:val="18"/>
                <w:highlight w:val="none"/>
              </w:rPr>
            </w:pPr>
            <w:r>
              <w:rPr>
                <w:rFonts w:hint="eastAsia" w:ascii="仿宋" w:hAnsi="仿宋" w:eastAsia="仿宋" w:cs="仿宋"/>
                <w:kern w:val="2"/>
                <w:sz w:val="18"/>
                <w:szCs w:val="18"/>
                <w:highlight w:val="none"/>
                <w:lang w:val="en-US" w:eastAsia="zh-CN"/>
              </w:rPr>
              <w:t>4</w:t>
            </w:r>
            <w:r>
              <w:rPr>
                <w:rFonts w:hint="eastAsia" w:ascii="仿宋" w:hAnsi="仿宋" w:eastAsia="仿宋" w:cs="仿宋"/>
                <w:kern w:val="2"/>
                <w:sz w:val="18"/>
                <w:szCs w:val="18"/>
                <w:highlight w:val="none"/>
              </w:rPr>
              <w:t>条（</w:t>
            </w:r>
            <w:r>
              <w:rPr>
                <w:rFonts w:hint="eastAsia" w:ascii="仿宋" w:hAnsi="仿宋" w:eastAsia="仿宋" w:cs="仿宋"/>
                <w:kern w:val="2"/>
                <w:sz w:val="18"/>
                <w:szCs w:val="18"/>
                <w:highlight w:val="none"/>
                <w:lang w:val="en-US" w:eastAsia="zh-CN"/>
              </w:rPr>
              <w:t>5辆</w:t>
            </w:r>
            <w:r>
              <w:rPr>
                <w:rFonts w:hint="eastAsia" w:ascii="仿宋" w:hAnsi="仿宋" w:eastAsia="仿宋" w:cs="仿宋"/>
                <w:kern w:val="2"/>
                <w:sz w:val="18"/>
                <w:szCs w:val="18"/>
                <w:highlight w:val="none"/>
              </w:rPr>
              <w:t>四轮八桶新能源车）。做好音乐线覆盖范围内商铺音乐线的推广、宣传、落地工作，并协助做好后期收费工作的开展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18"/>
                <w:szCs w:val="18"/>
                <w:highlight w:val="none"/>
                <w:lang w:val="en-US" w:eastAsia="zh-CN" w:bidi="ar-SA"/>
              </w:rPr>
            </w:pPr>
            <w:r>
              <w:rPr>
                <w:rFonts w:hint="eastAsia" w:ascii="仿宋" w:hAnsi="仿宋" w:eastAsia="仿宋" w:cs="仿宋"/>
                <w:sz w:val="18"/>
                <w:szCs w:val="18"/>
                <w:lang w:val="en-US" w:eastAsia="zh-CN"/>
              </w:rPr>
              <w:t>杭师园林垃圾清运及化粪池吸污</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kern w:val="2"/>
                <w:sz w:val="18"/>
                <w:szCs w:val="18"/>
                <w:highlight w:val="none"/>
                <w:lang w:val="en-US" w:eastAsia="zh-CN"/>
              </w:rPr>
            </w:pPr>
            <w:r>
              <w:rPr>
                <w:rFonts w:hint="eastAsia" w:ascii="仿宋" w:hAnsi="仿宋" w:eastAsia="仿宋" w:cs="仿宋"/>
                <w:kern w:val="2"/>
                <w:sz w:val="18"/>
                <w:szCs w:val="18"/>
                <w:highlight w:val="none"/>
                <w:lang w:val="en-US" w:eastAsia="zh-CN"/>
              </w:rPr>
              <w:t>2</w:t>
            </w:r>
            <w:r>
              <w:rPr>
                <w:rFonts w:hint="eastAsia" w:ascii="仿宋" w:hAnsi="仿宋" w:eastAsia="仿宋" w:cs="仿宋"/>
                <w:kern w:val="2"/>
                <w:sz w:val="18"/>
                <w:szCs w:val="18"/>
                <w:highlight w:val="none"/>
              </w:rPr>
              <w:t xml:space="preserve"> 年</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kern w:val="2"/>
                <w:sz w:val="18"/>
                <w:szCs w:val="18"/>
                <w:highlight w:val="none"/>
              </w:rPr>
            </w:pPr>
            <w:r>
              <w:rPr>
                <w:rFonts w:hint="eastAsia" w:ascii="仿宋" w:hAnsi="仿宋" w:eastAsia="仿宋" w:cs="仿宋"/>
                <w:i w:val="0"/>
                <w:iCs w:val="0"/>
                <w:kern w:val="2"/>
                <w:sz w:val="18"/>
                <w:szCs w:val="18"/>
                <w:highlight w:val="none"/>
                <w:lang w:val="en-US" w:eastAsia="zh-CN"/>
              </w:rPr>
              <w:t>完成园林垃圾和化粪池清运处置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3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18"/>
                <w:szCs w:val="18"/>
                <w:highlight w:val="none"/>
                <w:lang w:val="en-US" w:eastAsia="zh-CN" w:bidi="ar-SA"/>
              </w:rPr>
            </w:pPr>
            <w:r>
              <w:rPr>
                <w:rFonts w:hint="eastAsia" w:ascii="仿宋" w:hAnsi="仿宋" w:eastAsia="仿宋" w:cs="仿宋"/>
                <w:sz w:val="18"/>
                <w:szCs w:val="18"/>
                <w:highlight w:val="none"/>
                <w:lang w:val="en-US" w:eastAsia="zh-CN"/>
              </w:rPr>
              <w:t>苕溪生活垃圾音乐线集置点管理</w:t>
            </w:r>
          </w:p>
        </w:tc>
        <w:tc>
          <w:tcPr>
            <w:tcW w:w="1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kern w:val="2"/>
                <w:sz w:val="18"/>
                <w:szCs w:val="18"/>
                <w:highlight w:val="none"/>
                <w:lang w:val="en-US" w:eastAsia="zh-CN"/>
              </w:rPr>
            </w:pPr>
            <w:r>
              <w:rPr>
                <w:rFonts w:hint="eastAsia" w:ascii="仿宋" w:hAnsi="仿宋" w:eastAsia="仿宋" w:cs="仿宋"/>
                <w:kern w:val="2"/>
                <w:sz w:val="18"/>
                <w:szCs w:val="18"/>
                <w:highlight w:val="none"/>
                <w:lang w:val="en-US" w:eastAsia="zh-CN"/>
              </w:rPr>
              <w:t>2</w:t>
            </w:r>
            <w:r>
              <w:rPr>
                <w:rFonts w:hint="eastAsia" w:ascii="仿宋" w:hAnsi="仿宋" w:eastAsia="仿宋" w:cs="仿宋"/>
                <w:kern w:val="2"/>
                <w:sz w:val="18"/>
                <w:szCs w:val="18"/>
                <w:highlight w:val="none"/>
              </w:rPr>
              <w:t xml:space="preserve"> 年</w:t>
            </w:r>
          </w:p>
        </w:tc>
        <w:tc>
          <w:tcPr>
            <w:tcW w:w="32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uto"/>
              <w:jc w:val="center"/>
              <w:textAlignment w:val="auto"/>
              <w:rPr>
                <w:rFonts w:hint="eastAsia" w:ascii="仿宋" w:hAnsi="仿宋" w:eastAsia="仿宋" w:cs="仿宋"/>
                <w:kern w:val="2"/>
                <w:sz w:val="18"/>
                <w:szCs w:val="18"/>
                <w:highlight w:val="none"/>
              </w:rPr>
            </w:pPr>
            <w:r>
              <w:rPr>
                <w:rFonts w:hint="eastAsia" w:ascii="仿宋" w:hAnsi="仿宋" w:eastAsia="仿宋" w:cs="仿宋"/>
                <w:kern w:val="2"/>
                <w:sz w:val="18"/>
                <w:szCs w:val="18"/>
                <w:highlight w:val="none"/>
              </w:rPr>
              <w:t xml:space="preserve">包含中转站日常的卫生保洁、维护、废水处理等 </w:t>
            </w:r>
          </w:p>
        </w:tc>
      </w:tr>
    </w:tbl>
    <w:p>
      <w:pPr>
        <w:tabs>
          <w:tab w:val="left" w:pos="8400"/>
        </w:tabs>
        <w:spacing w:line="360" w:lineRule="auto"/>
        <w:ind w:firstLine="240" w:firstLineChars="100"/>
        <w:rPr>
          <w:rFonts w:hint="eastAsia"/>
        </w:rPr>
      </w:pPr>
      <w:r>
        <w:rPr>
          <w:rFonts w:hint="eastAsia" w:ascii="宋体" w:hAnsi="宋体" w:cs="宋体"/>
          <w:sz w:val="24"/>
        </w:rPr>
        <w:t>1、</w:t>
      </w:r>
      <w:r>
        <w:rPr>
          <w:rFonts w:hint="eastAsia" w:ascii="宋体" w:hAnsi="宋体"/>
          <w:bCs/>
          <w:sz w:val="24"/>
        </w:rPr>
        <w:t>承包期限：</w:t>
      </w:r>
      <w:r>
        <w:rPr>
          <w:rFonts w:hint="eastAsia" w:ascii="宋体" w:hAnsi="宋体" w:cs="宋体"/>
          <w:bCs/>
          <w:color w:val="000000"/>
          <w:spacing w:val="-5"/>
          <w:kern w:val="20"/>
          <w:sz w:val="24"/>
        </w:rPr>
        <w:t xml:space="preserve">服务期为 </w:t>
      </w:r>
      <w:r>
        <w:rPr>
          <w:rFonts w:hint="eastAsia" w:ascii="宋体" w:hAnsi="宋体" w:cs="宋体"/>
          <w:bCs/>
          <w:color w:val="000000"/>
          <w:spacing w:val="-5"/>
          <w:kern w:val="20"/>
          <w:sz w:val="24"/>
          <w:lang w:val="en-US" w:eastAsia="zh-CN"/>
        </w:rPr>
        <w:t>2</w:t>
      </w:r>
      <w:r>
        <w:rPr>
          <w:rFonts w:hint="eastAsia" w:ascii="宋体" w:hAnsi="宋体" w:cs="宋体"/>
          <w:bCs/>
          <w:color w:val="000000"/>
          <w:spacing w:val="-5"/>
          <w:kern w:val="20"/>
          <w:sz w:val="24"/>
        </w:rPr>
        <w:t>年</w:t>
      </w:r>
      <w:r>
        <w:rPr>
          <w:rFonts w:hint="eastAsia" w:ascii="宋体" w:hAnsi="宋体" w:cs="宋体"/>
          <w:bCs/>
          <w:spacing w:val="-5"/>
          <w:kern w:val="20"/>
          <w:sz w:val="24"/>
        </w:rPr>
        <w:t>或在合同期限内结算总价达到</w:t>
      </w:r>
      <w:r>
        <w:rPr>
          <w:rFonts w:hint="eastAsia" w:ascii="宋体" w:hAnsi="宋体" w:cs="宋体"/>
          <w:bCs/>
          <w:spacing w:val="-5"/>
          <w:kern w:val="20"/>
          <w:sz w:val="24"/>
          <w:lang w:val="en-US" w:eastAsia="zh-CN"/>
        </w:rPr>
        <w:t>1430</w:t>
      </w:r>
      <w:r>
        <w:rPr>
          <w:rFonts w:hint="eastAsia" w:ascii="宋体" w:hAnsi="宋体" w:cs="宋体"/>
          <w:bCs/>
          <w:spacing w:val="-5"/>
          <w:kern w:val="20"/>
          <w:sz w:val="24"/>
        </w:rPr>
        <w:t>万元，合同自动终止</w:t>
      </w:r>
      <w:r>
        <w:rPr>
          <w:rFonts w:hint="eastAsia" w:ascii="宋体" w:hAnsi="宋体"/>
          <w:sz w:val="24"/>
        </w:rPr>
        <w:t>。若在合同期内乙方有不配合甲方工作等严重违约行为或连续三个月考核不合格的（80分（不含）以下视为考核不合格）或连续两次被媒体曝光的，甲方有权提前终止合同，由此造成的一切后果和损失由乙方承担。</w:t>
      </w:r>
    </w:p>
    <w:p>
      <w:pPr>
        <w:pStyle w:val="25"/>
        <w:spacing w:line="360" w:lineRule="auto"/>
      </w:pPr>
      <w:r>
        <w:rPr>
          <w:rFonts w:hint="eastAsia"/>
        </w:rPr>
        <w:t>2</w:t>
      </w:r>
      <w:r>
        <w:t>、其他要求：</w:t>
      </w:r>
    </w:p>
    <w:p>
      <w:pPr>
        <w:pStyle w:val="25"/>
        <w:spacing w:line="360" w:lineRule="auto"/>
      </w:pPr>
      <w:r>
        <w:rPr>
          <w:rFonts w:ascii="宋体" w:hAnsi="宋体"/>
          <w:b/>
          <w:bCs/>
        </w:rPr>
        <w:t>▲</w:t>
      </w:r>
      <w:r>
        <w:rPr>
          <w:rFonts w:hint="eastAsia"/>
        </w:rPr>
        <w:t>2</w:t>
      </w:r>
      <w:r>
        <w:t>.1、所有环卫机动车辆需已安装或承诺中标后安装GPS监控系统并接入区级平台。</w:t>
      </w:r>
    </w:p>
    <w:p>
      <w:pPr>
        <w:pStyle w:val="25"/>
        <w:spacing w:line="360" w:lineRule="auto"/>
      </w:pPr>
      <w:r>
        <w:rPr>
          <w:rFonts w:ascii="宋体" w:hAnsi="宋体"/>
          <w:b/>
          <w:bCs/>
        </w:rPr>
        <w:t>▲</w:t>
      </w:r>
      <w:r>
        <w:rPr>
          <w:rFonts w:hint="eastAsia"/>
        </w:rPr>
        <w:t>2.2</w:t>
      </w:r>
      <w:r>
        <w:t>、中型垃圾清运车需安装车载称重系统并接入区级平台。</w:t>
      </w:r>
    </w:p>
    <w:p>
      <w:pPr>
        <w:pStyle w:val="25"/>
        <w:spacing w:line="360" w:lineRule="auto"/>
      </w:pPr>
      <w:r>
        <w:rPr>
          <w:rFonts w:ascii="宋体" w:hAnsi="宋体"/>
          <w:b/>
          <w:bCs/>
        </w:rPr>
        <w:t>▲</w:t>
      </w:r>
      <w:r>
        <w:rPr>
          <w:rFonts w:hint="eastAsia"/>
        </w:rPr>
        <w:t>2.3</w:t>
      </w:r>
      <w:r>
        <w:t>、环卫机械设备不得为国三柴油车。</w:t>
      </w:r>
    </w:p>
    <w:p>
      <w:pPr>
        <w:spacing w:line="500" w:lineRule="exact"/>
        <w:rPr>
          <w:rFonts w:hint="eastAsia"/>
          <w:b/>
          <w:bCs/>
          <w:sz w:val="24"/>
        </w:rPr>
      </w:pPr>
      <w:r>
        <w:rPr>
          <w:rFonts w:hint="eastAsia"/>
          <w:b/>
          <w:bCs/>
          <w:sz w:val="24"/>
        </w:rPr>
        <w:t>3、本工程有关的特殊条款和清运标准</w:t>
      </w:r>
    </w:p>
    <w:p>
      <w:pPr>
        <w:spacing w:line="500" w:lineRule="exact"/>
        <w:ind w:firstLine="482" w:firstLineChars="200"/>
        <w:rPr>
          <w:rFonts w:hint="eastAsia"/>
          <w:b/>
          <w:bCs/>
          <w:sz w:val="24"/>
        </w:rPr>
      </w:pPr>
      <w:r>
        <w:rPr>
          <w:rFonts w:ascii="宋体" w:hAnsi="宋体"/>
          <w:b/>
          <w:bCs/>
          <w:sz w:val="24"/>
        </w:rPr>
        <w:t>▲</w:t>
      </w:r>
      <w:r>
        <w:rPr>
          <w:rFonts w:hint="eastAsia"/>
          <w:b/>
          <w:bCs/>
          <w:sz w:val="24"/>
          <w:lang w:val="en-US" w:eastAsia="zh-CN"/>
        </w:rPr>
        <w:t>3.1</w:t>
      </w:r>
      <w:r>
        <w:rPr>
          <w:rFonts w:hint="eastAsia"/>
          <w:b/>
          <w:bCs/>
          <w:sz w:val="24"/>
        </w:rPr>
        <w:t>承包服务期内，中标单位作业人员配置必须满足实行</w:t>
      </w:r>
      <w:r>
        <w:rPr>
          <w:rFonts w:hint="eastAsia"/>
          <w:b/>
          <w:bCs/>
          <w:sz w:val="24"/>
          <w:u w:val="single"/>
        </w:rPr>
        <w:t>不少于8小时动态</w:t>
      </w:r>
      <w:r>
        <w:rPr>
          <w:rFonts w:hint="eastAsia"/>
          <w:b/>
          <w:bCs/>
          <w:sz w:val="24"/>
        </w:rPr>
        <w:t>保洁，作业时必须统一穿着反光条安全黄背心，人员配备必须年富力强，在法定退体年龄以内。</w:t>
      </w:r>
    </w:p>
    <w:p>
      <w:pPr>
        <w:spacing w:line="500" w:lineRule="exact"/>
        <w:ind w:firstLine="482" w:firstLineChars="200"/>
        <w:rPr>
          <w:rFonts w:hint="eastAsia"/>
          <w:b/>
          <w:bCs/>
          <w:sz w:val="24"/>
        </w:rPr>
      </w:pPr>
      <w:r>
        <w:rPr>
          <w:rFonts w:ascii="宋体" w:hAnsi="宋体"/>
          <w:b/>
          <w:bCs/>
          <w:sz w:val="24"/>
        </w:rPr>
        <w:t>▲</w:t>
      </w:r>
      <w:r>
        <w:rPr>
          <w:rFonts w:hint="eastAsia"/>
          <w:b/>
          <w:bCs/>
          <w:sz w:val="24"/>
          <w:lang w:val="en-US" w:eastAsia="zh-CN"/>
        </w:rPr>
        <w:t>3.2</w:t>
      </w:r>
      <w:r>
        <w:rPr>
          <w:rFonts w:hint="eastAsia"/>
          <w:b/>
          <w:bCs/>
          <w:sz w:val="24"/>
        </w:rPr>
        <w:t>承包服务期内，必须投入相应的机械等设备，符合环卫行业标准化管理的要求。</w:t>
      </w:r>
    </w:p>
    <w:p>
      <w:pPr>
        <w:spacing w:line="500" w:lineRule="exact"/>
        <w:ind w:firstLine="482" w:firstLineChars="200"/>
        <w:rPr>
          <w:rFonts w:hint="eastAsia"/>
          <w:b/>
          <w:bCs/>
          <w:sz w:val="24"/>
        </w:rPr>
      </w:pPr>
      <w:r>
        <w:rPr>
          <w:rFonts w:hint="eastAsia"/>
          <w:b/>
          <w:bCs/>
          <w:sz w:val="24"/>
          <w:lang w:val="en-US" w:eastAsia="zh-CN"/>
        </w:rPr>
        <w:t>3.3</w:t>
      </w:r>
      <w:r>
        <w:rPr>
          <w:rFonts w:hint="eastAsia"/>
          <w:b/>
          <w:bCs/>
          <w:sz w:val="24"/>
        </w:rPr>
        <w:t>承包服务期内，在迎检和各类创建活动中，中标单位应无条件服从招标人的安排，圆满完成各项任务，由于中标单位的原因失分或造成不良影响的，招标人有权进行处罚和清退中标单位，在迎检过程中，由于中标单位组织不力，由招标人组织人力、物力进行整治所涉及的费用，由中标单位双倍偿还招标人，招标人有权直接在保洁费中扣除。</w:t>
      </w:r>
    </w:p>
    <w:p>
      <w:pPr>
        <w:spacing w:line="500" w:lineRule="exact"/>
        <w:ind w:firstLine="482" w:firstLineChars="200"/>
        <w:rPr>
          <w:rFonts w:hint="eastAsia"/>
          <w:b/>
          <w:bCs/>
          <w:sz w:val="24"/>
        </w:rPr>
      </w:pPr>
      <w:r>
        <w:rPr>
          <w:rFonts w:ascii="宋体" w:hAnsi="宋体"/>
          <w:b/>
          <w:bCs/>
          <w:sz w:val="24"/>
        </w:rPr>
        <w:t>▲</w:t>
      </w:r>
      <w:r>
        <w:rPr>
          <w:rFonts w:hint="eastAsia"/>
          <w:b/>
          <w:bCs/>
          <w:sz w:val="24"/>
          <w:lang w:val="en-US" w:eastAsia="zh-CN"/>
        </w:rPr>
        <w:t>3.4</w:t>
      </w:r>
      <w:r>
        <w:rPr>
          <w:rFonts w:hint="eastAsia"/>
          <w:b/>
          <w:bCs/>
          <w:sz w:val="24"/>
        </w:rPr>
        <w:t>承包服务期内所发生的任何安全事故一律由中标单位负责，招标人不承担任何责任。</w:t>
      </w:r>
    </w:p>
    <w:p>
      <w:pPr>
        <w:spacing w:line="500" w:lineRule="exact"/>
        <w:ind w:firstLine="482" w:firstLineChars="200"/>
        <w:rPr>
          <w:rFonts w:hint="eastAsia"/>
          <w:b/>
          <w:bCs/>
          <w:sz w:val="24"/>
        </w:rPr>
      </w:pPr>
      <w:r>
        <w:rPr>
          <w:rFonts w:hint="eastAsia"/>
          <w:b/>
          <w:bCs/>
          <w:sz w:val="24"/>
          <w:lang w:val="en-US" w:eastAsia="zh-CN"/>
        </w:rPr>
        <w:t>3.5</w:t>
      </w:r>
      <w:r>
        <w:rPr>
          <w:rFonts w:hint="eastAsia"/>
          <w:b/>
          <w:bCs/>
          <w:sz w:val="24"/>
        </w:rPr>
        <w:t>承包服务期内，中标单位所产生的各项费用（</w:t>
      </w:r>
      <w:r>
        <w:rPr>
          <w:rFonts w:hint="eastAsia"/>
          <w:b/>
          <w:bCs/>
          <w:sz w:val="24"/>
          <w:lang w:eastAsia="zh-CN"/>
        </w:rPr>
        <w:t>生活垃圾集置点</w:t>
      </w:r>
      <w:r>
        <w:rPr>
          <w:rFonts w:hint="eastAsia"/>
          <w:b/>
          <w:bCs/>
          <w:sz w:val="24"/>
        </w:rPr>
        <w:t>日常管理人工费、垃圾转运费用、设备运维管理费用），已由招标单位一并计入综合单价中。水、电及其他耗材费用由招标人负责。</w:t>
      </w:r>
    </w:p>
    <w:p>
      <w:pPr>
        <w:spacing w:line="500" w:lineRule="exact"/>
        <w:ind w:firstLine="482" w:firstLineChars="200"/>
        <w:rPr>
          <w:rFonts w:hint="eastAsia"/>
          <w:b/>
          <w:bCs/>
          <w:sz w:val="24"/>
        </w:rPr>
      </w:pPr>
      <w:r>
        <w:rPr>
          <w:rFonts w:hint="eastAsia"/>
          <w:b/>
          <w:bCs/>
          <w:sz w:val="24"/>
          <w:lang w:val="en-US" w:eastAsia="zh-CN"/>
        </w:rPr>
        <w:t>3.6</w:t>
      </w:r>
      <w:r>
        <w:rPr>
          <w:rFonts w:hint="eastAsia"/>
          <w:b/>
          <w:bCs/>
          <w:sz w:val="24"/>
        </w:rPr>
        <w:t>承包服务期内，如遇新增垃圾收集及清运范围的，由中标单位进行收集清运，并纳入合同范围，费用投标时价格计算。</w:t>
      </w:r>
    </w:p>
    <w:p>
      <w:pPr>
        <w:spacing w:line="500" w:lineRule="exact"/>
        <w:ind w:firstLine="482" w:firstLineChars="200"/>
        <w:rPr>
          <w:rFonts w:hint="eastAsia"/>
          <w:b/>
          <w:bCs/>
          <w:sz w:val="24"/>
        </w:rPr>
      </w:pPr>
      <w:r>
        <w:rPr>
          <w:rFonts w:hint="eastAsia"/>
          <w:b/>
          <w:bCs/>
          <w:sz w:val="24"/>
          <w:lang w:val="en-US" w:eastAsia="zh-CN"/>
        </w:rPr>
        <w:t>3.7</w:t>
      </w:r>
      <w:r>
        <w:rPr>
          <w:rFonts w:hint="eastAsia"/>
          <w:b/>
          <w:bCs/>
          <w:sz w:val="24"/>
        </w:rPr>
        <w:t>中标单位需对生活垃圾清运量进行记录，汇总反馈至街道生活垃圾领导小组配合考核工作。</w:t>
      </w:r>
    </w:p>
    <w:p>
      <w:pPr>
        <w:spacing w:line="500" w:lineRule="exact"/>
        <w:ind w:firstLine="482" w:firstLineChars="200"/>
        <w:rPr>
          <w:rFonts w:hint="eastAsia"/>
          <w:b/>
          <w:bCs/>
          <w:sz w:val="24"/>
        </w:rPr>
      </w:pPr>
      <w:r>
        <w:rPr>
          <w:rFonts w:ascii="宋体" w:hAnsi="宋体"/>
          <w:b/>
          <w:bCs/>
          <w:sz w:val="24"/>
        </w:rPr>
        <w:t>▲</w:t>
      </w:r>
      <w:r>
        <w:rPr>
          <w:rFonts w:hint="eastAsia"/>
          <w:b/>
          <w:bCs/>
          <w:sz w:val="24"/>
          <w:lang w:val="en-US" w:eastAsia="zh-CN"/>
        </w:rPr>
        <w:t>3.8</w:t>
      </w:r>
      <w:r>
        <w:rPr>
          <w:rFonts w:hint="eastAsia"/>
          <w:b/>
          <w:bCs/>
          <w:sz w:val="24"/>
        </w:rPr>
        <w:t>中标单位不得向沿街单位和个人收取任何费用，需配合街道收取商铺清运费用。</w:t>
      </w:r>
    </w:p>
    <w:p>
      <w:pPr>
        <w:spacing w:line="500" w:lineRule="exact"/>
        <w:ind w:firstLine="482" w:firstLineChars="200"/>
        <w:rPr>
          <w:rFonts w:hint="eastAsia"/>
          <w:b/>
          <w:bCs/>
          <w:sz w:val="24"/>
        </w:rPr>
      </w:pPr>
      <w:r>
        <w:rPr>
          <w:rFonts w:ascii="宋体" w:hAnsi="宋体"/>
          <w:b/>
          <w:bCs/>
          <w:sz w:val="24"/>
        </w:rPr>
        <w:t>▲</w:t>
      </w:r>
      <w:r>
        <w:rPr>
          <w:rFonts w:hint="eastAsia"/>
          <w:b/>
          <w:bCs/>
          <w:sz w:val="24"/>
          <w:lang w:val="en-US" w:eastAsia="zh-CN"/>
        </w:rPr>
        <w:t>3.9</w:t>
      </w:r>
      <w:r>
        <w:rPr>
          <w:rFonts w:hint="eastAsia"/>
          <w:b/>
          <w:bCs/>
          <w:sz w:val="24"/>
        </w:rPr>
        <w:t>中标单位在垃圾收集及清运时，应做到日产两清。如遇小区垃圾分类不合格的，中标单位可以拒收并及时通知招标人。</w:t>
      </w:r>
    </w:p>
    <w:p>
      <w:pPr>
        <w:pStyle w:val="2"/>
        <w:rPr>
          <w:rFonts w:ascii="宋体" w:hAnsi="宋体"/>
          <w:b/>
          <w:bCs/>
          <w:sz w:val="24"/>
        </w:rPr>
      </w:pPr>
      <w:r>
        <w:rPr>
          <w:rFonts w:ascii="宋体" w:hAnsi="宋体"/>
          <w:b/>
          <w:bCs/>
          <w:sz w:val="24"/>
        </w:rPr>
        <w:t>▲</w:t>
      </w:r>
      <w:r>
        <w:rPr>
          <w:rFonts w:hint="eastAsia" w:ascii="Times New Roman" w:hAnsi="Times New Roman" w:eastAsia="宋体"/>
          <w:b/>
          <w:bCs/>
          <w:kern w:val="2"/>
          <w:sz w:val="24"/>
          <w:lang w:val="en-US" w:eastAsia="zh-CN"/>
        </w:rPr>
        <w:t>3.10杭师</w:t>
      </w:r>
      <w:r>
        <w:rPr>
          <w:rFonts w:hint="eastAsia" w:ascii="Times New Roman" w:hAnsi="Times New Roman" w:eastAsia="宋体" w:cs="Times New Roman"/>
          <w:b/>
          <w:bCs/>
          <w:i w:val="0"/>
          <w:iCs w:val="0"/>
          <w:kern w:val="2"/>
          <w:sz w:val="24"/>
          <w:szCs w:val="24"/>
          <w:highlight w:val="none"/>
          <w:lang w:val="en-US" w:eastAsia="zh-CN"/>
        </w:rPr>
        <w:t>化粪池要求每周清理，绿化垃圾日常日清。</w:t>
      </w:r>
    </w:p>
    <w:p>
      <w:pPr>
        <w:pStyle w:val="2"/>
        <w:rPr>
          <w:rFonts w:hint="eastAsia"/>
          <w:b/>
          <w:bCs/>
          <w:sz w:val="24"/>
        </w:rPr>
      </w:pPr>
      <w:r>
        <w:rPr>
          <w:rFonts w:ascii="宋体" w:hAnsi="宋体"/>
          <w:b/>
          <w:bCs/>
          <w:sz w:val="24"/>
        </w:rPr>
        <w:t>▲</w:t>
      </w:r>
      <w:r>
        <w:rPr>
          <w:rFonts w:hint="eastAsia"/>
          <w:b/>
          <w:bCs/>
          <w:sz w:val="24"/>
          <w:lang w:val="en-US" w:eastAsia="zh-CN"/>
        </w:rPr>
        <w:t>3.11</w:t>
      </w:r>
      <w:r>
        <w:rPr>
          <w:rFonts w:hint="eastAsia"/>
          <w:b/>
          <w:bCs/>
          <w:sz w:val="24"/>
        </w:rPr>
        <w:t>中标单位不得将本项目分包或转包，否则招标人有权责令其停止作业并中止承包合同，所造成的损失由中标单位负责。</w:t>
      </w:r>
    </w:p>
    <w:p>
      <w:pPr>
        <w:spacing w:line="500" w:lineRule="exact"/>
        <w:ind w:firstLine="482" w:firstLineChars="200"/>
        <w:rPr>
          <w:rFonts w:hint="eastAsia"/>
          <w:b/>
          <w:bCs/>
          <w:sz w:val="24"/>
        </w:rPr>
      </w:pPr>
      <w:r>
        <w:rPr>
          <w:rFonts w:ascii="宋体" w:hAnsi="宋体"/>
          <w:b/>
          <w:bCs/>
          <w:sz w:val="24"/>
        </w:rPr>
        <w:t>▲</w:t>
      </w:r>
      <w:r>
        <w:rPr>
          <w:rFonts w:hint="eastAsia"/>
          <w:b/>
          <w:bCs/>
          <w:sz w:val="24"/>
          <w:lang w:val="en-US" w:eastAsia="zh-CN"/>
        </w:rPr>
        <w:t>3.12</w:t>
      </w:r>
      <w:r>
        <w:rPr>
          <w:rFonts w:hint="eastAsia"/>
          <w:b/>
          <w:bCs/>
          <w:sz w:val="24"/>
        </w:rPr>
        <w:t>中标单位在签订本项目服务合同前必须具备符合投标文件中承诺的投入本项目所需作业人员、机具配备数量条件，设备必须提前到场，对主要机械设备安装GPS卫星定位系统及车载称重系统，所有保洁人员配带智能手环，统一纳入区环卫监管系统平台管理，所产生的费用由中标单位承担，以上设备不得在本街道中标区块以外与其他乡镇（街道）承包的保洁服务区域共用。中标单位若不能满足此条件的招标方有权更换中标单位，所造成的损失由中标单位自负。</w:t>
      </w:r>
    </w:p>
    <w:p>
      <w:pPr>
        <w:spacing w:line="500" w:lineRule="exact"/>
        <w:ind w:firstLine="482" w:firstLineChars="200"/>
        <w:rPr>
          <w:rFonts w:hint="eastAsia"/>
          <w:b/>
          <w:bCs/>
          <w:color w:val="000000"/>
          <w:sz w:val="24"/>
        </w:rPr>
      </w:pPr>
      <w:r>
        <w:rPr>
          <w:rFonts w:hint="eastAsia"/>
          <w:b/>
          <w:bCs/>
          <w:color w:val="000000"/>
          <w:sz w:val="24"/>
          <w:lang w:val="en-US" w:eastAsia="zh-CN"/>
        </w:rPr>
        <w:t>3.13</w:t>
      </w:r>
      <w:r>
        <w:rPr>
          <w:rFonts w:hint="eastAsia"/>
          <w:b/>
          <w:bCs/>
          <w:color w:val="000000"/>
          <w:sz w:val="24"/>
        </w:rPr>
        <w:t>中标单位在中标后需进行地磅建设并设有监控及提供相关清运清单，费用由中标单位解决，完成后由建设单位进行验收，验收完成后方可使用。在合同期满后，地磅归仓前街道所有。</w:t>
      </w:r>
    </w:p>
    <w:p>
      <w:pPr>
        <w:spacing w:line="500" w:lineRule="exact"/>
        <w:ind w:firstLine="482" w:firstLineChars="200"/>
        <w:rPr>
          <w:rFonts w:hint="eastAsia"/>
          <w:b/>
          <w:bCs/>
          <w:sz w:val="24"/>
        </w:rPr>
      </w:pPr>
      <w:r>
        <w:rPr>
          <w:rFonts w:ascii="宋体" w:hAnsi="宋体"/>
          <w:b/>
          <w:bCs/>
          <w:sz w:val="24"/>
        </w:rPr>
        <w:t>▲</w:t>
      </w:r>
      <w:r>
        <w:rPr>
          <w:rFonts w:hint="eastAsia"/>
          <w:b/>
          <w:bCs/>
          <w:sz w:val="24"/>
          <w:lang w:val="en-US" w:eastAsia="zh-CN"/>
        </w:rPr>
        <w:t>3.14</w:t>
      </w:r>
      <w:r>
        <w:rPr>
          <w:rFonts w:hint="eastAsia"/>
          <w:b/>
          <w:bCs/>
          <w:sz w:val="24"/>
          <w:lang w:val="en-US"/>
        </w:rPr>
        <w:t>中标后</w:t>
      </w:r>
      <w:r>
        <w:rPr>
          <w:rFonts w:hint="eastAsia"/>
          <w:b/>
          <w:bCs/>
          <w:sz w:val="24"/>
        </w:rPr>
        <w:t>必须配备的人员：</w:t>
      </w:r>
    </w:p>
    <w:tbl>
      <w:tblPr>
        <w:tblStyle w:val="63"/>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10"/>
        <w:gridCol w:w="1710"/>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spacing w:line="360" w:lineRule="auto"/>
              <w:jc w:val="center"/>
              <w:rPr>
                <w:rFonts w:hint="eastAsia" w:hAnsi="宋体" w:cs="宋体"/>
                <w:b/>
                <w:bCs/>
                <w:sz w:val="24"/>
              </w:rPr>
            </w:pPr>
            <w:r>
              <w:rPr>
                <w:rFonts w:hint="eastAsia" w:hAnsi="宋体" w:cs="宋体"/>
                <w:b/>
                <w:bCs/>
                <w:sz w:val="24"/>
              </w:rPr>
              <w:t>序号</w:t>
            </w:r>
          </w:p>
        </w:tc>
        <w:tc>
          <w:tcPr>
            <w:tcW w:w="3810" w:type="dxa"/>
            <w:vAlign w:val="center"/>
          </w:tcPr>
          <w:p>
            <w:pPr>
              <w:spacing w:line="360" w:lineRule="auto"/>
              <w:jc w:val="center"/>
              <w:rPr>
                <w:rFonts w:hint="eastAsia" w:hAnsi="宋体" w:cs="宋体"/>
                <w:b/>
                <w:bCs/>
                <w:sz w:val="24"/>
              </w:rPr>
            </w:pPr>
            <w:r>
              <w:rPr>
                <w:rFonts w:hint="eastAsia" w:hAnsi="宋体" w:cs="宋体"/>
                <w:b/>
                <w:bCs/>
                <w:sz w:val="24"/>
              </w:rPr>
              <w:t>岗位</w:t>
            </w:r>
          </w:p>
        </w:tc>
        <w:tc>
          <w:tcPr>
            <w:tcW w:w="1710" w:type="dxa"/>
            <w:vAlign w:val="center"/>
          </w:tcPr>
          <w:p>
            <w:pPr>
              <w:spacing w:line="360" w:lineRule="auto"/>
              <w:jc w:val="center"/>
              <w:rPr>
                <w:rFonts w:hint="eastAsia" w:hAnsi="宋体" w:cs="宋体"/>
                <w:b/>
                <w:bCs/>
                <w:sz w:val="24"/>
              </w:rPr>
            </w:pPr>
            <w:r>
              <w:rPr>
                <w:rFonts w:hint="eastAsia" w:hAnsi="宋体" w:cs="宋体"/>
                <w:b/>
                <w:bCs/>
                <w:sz w:val="24"/>
              </w:rPr>
              <w:t>人数</w:t>
            </w:r>
          </w:p>
        </w:tc>
        <w:tc>
          <w:tcPr>
            <w:tcW w:w="2886" w:type="dxa"/>
            <w:vAlign w:val="center"/>
          </w:tcPr>
          <w:p>
            <w:pPr>
              <w:spacing w:line="360" w:lineRule="auto"/>
              <w:jc w:val="center"/>
              <w:rPr>
                <w:rFonts w:hint="eastAsia" w:hAnsi="宋体" w:cs="宋体"/>
                <w:b/>
                <w:bCs/>
                <w:sz w:val="24"/>
              </w:rPr>
            </w:pPr>
            <w:r>
              <w:rPr>
                <w:rFonts w:hint="eastAsia"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051" w:type="dxa"/>
            <w:vAlign w:val="center"/>
          </w:tcPr>
          <w:p>
            <w:pPr>
              <w:spacing w:line="360" w:lineRule="auto"/>
              <w:jc w:val="center"/>
              <w:rPr>
                <w:rFonts w:hint="eastAsia" w:hAnsi="宋体" w:cs="宋体"/>
                <w:b/>
                <w:bCs/>
                <w:sz w:val="24"/>
              </w:rPr>
            </w:pPr>
            <w:r>
              <w:rPr>
                <w:rFonts w:hint="eastAsia" w:hAnsi="宋体" w:cs="宋体"/>
                <w:b/>
                <w:bCs/>
                <w:sz w:val="24"/>
              </w:rPr>
              <w:t>1</w:t>
            </w:r>
          </w:p>
        </w:tc>
        <w:tc>
          <w:tcPr>
            <w:tcW w:w="3810" w:type="dxa"/>
            <w:vAlign w:val="center"/>
          </w:tcPr>
          <w:p>
            <w:pPr>
              <w:spacing w:line="360" w:lineRule="auto"/>
              <w:jc w:val="center"/>
              <w:rPr>
                <w:rFonts w:hint="eastAsia" w:hAnsi="宋体" w:cs="宋体"/>
                <w:b/>
                <w:bCs/>
                <w:sz w:val="24"/>
              </w:rPr>
            </w:pPr>
            <w:r>
              <w:rPr>
                <w:rFonts w:hint="eastAsia" w:hAnsi="宋体" w:cs="宋体"/>
                <w:b/>
                <w:bCs/>
                <w:sz w:val="24"/>
              </w:rPr>
              <w:t>人员（含管理人员、服务人员、对账员等）</w:t>
            </w:r>
          </w:p>
        </w:tc>
        <w:tc>
          <w:tcPr>
            <w:tcW w:w="1710" w:type="dxa"/>
            <w:vAlign w:val="center"/>
          </w:tcPr>
          <w:p>
            <w:pPr>
              <w:spacing w:line="360" w:lineRule="auto"/>
              <w:jc w:val="center"/>
              <w:rPr>
                <w:rFonts w:hint="eastAsia" w:hAnsi="宋体" w:cs="宋体"/>
                <w:b/>
                <w:bCs/>
                <w:sz w:val="24"/>
              </w:rPr>
            </w:pPr>
            <w:r>
              <w:rPr>
                <w:rFonts w:hint="eastAsia" w:hAnsi="宋体" w:cs="宋体"/>
                <w:b/>
                <w:bCs/>
                <w:sz w:val="24"/>
              </w:rPr>
              <w:t>不少于</w:t>
            </w:r>
            <w:r>
              <w:rPr>
                <w:rFonts w:hint="eastAsia" w:hAnsi="宋体" w:cs="宋体"/>
                <w:b/>
                <w:bCs/>
                <w:sz w:val="24"/>
                <w:lang w:val="en-US" w:eastAsia="zh-CN"/>
              </w:rPr>
              <w:t>55</w:t>
            </w:r>
            <w:r>
              <w:rPr>
                <w:rFonts w:hint="eastAsia" w:hAnsi="宋体" w:cs="宋体"/>
                <w:b/>
                <w:bCs/>
                <w:sz w:val="24"/>
              </w:rPr>
              <w:t>人</w:t>
            </w:r>
          </w:p>
        </w:tc>
        <w:tc>
          <w:tcPr>
            <w:tcW w:w="2886" w:type="dxa"/>
            <w:vAlign w:val="center"/>
          </w:tcPr>
          <w:p>
            <w:pPr>
              <w:spacing w:line="360" w:lineRule="auto"/>
              <w:jc w:val="center"/>
              <w:rPr>
                <w:rFonts w:hint="eastAsia" w:hAnsi="宋体" w:cs="宋体"/>
                <w:b/>
                <w:bCs/>
                <w:sz w:val="24"/>
              </w:rPr>
            </w:pPr>
            <w:r>
              <w:rPr>
                <w:rFonts w:hint="eastAsia" w:hAnsi="宋体" w:cs="宋体"/>
                <w:b/>
                <w:bCs/>
                <w:sz w:val="24"/>
              </w:rPr>
              <w:t>具体视</w:t>
            </w:r>
            <w:r>
              <w:rPr>
                <w:rFonts w:hint="eastAsia" w:hAnsi="宋体" w:cs="宋体"/>
                <w:b/>
                <w:bCs/>
                <w:sz w:val="24"/>
                <w:lang w:val="en-US" w:eastAsia="zh-CN"/>
              </w:rPr>
              <w:t>保洁</w:t>
            </w:r>
            <w:r>
              <w:rPr>
                <w:rFonts w:hint="eastAsia" w:hAnsi="宋体" w:cs="宋体"/>
                <w:b/>
                <w:bCs/>
                <w:sz w:val="24"/>
              </w:rPr>
              <w:t>效果而定，必要时需增加人员</w:t>
            </w:r>
          </w:p>
        </w:tc>
      </w:tr>
    </w:tbl>
    <w:p>
      <w:pPr>
        <w:spacing w:line="500" w:lineRule="exact"/>
        <w:ind w:left="354" w:firstLine="241" w:firstLineChars="100"/>
        <w:rPr>
          <w:rFonts w:hint="eastAsia"/>
          <w:b/>
          <w:bCs/>
          <w:sz w:val="24"/>
        </w:rPr>
      </w:pPr>
      <w:r>
        <w:rPr>
          <w:rFonts w:hint="eastAsia"/>
          <w:b/>
          <w:bCs/>
          <w:sz w:val="24"/>
        </w:rPr>
        <w:t>中标后必须配备的车辆：</w:t>
      </w:r>
    </w:p>
    <w:tbl>
      <w:tblPr>
        <w:tblStyle w:val="63"/>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775"/>
        <w:gridCol w:w="1530"/>
        <w:gridCol w:w="222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spacing w:line="360" w:lineRule="auto"/>
              <w:jc w:val="center"/>
              <w:rPr>
                <w:rFonts w:hint="eastAsia" w:hAnsi="宋体" w:cs="宋体"/>
                <w:b w:val="0"/>
                <w:bCs w:val="0"/>
                <w:sz w:val="24"/>
              </w:rPr>
            </w:pPr>
            <w:r>
              <w:rPr>
                <w:rFonts w:hint="eastAsia" w:hAnsi="宋体" w:cs="宋体"/>
                <w:b w:val="0"/>
                <w:bCs w:val="0"/>
                <w:sz w:val="24"/>
              </w:rPr>
              <w:t>序号</w:t>
            </w:r>
          </w:p>
        </w:tc>
        <w:tc>
          <w:tcPr>
            <w:tcW w:w="2775" w:type="dxa"/>
            <w:vAlign w:val="center"/>
          </w:tcPr>
          <w:p>
            <w:pPr>
              <w:spacing w:line="360" w:lineRule="auto"/>
              <w:jc w:val="center"/>
              <w:rPr>
                <w:rFonts w:hint="eastAsia" w:hAnsi="宋体" w:cs="宋体"/>
                <w:b w:val="0"/>
                <w:bCs w:val="0"/>
                <w:sz w:val="24"/>
              </w:rPr>
            </w:pPr>
            <w:r>
              <w:rPr>
                <w:rFonts w:hint="eastAsia" w:hAnsi="宋体" w:cs="宋体"/>
                <w:sz w:val="24"/>
              </w:rPr>
              <w:t>车辆名称</w:t>
            </w:r>
          </w:p>
        </w:tc>
        <w:tc>
          <w:tcPr>
            <w:tcW w:w="1530" w:type="dxa"/>
            <w:vAlign w:val="center"/>
          </w:tcPr>
          <w:p>
            <w:pPr>
              <w:spacing w:line="360" w:lineRule="auto"/>
              <w:jc w:val="center"/>
              <w:rPr>
                <w:rFonts w:hint="eastAsia" w:ascii="Times New Roman" w:hAnsi="宋体" w:eastAsia="宋体" w:cs="宋体"/>
                <w:b w:val="0"/>
                <w:bCs w:val="0"/>
                <w:kern w:val="2"/>
                <w:sz w:val="24"/>
                <w:szCs w:val="24"/>
                <w:lang w:val="en-US" w:eastAsia="zh-CN" w:bidi="ar-SA"/>
              </w:rPr>
            </w:pPr>
            <w:r>
              <w:rPr>
                <w:rFonts w:hint="eastAsia" w:hAnsi="宋体" w:cs="宋体"/>
                <w:b w:val="0"/>
                <w:bCs w:val="0"/>
                <w:sz w:val="24"/>
              </w:rPr>
              <w:t>数量</w:t>
            </w:r>
            <w:r>
              <w:rPr>
                <w:rFonts w:hint="eastAsia" w:hAnsi="宋体" w:cs="宋体"/>
                <w:sz w:val="24"/>
              </w:rPr>
              <w:t>不少于</w:t>
            </w:r>
          </w:p>
        </w:tc>
        <w:tc>
          <w:tcPr>
            <w:tcW w:w="2220" w:type="dxa"/>
            <w:vAlign w:val="center"/>
          </w:tcPr>
          <w:p>
            <w:pPr>
              <w:spacing w:line="360" w:lineRule="auto"/>
              <w:jc w:val="center"/>
              <w:rPr>
                <w:rFonts w:hint="eastAsia" w:hAnsi="宋体" w:cs="宋体"/>
                <w:b w:val="0"/>
                <w:bCs w:val="0"/>
                <w:sz w:val="24"/>
              </w:rPr>
            </w:pPr>
            <w:r>
              <w:rPr>
                <w:rFonts w:hint="eastAsia" w:hAnsi="宋体" w:cs="宋体"/>
                <w:b w:val="0"/>
                <w:bCs w:val="0"/>
                <w:sz w:val="24"/>
                <w:lang w:val="en-US" w:eastAsia="zh-CN"/>
              </w:rPr>
              <w:t>型号要求</w:t>
            </w:r>
          </w:p>
        </w:tc>
        <w:tc>
          <w:tcPr>
            <w:tcW w:w="2355" w:type="dxa"/>
            <w:vAlign w:val="center"/>
          </w:tcPr>
          <w:p>
            <w:pPr>
              <w:spacing w:line="360" w:lineRule="auto"/>
              <w:jc w:val="center"/>
              <w:rPr>
                <w:rFonts w:hint="eastAsia" w:hAnsi="宋体" w:cs="宋体"/>
                <w:b w:val="0"/>
                <w:bCs w:val="0"/>
                <w:sz w:val="24"/>
              </w:rPr>
            </w:pPr>
            <w:r>
              <w:rPr>
                <w:rFonts w:hint="eastAsia" w:hAnsi="宋体" w:cs="宋体"/>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86" w:type="dxa"/>
            <w:vMerge w:val="restart"/>
            <w:vAlign w:val="center"/>
          </w:tcPr>
          <w:p>
            <w:pPr>
              <w:spacing w:line="360" w:lineRule="auto"/>
              <w:jc w:val="center"/>
              <w:rPr>
                <w:rFonts w:hint="eastAsia" w:hAnsi="宋体" w:cs="宋体"/>
                <w:b w:val="0"/>
                <w:bCs w:val="0"/>
                <w:sz w:val="24"/>
              </w:rPr>
            </w:pPr>
            <w:r>
              <w:rPr>
                <w:rFonts w:hint="eastAsia" w:hAnsi="宋体" w:cs="宋体"/>
                <w:b w:val="0"/>
                <w:bCs w:val="0"/>
                <w:sz w:val="24"/>
              </w:rPr>
              <w:t>1</w:t>
            </w:r>
          </w:p>
          <w:p>
            <w:pPr>
              <w:spacing w:line="360" w:lineRule="auto"/>
              <w:jc w:val="center"/>
              <w:rPr>
                <w:rFonts w:hint="eastAsia" w:hAnsi="宋体" w:cs="宋体"/>
                <w:b w:val="0"/>
                <w:bCs w:val="0"/>
                <w:sz w:val="24"/>
              </w:rPr>
            </w:pPr>
          </w:p>
        </w:tc>
        <w:tc>
          <w:tcPr>
            <w:tcW w:w="2775" w:type="dxa"/>
            <w:vAlign w:val="center"/>
          </w:tcPr>
          <w:p>
            <w:pPr>
              <w:spacing w:line="360" w:lineRule="auto"/>
              <w:jc w:val="center"/>
              <w:rPr>
                <w:rFonts w:hint="eastAsia" w:hAnsi="宋体" w:cs="宋体"/>
                <w:b w:val="0"/>
                <w:bCs w:val="0"/>
                <w:sz w:val="24"/>
              </w:rPr>
            </w:pPr>
            <w:r>
              <w:rPr>
                <w:rFonts w:hint="eastAsia" w:hAnsi="宋体" w:cs="宋体"/>
                <w:b w:val="0"/>
                <w:bCs w:val="0"/>
                <w:sz w:val="24"/>
              </w:rPr>
              <w:t>密闭式</w:t>
            </w:r>
            <w:r>
              <w:rPr>
                <w:rFonts w:hint="eastAsia" w:hAnsi="宋体" w:cs="宋体"/>
                <w:b w:val="0"/>
                <w:bCs w:val="0"/>
                <w:sz w:val="24"/>
                <w:lang w:val="en-US" w:eastAsia="zh-CN"/>
              </w:rPr>
              <w:t>其他</w:t>
            </w:r>
            <w:r>
              <w:rPr>
                <w:rFonts w:hint="eastAsia" w:hAnsi="宋体" w:cs="宋体"/>
                <w:b w:val="0"/>
                <w:bCs w:val="0"/>
                <w:sz w:val="24"/>
              </w:rPr>
              <w:t>垃圾直运车</w:t>
            </w:r>
          </w:p>
        </w:tc>
        <w:tc>
          <w:tcPr>
            <w:tcW w:w="1530" w:type="dxa"/>
            <w:vAlign w:val="center"/>
          </w:tcPr>
          <w:p>
            <w:pPr>
              <w:spacing w:line="360" w:lineRule="auto"/>
              <w:jc w:val="center"/>
              <w:rPr>
                <w:rFonts w:hint="eastAsia" w:ascii="Times New Roman" w:hAnsi="宋体" w:eastAsia="宋体" w:cs="宋体"/>
                <w:b w:val="0"/>
                <w:bCs w:val="0"/>
                <w:kern w:val="2"/>
                <w:sz w:val="24"/>
                <w:szCs w:val="24"/>
                <w:lang w:val="en-US" w:eastAsia="zh-CN" w:bidi="ar-SA"/>
              </w:rPr>
            </w:pPr>
            <w:r>
              <w:rPr>
                <w:rFonts w:hint="eastAsia" w:hAnsi="宋体" w:cs="宋体"/>
                <w:b w:val="0"/>
                <w:bCs w:val="0"/>
                <w:sz w:val="24"/>
                <w:lang w:val="en-US" w:eastAsia="zh-CN"/>
              </w:rPr>
              <w:t>4</w:t>
            </w:r>
            <w:r>
              <w:rPr>
                <w:rFonts w:hint="eastAsia" w:hAnsi="宋体" w:cs="宋体"/>
                <w:b w:val="0"/>
                <w:bCs w:val="0"/>
                <w:sz w:val="24"/>
              </w:rPr>
              <w:t>辆</w:t>
            </w:r>
          </w:p>
        </w:tc>
        <w:tc>
          <w:tcPr>
            <w:tcW w:w="2220" w:type="dxa"/>
            <w:vAlign w:val="center"/>
          </w:tcPr>
          <w:p>
            <w:pPr>
              <w:spacing w:line="360" w:lineRule="auto"/>
              <w:jc w:val="center"/>
              <w:rPr>
                <w:rFonts w:hint="eastAsia" w:hAnsi="宋体" w:cs="宋体"/>
                <w:b w:val="0"/>
                <w:bCs w:val="0"/>
                <w:sz w:val="24"/>
              </w:rPr>
            </w:pPr>
            <w:r>
              <w:rPr>
                <w:rFonts w:hint="eastAsia" w:hAnsi="宋体" w:cs="宋体"/>
                <w:b w:val="0"/>
                <w:bCs w:val="0"/>
                <w:sz w:val="24"/>
                <w:lang w:val="en-US" w:eastAsia="zh-CN"/>
              </w:rPr>
              <w:t>总重量15吨以上</w:t>
            </w:r>
          </w:p>
        </w:tc>
        <w:tc>
          <w:tcPr>
            <w:tcW w:w="2355" w:type="dxa"/>
            <w:vMerge w:val="restart"/>
            <w:vAlign w:val="center"/>
          </w:tcPr>
          <w:p>
            <w:pPr>
              <w:spacing w:line="360" w:lineRule="auto"/>
              <w:jc w:val="center"/>
              <w:rPr>
                <w:rFonts w:hint="eastAsia" w:hAnsi="宋体" w:cs="宋体"/>
                <w:b w:val="0"/>
                <w:bCs w:val="0"/>
                <w:sz w:val="24"/>
              </w:rPr>
            </w:pPr>
            <w:r>
              <w:rPr>
                <w:rFonts w:hint="eastAsia" w:hAnsi="宋体" w:cs="宋体"/>
                <w:b w:val="0"/>
                <w:bCs w:val="0"/>
                <w:sz w:val="24"/>
              </w:rPr>
              <w:t>目前的车辆只能够响应目前的垃圾量，如需后续垃圾量增加较大，中标方承诺增加相应的车辆及厢体等设备，以满足实际收集及清运需要。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86" w:type="dxa"/>
            <w:vMerge w:val="continue"/>
            <w:vAlign w:val="center"/>
          </w:tcPr>
          <w:p>
            <w:pPr>
              <w:spacing w:line="360" w:lineRule="auto"/>
              <w:jc w:val="center"/>
              <w:rPr>
                <w:rFonts w:hint="eastAsia" w:hAnsi="宋体" w:cs="宋体"/>
                <w:b w:val="0"/>
                <w:bCs w:val="0"/>
                <w:sz w:val="24"/>
              </w:rPr>
            </w:pPr>
          </w:p>
        </w:tc>
        <w:tc>
          <w:tcPr>
            <w:tcW w:w="2775" w:type="dxa"/>
            <w:vAlign w:val="center"/>
          </w:tcPr>
          <w:p>
            <w:pPr>
              <w:spacing w:line="360" w:lineRule="auto"/>
              <w:jc w:val="center"/>
              <w:rPr>
                <w:rFonts w:hint="eastAsia" w:hAnsi="宋体" w:cs="宋体"/>
                <w:b w:val="0"/>
                <w:bCs w:val="0"/>
                <w:sz w:val="24"/>
              </w:rPr>
            </w:pPr>
            <w:r>
              <w:rPr>
                <w:rFonts w:hint="eastAsia" w:hAnsi="宋体" w:cs="宋体"/>
                <w:b w:val="0"/>
                <w:bCs w:val="0"/>
                <w:sz w:val="24"/>
              </w:rPr>
              <w:t>密闭式</w:t>
            </w:r>
            <w:r>
              <w:rPr>
                <w:rFonts w:hint="eastAsia" w:hAnsi="宋体" w:cs="宋体"/>
                <w:b w:val="0"/>
                <w:bCs w:val="0"/>
                <w:sz w:val="24"/>
                <w:lang w:val="en-US" w:eastAsia="zh-CN"/>
              </w:rPr>
              <w:t>其他</w:t>
            </w:r>
            <w:r>
              <w:rPr>
                <w:rFonts w:hint="eastAsia" w:hAnsi="宋体" w:cs="宋体"/>
                <w:b w:val="0"/>
                <w:bCs w:val="0"/>
                <w:sz w:val="24"/>
              </w:rPr>
              <w:t>垃圾直运车</w:t>
            </w:r>
          </w:p>
        </w:tc>
        <w:tc>
          <w:tcPr>
            <w:tcW w:w="1530" w:type="dxa"/>
            <w:vAlign w:val="center"/>
          </w:tcPr>
          <w:p>
            <w:pPr>
              <w:spacing w:line="360" w:lineRule="auto"/>
              <w:jc w:val="center"/>
              <w:rPr>
                <w:rFonts w:hint="eastAsia" w:ascii="Times New Roman" w:hAnsi="宋体" w:eastAsia="宋体" w:cs="宋体"/>
                <w:b w:val="0"/>
                <w:bCs w:val="0"/>
                <w:kern w:val="2"/>
                <w:sz w:val="24"/>
                <w:szCs w:val="24"/>
                <w:lang w:val="en-US" w:eastAsia="zh-CN" w:bidi="ar-SA"/>
              </w:rPr>
            </w:pPr>
            <w:r>
              <w:rPr>
                <w:rFonts w:hint="eastAsia" w:hAnsi="宋体" w:cs="宋体"/>
                <w:b w:val="0"/>
                <w:bCs w:val="0"/>
                <w:sz w:val="24"/>
                <w:lang w:val="en-US" w:eastAsia="zh-CN"/>
              </w:rPr>
              <w:t>2</w:t>
            </w:r>
            <w:r>
              <w:rPr>
                <w:rFonts w:hint="eastAsia" w:hAnsi="宋体" w:cs="宋体"/>
                <w:b w:val="0"/>
                <w:bCs w:val="0"/>
                <w:sz w:val="24"/>
              </w:rPr>
              <w:t>辆</w:t>
            </w:r>
          </w:p>
        </w:tc>
        <w:tc>
          <w:tcPr>
            <w:tcW w:w="2220" w:type="dxa"/>
            <w:vAlign w:val="center"/>
          </w:tcPr>
          <w:p>
            <w:pPr>
              <w:spacing w:line="360" w:lineRule="auto"/>
              <w:jc w:val="center"/>
              <w:rPr>
                <w:rFonts w:hint="eastAsia" w:hAnsi="宋体" w:cs="宋体"/>
                <w:b w:val="0"/>
                <w:bCs w:val="0"/>
                <w:sz w:val="24"/>
              </w:rPr>
            </w:pPr>
            <w:r>
              <w:rPr>
                <w:rFonts w:hint="eastAsia" w:hAnsi="宋体" w:cs="宋体"/>
                <w:b w:val="0"/>
                <w:bCs w:val="0"/>
                <w:sz w:val="24"/>
                <w:lang w:val="en-US" w:eastAsia="zh-CN"/>
              </w:rPr>
              <w:t>总重量8吨以上</w:t>
            </w:r>
          </w:p>
        </w:tc>
        <w:tc>
          <w:tcPr>
            <w:tcW w:w="2355"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86" w:type="dxa"/>
            <w:vAlign w:val="center"/>
          </w:tcPr>
          <w:p>
            <w:pPr>
              <w:spacing w:line="360" w:lineRule="auto"/>
              <w:jc w:val="center"/>
              <w:rPr>
                <w:rFonts w:hint="eastAsia" w:hAnsi="宋体" w:eastAsia="宋体" w:cs="宋体"/>
                <w:b w:val="0"/>
                <w:bCs w:val="0"/>
                <w:sz w:val="24"/>
                <w:lang w:eastAsia="zh-CN"/>
              </w:rPr>
            </w:pPr>
            <w:r>
              <w:rPr>
                <w:rFonts w:hint="eastAsia" w:hAnsi="宋体" w:cs="宋体"/>
                <w:b w:val="0"/>
                <w:bCs w:val="0"/>
                <w:sz w:val="24"/>
                <w:lang w:val="en-US" w:eastAsia="zh-CN"/>
              </w:rPr>
              <w:t>2</w:t>
            </w:r>
          </w:p>
        </w:tc>
        <w:tc>
          <w:tcPr>
            <w:tcW w:w="2775" w:type="dxa"/>
            <w:vAlign w:val="center"/>
          </w:tcPr>
          <w:p>
            <w:pPr>
              <w:spacing w:line="360" w:lineRule="auto"/>
              <w:jc w:val="center"/>
              <w:rPr>
                <w:rFonts w:hint="eastAsia" w:hAnsi="宋体" w:eastAsia="宋体" w:cs="宋体"/>
                <w:b w:val="0"/>
                <w:bCs w:val="0"/>
                <w:sz w:val="24"/>
                <w:lang w:eastAsia="zh-CN"/>
              </w:rPr>
            </w:pPr>
            <w:r>
              <w:rPr>
                <w:rFonts w:hint="eastAsia" w:hAnsi="宋体" w:cs="宋体"/>
                <w:b w:val="0"/>
                <w:bCs w:val="0"/>
                <w:sz w:val="24"/>
                <w:lang w:val="en-US" w:eastAsia="zh-CN"/>
              </w:rPr>
              <w:t>吸污车</w:t>
            </w:r>
          </w:p>
        </w:tc>
        <w:tc>
          <w:tcPr>
            <w:tcW w:w="1530" w:type="dxa"/>
            <w:vAlign w:val="center"/>
          </w:tcPr>
          <w:p>
            <w:pPr>
              <w:spacing w:line="360" w:lineRule="auto"/>
              <w:jc w:val="center"/>
              <w:rPr>
                <w:rFonts w:hint="eastAsia" w:ascii="Times New Roman" w:hAnsi="宋体" w:eastAsia="宋体" w:cs="宋体"/>
                <w:b w:val="0"/>
                <w:bCs w:val="0"/>
                <w:kern w:val="2"/>
                <w:sz w:val="24"/>
                <w:szCs w:val="24"/>
                <w:lang w:val="en-US" w:eastAsia="zh-CN" w:bidi="ar-SA"/>
              </w:rPr>
            </w:pPr>
            <w:r>
              <w:rPr>
                <w:rFonts w:hint="eastAsia" w:hAnsi="宋体" w:cs="宋体"/>
                <w:b w:val="0"/>
                <w:bCs w:val="0"/>
                <w:sz w:val="24"/>
              </w:rPr>
              <w:t>1辆</w:t>
            </w:r>
          </w:p>
        </w:tc>
        <w:tc>
          <w:tcPr>
            <w:tcW w:w="2220" w:type="dxa"/>
            <w:vAlign w:val="center"/>
          </w:tcPr>
          <w:p>
            <w:pPr>
              <w:spacing w:line="360" w:lineRule="auto"/>
              <w:jc w:val="center"/>
              <w:rPr>
                <w:rFonts w:hint="eastAsia" w:hAnsi="宋体" w:cs="宋体"/>
                <w:b w:val="0"/>
                <w:bCs w:val="0"/>
                <w:sz w:val="24"/>
              </w:rPr>
            </w:pPr>
            <w:r>
              <w:rPr>
                <w:rFonts w:hint="eastAsia" w:hAnsi="宋体" w:cs="宋体"/>
                <w:b w:val="0"/>
                <w:bCs w:val="0"/>
                <w:sz w:val="24"/>
                <w:lang w:val="en-US" w:eastAsia="zh-CN"/>
              </w:rPr>
              <w:t>总重量9吨以上</w:t>
            </w:r>
          </w:p>
        </w:tc>
        <w:tc>
          <w:tcPr>
            <w:tcW w:w="2355"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86" w:type="dxa"/>
            <w:vAlign w:val="center"/>
          </w:tcPr>
          <w:p>
            <w:pPr>
              <w:spacing w:line="360" w:lineRule="auto"/>
              <w:jc w:val="center"/>
              <w:rPr>
                <w:rFonts w:hint="eastAsia" w:hAnsi="宋体" w:eastAsia="宋体" w:cs="宋体"/>
                <w:b w:val="0"/>
                <w:bCs w:val="0"/>
                <w:sz w:val="24"/>
                <w:lang w:eastAsia="zh-CN"/>
              </w:rPr>
            </w:pPr>
            <w:r>
              <w:rPr>
                <w:rFonts w:hint="eastAsia" w:hAnsi="宋体" w:cs="宋体"/>
                <w:b w:val="0"/>
                <w:bCs w:val="0"/>
                <w:sz w:val="24"/>
                <w:lang w:val="en-US" w:eastAsia="zh-CN"/>
              </w:rPr>
              <w:t>3</w:t>
            </w:r>
          </w:p>
        </w:tc>
        <w:tc>
          <w:tcPr>
            <w:tcW w:w="2775" w:type="dxa"/>
            <w:vAlign w:val="center"/>
          </w:tcPr>
          <w:p>
            <w:pPr>
              <w:spacing w:line="360" w:lineRule="auto"/>
              <w:jc w:val="center"/>
              <w:rPr>
                <w:rFonts w:hint="eastAsia" w:hAnsi="宋体" w:eastAsia="宋体" w:cs="宋体"/>
                <w:b w:val="0"/>
                <w:bCs w:val="0"/>
                <w:sz w:val="24"/>
                <w:lang w:val="en-US" w:eastAsia="zh-CN"/>
              </w:rPr>
            </w:pPr>
            <w:r>
              <w:rPr>
                <w:rFonts w:hint="eastAsia" w:hAnsi="宋体" w:cs="宋体"/>
                <w:b w:val="0"/>
                <w:bCs w:val="0"/>
                <w:sz w:val="24"/>
                <w:lang w:val="en-US" w:eastAsia="zh-CN"/>
              </w:rPr>
              <w:t>易腐垃圾桶装垃圾车</w:t>
            </w:r>
          </w:p>
        </w:tc>
        <w:tc>
          <w:tcPr>
            <w:tcW w:w="1530" w:type="dxa"/>
            <w:vAlign w:val="center"/>
          </w:tcPr>
          <w:p>
            <w:pPr>
              <w:spacing w:line="360" w:lineRule="auto"/>
              <w:jc w:val="center"/>
              <w:rPr>
                <w:rFonts w:hint="eastAsia" w:ascii="Times New Roman" w:hAnsi="宋体" w:eastAsia="宋体" w:cs="宋体"/>
                <w:b w:val="0"/>
                <w:bCs w:val="0"/>
                <w:kern w:val="2"/>
                <w:sz w:val="24"/>
                <w:szCs w:val="24"/>
                <w:lang w:val="en-US" w:eastAsia="zh-CN" w:bidi="ar-SA"/>
              </w:rPr>
            </w:pPr>
            <w:r>
              <w:rPr>
                <w:rFonts w:hint="eastAsia" w:hAnsi="宋体" w:cs="宋体"/>
                <w:b w:val="0"/>
                <w:bCs w:val="0"/>
                <w:sz w:val="24"/>
                <w:lang w:val="en-US" w:eastAsia="zh-CN"/>
              </w:rPr>
              <w:t>6</w:t>
            </w:r>
            <w:r>
              <w:rPr>
                <w:rFonts w:hint="eastAsia" w:hAnsi="宋体" w:cs="宋体"/>
                <w:b w:val="0"/>
                <w:bCs w:val="0"/>
                <w:sz w:val="24"/>
              </w:rPr>
              <w:t>辆</w:t>
            </w:r>
          </w:p>
        </w:tc>
        <w:tc>
          <w:tcPr>
            <w:tcW w:w="2220" w:type="dxa"/>
            <w:vAlign w:val="center"/>
          </w:tcPr>
          <w:p>
            <w:pPr>
              <w:spacing w:line="360" w:lineRule="auto"/>
              <w:jc w:val="center"/>
              <w:rPr>
                <w:rFonts w:hint="eastAsia" w:hAnsi="宋体" w:cs="宋体"/>
                <w:b w:val="0"/>
                <w:bCs w:val="0"/>
                <w:sz w:val="24"/>
              </w:rPr>
            </w:pPr>
            <w:r>
              <w:rPr>
                <w:rFonts w:hint="eastAsia" w:hAnsi="宋体" w:cs="宋体"/>
                <w:b w:val="0"/>
                <w:bCs w:val="0"/>
                <w:sz w:val="24"/>
                <w:lang w:val="en-US" w:eastAsia="zh-CN"/>
              </w:rPr>
              <w:t>总重量2.5吨以上</w:t>
            </w:r>
          </w:p>
        </w:tc>
        <w:tc>
          <w:tcPr>
            <w:tcW w:w="2355"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86" w:type="dxa"/>
            <w:vAlign w:val="center"/>
          </w:tcPr>
          <w:p>
            <w:pPr>
              <w:spacing w:line="360" w:lineRule="auto"/>
              <w:jc w:val="center"/>
              <w:rPr>
                <w:rFonts w:hint="eastAsia" w:hAnsi="宋体" w:eastAsia="宋体" w:cs="宋体"/>
                <w:b w:val="0"/>
                <w:bCs w:val="0"/>
                <w:sz w:val="24"/>
                <w:lang w:eastAsia="zh-CN"/>
              </w:rPr>
            </w:pPr>
            <w:r>
              <w:rPr>
                <w:rFonts w:hint="eastAsia" w:hAnsi="宋体" w:cs="宋体"/>
                <w:b w:val="0"/>
                <w:bCs w:val="0"/>
                <w:sz w:val="24"/>
                <w:lang w:val="en-US" w:eastAsia="zh-CN"/>
              </w:rPr>
              <w:t>4</w:t>
            </w:r>
          </w:p>
        </w:tc>
        <w:tc>
          <w:tcPr>
            <w:tcW w:w="2775" w:type="dxa"/>
            <w:vAlign w:val="center"/>
          </w:tcPr>
          <w:p>
            <w:pPr>
              <w:spacing w:line="360" w:lineRule="auto"/>
              <w:jc w:val="center"/>
              <w:rPr>
                <w:rFonts w:hint="eastAsia" w:hAnsi="宋体" w:eastAsia="宋体" w:cs="宋体"/>
                <w:b w:val="0"/>
                <w:bCs w:val="0"/>
                <w:sz w:val="24"/>
                <w:lang w:val="en-US" w:eastAsia="zh-CN"/>
              </w:rPr>
            </w:pPr>
            <w:r>
              <w:rPr>
                <w:rFonts w:hint="eastAsia" w:hAnsi="宋体" w:cs="宋体"/>
                <w:b w:val="0"/>
                <w:bCs w:val="0"/>
                <w:sz w:val="24"/>
                <w:lang w:val="en-US" w:eastAsia="zh-CN"/>
              </w:rPr>
              <w:t>密闭式易腐垃圾直运车</w:t>
            </w:r>
          </w:p>
        </w:tc>
        <w:tc>
          <w:tcPr>
            <w:tcW w:w="1530" w:type="dxa"/>
            <w:vAlign w:val="center"/>
          </w:tcPr>
          <w:p>
            <w:pPr>
              <w:spacing w:line="360" w:lineRule="auto"/>
              <w:jc w:val="center"/>
              <w:rPr>
                <w:rFonts w:hint="eastAsia" w:ascii="Times New Roman" w:hAnsi="宋体" w:eastAsia="宋体" w:cs="宋体"/>
                <w:b w:val="0"/>
                <w:bCs w:val="0"/>
                <w:kern w:val="2"/>
                <w:sz w:val="24"/>
                <w:szCs w:val="24"/>
                <w:lang w:val="en-US" w:eastAsia="zh-CN" w:bidi="ar-SA"/>
              </w:rPr>
            </w:pPr>
            <w:r>
              <w:rPr>
                <w:rFonts w:hint="eastAsia" w:hAnsi="宋体" w:cs="宋体"/>
                <w:b w:val="0"/>
                <w:bCs w:val="0"/>
                <w:sz w:val="24"/>
                <w:lang w:val="en-US" w:eastAsia="zh-CN"/>
              </w:rPr>
              <w:t>1</w:t>
            </w:r>
            <w:r>
              <w:rPr>
                <w:rFonts w:hint="eastAsia" w:hAnsi="宋体" w:cs="宋体"/>
                <w:b w:val="0"/>
                <w:bCs w:val="0"/>
                <w:sz w:val="24"/>
              </w:rPr>
              <w:t>辆</w:t>
            </w:r>
          </w:p>
        </w:tc>
        <w:tc>
          <w:tcPr>
            <w:tcW w:w="2220" w:type="dxa"/>
            <w:vAlign w:val="center"/>
          </w:tcPr>
          <w:p>
            <w:pPr>
              <w:spacing w:line="360" w:lineRule="auto"/>
              <w:jc w:val="center"/>
              <w:rPr>
                <w:rFonts w:hint="eastAsia" w:hAnsi="宋体" w:cs="宋体"/>
                <w:b w:val="0"/>
                <w:bCs w:val="0"/>
                <w:sz w:val="24"/>
              </w:rPr>
            </w:pPr>
            <w:r>
              <w:rPr>
                <w:rFonts w:hint="eastAsia" w:hAnsi="宋体" w:cs="宋体"/>
                <w:b w:val="0"/>
                <w:bCs w:val="0"/>
                <w:sz w:val="24"/>
                <w:lang w:val="en-US" w:eastAsia="zh-CN"/>
              </w:rPr>
              <w:t>总重量7吨以上</w:t>
            </w:r>
          </w:p>
        </w:tc>
        <w:tc>
          <w:tcPr>
            <w:tcW w:w="2355" w:type="dxa"/>
            <w:vMerge w:val="continue"/>
            <w:vAlign w:val="center"/>
          </w:tcPr>
          <w:p>
            <w:pPr>
              <w:spacing w:line="360" w:lineRule="auto"/>
              <w:jc w:val="center"/>
              <w:rPr>
                <w:rFonts w:hint="eastAsia"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86" w:type="dxa"/>
            <w:vAlign w:val="center"/>
          </w:tcPr>
          <w:p>
            <w:pPr>
              <w:spacing w:line="360" w:lineRule="auto"/>
              <w:jc w:val="center"/>
              <w:rPr>
                <w:rFonts w:hint="eastAsia" w:hAnsi="宋体" w:cs="宋体"/>
                <w:b w:val="0"/>
                <w:bCs w:val="0"/>
                <w:sz w:val="24"/>
              </w:rPr>
            </w:pPr>
            <w:r>
              <w:rPr>
                <w:rFonts w:hint="eastAsia" w:hAnsi="宋体" w:cs="宋体"/>
                <w:b w:val="0"/>
                <w:bCs w:val="0"/>
                <w:sz w:val="24"/>
              </w:rPr>
              <w:t>6</w:t>
            </w:r>
          </w:p>
        </w:tc>
        <w:tc>
          <w:tcPr>
            <w:tcW w:w="2775" w:type="dxa"/>
            <w:vAlign w:val="center"/>
          </w:tcPr>
          <w:p>
            <w:pPr>
              <w:spacing w:line="360" w:lineRule="auto"/>
              <w:jc w:val="center"/>
              <w:rPr>
                <w:rFonts w:hint="eastAsia" w:hAnsi="宋体" w:cs="宋体"/>
                <w:b w:val="0"/>
                <w:bCs w:val="0"/>
                <w:sz w:val="24"/>
              </w:rPr>
            </w:pPr>
            <w:r>
              <w:rPr>
                <w:rFonts w:hint="eastAsia" w:hAnsi="宋体" w:cs="宋体"/>
                <w:b w:val="0"/>
                <w:bCs w:val="0"/>
                <w:sz w:val="24"/>
              </w:rPr>
              <w:t>音乐线收集车辆</w:t>
            </w:r>
          </w:p>
          <w:p>
            <w:pPr>
              <w:spacing w:line="360" w:lineRule="auto"/>
              <w:jc w:val="center"/>
              <w:rPr>
                <w:rFonts w:hint="eastAsia" w:hAnsi="宋体" w:cs="宋体"/>
                <w:b w:val="0"/>
                <w:bCs w:val="0"/>
                <w:sz w:val="24"/>
              </w:rPr>
            </w:pPr>
            <w:r>
              <w:rPr>
                <w:rFonts w:hint="eastAsia" w:hAnsi="宋体" w:cs="宋体"/>
                <w:b w:val="0"/>
                <w:bCs w:val="0"/>
                <w:sz w:val="24"/>
              </w:rPr>
              <w:t>（四轮八桶新能源车）</w:t>
            </w:r>
          </w:p>
        </w:tc>
        <w:tc>
          <w:tcPr>
            <w:tcW w:w="1530" w:type="dxa"/>
            <w:vAlign w:val="center"/>
          </w:tcPr>
          <w:p>
            <w:pPr>
              <w:spacing w:line="360" w:lineRule="auto"/>
              <w:jc w:val="center"/>
              <w:rPr>
                <w:rFonts w:hint="eastAsia" w:ascii="Times New Roman" w:hAnsi="宋体" w:eastAsia="宋体" w:cs="宋体"/>
                <w:b w:val="0"/>
                <w:bCs w:val="0"/>
                <w:kern w:val="2"/>
                <w:sz w:val="24"/>
                <w:szCs w:val="24"/>
                <w:lang w:val="en-US" w:eastAsia="zh-CN" w:bidi="ar-SA"/>
              </w:rPr>
            </w:pPr>
            <w:r>
              <w:rPr>
                <w:rFonts w:hint="eastAsia" w:hAnsi="宋体" w:cs="宋体"/>
                <w:b w:val="0"/>
                <w:bCs w:val="0"/>
                <w:sz w:val="24"/>
                <w:lang w:val="en-US" w:eastAsia="zh-CN"/>
              </w:rPr>
              <w:t>5</w:t>
            </w:r>
            <w:r>
              <w:rPr>
                <w:rFonts w:hint="eastAsia" w:hAnsi="宋体" w:cs="宋体"/>
                <w:b w:val="0"/>
                <w:bCs w:val="0"/>
                <w:sz w:val="24"/>
              </w:rPr>
              <w:t>辆</w:t>
            </w:r>
          </w:p>
        </w:tc>
        <w:tc>
          <w:tcPr>
            <w:tcW w:w="2220" w:type="dxa"/>
            <w:vAlign w:val="center"/>
          </w:tcPr>
          <w:p>
            <w:pPr>
              <w:spacing w:line="360" w:lineRule="auto"/>
              <w:jc w:val="center"/>
              <w:rPr>
                <w:rFonts w:hint="eastAsia" w:hAnsi="宋体" w:cs="宋体"/>
                <w:b w:val="0"/>
                <w:bCs w:val="0"/>
                <w:sz w:val="24"/>
              </w:rPr>
            </w:pPr>
          </w:p>
        </w:tc>
        <w:tc>
          <w:tcPr>
            <w:tcW w:w="2355" w:type="dxa"/>
            <w:vMerge w:val="continue"/>
            <w:vAlign w:val="center"/>
          </w:tcPr>
          <w:p>
            <w:pPr>
              <w:spacing w:line="360" w:lineRule="auto"/>
              <w:jc w:val="center"/>
              <w:rPr>
                <w:rFonts w:hint="eastAsia" w:hAnsi="宋体" w:cs="宋体"/>
                <w:b/>
                <w:bCs/>
                <w:sz w:val="24"/>
              </w:rPr>
            </w:pPr>
          </w:p>
        </w:tc>
      </w:tr>
    </w:tbl>
    <w:p>
      <w:pPr>
        <w:adjustRightInd w:val="0"/>
        <w:snapToGrid w:val="0"/>
        <w:spacing w:line="360" w:lineRule="auto"/>
        <w:ind w:firstLine="723" w:firstLineChars="300"/>
        <w:rPr>
          <w:rFonts w:hint="eastAsia" w:ascii="宋体" w:hAnsi="宋体" w:cs="宋体"/>
          <w:b/>
          <w:bCs/>
          <w:color w:val="000000"/>
          <w:sz w:val="24"/>
        </w:rPr>
      </w:pPr>
      <w:r>
        <w:rPr>
          <w:rFonts w:ascii="宋体" w:hAnsi="宋体"/>
          <w:b/>
          <w:bCs/>
          <w:sz w:val="24"/>
        </w:rPr>
        <w:t>▲</w:t>
      </w:r>
      <w:r>
        <w:rPr>
          <w:rFonts w:hint="eastAsia" w:ascii="宋体" w:hAnsi="宋体" w:cs="宋体"/>
          <w:b/>
          <w:bCs/>
          <w:color w:val="000000"/>
          <w:sz w:val="24"/>
          <w:lang w:val="en-US" w:eastAsia="zh-CN"/>
        </w:rPr>
        <w:t>3.15</w:t>
      </w:r>
      <w:r>
        <w:rPr>
          <w:rFonts w:hint="eastAsia" w:ascii="宋体" w:hAnsi="宋体" w:cs="宋体"/>
          <w:b/>
          <w:bCs/>
          <w:color w:val="000000"/>
          <w:sz w:val="24"/>
        </w:rPr>
        <w:t>由于垃圾收集和运输的特殊性，没有收集运输的缓冲期，必须</w:t>
      </w:r>
      <w:r>
        <w:rPr>
          <w:rFonts w:hint="eastAsia"/>
          <w:b/>
          <w:bCs/>
          <w:sz w:val="24"/>
        </w:rPr>
        <w:t>做到日产两清。</w:t>
      </w:r>
      <w:r>
        <w:rPr>
          <w:rFonts w:hint="eastAsia" w:ascii="宋体" w:hAnsi="宋体" w:cs="宋体"/>
          <w:b/>
          <w:bCs/>
          <w:color w:val="000000"/>
          <w:sz w:val="24"/>
        </w:rPr>
        <w:t>中标单位必须在中标公示结束后10个工作日内完成设备、人员到场，确保与前养护单位无缝衔接，如在规定的时间内由于中标单位的原因不能按时到场的，将作废标处理。</w:t>
      </w:r>
    </w:p>
    <w:p>
      <w:pPr>
        <w:adjustRightInd w:val="0"/>
        <w:snapToGrid w:val="0"/>
        <w:spacing w:line="360" w:lineRule="auto"/>
        <w:ind w:firstLine="723" w:firstLineChars="300"/>
        <w:rPr>
          <w:rFonts w:hint="eastAsia" w:ascii="宋体" w:hAnsi="宋体" w:cs="宋体"/>
          <w:b/>
          <w:bCs/>
          <w:color w:val="000000"/>
          <w:sz w:val="24"/>
        </w:rPr>
      </w:pPr>
      <w:r>
        <w:rPr>
          <w:rFonts w:ascii="宋体" w:hAnsi="宋体"/>
          <w:b/>
          <w:bCs/>
          <w:sz w:val="24"/>
        </w:rPr>
        <w:t>▲</w:t>
      </w:r>
      <w:r>
        <w:rPr>
          <w:rFonts w:hint="eastAsia" w:ascii="宋体" w:hAnsi="宋体" w:cs="宋体"/>
          <w:b/>
          <w:bCs/>
          <w:color w:val="000000"/>
          <w:sz w:val="24"/>
          <w:lang w:val="en-US" w:eastAsia="zh-CN"/>
        </w:rPr>
        <w:t>3.16</w:t>
      </w:r>
      <w:r>
        <w:rPr>
          <w:rFonts w:hint="eastAsia" w:ascii="宋体" w:hAnsi="宋体" w:cs="宋体"/>
          <w:b/>
          <w:bCs/>
          <w:color w:val="000000"/>
          <w:sz w:val="24"/>
        </w:rPr>
        <w:t>生活垃圾运输车辆的车载称重设备必须严格按照杭分类办[2021]15号文件“关于印发《杭州市生活垃圾运输车辆车载称重设备技术要求》的通知”执行。</w:t>
      </w:r>
    </w:p>
    <w:p>
      <w:pPr>
        <w:pStyle w:val="2"/>
        <w:numPr>
          <w:ilvl w:val="0"/>
          <w:numId w:val="0"/>
        </w:numPr>
        <w:ind w:leftChars="0" w:firstLine="482" w:firstLineChars="200"/>
        <w:rPr>
          <w:rFonts w:hint="eastAsia" w:ascii="宋体" w:hAnsi="宋体" w:eastAsia="宋体" w:cs="宋体"/>
          <w:b/>
          <w:bCs/>
          <w:color w:val="000000"/>
          <w:kern w:val="2"/>
          <w:sz w:val="24"/>
          <w:szCs w:val="24"/>
          <w:lang w:val="en-US" w:eastAsia="zh-CN"/>
        </w:rPr>
      </w:pPr>
      <w:r>
        <w:rPr>
          <w:rFonts w:hint="eastAsia" w:ascii="宋体" w:hAnsi="宋体" w:eastAsia="宋体" w:cs="宋体"/>
          <w:b/>
          <w:bCs/>
          <w:color w:val="000000"/>
          <w:kern w:val="2"/>
          <w:sz w:val="24"/>
          <w:szCs w:val="24"/>
          <w:lang w:val="en-US" w:eastAsia="zh-CN"/>
        </w:rPr>
        <w:t>3.17苕溪生活垃圾音乐线集置点管理要求：</w:t>
      </w:r>
    </w:p>
    <w:p>
      <w:pPr>
        <w:pStyle w:val="60"/>
        <w:shd w:val="clear" w:color="auto" w:fill="FFFFFF"/>
        <w:spacing w:line="420" w:lineRule="atLeast"/>
        <w:ind w:firstLine="480" w:firstLineChars="200"/>
        <w:rPr>
          <w:rFonts w:hint="eastAsia" w:ascii="宋体" w:hAnsi="宋体" w:eastAsia="宋体"/>
          <w:lang w:eastAsia="zh-CN"/>
        </w:rPr>
      </w:pPr>
      <w:r>
        <w:rPr>
          <w:rFonts w:hint="eastAsia" w:ascii="宋体" w:hAnsi="宋体"/>
          <w:lang w:val="en-US" w:eastAsia="zh-CN"/>
        </w:rPr>
        <w:t>3.17.1</w:t>
      </w:r>
      <w:r>
        <w:rPr>
          <w:rFonts w:hint="eastAsia" w:ascii="宋体" w:hAnsi="宋体"/>
        </w:rPr>
        <w:t>时间要求：</w:t>
      </w:r>
      <w:r>
        <w:rPr>
          <w:rFonts w:hint="eastAsia" w:ascii="宋体" w:hAnsi="宋体" w:eastAsia="宋体" w:cs="Times New Roman"/>
          <w:b w:val="0"/>
          <w:bCs w:val="0"/>
          <w:kern w:val="0"/>
          <w:sz w:val="24"/>
          <w:szCs w:val="24"/>
          <w:lang w:val="en-US" w:eastAsia="zh-CN"/>
        </w:rPr>
        <w:t>生活垃圾集置点</w:t>
      </w:r>
      <w:r>
        <w:rPr>
          <w:rFonts w:hint="eastAsia" w:ascii="宋体" w:hAnsi="宋体"/>
        </w:rPr>
        <w:t>实施24小时值守制度，每天值守人员不少于1人，对外开放时间</w:t>
      </w:r>
      <w:r>
        <w:rPr>
          <w:rFonts w:ascii="宋体" w:hAnsi="宋体"/>
        </w:rPr>
        <w:t>5</w:t>
      </w:r>
      <w:r>
        <w:rPr>
          <w:rFonts w:hint="eastAsia" w:ascii="宋体" w:hAnsi="宋体"/>
        </w:rPr>
        <w:t>月</w:t>
      </w:r>
      <w:r>
        <w:rPr>
          <w:rFonts w:ascii="宋体" w:hAnsi="宋体"/>
        </w:rPr>
        <w:t>1</w:t>
      </w:r>
      <w:r>
        <w:rPr>
          <w:rFonts w:hint="eastAsia" w:ascii="宋体" w:hAnsi="宋体"/>
        </w:rPr>
        <w:t>日一</w:t>
      </w:r>
      <w:r>
        <w:rPr>
          <w:rFonts w:ascii="宋体" w:hAnsi="宋体"/>
        </w:rPr>
        <w:t>10</w:t>
      </w:r>
      <w:r>
        <w:rPr>
          <w:rFonts w:hint="eastAsia" w:ascii="宋体" w:hAnsi="宋体"/>
        </w:rPr>
        <w:t>月</w:t>
      </w:r>
      <w:r>
        <w:rPr>
          <w:rFonts w:ascii="宋体" w:hAnsi="宋体"/>
        </w:rPr>
        <w:t>31</w:t>
      </w:r>
      <w:r>
        <w:rPr>
          <w:rFonts w:hint="eastAsia" w:ascii="宋体" w:hAnsi="宋体"/>
        </w:rPr>
        <w:t>日</w:t>
      </w:r>
      <w:r>
        <w:rPr>
          <w:rFonts w:ascii="宋体" w:hAnsi="宋体"/>
        </w:rPr>
        <w:t>5</w:t>
      </w:r>
      <w:r>
        <w:rPr>
          <w:rFonts w:hint="eastAsia" w:ascii="宋体" w:hAnsi="宋体"/>
        </w:rPr>
        <w:t>点半至15时，1</w:t>
      </w:r>
      <w:r>
        <w:rPr>
          <w:rFonts w:ascii="宋体" w:hAnsi="宋体"/>
        </w:rPr>
        <w:t>1</w:t>
      </w:r>
      <w:r>
        <w:rPr>
          <w:rFonts w:hint="eastAsia" w:ascii="宋体" w:hAnsi="宋体"/>
        </w:rPr>
        <w:t>月</w:t>
      </w:r>
      <w:r>
        <w:rPr>
          <w:rFonts w:ascii="宋体" w:hAnsi="宋体"/>
        </w:rPr>
        <w:t>l</w:t>
      </w:r>
      <w:r>
        <w:rPr>
          <w:rFonts w:hint="eastAsia" w:ascii="宋体" w:hAnsi="宋体"/>
        </w:rPr>
        <w:t>日一</w:t>
      </w:r>
      <w:r>
        <w:rPr>
          <w:rFonts w:ascii="宋体" w:hAnsi="宋体"/>
        </w:rPr>
        <w:t>4</w:t>
      </w:r>
      <w:r>
        <w:rPr>
          <w:rFonts w:hint="eastAsia" w:ascii="宋体" w:hAnsi="宋体"/>
        </w:rPr>
        <w:t>月</w:t>
      </w:r>
      <w:r>
        <w:rPr>
          <w:rFonts w:ascii="宋体" w:hAnsi="宋体"/>
        </w:rPr>
        <w:t>30</w:t>
      </w:r>
      <w:r>
        <w:rPr>
          <w:rFonts w:hint="eastAsia" w:ascii="宋体" w:hAnsi="宋体"/>
        </w:rPr>
        <w:t>日6点至</w:t>
      </w:r>
      <w:r>
        <w:rPr>
          <w:rFonts w:ascii="宋体" w:hAnsi="宋体"/>
        </w:rPr>
        <w:t>1</w:t>
      </w:r>
      <w:r>
        <w:rPr>
          <w:rFonts w:hint="eastAsia" w:ascii="宋体" w:hAnsi="宋体"/>
        </w:rPr>
        <w:t>5点半。</w:t>
      </w:r>
    </w:p>
    <w:p>
      <w:pPr>
        <w:pStyle w:val="60"/>
        <w:shd w:val="clear" w:color="auto" w:fill="FFFFFF"/>
        <w:spacing w:line="420" w:lineRule="atLeast"/>
        <w:ind w:firstLine="480" w:firstLineChars="200"/>
        <w:rPr>
          <w:rFonts w:hint="eastAsia" w:ascii="宋体" w:hAnsi="宋体" w:eastAsia="宋体"/>
          <w:lang w:eastAsia="zh-CN"/>
        </w:rPr>
      </w:pPr>
      <w:r>
        <w:rPr>
          <w:rFonts w:hint="eastAsia" w:ascii="宋体" w:hAnsi="宋体"/>
          <w:lang w:val="en-US" w:eastAsia="zh-CN"/>
        </w:rPr>
        <w:t>3.17.2</w:t>
      </w:r>
      <w:r>
        <w:rPr>
          <w:rFonts w:hint="eastAsia" w:ascii="宋体" w:hAnsi="宋体"/>
        </w:rPr>
        <w:t>做好垃圾转运设备管理</w:t>
      </w:r>
      <w:r>
        <w:rPr>
          <w:rFonts w:hint="eastAsia" w:ascii="宋体" w:hAnsi="宋体"/>
          <w:lang w:eastAsia="zh-CN"/>
        </w:rPr>
        <w:t>：</w:t>
      </w:r>
    </w:p>
    <w:p>
      <w:pPr>
        <w:pStyle w:val="60"/>
        <w:numPr>
          <w:ilvl w:val="0"/>
          <w:numId w:val="0"/>
        </w:numPr>
        <w:shd w:val="clear" w:color="auto" w:fill="FFFFFF"/>
        <w:spacing w:line="420" w:lineRule="atLeast"/>
        <w:ind w:left="420" w:firstLine="0" w:firstLineChars="0"/>
        <w:rPr>
          <w:rFonts w:hint="eastAsia" w:ascii="宋体" w:hAnsi="宋体"/>
        </w:rPr>
      </w:pPr>
      <w:r>
        <w:rPr>
          <w:rFonts w:hint="eastAsia" w:ascii="宋体" w:hAnsi="宋体"/>
          <w:lang w:val="en-US" w:eastAsia="zh-CN"/>
        </w:rPr>
        <w:t>3.17.2.1</w:t>
      </w:r>
      <w:r>
        <w:rPr>
          <w:rFonts w:hint="eastAsia" w:ascii="宋体" w:hAnsi="宋体" w:eastAsia="宋体" w:cs="Times New Roman"/>
          <w:b w:val="0"/>
          <w:bCs w:val="0"/>
          <w:kern w:val="0"/>
          <w:sz w:val="24"/>
          <w:szCs w:val="24"/>
          <w:lang w:val="en-US" w:eastAsia="zh-CN"/>
        </w:rPr>
        <w:t>生活垃圾集置点</w:t>
      </w:r>
      <w:r>
        <w:rPr>
          <w:rFonts w:hint="eastAsia" w:ascii="宋体" w:hAnsi="宋体"/>
        </w:rPr>
        <w:t>管理人员负责</w:t>
      </w:r>
      <w:r>
        <w:rPr>
          <w:rFonts w:hint="eastAsia" w:ascii="宋体" w:hAnsi="宋体"/>
          <w:lang w:eastAsia="zh-CN"/>
        </w:rPr>
        <w:t>生活垃圾集置点</w:t>
      </w:r>
      <w:r>
        <w:rPr>
          <w:rFonts w:hint="eastAsia" w:ascii="宋体" w:hAnsi="宋体"/>
        </w:rPr>
        <w:t>人员的日常管理工作，负责压缩设施和车辆的维修，负责垃圾车加油，负责压缩站人员日常考核工作； </w:t>
      </w:r>
    </w:p>
    <w:p>
      <w:pPr>
        <w:pStyle w:val="60"/>
        <w:shd w:val="clear" w:color="auto" w:fill="FFFFFF"/>
        <w:spacing w:line="420" w:lineRule="atLeast"/>
        <w:ind w:firstLine="480" w:firstLineChars="200"/>
        <w:rPr>
          <w:rFonts w:hint="eastAsia" w:ascii="仿宋_GB2312"/>
          <w:b/>
          <w:sz w:val="28"/>
          <w:szCs w:val="28"/>
        </w:rPr>
      </w:pPr>
      <w:r>
        <w:rPr>
          <w:rFonts w:hint="eastAsia" w:ascii="宋体" w:hAnsi="宋体"/>
          <w:lang w:val="en-US" w:eastAsia="zh-CN"/>
        </w:rPr>
        <w:t>3.17.2.</w:t>
      </w:r>
      <w:r>
        <w:rPr>
          <w:rFonts w:hint="eastAsia" w:ascii="宋体" w:hAnsi="宋体"/>
        </w:rPr>
        <w:t>2压缩机操作人员负责垃圾压缩日常工作，负责压缩站内环境卫生和消毒工作，日常消杀每天不少于2次，夏季不少于3次；负责压缩设备的管理和养护工作，负责垃圾压缩站安全工作，所有工作必须登记备案； </w:t>
      </w:r>
    </w:p>
    <w:p>
      <w:pPr>
        <w:pStyle w:val="60"/>
        <w:shd w:val="clear" w:color="auto" w:fill="FFFFFF"/>
        <w:spacing w:line="420" w:lineRule="atLeast"/>
        <w:ind w:firstLine="480" w:firstLineChars="200"/>
        <w:rPr>
          <w:rFonts w:hint="eastAsia" w:ascii="宋体" w:hAnsi="宋体" w:eastAsia="宋体"/>
          <w:lang w:eastAsia="zh-CN"/>
        </w:rPr>
      </w:pPr>
      <w:r>
        <w:rPr>
          <w:rFonts w:hint="eastAsia" w:ascii="宋体" w:hAnsi="宋体"/>
          <w:lang w:val="en-US" w:eastAsia="zh-CN"/>
        </w:rPr>
        <w:t>3.17.2.</w:t>
      </w:r>
      <w:r>
        <w:rPr>
          <w:rFonts w:ascii="宋体" w:hAnsi="宋体"/>
        </w:rPr>
        <w:t>3</w:t>
      </w:r>
      <w:r>
        <w:rPr>
          <w:rFonts w:hint="eastAsia" w:ascii="宋体" w:hAnsi="宋体"/>
        </w:rPr>
        <w:t>压缩站驾驶员负责做好垃圾清运的日常工作，负责垃圾车辆的日常管理和维护，负责垃圾清运的安全工作，特别是垃圾不落地音乐线在收集中做到垃圾分类宣传引导。 </w:t>
      </w:r>
    </w:p>
    <w:p>
      <w:pPr>
        <w:pStyle w:val="60"/>
        <w:shd w:val="clear" w:color="auto" w:fill="FFFFFF"/>
        <w:spacing w:line="420" w:lineRule="atLeast"/>
        <w:ind w:firstLine="480" w:firstLineChars="200"/>
        <w:rPr>
          <w:rFonts w:hint="eastAsia" w:ascii="宋体" w:hAnsi="宋体" w:eastAsia="宋体"/>
          <w:lang w:eastAsia="zh-CN"/>
        </w:rPr>
      </w:pPr>
      <w:r>
        <w:rPr>
          <w:rFonts w:hint="eastAsia" w:ascii="宋体" w:hAnsi="宋体"/>
          <w:lang w:val="en-US" w:eastAsia="zh-CN"/>
        </w:rPr>
        <w:t>3.17.3</w:t>
      </w:r>
      <w:r>
        <w:rPr>
          <w:rFonts w:hint="eastAsia" w:ascii="宋体" w:hAnsi="宋体"/>
        </w:rPr>
        <w:t>如停电，机械、汽车发生故障、自然灾害等原因，造成</w:t>
      </w:r>
      <w:r>
        <w:rPr>
          <w:rFonts w:hint="eastAsia" w:ascii="宋体" w:hAnsi="宋体"/>
          <w:lang w:eastAsia="zh-CN"/>
        </w:rPr>
        <w:t>生活垃圾集置点</w:t>
      </w:r>
      <w:r>
        <w:rPr>
          <w:rFonts w:hint="eastAsia" w:ascii="宋体" w:hAnsi="宋体"/>
        </w:rPr>
        <w:t>出现垃圾无法外运、运维单位必须有应急方案。</w:t>
      </w:r>
    </w:p>
    <w:p>
      <w:pPr>
        <w:pStyle w:val="60"/>
        <w:shd w:val="clear" w:color="auto" w:fill="FFFFFF"/>
        <w:spacing w:line="420" w:lineRule="atLeast"/>
        <w:ind w:firstLine="480" w:firstLineChars="200"/>
        <w:rPr>
          <w:rFonts w:hint="eastAsia" w:ascii="宋体" w:hAnsi="宋体" w:eastAsia="宋体"/>
          <w:lang w:eastAsia="zh-CN"/>
        </w:rPr>
      </w:pPr>
      <w:r>
        <w:rPr>
          <w:rFonts w:hint="eastAsia" w:ascii="宋体" w:hAnsi="宋体" w:eastAsia="宋体" w:cs="Times New Roman"/>
          <w:b w:val="0"/>
          <w:bCs w:val="0"/>
          <w:kern w:val="0"/>
          <w:sz w:val="24"/>
          <w:szCs w:val="24"/>
          <w:lang w:val="en-US" w:eastAsia="zh-CN"/>
        </w:rPr>
        <w:t>3.17.4生活垃圾集置点</w:t>
      </w:r>
      <w:r>
        <w:rPr>
          <w:rFonts w:hint="eastAsia" w:ascii="宋体" w:hAnsi="宋体"/>
        </w:rPr>
        <w:t>内要做到随脏随打扫，垃圾不得堆放在露天场地，进场垃圾做到日产日清；</w:t>
      </w:r>
      <w:r>
        <w:rPr>
          <w:rFonts w:hint="eastAsia" w:ascii="宋体" w:hAnsi="宋体" w:eastAsia="宋体" w:cs="Times New Roman"/>
          <w:b w:val="0"/>
          <w:bCs w:val="0"/>
          <w:kern w:val="0"/>
          <w:sz w:val="24"/>
          <w:szCs w:val="24"/>
          <w:lang w:val="en-US" w:eastAsia="zh-CN"/>
        </w:rPr>
        <w:t>生活垃圾集置点</w:t>
      </w:r>
      <w:r>
        <w:rPr>
          <w:rFonts w:hint="eastAsia" w:ascii="宋体" w:hAnsi="宋体"/>
        </w:rPr>
        <w:t>外围环境做到每日动态保洁，特别是属于</w:t>
      </w:r>
      <w:r>
        <w:rPr>
          <w:rFonts w:hint="eastAsia" w:ascii="宋体" w:hAnsi="宋体"/>
          <w:lang w:eastAsia="zh-CN"/>
        </w:rPr>
        <w:t>生活垃圾集置点</w:t>
      </w:r>
      <w:r>
        <w:rPr>
          <w:rFonts w:hint="eastAsia" w:ascii="宋体" w:hAnsi="宋体"/>
        </w:rPr>
        <w:t>的竹林、鱼塘、绿化带等。</w:t>
      </w:r>
    </w:p>
    <w:p>
      <w:pPr>
        <w:pStyle w:val="60"/>
        <w:shd w:val="clear" w:color="auto" w:fill="FFFFFF"/>
        <w:spacing w:line="420" w:lineRule="atLeast"/>
        <w:ind w:firstLine="480" w:firstLineChars="200"/>
        <w:rPr>
          <w:rFonts w:hint="eastAsia" w:ascii="仿宋_GB2312" w:hAnsi="宋体" w:eastAsia="仿宋_GB2312" w:cs="仿宋_GB2312"/>
          <w:sz w:val="32"/>
          <w:szCs w:val="32"/>
          <w:lang w:eastAsia="zh-CN"/>
        </w:rPr>
      </w:pPr>
      <w:r>
        <w:rPr>
          <w:rFonts w:hint="eastAsia" w:ascii="宋体" w:hAnsi="宋体"/>
          <w:lang w:val="en-US" w:eastAsia="zh-CN"/>
        </w:rPr>
        <w:t>3.17.5</w:t>
      </w:r>
      <w:r>
        <w:rPr>
          <w:rFonts w:hint="eastAsia" w:ascii="宋体" w:hAnsi="宋体"/>
          <w:lang w:eastAsia="zh-CN"/>
        </w:rPr>
        <w:t>生活垃圾集置点</w:t>
      </w:r>
      <w:r>
        <w:rPr>
          <w:rFonts w:hint="eastAsia" w:ascii="宋体" w:hAnsi="宋体"/>
        </w:rPr>
        <w:t>做好垃圾分类，不得接收生活垃圾以外的任何垃圾，例如建筑垃圾、装修垃圾、工程残土、农业废弃物、沟渠淤泥、田园地头的泥土石块、有毒有害垃圾、工业垃圾和医疗废物等，本镇域外任何垃圾不得进入该</w:t>
      </w:r>
      <w:r>
        <w:rPr>
          <w:rFonts w:hint="eastAsia" w:ascii="宋体" w:hAnsi="宋体"/>
          <w:lang w:eastAsia="zh-CN"/>
        </w:rPr>
        <w:t>生活垃圾集置点</w:t>
      </w:r>
      <w:r>
        <w:rPr>
          <w:rFonts w:hint="eastAsia" w:ascii="宋体" w:hAnsi="宋体"/>
        </w:rPr>
        <w:t>。</w:t>
      </w:r>
      <w:r>
        <w:rPr>
          <w:rFonts w:ascii="仿宋_GB2312" w:hAnsi="宋体" w:eastAsia="仿宋_GB2312" w:cs="仿宋_GB2312"/>
          <w:sz w:val="32"/>
          <w:szCs w:val="32"/>
        </w:rPr>
        <w:t xml:space="preserve"> </w:t>
      </w:r>
    </w:p>
    <w:p>
      <w:pPr>
        <w:pStyle w:val="60"/>
        <w:shd w:val="clear" w:color="auto" w:fill="FFFFFF"/>
        <w:spacing w:line="420" w:lineRule="atLeast"/>
        <w:ind w:firstLine="480" w:firstLineChars="200"/>
        <w:rPr>
          <w:rFonts w:hint="eastAsia" w:ascii="宋体" w:hAnsi="宋体" w:eastAsia="宋体"/>
          <w:lang w:eastAsia="zh-CN"/>
        </w:rPr>
      </w:pPr>
      <w:r>
        <w:rPr>
          <w:rFonts w:hint="eastAsia" w:ascii="宋体" w:hAnsi="宋体"/>
          <w:lang w:val="en-US" w:eastAsia="zh-CN"/>
        </w:rPr>
        <w:t>3.17.6</w:t>
      </w:r>
      <w:r>
        <w:rPr>
          <w:rFonts w:hint="eastAsia" w:ascii="宋体" w:hAnsi="宋体"/>
        </w:rPr>
        <w:t>做好</w:t>
      </w:r>
      <w:r>
        <w:rPr>
          <w:rFonts w:hint="eastAsia"/>
          <w:lang w:eastAsia="zh-CN"/>
        </w:rPr>
        <w:t>易</w:t>
      </w:r>
      <w:r>
        <w:rPr>
          <w:rFonts w:hint="eastAsia" w:ascii="宋体" w:hAnsi="宋体"/>
        </w:rPr>
        <w:t>腐垃圾处置工作，可回收垃圾应按指定位置进行统一堆放，不得在</w:t>
      </w:r>
      <w:r>
        <w:rPr>
          <w:rFonts w:hint="eastAsia" w:ascii="宋体" w:hAnsi="宋体"/>
          <w:lang w:eastAsia="zh-CN"/>
        </w:rPr>
        <w:t>生活垃圾集置点</w:t>
      </w:r>
      <w:r>
        <w:rPr>
          <w:rFonts w:hint="eastAsia" w:ascii="宋体" w:hAnsi="宋体"/>
        </w:rPr>
        <w:t>内外燃烧垃圾，并配备相应的消防设施。</w:t>
      </w:r>
    </w:p>
    <w:p>
      <w:pPr>
        <w:pStyle w:val="60"/>
        <w:shd w:val="clear" w:color="auto" w:fill="FFFFFF"/>
        <w:spacing w:line="420" w:lineRule="atLeast"/>
        <w:ind w:firstLine="480" w:firstLineChars="200"/>
        <w:rPr>
          <w:rFonts w:hint="eastAsia" w:ascii="宋体" w:hAnsi="宋体" w:eastAsia="宋体"/>
          <w:lang w:eastAsia="zh-CN"/>
        </w:rPr>
      </w:pPr>
      <w:r>
        <w:rPr>
          <w:rFonts w:hint="eastAsia" w:ascii="宋体" w:hAnsi="宋体"/>
          <w:lang w:val="en-US" w:eastAsia="zh-CN"/>
        </w:rPr>
        <w:t>3.17.7</w:t>
      </w:r>
      <w:r>
        <w:rPr>
          <w:rFonts w:hint="eastAsia" w:ascii="宋体" w:hAnsi="宋体"/>
        </w:rPr>
        <w:t>拾荒人员不得进入</w:t>
      </w:r>
      <w:r>
        <w:rPr>
          <w:rFonts w:hint="eastAsia" w:ascii="宋体" w:hAnsi="宋体" w:eastAsia="宋体" w:cs="Times New Roman"/>
          <w:b w:val="0"/>
          <w:bCs w:val="0"/>
          <w:kern w:val="0"/>
          <w:sz w:val="24"/>
          <w:szCs w:val="24"/>
          <w:lang w:val="en-US" w:eastAsia="zh-CN"/>
        </w:rPr>
        <w:t>生活垃圾集置点</w:t>
      </w:r>
      <w:r>
        <w:rPr>
          <w:rFonts w:hint="eastAsia" w:ascii="宋体" w:hAnsi="宋体"/>
        </w:rPr>
        <w:t>捡拾废品。</w:t>
      </w:r>
    </w:p>
    <w:p>
      <w:pPr>
        <w:pStyle w:val="60"/>
        <w:shd w:val="clear" w:color="auto" w:fill="FFFFFF"/>
        <w:spacing w:line="420" w:lineRule="atLeast"/>
        <w:ind w:firstLine="480" w:firstLineChars="200"/>
        <w:rPr>
          <w:rFonts w:hint="eastAsia" w:ascii="宋体" w:hAnsi="宋体"/>
        </w:rPr>
      </w:pPr>
      <w:r>
        <w:rPr>
          <w:rFonts w:hint="eastAsia" w:ascii="宋体" w:hAnsi="宋体"/>
          <w:lang w:val="en-US" w:eastAsia="zh-CN"/>
        </w:rPr>
        <w:t>3.17.8</w:t>
      </w:r>
      <w:r>
        <w:rPr>
          <w:rFonts w:hint="eastAsia" w:ascii="宋体" w:hAnsi="宋体"/>
        </w:rPr>
        <w:t>工作结束后应整齐有序停放设备车辆，关闭无用设备电源，整理好</w:t>
      </w:r>
      <w:r>
        <w:rPr>
          <w:rFonts w:hint="eastAsia" w:ascii="宋体" w:hAnsi="宋体" w:eastAsia="宋体" w:cs="Times New Roman"/>
          <w:b w:val="0"/>
          <w:bCs w:val="0"/>
          <w:kern w:val="0"/>
          <w:sz w:val="24"/>
          <w:szCs w:val="24"/>
          <w:lang w:val="en-US" w:eastAsia="zh-CN"/>
        </w:rPr>
        <w:t>生活垃圾集置点</w:t>
      </w:r>
      <w:r>
        <w:rPr>
          <w:rFonts w:hint="eastAsia" w:ascii="宋体" w:hAnsi="宋体"/>
        </w:rPr>
        <w:t>内工作并摆放整齐.</w:t>
      </w:r>
    </w:p>
    <w:p>
      <w:pPr>
        <w:numPr>
          <w:ilvl w:val="0"/>
          <w:numId w:val="0"/>
        </w:numPr>
        <w:rPr>
          <w:rFonts w:hint="default"/>
          <w:lang w:val="en-US" w:eastAsia="zh-CN"/>
        </w:rPr>
      </w:pPr>
    </w:p>
    <w:p>
      <w:pPr>
        <w:pStyle w:val="25"/>
        <w:spacing w:line="360" w:lineRule="auto"/>
      </w:pPr>
      <w:r>
        <w:rPr>
          <w:rFonts w:hint="eastAsia"/>
        </w:rPr>
        <w:t>三</w:t>
      </w:r>
      <w:r>
        <w:t>、招标人的考核标准、考核管理办法</w:t>
      </w:r>
      <w:r>
        <w:rPr>
          <w:rFonts w:hint="eastAsia"/>
        </w:rPr>
        <w:t>：详见附件</w:t>
      </w:r>
    </w:p>
    <w:p>
      <w:pPr>
        <w:pStyle w:val="25"/>
        <w:spacing w:line="360" w:lineRule="auto"/>
      </w:pPr>
      <w:r>
        <w:rPr>
          <w:rFonts w:hint="eastAsia"/>
        </w:rPr>
        <w:t>四</w:t>
      </w:r>
      <w:r>
        <w:t>、服务费用的结算标准和支付方式</w:t>
      </w:r>
      <w:bookmarkStart w:id="28" w:name="_bookmark163"/>
      <w:bookmarkEnd w:id="28"/>
    </w:p>
    <w:p>
      <w:pPr>
        <w:adjustRightInd w:val="0"/>
        <w:snapToGrid w:val="0"/>
        <w:spacing w:line="500" w:lineRule="exact"/>
        <w:ind w:firstLine="508" w:firstLineChars="212"/>
        <w:rPr>
          <w:rFonts w:hint="eastAsia" w:ascii="宋体" w:hAnsi="宋体"/>
          <w:sz w:val="24"/>
        </w:rPr>
      </w:pPr>
      <w:r>
        <w:rPr>
          <w:rFonts w:hint="eastAsia" w:ascii="宋体" w:hAnsi="宋体"/>
          <w:sz w:val="24"/>
        </w:rPr>
        <w:t>1）、中标方在合同签订前，应编写《管理方案》上报招标人审核后签订清运承揽合同，如不提供《管理方案》或《管理方案》不符合招标文件中规定的，招标人有权取消第一中标侯选人资格。</w:t>
      </w:r>
    </w:p>
    <w:p>
      <w:pPr>
        <w:adjustRightInd w:val="0"/>
        <w:snapToGrid w:val="0"/>
        <w:spacing w:line="500" w:lineRule="exact"/>
        <w:ind w:firstLine="508" w:firstLineChars="212"/>
        <w:rPr>
          <w:rFonts w:hint="eastAsia" w:ascii="宋体" w:hAnsi="宋体"/>
          <w:sz w:val="24"/>
        </w:rPr>
      </w:pPr>
      <w:r>
        <w:rPr>
          <w:rFonts w:hint="eastAsia" w:ascii="宋体" w:hAnsi="宋体"/>
          <w:sz w:val="24"/>
        </w:rPr>
        <w:t>2）、中标人在签订合同时需向招标人提交</w:t>
      </w:r>
      <w:r>
        <w:rPr>
          <w:rFonts w:hint="eastAsia" w:ascii="宋体" w:hAnsi="宋体"/>
          <w:sz w:val="24"/>
          <w:lang w:val="en-US" w:eastAsia="zh-CN"/>
        </w:rPr>
        <w:t>2.5</w:t>
      </w:r>
      <w:r>
        <w:rPr>
          <w:rFonts w:hint="eastAsia" w:ascii="宋体" w:hAnsi="宋体"/>
          <w:sz w:val="24"/>
        </w:rPr>
        <w:t>%的合同履约保证金，在合同期内，如因承包人原因造成招标人财产损失的或承包人没有按要求履行合同的，招标人有权酌情扣去履约保证金；保证金在合同期满后三十天内退还（不计息）。</w:t>
      </w:r>
    </w:p>
    <w:p>
      <w:pPr>
        <w:adjustRightInd w:val="0"/>
        <w:snapToGrid w:val="0"/>
        <w:spacing w:line="500" w:lineRule="exact"/>
        <w:ind w:firstLine="508" w:firstLineChars="212"/>
        <w:rPr>
          <w:rFonts w:hint="eastAsia" w:ascii="宋体" w:hAnsi="宋体"/>
          <w:sz w:val="24"/>
        </w:rPr>
      </w:pPr>
      <w:r>
        <w:rPr>
          <w:rFonts w:hint="eastAsia" w:ascii="宋体" w:hAnsi="宋体"/>
          <w:sz w:val="24"/>
        </w:rPr>
        <w:t>3）经甲方首次考核后，按合同标的的90%得出每月管理费用，依据甲方对乙方当月的考核结果按照奖惩措施的约定，每两个月支付</w:t>
      </w:r>
      <w:r>
        <w:rPr>
          <w:rFonts w:hint="eastAsia" w:ascii="宋体" w:hAnsi="宋体"/>
          <w:sz w:val="24"/>
          <w:lang w:val="en-US" w:eastAsia="zh-CN"/>
        </w:rPr>
        <w:t>保洁</w:t>
      </w:r>
      <w:r>
        <w:rPr>
          <w:rFonts w:hint="eastAsia" w:ascii="宋体" w:hAnsi="宋体"/>
          <w:sz w:val="24"/>
        </w:rPr>
        <w:t>款项，余10%合同到期后按考核成绩一次性付清。</w:t>
      </w:r>
    </w:p>
    <w:p>
      <w:pPr>
        <w:spacing w:line="500" w:lineRule="exact"/>
        <w:ind w:firstLine="480" w:firstLineChars="200"/>
        <w:jc w:val="left"/>
        <w:rPr>
          <w:rFonts w:hint="eastAsia"/>
        </w:rPr>
      </w:pPr>
      <w:r>
        <w:rPr>
          <w:rFonts w:hint="eastAsia" w:ascii="宋体" w:hAnsi="宋体"/>
          <w:sz w:val="24"/>
        </w:rPr>
        <w:t>4）、考核办法：考核办法：根据区、街道两级环卫保洁考核细则确定的垃圾收集清运作业标准，进行检查考核。考核办法、标准详见第二部分。（《</w:t>
      </w:r>
      <w:r>
        <w:rPr>
          <w:rFonts w:hint="eastAsia" w:ascii="宋体" w:hAnsi="宋体"/>
          <w:color w:val="000000"/>
          <w:sz w:val="24"/>
        </w:rPr>
        <w:fldChar w:fldCharType="begin"/>
      </w:r>
      <w:r>
        <w:rPr>
          <w:rFonts w:hint="eastAsia" w:ascii="宋体" w:hAnsi="宋体"/>
          <w:color w:val="000000"/>
          <w:sz w:val="24"/>
        </w:rPr>
        <w:instrText xml:space="preserve"> HYPERLINK "http://yhdzgw.yuhang.gov.cn/explorer.jsp" \o "关于印发《余杭区城市管理范围内洁化、市政亮化、绿化、序化分级分类及考核办法》的通知" </w:instrText>
      </w:r>
      <w:r>
        <w:rPr>
          <w:rFonts w:hint="eastAsia" w:ascii="宋体" w:hAnsi="宋体"/>
          <w:color w:val="000000"/>
          <w:sz w:val="24"/>
        </w:rPr>
        <w:fldChar w:fldCharType="separate"/>
      </w:r>
      <w:r>
        <w:rPr>
          <w:rFonts w:hint="eastAsia" w:ascii="宋体" w:hAnsi="宋体"/>
          <w:color w:val="000000"/>
          <w:sz w:val="24"/>
        </w:rPr>
        <w:t xml:space="preserve">关于印发《余杭区城市管理范围内洁化、市政亮化、绿化、序化分级分类及考核办法》的通知 </w:t>
      </w:r>
      <w:r>
        <w:rPr>
          <w:rFonts w:hint="eastAsia" w:ascii="宋体" w:hAnsi="宋体"/>
          <w:color w:val="000000"/>
          <w:sz w:val="24"/>
        </w:rPr>
        <w:fldChar w:fldCharType="end"/>
      </w:r>
      <w:r>
        <w:rPr>
          <w:rFonts w:hint="eastAsia" w:ascii="宋体" w:hAnsi="宋体"/>
          <w:color w:val="000000"/>
          <w:sz w:val="24"/>
        </w:rPr>
        <w:t>》余城组〔2019〕1号 ）。在合同期内如遇上级有新考核文件的依照新的考核文件执行。</w:t>
      </w:r>
    </w:p>
    <w:p>
      <w:pPr>
        <w:spacing w:line="360" w:lineRule="auto"/>
        <w:rPr>
          <w:rFonts w:hint="eastAsia"/>
          <w:b/>
          <w:bCs/>
          <w:color w:val="000000"/>
          <w:sz w:val="24"/>
        </w:rPr>
      </w:pPr>
      <w:r>
        <w:rPr>
          <w:rFonts w:hint="eastAsia"/>
          <w:b/>
          <w:bCs/>
          <w:color w:val="000000"/>
          <w:sz w:val="24"/>
        </w:rPr>
        <w:t>五、其他要求</w:t>
      </w:r>
    </w:p>
    <w:bookmarkEnd w:id="27"/>
    <w:p>
      <w:pPr>
        <w:spacing w:line="360" w:lineRule="auto"/>
        <w:ind w:firstLine="482" w:firstLineChars="200"/>
        <w:rPr>
          <w:rFonts w:hint="eastAsia" w:ascii="宋体" w:hAnsi="宋体" w:cs="宋体"/>
          <w:color w:val="000000"/>
          <w:kern w:val="0"/>
          <w:sz w:val="24"/>
        </w:rPr>
      </w:pPr>
      <w:r>
        <w:rPr>
          <w:rFonts w:hint="eastAsia" w:ascii="宋体" w:hAnsi="宋体" w:cs="宋体"/>
          <w:b/>
          <w:bCs/>
          <w:color w:val="000000"/>
          <w:kern w:val="0"/>
          <w:sz w:val="24"/>
        </w:rPr>
        <w:t>本项目采用单价招标方式</w:t>
      </w:r>
      <w:r>
        <w:rPr>
          <w:rFonts w:hint="eastAsia" w:ascii="宋体" w:hAnsi="宋体" w:cs="宋体"/>
          <w:color w:val="000000"/>
          <w:kern w:val="0"/>
          <w:sz w:val="24"/>
        </w:rPr>
        <w:t>，最终根据实际收集清运工程量按实结算，单价按投标时的单价。</w:t>
      </w:r>
    </w:p>
    <w:p>
      <w:pPr>
        <w:rPr>
          <w:rFonts w:hint="eastAsia" w:ascii="宋体" w:hAnsi="宋体" w:cs="宋体"/>
          <w:color w:val="000000"/>
          <w:kern w:val="0"/>
          <w:sz w:val="24"/>
        </w:rPr>
      </w:pPr>
    </w:p>
    <w:p>
      <w:pPr>
        <w:rPr>
          <w:rFonts w:hint="eastAsia"/>
          <w:color w:val="0000FF"/>
        </w:rPr>
      </w:pPr>
      <w:r>
        <w:rPr>
          <w:rFonts w:hint="eastAsia"/>
        </w:rPr>
        <w:t>附件：</w:t>
      </w:r>
    </w:p>
    <w:p>
      <w:pPr>
        <w:numPr>
          <w:ilvl w:val="0"/>
          <w:numId w:val="1"/>
        </w:numPr>
        <w:adjustRightInd w:val="0"/>
        <w:snapToGrid w:val="0"/>
        <w:spacing w:line="360" w:lineRule="exact"/>
        <w:jc w:val="center"/>
        <w:outlineLvl w:val="1"/>
        <w:rPr>
          <w:rFonts w:hint="eastAsia" w:ascii="仿宋_GB2312"/>
          <w:b/>
          <w:sz w:val="28"/>
          <w:szCs w:val="28"/>
        </w:rPr>
      </w:pPr>
      <w:r>
        <w:rPr>
          <w:rFonts w:hint="eastAsia" w:ascii="仿宋_GB2312"/>
          <w:b/>
          <w:sz w:val="28"/>
          <w:szCs w:val="28"/>
        </w:rPr>
        <w:t>本项目实施考核办法</w:t>
      </w:r>
    </w:p>
    <w:p>
      <w:pPr>
        <w:widowControl/>
        <w:numPr>
          <w:ilvl w:val="0"/>
          <w:numId w:val="2"/>
        </w:numPr>
        <w:tabs>
          <w:tab w:val="left" w:pos="3960"/>
        </w:tabs>
        <w:adjustRightInd w:val="0"/>
        <w:snapToGrid w:val="0"/>
        <w:spacing w:line="500" w:lineRule="exact"/>
        <w:ind w:left="210"/>
        <w:jc w:val="left"/>
        <w:rPr>
          <w:rFonts w:hint="eastAsia" w:ascii="宋体" w:hAnsi="宋体" w:cs="宋体"/>
          <w:b/>
          <w:kern w:val="0"/>
          <w:sz w:val="24"/>
        </w:rPr>
      </w:pPr>
      <w:r>
        <w:rPr>
          <w:rFonts w:hint="eastAsia" w:ascii="宋体" w:hAnsi="宋体" w:eastAsia="宋体" w:cs="宋体"/>
          <w:b/>
          <w:kern w:val="0"/>
          <w:sz w:val="24"/>
        </w:rPr>
        <w:t>考核评</w:t>
      </w:r>
      <w:r>
        <w:rPr>
          <w:rFonts w:hint="eastAsia" w:ascii="宋体" w:hAnsi="宋体" w:cs="宋体"/>
          <w:b/>
          <w:kern w:val="0"/>
          <w:sz w:val="24"/>
        </w:rPr>
        <w:t>分办法</w:t>
      </w:r>
    </w:p>
    <w:p>
      <w:pPr>
        <w:pStyle w:val="2"/>
        <w:numPr>
          <w:ilvl w:val="0"/>
          <w:numId w:val="0"/>
        </w:numPr>
        <w:ind w:left="210" w:firstLine="0" w:firstLineChars="0"/>
        <w:rPr>
          <w:rFonts w:hint="eastAsia"/>
          <w:sz w:val="21"/>
          <w:szCs w:val="21"/>
        </w:rPr>
      </w:pPr>
      <w:r>
        <w:rPr>
          <w:rFonts w:hint="eastAsia" w:ascii="宋体" w:hAnsi="宋体" w:eastAsia="宋体" w:cs="宋体"/>
          <w:b/>
          <w:kern w:val="0"/>
          <w:sz w:val="21"/>
          <w:szCs w:val="21"/>
          <w:lang w:val="en-US" w:eastAsia="zh-CN"/>
        </w:rPr>
        <w:t>1.1垃圾收集及垃圾音乐线</w:t>
      </w:r>
    </w:p>
    <w:tbl>
      <w:tblPr>
        <w:tblStyle w:val="63"/>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295"/>
        <w:gridCol w:w="4667"/>
        <w:gridCol w:w="134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54" w:type="dxa"/>
            <w:vAlign w:val="top"/>
          </w:tcPr>
          <w:p>
            <w:pPr>
              <w:pStyle w:val="2"/>
              <w:ind w:left="0" w:firstLine="0" w:firstLineChars="0"/>
              <w:jc w:val="both"/>
              <w:rPr>
                <w:rFonts w:hint="eastAsia" w:ascii="黑体" w:hAnsi="黑体" w:eastAsia="黑体" w:cs="黑体"/>
                <w:i w:val="0"/>
                <w:iCs w:val="0"/>
                <w:sz w:val="21"/>
                <w:szCs w:val="21"/>
              </w:rPr>
            </w:pPr>
            <w:r>
              <w:rPr>
                <w:rFonts w:hint="eastAsia" w:ascii="黑体" w:hAnsi="黑体" w:eastAsia="黑体" w:cs="黑体"/>
                <w:bCs/>
                <w:i w:val="0"/>
                <w:iCs w:val="0"/>
                <w:sz w:val="21"/>
                <w:szCs w:val="21"/>
              </w:rPr>
              <w:t>序号</w:t>
            </w:r>
          </w:p>
        </w:tc>
        <w:tc>
          <w:tcPr>
            <w:tcW w:w="1295" w:type="dxa"/>
            <w:vAlign w:val="top"/>
          </w:tcPr>
          <w:p>
            <w:pPr>
              <w:pStyle w:val="2"/>
              <w:ind w:left="0"/>
              <w:jc w:val="center"/>
              <w:rPr>
                <w:rFonts w:hint="eastAsia" w:ascii="黑体" w:hAnsi="黑体" w:eastAsia="黑体" w:cs="黑体"/>
                <w:i w:val="0"/>
                <w:iCs w:val="0"/>
                <w:sz w:val="21"/>
                <w:szCs w:val="21"/>
              </w:rPr>
            </w:pPr>
            <w:r>
              <w:rPr>
                <w:rFonts w:hint="eastAsia" w:ascii="黑体" w:hAnsi="黑体" w:eastAsia="黑体" w:cs="黑体"/>
                <w:i w:val="0"/>
                <w:iCs w:val="0"/>
                <w:sz w:val="21"/>
                <w:szCs w:val="21"/>
              </w:rPr>
              <w:t>检查项目</w:t>
            </w:r>
          </w:p>
        </w:tc>
        <w:tc>
          <w:tcPr>
            <w:tcW w:w="4667" w:type="dxa"/>
            <w:vAlign w:val="top"/>
          </w:tcPr>
          <w:p>
            <w:pPr>
              <w:pStyle w:val="2"/>
              <w:ind w:left="0"/>
              <w:jc w:val="center"/>
              <w:rPr>
                <w:rFonts w:hint="eastAsia" w:ascii="黑体" w:hAnsi="黑体" w:eastAsia="黑体" w:cs="黑体"/>
                <w:i w:val="0"/>
                <w:iCs w:val="0"/>
                <w:sz w:val="21"/>
                <w:szCs w:val="21"/>
              </w:rPr>
            </w:pPr>
            <w:r>
              <w:rPr>
                <w:rFonts w:hint="eastAsia" w:ascii="黑体" w:hAnsi="黑体" w:eastAsia="黑体" w:cs="黑体"/>
                <w:i w:val="0"/>
                <w:iCs w:val="0"/>
                <w:sz w:val="21"/>
                <w:szCs w:val="21"/>
              </w:rPr>
              <w:t>评分标准</w:t>
            </w:r>
          </w:p>
        </w:tc>
        <w:tc>
          <w:tcPr>
            <w:tcW w:w="1341" w:type="dxa"/>
            <w:vAlign w:val="top"/>
          </w:tcPr>
          <w:p>
            <w:pPr>
              <w:pStyle w:val="2"/>
              <w:ind w:left="0"/>
              <w:jc w:val="center"/>
              <w:rPr>
                <w:rFonts w:hint="eastAsia" w:ascii="黑体" w:hAnsi="黑体" w:eastAsia="黑体" w:cs="黑体"/>
                <w:i w:val="0"/>
                <w:iCs w:val="0"/>
                <w:sz w:val="21"/>
                <w:szCs w:val="21"/>
              </w:rPr>
            </w:pPr>
            <w:r>
              <w:rPr>
                <w:rFonts w:hint="eastAsia" w:ascii="黑体" w:hAnsi="黑体" w:eastAsia="黑体" w:cs="黑体"/>
                <w:i w:val="0"/>
                <w:iCs w:val="0"/>
                <w:sz w:val="21"/>
                <w:szCs w:val="21"/>
              </w:rPr>
              <w:t>扣分</w:t>
            </w:r>
          </w:p>
        </w:tc>
        <w:tc>
          <w:tcPr>
            <w:tcW w:w="1474" w:type="dxa"/>
            <w:vAlign w:val="top"/>
          </w:tcPr>
          <w:p>
            <w:pPr>
              <w:pStyle w:val="2"/>
              <w:ind w:left="0"/>
              <w:jc w:val="center"/>
              <w:rPr>
                <w:rFonts w:hint="eastAsia" w:ascii="黑体" w:hAnsi="黑体" w:eastAsia="黑体" w:cs="黑体"/>
                <w:i w:val="0"/>
                <w:iCs w:val="0"/>
                <w:sz w:val="21"/>
                <w:szCs w:val="21"/>
              </w:rPr>
            </w:pPr>
            <w:r>
              <w:rPr>
                <w:rFonts w:hint="eastAsia" w:ascii="黑体" w:hAnsi="黑体" w:eastAsia="黑体" w:cs="黑体"/>
                <w:i w:val="0"/>
                <w:iCs w:val="0"/>
                <w:sz w:val="21"/>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shd w:val="clear" w:color="auto" w:fill="auto"/>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1</w:t>
            </w:r>
          </w:p>
        </w:tc>
        <w:tc>
          <w:tcPr>
            <w:tcW w:w="1295" w:type="dxa"/>
            <w:vMerge w:val="restart"/>
            <w:shd w:val="clear" w:color="auto" w:fill="auto"/>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规范收运</w:t>
            </w: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垃圾不按规定时间收运，未做到日产</w:t>
            </w:r>
            <w:r>
              <w:rPr>
                <w:rFonts w:hint="eastAsia" w:ascii="仿宋" w:hAnsi="仿宋" w:eastAsia="仿宋" w:cs="仿宋"/>
                <w:szCs w:val="21"/>
                <w:lang w:eastAsia="zh-CN"/>
              </w:rPr>
              <w:t>两</w:t>
            </w:r>
            <w:r>
              <w:rPr>
                <w:rFonts w:hint="eastAsia" w:ascii="仿宋" w:hAnsi="仿宋" w:eastAsia="仿宋" w:cs="仿宋"/>
                <w:szCs w:val="21"/>
              </w:rPr>
              <w:t>清的，每处扣2分。</w:t>
            </w:r>
          </w:p>
        </w:tc>
        <w:tc>
          <w:tcPr>
            <w:tcW w:w="1341" w:type="dxa"/>
            <w:vAlign w:val="top"/>
          </w:tcPr>
          <w:p>
            <w:pPr>
              <w:pStyle w:val="2"/>
              <w:rPr>
                <w:rFonts w:hint="eastAsia" w:ascii="仿宋" w:hAnsi="仿宋" w:eastAsia="仿宋" w:cs="仿宋"/>
                <w:i w:val="0"/>
                <w:iCs w:val="0"/>
                <w:sz w:val="21"/>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shd w:val="clear" w:color="auto" w:fill="auto"/>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2</w:t>
            </w:r>
          </w:p>
        </w:tc>
        <w:tc>
          <w:tcPr>
            <w:tcW w:w="1295" w:type="dxa"/>
            <w:vMerge w:val="continue"/>
            <w:shd w:val="clear" w:color="auto" w:fill="auto"/>
            <w:vAlign w:val="center"/>
          </w:tcPr>
          <w:p>
            <w:pPr>
              <w:spacing w:line="300" w:lineRule="exact"/>
              <w:jc w:val="center"/>
              <w:rPr>
                <w:rFonts w:hint="eastAsia" w:ascii="仿宋" w:hAnsi="仿宋" w:eastAsia="仿宋" w:cs="仿宋"/>
                <w:szCs w:val="21"/>
              </w:rPr>
            </w:pP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垃圾收运后，现场污水横溢、垃圾散落地面的，每处扣1分。</w:t>
            </w:r>
          </w:p>
        </w:tc>
        <w:tc>
          <w:tcPr>
            <w:tcW w:w="1341" w:type="dxa"/>
            <w:vAlign w:val="top"/>
          </w:tcPr>
          <w:p>
            <w:pPr>
              <w:pStyle w:val="2"/>
              <w:rPr>
                <w:rFonts w:hint="eastAsia" w:ascii="仿宋" w:hAnsi="仿宋" w:eastAsia="仿宋" w:cs="仿宋"/>
                <w:i w:val="0"/>
                <w:iCs w:val="0"/>
                <w:sz w:val="21"/>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4" w:type="dxa"/>
            <w:shd w:val="clear" w:color="auto" w:fill="auto"/>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3</w:t>
            </w:r>
          </w:p>
        </w:tc>
        <w:tc>
          <w:tcPr>
            <w:tcW w:w="1295" w:type="dxa"/>
            <w:vMerge w:val="continue"/>
            <w:shd w:val="clear" w:color="auto" w:fill="auto"/>
            <w:vAlign w:val="center"/>
          </w:tcPr>
          <w:p>
            <w:pPr>
              <w:spacing w:line="300" w:lineRule="exact"/>
              <w:jc w:val="center"/>
              <w:rPr>
                <w:rFonts w:hint="eastAsia" w:ascii="仿宋" w:hAnsi="仿宋" w:eastAsia="仿宋" w:cs="仿宋"/>
                <w:szCs w:val="21"/>
              </w:rPr>
            </w:pP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存在混装混运的1次扣5分。</w:t>
            </w:r>
          </w:p>
        </w:tc>
        <w:tc>
          <w:tcPr>
            <w:tcW w:w="1341" w:type="dxa"/>
            <w:vAlign w:val="top"/>
          </w:tcPr>
          <w:p>
            <w:pPr>
              <w:pStyle w:val="2"/>
              <w:rPr>
                <w:rFonts w:hint="eastAsia" w:ascii="仿宋" w:hAnsi="仿宋" w:eastAsia="仿宋" w:cs="仿宋"/>
                <w:i w:val="0"/>
                <w:iCs w:val="0"/>
                <w:sz w:val="21"/>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shd w:val="clear" w:color="auto" w:fill="auto"/>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4</w:t>
            </w:r>
          </w:p>
        </w:tc>
        <w:tc>
          <w:tcPr>
            <w:tcW w:w="1295" w:type="dxa"/>
            <w:vMerge w:val="restart"/>
            <w:shd w:val="clear" w:color="auto" w:fill="auto"/>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车辆管理</w:t>
            </w: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环卫专用车辆维护不到位每次扣2分；垃圾清运车发生抛洒滴漏、垃圾吊挂等每次扣5分。</w:t>
            </w:r>
          </w:p>
        </w:tc>
        <w:tc>
          <w:tcPr>
            <w:tcW w:w="1341" w:type="dxa"/>
            <w:vAlign w:val="top"/>
          </w:tcPr>
          <w:p>
            <w:pPr>
              <w:pStyle w:val="2"/>
              <w:rPr>
                <w:rFonts w:hint="eastAsia" w:ascii="仿宋" w:hAnsi="仿宋" w:eastAsia="仿宋" w:cs="仿宋"/>
                <w:i w:val="0"/>
                <w:iCs w:val="0"/>
                <w:sz w:val="21"/>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shd w:val="clear" w:color="auto" w:fill="auto"/>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5</w:t>
            </w:r>
          </w:p>
        </w:tc>
        <w:tc>
          <w:tcPr>
            <w:tcW w:w="1295" w:type="dxa"/>
            <w:vMerge w:val="continue"/>
            <w:shd w:val="clear" w:color="auto" w:fill="auto"/>
            <w:vAlign w:val="center"/>
          </w:tcPr>
          <w:p>
            <w:pPr>
              <w:spacing w:line="300" w:lineRule="exact"/>
              <w:jc w:val="center"/>
              <w:rPr>
                <w:rFonts w:hint="eastAsia" w:ascii="仿宋" w:hAnsi="仿宋" w:eastAsia="仿宋" w:cs="仿宋"/>
                <w:szCs w:val="21"/>
              </w:rPr>
            </w:pPr>
          </w:p>
        </w:tc>
        <w:tc>
          <w:tcPr>
            <w:tcW w:w="4667" w:type="dxa"/>
            <w:shd w:val="clear" w:color="auto" w:fill="FFFFFF"/>
            <w:vAlign w:val="center"/>
          </w:tcPr>
          <w:p>
            <w:pPr>
              <w:spacing w:line="300" w:lineRule="exact"/>
              <w:rPr>
                <w:rFonts w:hint="eastAsia" w:ascii="仿宋" w:hAnsi="仿宋" w:eastAsia="仿宋" w:cs="仿宋"/>
                <w:szCs w:val="21"/>
              </w:rPr>
            </w:pPr>
            <w:r>
              <w:rPr>
                <w:rFonts w:hint="eastAsia" w:ascii="仿宋" w:hAnsi="仿宋" w:eastAsia="仿宋" w:cs="仿宋"/>
                <w:szCs w:val="21"/>
              </w:rPr>
              <w:t>清运车辆外观不洁、破损的或者着色图案不符合环卫规定的，1次扣1分。</w:t>
            </w:r>
          </w:p>
        </w:tc>
        <w:tc>
          <w:tcPr>
            <w:tcW w:w="1341" w:type="dxa"/>
            <w:vAlign w:val="top"/>
          </w:tcPr>
          <w:p>
            <w:pPr>
              <w:pStyle w:val="2"/>
              <w:rPr>
                <w:rFonts w:hint="eastAsia" w:ascii="仿宋" w:hAnsi="仿宋" w:eastAsia="仿宋" w:cs="仿宋"/>
                <w:i w:val="0"/>
                <w:iCs w:val="0"/>
                <w:sz w:val="21"/>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6</w:t>
            </w:r>
          </w:p>
        </w:tc>
        <w:tc>
          <w:tcPr>
            <w:tcW w:w="1295" w:type="dxa"/>
            <w:vMerge w:val="continue"/>
            <w:vAlign w:val="top"/>
          </w:tcPr>
          <w:p>
            <w:pPr>
              <w:pStyle w:val="2"/>
              <w:rPr>
                <w:rFonts w:hint="eastAsia" w:ascii="仿宋" w:hAnsi="仿宋" w:eastAsia="仿宋" w:cs="仿宋"/>
                <w:i w:val="0"/>
                <w:iCs w:val="0"/>
                <w:sz w:val="21"/>
                <w:szCs w:val="21"/>
              </w:rPr>
            </w:pPr>
          </w:p>
        </w:tc>
        <w:tc>
          <w:tcPr>
            <w:tcW w:w="4667" w:type="dxa"/>
            <w:vAlign w:val="top"/>
          </w:tcPr>
          <w:p>
            <w:pPr>
              <w:pStyle w:val="2"/>
              <w:spacing w:line="240" w:lineRule="auto"/>
              <w:ind w:left="0" w:firstLine="0" w:firstLineChars="0"/>
              <w:rPr>
                <w:rFonts w:hint="eastAsia" w:ascii="仿宋" w:hAnsi="仿宋" w:eastAsia="仿宋" w:cs="仿宋"/>
                <w:i w:val="0"/>
                <w:iCs w:val="0"/>
                <w:sz w:val="21"/>
                <w:szCs w:val="21"/>
              </w:rPr>
            </w:pPr>
            <w:r>
              <w:rPr>
                <w:rFonts w:hint="eastAsia" w:ascii="仿宋" w:hAnsi="仿宋" w:eastAsia="仿宋" w:cs="仿宋"/>
                <w:i w:val="0"/>
                <w:iCs w:val="0"/>
                <w:sz w:val="21"/>
                <w:szCs w:val="21"/>
              </w:rPr>
              <w:t>车载称重及GPS无法正常使用，或者未经报备批准，驾离规定区域和路线的，每发现一次扣5分。</w:t>
            </w:r>
          </w:p>
        </w:tc>
        <w:tc>
          <w:tcPr>
            <w:tcW w:w="1341" w:type="dxa"/>
            <w:vAlign w:val="top"/>
          </w:tcPr>
          <w:p>
            <w:pPr>
              <w:pStyle w:val="2"/>
              <w:rPr>
                <w:rFonts w:hint="eastAsia" w:ascii="仿宋" w:hAnsi="仿宋" w:eastAsia="仿宋" w:cs="仿宋"/>
                <w:i w:val="0"/>
                <w:iCs w:val="0"/>
                <w:sz w:val="21"/>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7</w:t>
            </w:r>
          </w:p>
        </w:tc>
        <w:tc>
          <w:tcPr>
            <w:tcW w:w="1295" w:type="dxa"/>
            <w:vMerge w:val="continue"/>
            <w:vAlign w:val="top"/>
          </w:tcPr>
          <w:p>
            <w:pPr>
              <w:pStyle w:val="2"/>
              <w:rPr>
                <w:rFonts w:hint="eastAsia" w:ascii="仿宋" w:hAnsi="仿宋" w:eastAsia="仿宋" w:cs="仿宋"/>
                <w:i w:val="0"/>
                <w:iCs w:val="0"/>
                <w:sz w:val="21"/>
                <w:szCs w:val="21"/>
              </w:rPr>
            </w:pPr>
          </w:p>
        </w:tc>
        <w:tc>
          <w:tcPr>
            <w:tcW w:w="4667" w:type="dxa"/>
            <w:vAlign w:val="top"/>
          </w:tcPr>
          <w:p>
            <w:pPr>
              <w:pStyle w:val="2"/>
              <w:spacing w:line="240" w:lineRule="auto"/>
              <w:ind w:left="0"/>
              <w:rPr>
                <w:rFonts w:hint="eastAsia" w:ascii="仿宋" w:hAnsi="仿宋" w:eastAsia="仿宋" w:cs="仿宋"/>
                <w:i w:val="0"/>
                <w:iCs w:val="0"/>
                <w:sz w:val="21"/>
                <w:szCs w:val="21"/>
              </w:rPr>
            </w:pPr>
            <w:r>
              <w:rPr>
                <w:rFonts w:hint="eastAsia" w:ascii="仿宋" w:hAnsi="仿宋" w:eastAsia="仿宋" w:cs="仿宋"/>
                <w:i w:val="0"/>
                <w:iCs w:val="0"/>
                <w:sz w:val="21"/>
                <w:szCs w:val="21"/>
              </w:rPr>
              <w:t>在排水过磅点，排水时间不足10分钟，或者未进行排水前、后两次过磅称重，未统一停放在排水点的，每发现一次扣3分。</w:t>
            </w:r>
          </w:p>
        </w:tc>
        <w:tc>
          <w:tcPr>
            <w:tcW w:w="1341" w:type="dxa"/>
            <w:vAlign w:val="top"/>
          </w:tcPr>
          <w:p>
            <w:pPr>
              <w:pStyle w:val="2"/>
              <w:rPr>
                <w:rFonts w:hint="eastAsia" w:ascii="仿宋" w:hAnsi="仿宋" w:eastAsia="仿宋" w:cs="仿宋"/>
                <w:i w:val="0"/>
                <w:iCs w:val="0"/>
                <w:sz w:val="21"/>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8</w:t>
            </w:r>
          </w:p>
        </w:tc>
        <w:tc>
          <w:tcPr>
            <w:tcW w:w="1295" w:type="dxa"/>
            <w:vMerge w:val="restart"/>
            <w:vAlign w:val="center"/>
          </w:tcPr>
          <w:p>
            <w:pPr>
              <w:spacing w:line="300" w:lineRule="exact"/>
              <w:jc w:val="center"/>
              <w:rPr>
                <w:rFonts w:hint="eastAsia" w:ascii="仿宋" w:hAnsi="仿宋" w:eastAsia="仿宋" w:cs="仿宋"/>
                <w:kern w:val="0"/>
                <w:szCs w:val="21"/>
              </w:rPr>
            </w:pPr>
            <w:r>
              <w:rPr>
                <w:rFonts w:hint="eastAsia" w:ascii="仿宋" w:hAnsi="仿宋" w:eastAsia="仿宋" w:cs="仿宋"/>
                <w:kern w:val="0"/>
                <w:szCs w:val="21"/>
              </w:rPr>
              <w:t>台账完善</w:t>
            </w: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生活垃圾的收运无人管理，垃圾清运称重、登记、检查不规范或者未落实的，1次扣2分。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firstLine="0" w:firstLineChars="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9</w:t>
            </w:r>
          </w:p>
        </w:tc>
        <w:tc>
          <w:tcPr>
            <w:tcW w:w="1295"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运行报表记录不齐全、不准确的，1次扣1分，登记存在弄虚作假的，1次扣2分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firstLine="0" w:firstLineChars="0"/>
              <w:jc w:val="center"/>
              <w:rPr>
                <w:rFonts w:hint="eastAsia" w:ascii="仿宋" w:hAnsi="仿宋" w:eastAsia="仿宋" w:cs="仿宋"/>
                <w:i w:val="0"/>
                <w:iCs w:val="0"/>
                <w:sz w:val="21"/>
                <w:szCs w:val="21"/>
              </w:rPr>
            </w:pPr>
            <w:r>
              <w:rPr>
                <w:rFonts w:hint="eastAsia" w:ascii="仿宋" w:hAnsi="仿宋" w:eastAsia="仿宋" w:cs="仿宋"/>
                <w:i w:val="0"/>
                <w:iCs w:val="0"/>
                <w:sz w:val="21"/>
                <w:szCs w:val="21"/>
              </w:rPr>
              <w:t>10</w:t>
            </w:r>
          </w:p>
        </w:tc>
        <w:tc>
          <w:tcPr>
            <w:tcW w:w="1295" w:type="dxa"/>
            <w:vMerge w:val="restart"/>
            <w:vAlign w:val="center"/>
          </w:tcPr>
          <w:p>
            <w:pPr>
              <w:spacing w:line="300" w:lineRule="exact"/>
              <w:jc w:val="left"/>
              <w:rPr>
                <w:rFonts w:hint="eastAsia" w:ascii="仿宋" w:hAnsi="仿宋" w:eastAsia="仿宋" w:cs="仿宋"/>
                <w:kern w:val="0"/>
                <w:szCs w:val="21"/>
              </w:rPr>
            </w:pPr>
            <w:r>
              <w:rPr>
                <w:rFonts w:hint="eastAsia" w:ascii="仿宋" w:hAnsi="仿宋" w:eastAsia="仿宋" w:cs="仿宋"/>
                <w:kern w:val="0"/>
                <w:szCs w:val="21"/>
              </w:rPr>
              <w:t>规范着装，文明作业，无有责投诉，区级及以上检查不失责任分。</w:t>
            </w: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因不文明作业收到投诉经查实有责的，每件扣2分。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firstLine="0" w:firstLineChars="0"/>
              <w:jc w:val="both"/>
              <w:rPr>
                <w:rFonts w:hint="eastAsia" w:ascii="仿宋" w:hAnsi="仿宋" w:eastAsia="仿宋" w:cs="仿宋"/>
                <w:i w:val="0"/>
                <w:iCs w:val="0"/>
                <w:sz w:val="21"/>
                <w:szCs w:val="21"/>
              </w:rPr>
            </w:pPr>
            <w:r>
              <w:rPr>
                <w:rFonts w:hint="eastAsia" w:ascii="仿宋" w:hAnsi="仿宋" w:eastAsia="仿宋" w:cs="仿宋"/>
                <w:i w:val="0"/>
                <w:iCs w:val="0"/>
                <w:sz w:val="21"/>
                <w:szCs w:val="21"/>
              </w:rPr>
              <w:t>11</w:t>
            </w:r>
          </w:p>
        </w:tc>
        <w:tc>
          <w:tcPr>
            <w:tcW w:w="1295"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kern w:val="0"/>
                <w:szCs w:val="21"/>
              </w:rPr>
              <w:t>环卫工人未按规定着装、不遵守交通规则，环卫车辆未设置反光标识每处</w:t>
            </w:r>
            <w:r>
              <w:rPr>
                <w:rFonts w:hint="eastAsia" w:ascii="仿宋" w:hAnsi="仿宋" w:eastAsia="仿宋" w:cs="仿宋"/>
                <w:szCs w:val="21"/>
              </w:rPr>
              <w:t>扣1分</w:t>
            </w:r>
            <w:r>
              <w:rPr>
                <w:rFonts w:hint="eastAsia" w:ascii="仿宋" w:hAnsi="仿宋" w:eastAsia="仿宋" w:cs="仿宋"/>
                <w:kern w:val="0"/>
                <w:szCs w:val="21"/>
              </w:rPr>
              <w:t>。</w:t>
            </w:r>
            <w:r>
              <w:rPr>
                <w:rFonts w:hint="eastAsia" w:ascii="仿宋" w:hAnsi="仿宋" w:eastAsia="仿宋" w:cs="仿宋"/>
                <w:szCs w:val="21"/>
              </w:rPr>
              <w:t>因上述原因造成安全事故未上报扣2分。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firstLine="0" w:firstLineChars="0"/>
              <w:jc w:val="both"/>
              <w:rPr>
                <w:rFonts w:hint="eastAsia" w:ascii="仿宋" w:hAnsi="仿宋" w:eastAsia="仿宋" w:cs="仿宋"/>
                <w:i w:val="0"/>
                <w:iCs w:val="0"/>
                <w:sz w:val="21"/>
                <w:szCs w:val="21"/>
              </w:rPr>
            </w:pPr>
            <w:r>
              <w:rPr>
                <w:rFonts w:hint="eastAsia" w:ascii="仿宋" w:hAnsi="仿宋" w:eastAsia="仿宋" w:cs="仿宋"/>
                <w:i w:val="0"/>
                <w:iCs w:val="0"/>
                <w:sz w:val="21"/>
                <w:szCs w:val="21"/>
              </w:rPr>
              <w:t>12</w:t>
            </w:r>
          </w:p>
        </w:tc>
        <w:tc>
          <w:tcPr>
            <w:tcW w:w="1295"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kern w:val="0"/>
                <w:szCs w:val="21"/>
              </w:rPr>
              <w:t>无理阻扰、谩骂、影响检查人员正常工作或不配合的1次扣10分。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pStyle w:val="2"/>
              <w:ind w:left="0" w:firstLine="0" w:firstLineChars="0"/>
              <w:jc w:val="both"/>
              <w:rPr>
                <w:rFonts w:hint="eastAsia" w:ascii="仿宋" w:hAnsi="仿宋" w:eastAsia="仿宋" w:cs="仿宋"/>
                <w:i w:val="0"/>
                <w:iCs w:val="0"/>
                <w:sz w:val="21"/>
                <w:szCs w:val="21"/>
              </w:rPr>
            </w:pPr>
            <w:r>
              <w:rPr>
                <w:rFonts w:hint="eastAsia" w:ascii="仿宋" w:hAnsi="仿宋" w:eastAsia="仿宋" w:cs="仿宋"/>
                <w:i w:val="0"/>
                <w:iCs w:val="0"/>
                <w:sz w:val="21"/>
                <w:szCs w:val="21"/>
              </w:rPr>
              <w:t>13</w:t>
            </w:r>
          </w:p>
        </w:tc>
        <w:tc>
          <w:tcPr>
            <w:tcW w:w="1295" w:type="dxa"/>
            <w:vMerge w:val="continue"/>
            <w:vAlign w:val="center"/>
          </w:tcPr>
          <w:p>
            <w:pPr>
              <w:spacing w:line="300" w:lineRule="exact"/>
              <w:jc w:val="center"/>
              <w:rPr>
                <w:rFonts w:hint="eastAsia" w:ascii="仿宋" w:hAnsi="仿宋" w:eastAsia="仿宋" w:cs="仿宋"/>
                <w:kern w:val="0"/>
                <w:szCs w:val="21"/>
              </w:rPr>
            </w:pPr>
          </w:p>
        </w:tc>
        <w:tc>
          <w:tcPr>
            <w:tcW w:w="4667" w:type="dxa"/>
            <w:vAlign w:val="center"/>
          </w:tcPr>
          <w:p>
            <w:pPr>
              <w:spacing w:line="300" w:lineRule="exact"/>
              <w:rPr>
                <w:rFonts w:hint="eastAsia" w:ascii="仿宋" w:hAnsi="仿宋" w:eastAsia="仿宋" w:cs="仿宋"/>
                <w:kern w:val="0"/>
                <w:szCs w:val="21"/>
              </w:rPr>
            </w:pPr>
            <w:r>
              <w:rPr>
                <w:rFonts w:hint="eastAsia" w:ascii="仿宋" w:hAnsi="仿宋" w:eastAsia="仿宋" w:cs="仿宋"/>
                <w:szCs w:val="21"/>
              </w:rPr>
              <w:t>市查、区查</w:t>
            </w:r>
            <w:r>
              <w:rPr>
                <w:rFonts w:hint="eastAsia" w:ascii="仿宋" w:hAnsi="仿宋" w:eastAsia="仿宋" w:cs="仿宋"/>
                <w:kern w:val="0"/>
                <w:szCs w:val="21"/>
              </w:rPr>
              <w:t>的</w:t>
            </w:r>
            <w:r>
              <w:rPr>
                <w:rFonts w:hint="eastAsia" w:ascii="仿宋" w:hAnsi="仿宋" w:eastAsia="仿宋" w:cs="仿宋"/>
                <w:spacing w:val="-8"/>
                <w:szCs w:val="21"/>
              </w:rPr>
              <w:t>涉及属地管辖内所有关于清运、垃圾不落地音乐线的</w:t>
            </w:r>
            <w:r>
              <w:rPr>
                <w:rFonts w:hint="eastAsia" w:ascii="仿宋" w:hAnsi="仿宋" w:eastAsia="仿宋" w:cs="仿宋"/>
                <w:kern w:val="0"/>
                <w:szCs w:val="21"/>
              </w:rPr>
              <w:t>有责抄告及信访问题，</w:t>
            </w:r>
            <w:r>
              <w:rPr>
                <w:rFonts w:hint="eastAsia" w:ascii="仿宋" w:hAnsi="仿宋" w:eastAsia="仿宋" w:cs="仿宋"/>
                <w:szCs w:val="21"/>
              </w:rPr>
              <w:t>每发生1件扣1分，整改不到位扣2分，二次抄告扣2.5分，整改不到位扣5分，三次抄告扣5分。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2"/>
              <w:rPr>
                <w:rFonts w:hint="eastAsia" w:ascii="仿宋" w:hAnsi="仿宋" w:eastAsia="仿宋" w:cs="仿宋"/>
                <w:i w:val="0"/>
                <w:i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654" w:type="dxa"/>
            <w:vAlign w:val="center"/>
          </w:tcPr>
          <w:p>
            <w:pPr>
              <w:pStyle w:val="2"/>
              <w:ind w:left="0" w:firstLine="0" w:firstLineChars="0"/>
              <w:jc w:val="both"/>
              <w:rPr>
                <w:rFonts w:hint="eastAsia" w:ascii="仿宋" w:hAnsi="仿宋" w:eastAsia="仿宋" w:cs="仿宋"/>
                <w:i w:val="0"/>
                <w:iCs w:val="0"/>
                <w:sz w:val="21"/>
                <w:szCs w:val="21"/>
              </w:rPr>
            </w:pPr>
            <w:r>
              <w:rPr>
                <w:rFonts w:hint="eastAsia" w:ascii="仿宋" w:hAnsi="仿宋" w:eastAsia="仿宋" w:cs="仿宋"/>
                <w:i w:val="0"/>
                <w:iCs w:val="0"/>
                <w:sz w:val="21"/>
                <w:szCs w:val="21"/>
              </w:rPr>
              <w:t>14</w:t>
            </w:r>
          </w:p>
        </w:tc>
        <w:tc>
          <w:tcPr>
            <w:tcW w:w="1295" w:type="dxa"/>
            <w:vAlign w:val="center"/>
          </w:tcPr>
          <w:p>
            <w:pPr>
              <w:spacing w:line="300" w:lineRule="exact"/>
              <w:jc w:val="center"/>
              <w:rPr>
                <w:rFonts w:hint="eastAsia" w:ascii="仿宋" w:hAnsi="仿宋" w:eastAsia="仿宋" w:cs="仿宋"/>
                <w:kern w:val="0"/>
                <w:szCs w:val="21"/>
              </w:rPr>
            </w:pPr>
            <w:r>
              <w:rPr>
                <w:rFonts w:hint="eastAsia" w:ascii="仿宋" w:hAnsi="仿宋" w:eastAsia="仿宋" w:cs="仿宋"/>
                <w:kern w:val="0"/>
                <w:szCs w:val="21"/>
              </w:rPr>
              <w:t>垃圾不落地</w:t>
            </w:r>
          </w:p>
          <w:p>
            <w:pPr>
              <w:spacing w:line="300" w:lineRule="exact"/>
              <w:jc w:val="center"/>
              <w:rPr>
                <w:rFonts w:hint="eastAsia" w:ascii="仿宋" w:hAnsi="仿宋" w:eastAsia="仿宋" w:cs="仿宋"/>
                <w:kern w:val="0"/>
                <w:szCs w:val="21"/>
              </w:rPr>
            </w:pPr>
            <w:r>
              <w:rPr>
                <w:rFonts w:hint="eastAsia" w:ascii="仿宋" w:hAnsi="仿宋" w:eastAsia="仿宋" w:cs="仿宋"/>
                <w:kern w:val="0"/>
                <w:szCs w:val="21"/>
              </w:rPr>
              <w:t>音乐线</w:t>
            </w:r>
          </w:p>
        </w:tc>
        <w:tc>
          <w:tcPr>
            <w:tcW w:w="4667" w:type="dxa"/>
            <w:vAlign w:val="center"/>
          </w:tcPr>
          <w:p>
            <w:pPr>
              <w:spacing w:line="300" w:lineRule="exact"/>
              <w:rPr>
                <w:rFonts w:hint="eastAsia" w:ascii="仿宋" w:hAnsi="仿宋" w:eastAsia="仿宋" w:cs="仿宋"/>
                <w:szCs w:val="21"/>
              </w:rPr>
            </w:pPr>
            <w:r>
              <w:rPr>
                <w:rFonts w:hint="eastAsia" w:ascii="仿宋" w:hAnsi="仿宋" w:eastAsia="仿宋" w:cs="仿宋"/>
                <w:szCs w:val="21"/>
              </w:rPr>
              <w:t>路段商户知晓率低于90%的，每低5%扣1分。规定时段未进行收运的，一次扣2分；混装混匀的，一次扣3分；垃圾不落地音乐线车辆外观不洁、破损的或者着色图案不符合环卫规定，收运时音乐播放异常的，每次扣1分；收运数据上传、存储异常的，每次扣2分。</w:t>
            </w:r>
          </w:p>
        </w:tc>
        <w:tc>
          <w:tcPr>
            <w:tcW w:w="1341" w:type="dxa"/>
            <w:vAlign w:val="center"/>
          </w:tcPr>
          <w:p>
            <w:pPr>
              <w:spacing w:line="300" w:lineRule="exact"/>
              <w:rPr>
                <w:rFonts w:hint="eastAsia" w:ascii="仿宋" w:hAnsi="仿宋" w:eastAsia="仿宋" w:cs="仿宋"/>
                <w:szCs w:val="21"/>
              </w:rPr>
            </w:pPr>
          </w:p>
        </w:tc>
        <w:tc>
          <w:tcPr>
            <w:tcW w:w="1474" w:type="dxa"/>
            <w:vAlign w:val="top"/>
          </w:tcPr>
          <w:p>
            <w:pPr>
              <w:pStyle w:val="2"/>
              <w:rPr>
                <w:rFonts w:hint="eastAsia" w:ascii="仿宋" w:hAnsi="仿宋" w:eastAsia="仿宋" w:cs="仿宋"/>
                <w:i w:val="0"/>
                <w:iCs w:val="0"/>
                <w:sz w:val="21"/>
                <w:szCs w:val="21"/>
              </w:rPr>
            </w:pPr>
          </w:p>
        </w:tc>
      </w:tr>
    </w:tbl>
    <w:p>
      <w:pPr>
        <w:widowControl/>
        <w:adjustRightInd w:val="0"/>
        <w:snapToGrid w:val="0"/>
        <w:spacing w:line="500" w:lineRule="exact"/>
        <w:ind w:firstLine="480" w:firstLineChars="200"/>
        <w:jc w:val="left"/>
        <w:rPr>
          <w:rFonts w:hint="eastAsia" w:ascii="宋体" w:hAnsi="宋体" w:cs="宋体"/>
          <w:b/>
          <w:kern w:val="0"/>
          <w:sz w:val="24"/>
        </w:rPr>
      </w:pPr>
      <w:r>
        <w:rPr>
          <w:rFonts w:hint="eastAsia" w:ascii="宋体" w:hAnsi="宋体" w:cs="宋体"/>
          <w:kern w:val="0"/>
          <w:sz w:val="24"/>
        </w:rPr>
        <w:t xml:space="preserve"> </w:t>
      </w:r>
      <w:r>
        <w:rPr>
          <w:rFonts w:hint="eastAsia" w:ascii="宋体" w:hAnsi="宋体" w:cs="宋体"/>
          <w:b/>
          <w:kern w:val="0"/>
          <w:sz w:val="24"/>
        </w:rPr>
        <w:t xml:space="preserve"> </w:t>
      </w:r>
      <w:r>
        <w:rPr>
          <w:rFonts w:hint="eastAsia" w:ascii="宋体" w:hAnsi="宋体" w:eastAsia="宋体" w:cs="宋体"/>
          <w:b/>
          <w:kern w:val="0"/>
          <w:sz w:val="21"/>
          <w:szCs w:val="21"/>
          <w:lang w:val="en-US" w:eastAsia="zh-CN"/>
        </w:rPr>
        <w:t>1.2苕溪生活垃圾</w:t>
      </w:r>
      <w:r>
        <w:rPr>
          <w:rFonts w:hint="eastAsia" w:ascii="宋体" w:hAnsi="宋体" w:cs="宋体"/>
          <w:b/>
          <w:kern w:val="0"/>
          <w:sz w:val="21"/>
          <w:szCs w:val="21"/>
          <w:lang w:val="en-US" w:eastAsia="zh-CN"/>
        </w:rPr>
        <w:t>音乐线</w:t>
      </w:r>
      <w:r>
        <w:rPr>
          <w:rFonts w:hint="eastAsia" w:ascii="宋体" w:hAnsi="宋体" w:eastAsia="宋体" w:cs="宋体"/>
          <w:b/>
          <w:kern w:val="0"/>
          <w:sz w:val="21"/>
          <w:szCs w:val="21"/>
          <w:lang w:val="en-US" w:eastAsia="zh-CN"/>
        </w:rPr>
        <w:t>集置点</w:t>
      </w:r>
      <w:r>
        <w:rPr>
          <w:rFonts w:hint="eastAsia" w:ascii="宋体" w:hAnsi="宋体" w:eastAsia="宋体" w:cs="宋体"/>
          <w:b/>
          <w:bCs w:val="0"/>
          <w:kern w:val="0"/>
          <w:sz w:val="21"/>
          <w:szCs w:val="21"/>
        </w:rPr>
        <w:t>运维</w:t>
      </w:r>
    </w:p>
    <w:tbl>
      <w:tblPr>
        <w:tblStyle w:val="63"/>
        <w:tblW w:w="88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6"/>
        <w:gridCol w:w="656"/>
        <w:gridCol w:w="1764"/>
        <w:gridCol w:w="2969"/>
        <w:gridCol w:w="976"/>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序号</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检查项目</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管理作业标准</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评分标准</w:t>
            </w:r>
          </w:p>
        </w:tc>
        <w:tc>
          <w:tcPr>
            <w:tcW w:w="9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扣分</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扣得分原因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一</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管理制度（30分）</w:t>
            </w: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1、垃圾转运站各项规章制度和操作章程应上墙。文明配合检查考核人员正常检查。</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 xml:space="preserve">各项章程制度和操作规程未挂于明显位置，管理人员未上墙的扣5分。  </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 xml:space="preserve">无理阻扰、谩骂、影响检查人员正常工作或不配合的1次扣10分        </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2、按照规定的时间开关站，严禁出现脱岗现象。</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生活垃圾的收运不规范或无人管理，1次扣1分，垃圾收运称重、登记、检查不规范未落实的，1次扣2分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上班时间饮酒、睡觉、玩牌等做其它与上班无关的事项，1次扣2分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3、指定专人定岗操作，统一着装，4、佩证上岗，严格按照操作规程文明作业，严禁拾捡垃圾。垃圾转运站应保责任区内生活垃圾的日产日清。运行报表记录齐全、准确</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工作时间未穿工作服或未佩证上岗的，1次扣0.5分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非本站工作人员操作设备的扣，1次扣3分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拾荒者进入中转站或可回收垃圾堆放凌乱，1次扣1.5分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未完成垃圾日产日清工作，中转站室外堆放垃圾的情况，1次扣2分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垃圾转运设备未复位，存在安全隐患的，1次扣1分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运行报表记录不齐全、不准确的，1次扣1分，登记存在弄虚作假的，1次扣2分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656"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二</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保洁质量（30分）</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5、垃圾转运车辆应美观整洁</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垃圾转运车辆、垃圾不落地音乐线车辆、可腐垃圾收集车外观不洁、破损1次扣1分；存在混装混运的1次扣5分。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6、保持地面、污水管网、市政设施整洁有序</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地面污迹、散落垃圾未清理的扣0.5分/次。</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污水管网或沉淀池不洁或堵塞的1次扣1分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市政设备管理到位，无破损、无脏乱，发现1处扣1分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7、休息间、管理房（工具间内物品摆放整齐，环境整洁）</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休息间环境不洁凌乱破损的，发现1处扣0.5分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休息间环境不洁凌乱破损的，发现1处扣0.5分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1764" w:type="dxa"/>
            <w:tcBorders>
              <w:top w:val="single" w:color="000000" w:sz="4" w:space="0"/>
              <w:left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8、转运站外环境（有庭院的以庭院为界限，否则以外墙规定范围内）整洁有序</w:t>
            </w:r>
          </w:p>
        </w:tc>
        <w:tc>
          <w:tcPr>
            <w:tcW w:w="2969" w:type="dxa"/>
            <w:tcBorders>
              <w:top w:val="single" w:color="000000" w:sz="4" w:space="0"/>
              <w:left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外环境不洁，有乱堆放杂物的扣0.5分/次；进出道路及两侧有垃圾，未进行洒水作业的扣0.5分/次。</w:t>
            </w:r>
          </w:p>
        </w:tc>
        <w:tc>
          <w:tcPr>
            <w:tcW w:w="976" w:type="dxa"/>
            <w:tcBorders>
              <w:top w:val="single" w:color="000000" w:sz="4" w:space="0"/>
              <w:left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三</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设施设备（25分）</w:t>
            </w: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9、做好安全工作，严禁私拉、外接电线、水管。严禁非专业技术人员私自调试液压设备。严禁休息间使用电炉等具有安全隐患的高功率电器。</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节约水电措施不力的扣2分/次</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擅自私拉、外接电线、水管的扣10分/次</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休息间、管理房（工具间）内使用电炉等具有安全隐患高功率电器的扣2分/次。</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jc w:val="left"/>
              <w:rPr>
                <w:rFonts w:hint="eastAsia" w:ascii="仿宋" w:hAnsi="仿宋" w:eastAsia="仿宋" w:cs="仿宋"/>
                <w:sz w:val="21"/>
                <w:szCs w:val="21"/>
              </w:rPr>
            </w:pP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10、爱护公物，厉行节约，保养设施，发现问题应及时上报。</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因未保养或违规操作，致使机器设备或物品材料损坏的扣3分/次</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站内设备损坏未及时上报的扣1分/次</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300" w:lineRule="exact"/>
              <w:jc w:val="lef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可腐垃圾未日产日处理，一次的扣2分/次；成肥后未及时出料或筛分的扣2分/次。</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四</w:t>
            </w:r>
          </w:p>
        </w:tc>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kern w:val="2"/>
                <w:sz w:val="21"/>
                <w:szCs w:val="21"/>
              </w:rPr>
            </w:pPr>
            <w:r>
              <w:rPr>
                <w:rFonts w:hint="eastAsia" w:ascii="仿宋" w:hAnsi="仿宋" w:eastAsia="仿宋" w:cs="仿宋"/>
                <w:kern w:val="2"/>
                <w:sz w:val="21"/>
                <w:szCs w:val="21"/>
              </w:rPr>
              <w:t>社会监督</w:t>
            </w:r>
          </w:p>
          <w:p>
            <w:pPr>
              <w:widowControl/>
              <w:spacing w:line="300" w:lineRule="exact"/>
              <w:jc w:val="left"/>
              <w:textAlignment w:val="auto"/>
              <w:rPr>
                <w:rFonts w:hint="eastAsia" w:ascii="仿宋" w:hAnsi="仿宋" w:eastAsia="仿宋" w:cs="仿宋"/>
                <w:kern w:val="2"/>
                <w:sz w:val="21"/>
                <w:szCs w:val="21"/>
              </w:rPr>
            </w:pPr>
            <w:r>
              <w:rPr>
                <w:rFonts w:hint="eastAsia" w:ascii="仿宋" w:hAnsi="仿宋" w:eastAsia="仿宋" w:cs="仿宋"/>
                <w:kern w:val="2"/>
                <w:sz w:val="21"/>
                <w:szCs w:val="21"/>
              </w:rPr>
              <w:t>（15分）</w:t>
            </w:r>
          </w:p>
        </w:tc>
        <w:tc>
          <w:tcPr>
            <w:tcW w:w="17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11、工作人员应文明服务，无有责投诉，市级以上检查不失责任分。</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收到投诉的转运站管理问题，经确定有责的的每件扣2分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 w:hAnsi="仿宋" w:eastAsia="仿宋" w:cs="仿宋"/>
                <w:sz w:val="21"/>
                <w:szCs w:val="21"/>
              </w:rPr>
            </w:pPr>
          </w:p>
        </w:tc>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76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auto"/>
              <w:rPr>
                <w:rFonts w:hint="eastAsia" w:ascii="仿宋" w:hAnsi="仿宋" w:eastAsia="仿宋" w:cs="仿宋"/>
                <w:sz w:val="21"/>
                <w:szCs w:val="21"/>
              </w:rPr>
            </w:pPr>
            <w:r>
              <w:rPr>
                <w:rFonts w:hint="eastAsia" w:ascii="仿宋" w:hAnsi="仿宋" w:eastAsia="仿宋" w:cs="仿宋"/>
                <w:kern w:val="2"/>
                <w:sz w:val="21"/>
                <w:szCs w:val="21"/>
              </w:rPr>
              <w:t>②市级以上责任失责任分的每次扣5分。</w:t>
            </w:r>
          </w:p>
        </w:tc>
        <w:tc>
          <w:tcPr>
            <w:tcW w:w="97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c>
          <w:tcPr>
            <w:tcW w:w="181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 w:hAnsi="仿宋" w:eastAsia="仿宋" w:cs="仿宋"/>
                <w:sz w:val="21"/>
                <w:szCs w:val="21"/>
              </w:rPr>
            </w:pPr>
          </w:p>
        </w:tc>
      </w:tr>
    </w:tbl>
    <w:p>
      <w:pPr>
        <w:widowControl/>
        <w:adjustRightInd w:val="0"/>
        <w:snapToGrid w:val="0"/>
        <w:spacing w:line="500" w:lineRule="exact"/>
        <w:ind w:firstLine="482" w:firstLineChars="200"/>
        <w:jc w:val="left"/>
        <w:rPr>
          <w:rFonts w:hint="eastAsia" w:ascii="宋体" w:hAnsi="宋体" w:cs="宋体"/>
          <w:bCs/>
          <w:sz w:val="24"/>
        </w:rPr>
      </w:pPr>
      <w:r>
        <w:rPr>
          <w:rFonts w:hint="eastAsia" w:ascii="宋体" w:hAnsi="宋体" w:cs="宋体"/>
          <w:b/>
          <w:kern w:val="0"/>
          <w:sz w:val="24"/>
        </w:rPr>
        <w:t>2、评分考核。</w:t>
      </w:r>
      <w:r>
        <w:rPr>
          <w:rFonts w:hint="eastAsia" w:ascii="宋体" w:hAnsi="宋体" w:cs="宋体"/>
          <w:bCs/>
          <w:kern w:val="0"/>
          <w:sz w:val="24"/>
        </w:rPr>
        <w:t>评分考核每月进行两次，由城管服务中心组织人员每月进行两次集中考核，并按照按照</w:t>
      </w:r>
      <w:r>
        <w:rPr>
          <w:rFonts w:hint="eastAsia" w:ascii="宋体" w:hAnsi="宋体" w:cs="宋体"/>
          <w:kern w:val="0"/>
          <w:sz w:val="24"/>
        </w:rPr>
        <w:t>《关于开展“垃圾不落地 余杭更美丽”主题活动相关城市管理工作的通知》（</w:t>
      </w:r>
      <w:r>
        <w:rPr>
          <w:rFonts w:hint="eastAsia" w:ascii="宋体" w:hAnsi="宋体" w:cs="宋体"/>
          <w:sz w:val="24"/>
        </w:rPr>
        <w:t>余城组〔2018〕1号</w:t>
      </w:r>
      <w:r>
        <w:rPr>
          <w:rFonts w:hint="eastAsia" w:ascii="宋体" w:hAnsi="宋体" w:cs="宋体"/>
          <w:kern w:val="0"/>
          <w:sz w:val="24"/>
        </w:rPr>
        <w:t>）文件精神和</w:t>
      </w:r>
      <w:r>
        <w:rPr>
          <w:rFonts w:hint="eastAsia" w:ascii="宋体" w:hAnsi="宋体" w:cs="宋体"/>
          <w:sz w:val="24"/>
        </w:rPr>
        <w:t>《</w:t>
      </w:r>
      <w:r>
        <w:rPr>
          <w:rFonts w:hint="eastAsia" w:ascii="宋体" w:hAnsi="宋体" w:cs="宋体"/>
          <w:sz w:val="24"/>
        </w:rPr>
        <w:fldChar w:fldCharType="begin"/>
      </w:r>
      <w:r>
        <w:rPr>
          <w:rFonts w:hint="eastAsia" w:ascii="宋体" w:hAnsi="宋体" w:cs="宋体"/>
          <w:sz w:val="24"/>
        </w:rPr>
        <w:instrText xml:space="preserve"> HYPERLINK "http://yhdzgw.yuhang.gov.cn/explorer.jsp" \o "关于印发《余杭区城市管理范围内洁化、市政亮化、绿化、序化分级分类及考核办法》的通知" </w:instrText>
      </w:r>
      <w:r>
        <w:rPr>
          <w:rFonts w:hint="eastAsia" w:ascii="宋体" w:hAnsi="宋体" w:cs="宋体"/>
          <w:sz w:val="24"/>
        </w:rPr>
        <w:fldChar w:fldCharType="separate"/>
      </w:r>
      <w:r>
        <w:rPr>
          <w:rFonts w:hint="eastAsia" w:ascii="宋体" w:hAnsi="宋体" w:cs="宋体"/>
          <w:sz w:val="24"/>
        </w:rPr>
        <w:t xml:space="preserve">关于印发《余杭区城市管理范围内洁化、市政亮化、绿化、序化分级分类及考核办法》的通知 </w:t>
      </w:r>
      <w:r>
        <w:rPr>
          <w:rFonts w:hint="eastAsia" w:ascii="宋体" w:hAnsi="宋体" w:cs="宋体"/>
          <w:sz w:val="24"/>
        </w:rPr>
        <w:fldChar w:fldCharType="end"/>
      </w:r>
      <w:r>
        <w:rPr>
          <w:rFonts w:hint="eastAsia" w:ascii="宋体" w:hAnsi="宋体" w:cs="宋体"/>
          <w:sz w:val="24"/>
        </w:rPr>
        <w:t>》（余城组〔2019〕1号 ）文件精神</w:t>
      </w:r>
      <w:r>
        <w:rPr>
          <w:rFonts w:hint="eastAsia" w:ascii="宋体" w:hAnsi="宋体" w:cs="宋体"/>
          <w:kern w:val="0"/>
          <w:sz w:val="24"/>
        </w:rPr>
        <w:t>文件进行打分</w:t>
      </w:r>
      <w:r>
        <w:rPr>
          <w:rFonts w:hint="eastAsia" w:ascii="宋体" w:hAnsi="宋体" w:cs="宋体"/>
          <w:bCs/>
          <w:kern w:val="0"/>
          <w:sz w:val="24"/>
        </w:rPr>
        <w:t>，每月考核与资金支付金额挂钩。合同</w:t>
      </w:r>
      <w:r>
        <w:rPr>
          <w:rFonts w:hint="eastAsia" w:ascii="宋体" w:hAnsi="宋体" w:cs="宋体"/>
          <w:bCs/>
          <w:sz w:val="24"/>
        </w:rPr>
        <w:t>周期内存在三个月（含）以上月度考核不合格的，招标人有权直接终止合同，并按招标文件及合同有关条款执行没收履约保证金等措施。</w:t>
      </w:r>
      <w:r>
        <w:rPr>
          <w:rFonts w:hint="eastAsia" w:ascii="宋体" w:hAnsi="宋体" w:cs="宋体"/>
          <w:bCs/>
          <w:kern w:val="0"/>
          <w:sz w:val="24"/>
        </w:rPr>
        <w:t>每月考核得分加和除以12，得出年度平均得分，年度考核得分作为招标人对养护单位工作完成情况总体评价的重要依据。</w:t>
      </w:r>
    </w:p>
    <w:p>
      <w:pPr>
        <w:widowControl/>
        <w:adjustRightInd w:val="0"/>
        <w:snapToGrid w:val="0"/>
        <w:spacing w:line="500" w:lineRule="exact"/>
        <w:ind w:firstLine="482" w:firstLineChars="200"/>
        <w:jc w:val="left"/>
        <w:rPr>
          <w:rFonts w:hint="eastAsia" w:ascii="宋体" w:hAnsi="宋体" w:cs="宋体"/>
          <w:kern w:val="0"/>
          <w:sz w:val="24"/>
        </w:rPr>
      </w:pPr>
      <w:r>
        <w:rPr>
          <w:rFonts w:hint="eastAsia" w:ascii="宋体" w:hAnsi="宋体" w:cs="宋体"/>
          <w:b/>
          <w:kern w:val="0"/>
          <w:sz w:val="24"/>
        </w:rPr>
        <w:t>（1）评分专项督查考核</w:t>
      </w:r>
    </w:p>
    <w:p>
      <w:pPr>
        <w:widowControl/>
        <w:tabs>
          <w:tab w:val="left" w:pos="396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区长公开电话受理、领导督办、政务平台市民投诉的问题未在规定期限内整改解决的按评分标准从当月清洁度中直接扣0.5分；区级以上检查失分、重大活动保障不力的</w:t>
      </w:r>
      <w:r>
        <w:rPr>
          <w:rFonts w:hint="eastAsia" w:ascii="宋体" w:hAnsi="宋体"/>
          <w:sz w:val="24"/>
        </w:rPr>
        <w:t>清运</w:t>
      </w:r>
      <w:r>
        <w:rPr>
          <w:rFonts w:hint="eastAsia" w:ascii="宋体" w:hAnsi="宋体" w:cs="宋体"/>
          <w:kern w:val="0"/>
          <w:sz w:val="24"/>
        </w:rPr>
        <w:t>问题经确认有责的按评分标准从当月清洁度中直接扣1分，并视情节予以通报处罚。瞒报交通事故的经查实按考核评分标准在当月清洁度中直接扣0.5分。</w:t>
      </w:r>
    </w:p>
    <w:p>
      <w:pPr>
        <w:widowControl/>
        <w:tabs>
          <w:tab w:val="left" w:pos="396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日常检查时发现途经的问题多，质量差，及时摄录现状情况，并第一时间告知相关责任单位立即整改，同时扣0.5分。若复查发现整改不力的，每发生一次所在标段当月扣1分，计入当月考核成绩。</w:t>
      </w:r>
    </w:p>
    <w:p>
      <w:pPr>
        <w:widowControl/>
        <w:tabs>
          <w:tab w:val="left" w:pos="3960"/>
        </w:tabs>
        <w:adjustRightInd w:val="0"/>
        <w:snapToGrid w:val="0"/>
        <w:spacing w:line="500" w:lineRule="exact"/>
        <w:ind w:firstLine="482" w:firstLineChars="200"/>
        <w:jc w:val="left"/>
        <w:rPr>
          <w:rFonts w:hint="eastAsia" w:ascii="宋体" w:hAnsi="宋体" w:cs="宋体"/>
          <w:b/>
          <w:kern w:val="0"/>
          <w:sz w:val="24"/>
        </w:rPr>
      </w:pPr>
      <w:r>
        <w:rPr>
          <w:rFonts w:hint="eastAsia" w:ascii="宋体" w:hAnsi="宋体" w:cs="宋体"/>
          <w:b/>
          <w:kern w:val="0"/>
          <w:sz w:val="24"/>
        </w:rPr>
        <w:t>（2）对影响检查考核行为的处理</w:t>
      </w:r>
    </w:p>
    <w:p>
      <w:pPr>
        <w:widowControl/>
        <w:tabs>
          <w:tab w:val="left" w:pos="396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要严格按照招标文件规定积极做好日常保洁及清运工作，要对台帐资料的真实性、准确性负责，不得采用不正常方式应对检查。对影响妨碍检查考核工作正常进行的行为，按下列规定处理：</w:t>
      </w:r>
    </w:p>
    <w:p>
      <w:pPr>
        <w:widowControl/>
        <w:adjustRightInd w:val="0"/>
        <w:snapToGrid w:val="0"/>
        <w:spacing w:line="500" w:lineRule="exact"/>
        <w:ind w:firstLine="472" w:firstLineChars="196"/>
        <w:jc w:val="left"/>
        <w:rPr>
          <w:rFonts w:hint="eastAsia" w:ascii="宋体" w:hAnsi="宋体" w:cs="宋体"/>
          <w:b/>
          <w:kern w:val="0"/>
          <w:sz w:val="24"/>
        </w:rPr>
      </w:pPr>
      <w:r>
        <w:rPr>
          <w:rFonts w:hint="eastAsia" w:ascii="宋体" w:hAnsi="宋体" w:cs="宋体"/>
          <w:b/>
          <w:kern w:val="0"/>
          <w:sz w:val="24"/>
        </w:rPr>
        <w:sym w:font="Wingdings" w:char="F081"/>
      </w:r>
      <w:r>
        <w:rPr>
          <w:rFonts w:hint="eastAsia" w:ascii="宋体" w:hAnsi="宋体" w:cs="宋体"/>
          <w:kern w:val="0"/>
          <w:sz w:val="24"/>
        </w:rPr>
        <w:t>采用不正常方式有意妨碍、干扰正常检查考核秩序的，每次扣0.5分，扣分值计入所在标段当月考核成绩。</w:t>
      </w:r>
    </w:p>
    <w:p>
      <w:pPr>
        <w:widowControl/>
        <w:adjustRightInd w:val="0"/>
        <w:snapToGrid w:val="0"/>
        <w:spacing w:line="500" w:lineRule="exact"/>
        <w:ind w:firstLine="482" w:firstLineChars="200"/>
        <w:jc w:val="left"/>
        <w:rPr>
          <w:rFonts w:hint="eastAsia" w:ascii="宋体" w:hAnsi="宋体" w:cs="宋体"/>
          <w:b/>
          <w:kern w:val="0"/>
          <w:sz w:val="24"/>
        </w:rPr>
      </w:pPr>
      <w:r>
        <w:rPr>
          <w:rFonts w:hint="eastAsia" w:ascii="宋体" w:hAnsi="宋体" w:cs="宋体"/>
          <w:b/>
          <w:kern w:val="0"/>
          <w:sz w:val="24"/>
        </w:rPr>
        <w:sym w:font="Wingdings" w:char="F082"/>
      </w:r>
      <w:r>
        <w:rPr>
          <w:rFonts w:hint="eastAsia" w:ascii="宋体" w:hAnsi="宋体" w:cs="宋体"/>
          <w:kern w:val="0"/>
          <w:sz w:val="24"/>
        </w:rPr>
        <w:t>检查时，阻挠、延误检查人员开展检查的，每次扣1分；</w:t>
      </w:r>
      <w:r>
        <w:rPr>
          <w:rFonts w:hint="eastAsia" w:ascii="宋体" w:hAnsi="宋体"/>
          <w:sz w:val="24"/>
        </w:rPr>
        <w:t>清运</w:t>
      </w:r>
      <w:r>
        <w:rPr>
          <w:rFonts w:hint="eastAsia" w:ascii="宋体" w:hAnsi="宋体" w:cs="宋体"/>
          <w:kern w:val="0"/>
          <w:sz w:val="24"/>
        </w:rPr>
        <w:t>管理人员或</w:t>
      </w:r>
      <w:r>
        <w:rPr>
          <w:rFonts w:hint="eastAsia" w:ascii="宋体" w:hAnsi="宋体"/>
          <w:sz w:val="24"/>
        </w:rPr>
        <w:t>清运</w:t>
      </w:r>
      <w:r>
        <w:rPr>
          <w:rFonts w:hint="eastAsia" w:ascii="宋体" w:hAnsi="宋体" w:cs="宋体"/>
          <w:kern w:val="0"/>
          <w:sz w:val="24"/>
        </w:rPr>
        <w:t>员在检查组周边进行突击</w:t>
      </w:r>
      <w:r>
        <w:rPr>
          <w:rFonts w:hint="eastAsia" w:ascii="宋体" w:hAnsi="宋体"/>
          <w:sz w:val="24"/>
        </w:rPr>
        <w:t>清运</w:t>
      </w:r>
      <w:r>
        <w:rPr>
          <w:rFonts w:hint="eastAsia" w:ascii="宋体" w:hAnsi="宋体" w:cs="宋体"/>
          <w:kern w:val="0"/>
          <w:sz w:val="24"/>
        </w:rPr>
        <w:t>影响正常检查的，每次扣0.5分；扣分值计入所在区当月考核成绩。</w:t>
      </w:r>
    </w:p>
    <w:p>
      <w:pPr>
        <w:widowControl/>
        <w:tabs>
          <w:tab w:val="left" w:pos="180"/>
        </w:tabs>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检查组初步认定为跟踪、突击行为的，可立即停止检查，另行安排时间重新检查考核，确保检查考核结果的真实性和公平性。</w:t>
      </w:r>
    </w:p>
    <w:p>
      <w:pPr>
        <w:widowControl/>
        <w:adjustRightInd w:val="0"/>
        <w:snapToGrid w:val="0"/>
        <w:spacing w:line="500" w:lineRule="exact"/>
        <w:jc w:val="left"/>
        <w:rPr>
          <w:rFonts w:hint="eastAsia" w:ascii="宋体" w:hAnsi="宋体" w:cs="宋体"/>
          <w:b/>
          <w:kern w:val="0"/>
          <w:sz w:val="24"/>
        </w:rPr>
      </w:pPr>
      <w:r>
        <w:rPr>
          <w:rFonts w:hint="eastAsia" w:ascii="宋体" w:hAnsi="宋体" w:cs="宋体"/>
          <w:b/>
          <w:kern w:val="0"/>
          <w:sz w:val="24"/>
        </w:rPr>
        <w:t xml:space="preserve">   （3）考核结果的公布</w:t>
      </w:r>
    </w:p>
    <w:p>
      <w:pPr>
        <w:widowControl/>
        <w:adjustRightInd w:val="0"/>
        <w:snapToGrid w:val="0"/>
        <w:spacing w:line="500" w:lineRule="exact"/>
        <w:ind w:firstLine="480" w:firstLineChars="200"/>
        <w:jc w:val="left"/>
        <w:rPr>
          <w:rFonts w:hint="eastAsia" w:ascii="宋体" w:hAnsi="宋体" w:cs="宋体"/>
          <w:kern w:val="0"/>
          <w:sz w:val="24"/>
        </w:rPr>
      </w:pPr>
      <w:r>
        <w:rPr>
          <w:rFonts w:hint="eastAsia" w:ascii="宋体" w:hAnsi="宋体" w:cs="宋体"/>
          <w:kern w:val="0"/>
          <w:sz w:val="24"/>
        </w:rPr>
        <w:t>管理检查考核年度得分在90分（含）以上的标段为优秀单位，90-85分（含）为良好单位，85-80分（含）为及格单位，80分以下为不合格单位。优胜单位以年度考核成绩得分在90分（含）以上为年度优胜单位。</w:t>
      </w:r>
    </w:p>
    <w:p>
      <w:pPr>
        <w:spacing w:line="500" w:lineRule="exact"/>
        <w:ind w:firstLine="482" w:firstLineChars="200"/>
        <w:jc w:val="left"/>
        <w:rPr>
          <w:rFonts w:hint="eastAsia" w:ascii="宋体" w:hAnsi="宋体" w:cs="宋体"/>
          <w:kern w:val="0"/>
          <w:sz w:val="24"/>
        </w:rPr>
      </w:pPr>
      <w:r>
        <w:rPr>
          <w:rFonts w:hint="eastAsia" w:ascii="宋体" w:hAnsi="宋体" w:cs="宋体"/>
          <w:b/>
          <w:kern w:val="0"/>
          <w:sz w:val="24"/>
        </w:rPr>
        <w:t>4）奖惩措施。</w:t>
      </w:r>
      <w:r>
        <w:rPr>
          <w:rFonts w:hint="eastAsia" w:ascii="宋体" w:hAnsi="宋体" w:cs="宋体"/>
          <w:kern w:val="0"/>
          <w:sz w:val="24"/>
        </w:rPr>
        <w:t>①月度考核的奖惩：月度考核成绩得分在90分（含）以上的，全额支付当月经费；月度考核得分在90分以下，每扣1分扣除500元，每月考核成绩与拨付金额挂钩。②年终评比的奖惩：年度考核成绩以12个月考核成绩的平均分作为年度考核成绩，如年终考核90分以上的全额支付合同标的，90分-85分的扣除合同标10%的30%，85分-80分的扣除合同标的10%的50%，80分以下扣除合同标的10%的全部。垃圾音乐线服务合同到期后，投标人年终考核优秀的经双方协商合理价格下可续签一年。</w:t>
      </w:r>
      <w:r>
        <w:rPr>
          <w:rFonts w:hint="eastAsia" w:ascii="宋体" w:hAnsi="宋体" w:cs="宋体"/>
          <w:sz w:val="24"/>
        </w:rPr>
        <w:t>中标人</w:t>
      </w:r>
      <w:r>
        <w:rPr>
          <w:rFonts w:hint="eastAsia" w:ascii="宋体" w:hAnsi="宋体" w:cs="宋体"/>
          <w:b/>
          <w:sz w:val="24"/>
        </w:rPr>
        <w:t>连续三个月考核不合格</w:t>
      </w:r>
      <w:r>
        <w:rPr>
          <w:rFonts w:hint="eastAsia" w:ascii="宋体" w:hAnsi="宋体" w:cs="宋体"/>
          <w:kern w:val="0"/>
          <w:sz w:val="24"/>
        </w:rPr>
        <w:t>的标段，招标人将提前终止合同，由此造成的损失由中标人自行承担。</w:t>
      </w:r>
    </w:p>
    <w:p>
      <w:pPr>
        <w:widowControl/>
        <w:adjustRightInd w:val="0"/>
        <w:snapToGrid w:val="0"/>
        <w:ind w:firstLine="482" w:firstLineChars="200"/>
        <w:jc w:val="left"/>
        <w:rPr>
          <w:rFonts w:hint="eastAsia" w:ascii="仿宋_GB2312" w:hAnsi="宋体" w:cs="宋体"/>
          <w:b/>
          <w:kern w:val="0"/>
          <w:sz w:val="24"/>
        </w:rPr>
      </w:pPr>
      <w:r>
        <w:rPr>
          <w:rFonts w:hint="eastAsia" w:ascii="仿宋_GB2312" w:hAnsi="宋体" w:cs="宋体"/>
          <w:b/>
          <w:kern w:val="0"/>
          <w:sz w:val="24"/>
        </w:rPr>
        <w:t xml:space="preserve">  （三）保障与奖惩措施</w:t>
      </w:r>
    </w:p>
    <w:p>
      <w:pPr>
        <w:widowControl/>
        <w:adjustRightInd w:val="0"/>
        <w:snapToGrid w:val="0"/>
        <w:spacing w:line="500" w:lineRule="exact"/>
        <w:jc w:val="left"/>
        <w:rPr>
          <w:rFonts w:hint="eastAsia" w:ascii="仿宋_GB2312" w:hAnsi="宋体" w:cs="宋体"/>
          <w:kern w:val="0"/>
          <w:sz w:val="24"/>
        </w:rPr>
      </w:pPr>
      <w:r>
        <w:rPr>
          <w:rFonts w:hint="eastAsia" w:ascii="仿宋_GB2312" w:hAnsi="宋体" w:cs="宋体"/>
          <w:b/>
          <w:kern w:val="0"/>
          <w:sz w:val="24"/>
        </w:rPr>
        <w:t xml:space="preserve">    1、人员保障，</w:t>
      </w:r>
      <w:r>
        <w:rPr>
          <w:rFonts w:hint="eastAsia" w:ascii="仿宋_GB2312" w:hAnsi="宋体" w:cs="宋体"/>
          <w:kern w:val="0"/>
          <w:sz w:val="24"/>
        </w:rPr>
        <w:t>检查考核人员原则上由杭州市余杭区仓前街道城建管理办公室人员组成。</w:t>
      </w:r>
    </w:p>
    <w:p>
      <w:pPr>
        <w:widowControl/>
        <w:adjustRightInd w:val="0"/>
        <w:snapToGrid w:val="0"/>
        <w:spacing w:line="500" w:lineRule="exact"/>
        <w:jc w:val="left"/>
        <w:rPr>
          <w:rFonts w:hint="eastAsia" w:ascii="仿宋_GB2312" w:hAnsi="宋体" w:cs="宋体"/>
          <w:kern w:val="0"/>
          <w:sz w:val="24"/>
        </w:rPr>
      </w:pPr>
      <w:r>
        <w:rPr>
          <w:rFonts w:hint="eastAsia" w:ascii="仿宋_GB2312" w:hAnsi="宋体" w:cs="宋体"/>
          <w:b/>
          <w:kern w:val="0"/>
          <w:sz w:val="24"/>
        </w:rPr>
        <w:t xml:space="preserve">    2、纪律监督</w:t>
      </w:r>
      <w:r>
        <w:rPr>
          <w:rFonts w:hint="eastAsia" w:ascii="仿宋_GB2312" w:hAnsi="宋体" w:cs="宋体"/>
          <w:kern w:val="0"/>
          <w:sz w:val="24"/>
        </w:rPr>
        <w:t>。检查考核人员要做到廉洁自律，秉公办事，文明工作，严格检查考核纪律，严格执行检查考核操作规程。检查组成员在检查考核期间一律不得使用私人通讯工具，严禁泄漏检查考核中抽签内容、检查路线、考核成绩等信息。要自觉接受监督，做到检查考核工作客观、透明、公正。</w:t>
      </w:r>
    </w:p>
    <w:p>
      <w:pPr>
        <w:widowControl/>
        <w:adjustRightInd w:val="0"/>
        <w:snapToGrid w:val="0"/>
        <w:spacing w:line="500" w:lineRule="exact"/>
        <w:ind w:firstLine="470" w:firstLineChars="195"/>
        <w:jc w:val="left"/>
        <w:rPr>
          <w:rFonts w:hint="eastAsia" w:ascii="仿宋_GB2312" w:hAnsi="宋体" w:cs="宋体"/>
          <w:kern w:val="0"/>
          <w:sz w:val="24"/>
        </w:rPr>
      </w:pPr>
      <w:r>
        <w:rPr>
          <w:rFonts w:hint="eastAsia" w:ascii="仿宋_GB2312" w:hAnsi="宋体" w:cs="宋体"/>
          <w:b/>
          <w:kern w:val="0"/>
          <w:sz w:val="24"/>
        </w:rPr>
        <w:t>3、信息查询。</w:t>
      </w:r>
      <w:r>
        <w:rPr>
          <w:rFonts w:hint="eastAsia" w:ascii="仿宋_GB2312" w:hAnsi="宋体" w:cs="宋体"/>
          <w:kern w:val="0"/>
          <w:sz w:val="24"/>
        </w:rPr>
        <w:t>检查考核的全过程对外公开，检查考核的信息和结果公开透明,接受监督和查询。</w:t>
      </w:r>
    </w:p>
    <w:p>
      <w:pPr>
        <w:widowControl/>
        <w:adjustRightInd w:val="0"/>
        <w:snapToGrid w:val="0"/>
        <w:spacing w:line="500" w:lineRule="exact"/>
        <w:ind w:firstLine="482" w:firstLineChars="200"/>
        <w:jc w:val="left"/>
        <w:rPr>
          <w:rFonts w:hint="eastAsia" w:ascii="仿宋_GB2312" w:hAnsi="宋体" w:cs="宋体"/>
          <w:kern w:val="0"/>
          <w:sz w:val="24"/>
        </w:rPr>
      </w:pPr>
      <w:r>
        <w:rPr>
          <w:rFonts w:hint="eastAsia" w:ascii="仿宋_GB2312" w:hAnsi="宋体" w:cs="宋体"/>
          <w:b/>
          <w:kern w:val="0"/>
          <w:sz w:val="24"/>
        </w:rPr>
        <w:t>4、反馈检查情况。</w:t>
      </w:r>
      <w:r>
        <w:rPr>
          <w:rFonts w:hint="eastAsia" w:ascii="仿宋_GB2312" w:hAnsi="宋体" w:cs="宋体"/>
          <w:kern w:val="0"/>
          <w:sz w:val="24"/>
        </w:rPr>
        <w:t>杭州市余杭区仓前街道城建管理办公室应于次日将前一日检查考核中发现的问题以书面形式或电子文档形式告知相关单位落实整改；并接受相关单位对当次检查记录的查询。</w:t>
      </w:r>
    </w:p>
    <w:p>
      <w:pPr>
        <w:widowControl/>
        <w:adjustRightInd w:val="0"/>
        <w:snapToGrid w:val="0"/>
        <w:spacing w:line="500" w:lineRule="exact"/>
        <w:jc w:val="left"/>
        <w:rPr>
          <w:rFonts w:hint="eastAsia" w:ascii="仿宋_GB2312" w:hAnsi="宋体" w:cs="宋体"/>
          <w:b/>
          <w:kern w:val="0"/>
          <w:sz w:val="28"/>
          <w:szCs w:val="28"/>
        </w:rPr>
      </w:pPr>
      <w:r>
        <w:rPr>
          <w:rFonts w:hint="eastAsia" w:ascii="仿宋_GB2312" w:hAnsi="宋体" w:cs="宋体"/>
          <w:b/>
          <w:kern w:val="0"/>
          <w:sz w:val="28"/>
          <w:szCs w:val="28"/>
        </w:rPr>
        <w:t xml:space="preserve">  （四）加扣惩罚措施：</w:t>
      </w:r>
    </w:p>
    <w:p>
      <w:pPr>
        <w:adjustRightInd w:val="0"/>
        <w:snapToGrid w:val="0"/>
        <w:spacing w:line="500" w:lineRule="exact"/>
        <w:rPr>
          <w:rFonts w:hint="eastAsia" w:ascii="仿宋_GB2312" w:hAnsi="宋体" w:cs="宋体"/>
          <w:kern w:val="0"/>
          <w:sz w:val="24"/>
        </w:rPr>
      </w:pPr>
      <w:r>
        <w:rPr>
          <w:rFonts w:hint="eastAsia" w:ascii="仿宋_GB2312" w:hAnsi="宋体" w:cs="宋体"/>
          <w:kern w:val="0"/>
          <w:sz w:val="24"/>
        </w:rPr>
        <w:t xml:space="preserve">   1、仓前街道城建管理办公室对中标单位承诺用于中标区块范围内的机械设备，每月进行GPS的线路点检，如承诺的设备出现垃圾转运以外线路的情况，每发现一次扣5000元。设备车牌号需同承诺的车牌号码一致，如不一致，视为未能到场。</w:t>
      </w:r>
    </w:p>
    <w:p>
      <w:pPr>
        <w:adjustRightInd w:val="0"/>
        <w:snapToGrid w:val="0"/>
        <w:spacing w:line="500" w:lineRule="exact"/>
        <w:rPr>
          <w:rFonts w:hint="eastAsia" w:ascii="仿宋_GB2312" w:hAnsi="宋体" w:cs="宋体"/>
          <w:kern w:val="0"/>
          <w:sz w:val="24"/>
        </w:rPr>
      </w:pPr>
      <w:r>
        <w:rPr>
          <w:rFonts w:hint="eastAsia" w:ascii="仿宋_GB2312" w:hAnsi="宋体" w:cs="宋体"/>
          <w:kern w:val="0"/>
          <w:sz w:val="24"/>
        </w:rPr>
        <w:t xml:space="preserve">   2、中标单位不得将生活垃圾进行混运，可腐垃圾与不可腐垃圾需分类运输，发现一次扣5000元。</w:t>
      </w:r>
    </w:p>
    <w:p>
      <w:pPr>
        <w:adjustRightInd w:val="0"/>
        <w:snapToGrid w:val="0"/>
        <w:spacing w:line="430" w:lineRule="exact"/>
        <w:rPr>
          <w:rFonts w:hint="eastAsia" w:ascii="仿宋_GB2312" w:hAnsi="宋体" w:cs="宋体"/>
          <w:kern w:val="0"/>
          <w:sz w:val="24"/>
        </w:rPr>
      </w:pPr>
    </w:p>
    <w:p>
      <w:pPr>
        <w:adjustRightInd w:val="0"/>
        <w:snapToGrid w:val="0"/>
        <w:spacing w:line="430" w:lineRule="exact"/>
        <w:ind w:firstLine="551" w:firstLineChars="196"/>
        <w:rPr>
          <w:rFonts w:hint="eastAsia" w:ascii="仿宋_GB2312" w:hAnsi="宋体" w:cs="宋体"/>
          <w:b/>
          <w:kern w:val="0"/>
          <w:sz w:val="28"/>
          <w:szCs w:val="28"/>
        </w:rPr>
      </w:pPr>
      <w:r>
        <w:rPr>
          <w:rFonts w:hint="eastAsia" w:ascii="仿宋_GB2312" w:hAnsi="宋体" w:cs="宋体"/>
          <w:b/>
          <w:kern w:val="0"/>
          <w:sz w:val="28"/>
          <w:szCs w:val="28"/>
        </w:rPr>
        <w:t>3、被区市有关部门抄告的每次扣5000元</w:t>
      </w:r>
    </w:p>
    <w:p>
      <w:pPr>
        <w:adjustRightInd w:val="0"/>
        <w:snapToGrid w:val="0"/>
        <w:spacing w:line="430" w:lineRule="exact"/>
        <w:rPr>
          <w:rFonts w:hint="eastAsia" w:ascii="仿宋_GB2312" w:hAnsi="宋体" w:cs="宋体"/>
          <w:b/>
          <w:kern w:val="0"/>
          <w:sz w:val="28"/>
          <w:szCs w:val="28"/>
        </w:rPr>
      </w:pPr>
      <w:r>
        <w:rPr>
          <w:rFonts w:hint="eastAsia" w:ascii="仿宋_GB2312" w:hAnsi="宋体" w:cs="宋体"/>
          <w:b/>
          <w:kern w:val="0"/>
          <w:sz w:val="28"/>
          <w:szCs w:val="28"/>
        </w:rPr>
        <w:t xml:space="preserve">    4、被区级媒体通报的每次扣10000元</w:t>
      </w:r>
    </w:p>
    <w:p>
      <w:pPr>
        <w:adjustRightInd w:val="0"/>
        <w:snapToGrid w:val="0"/>
        <w:spacing w:line="430" w:lineRule="exact"/>
        <w:ind w:firstLine="551" w:firstLineChars="196"/>
        <w:rPr>
          <w:rFonts w:hint="eastAsia" w:ascii="仿宋_GB2312" w:hAnsi="宋体" w:cs="宋体"/>
          <w:b/>
          <w:kern w:val="0"/>
          <w:sz w:val="28"/>
          <w:szCs w:val="28"/>
        </w:rPr>
      </w:pPr>
      <w:r>
        <w:rPr>
          <w:rFonts w:hint="eastAsia" w:ascii="仿宋_GB2312" w:hAnsi="宋体" w:cs="宋体"/>
          <w:b/>
          <w:kern w:val="0"/>
          <w:sz w:val="28"/>
          <w:szCs w:val="28"/>
        </w:rPr>
        <w:t>5、被省市媒体通报的每次扣20000元</w:t>
      </w:r>
    </w:p>
    <w:p>
      <w:pPr>
        <w:adjustRightInd w:val="0"/>
        <w:snapToGrid w:val="0"/>
        <w:spacing w:line="430" w:lineRule="exact"/>
        <w:ind w:firstLine="551" w:firstLineChars="196"/>
        <w:rPr>
          <w:rFonts w:hint="eastAsia" w:ascii="宋体" w:hAnsi="宋体"/>
          <w:sz w:val="28"/>
          <w:szCs w:val="28"/>
        </w:rPr>
      </w:pPr>
      <w:r>
        <w:rPr>
          <w:rFonts w:hint="eastAsia" w:ascii="仿宋_GB2312" w:hAnsi="宋体" w:cs="宋体"/>
          <w:b/>
          <w:kern w:val="0"/>
          <w:sz w:val="28"/>
          <w:szCs w:val="28"/>
        </w:rPr>
        <w:t>6、连续两次被媒体曝光的，甲方有权解除合同。</w:t>
      </w:r>
    </w:p>
    <w:p>
      <w:pPr>
        <w:spacing w:line="420" w:lineRule="exact"/>
        <w:rPr>
          <w:rFonts w:hint="eastAsia" w:ascii="宋体" w:hAnsi="宋体" w:cs="宋体"/>
          <w:b/>
          <w:sz w:val="28"/>
          <w:szCs w:val="28"/>
        </w:rPr>
      </w:pPr>
      <w:r>
        <w:rPr>
          <w:rFonts w:hint="eastAsia" w:ascii="宋体" w:hAnsi="宋体"/>
          <w:b/>
          <w:sz w:val="28"/>
          <w:szCs w:val="28"/>
        </w:rPr>
        <w:t xml:space="preserve">    7、</w:t>
      </w:r>
      <w:r>
        <w:rPr>
          <w:rFonts w:hint="eastAsia" w:ascii="宋体" w:hAnsi="宋体" w:cs="宋体"/>
          <w:b/>
          <w:sz w:val="28"/>
          <w:szCs w:val="28"/>
        </w:rPr>
        <w:t>区级季度考核中，清运单项考核成绩累计最差两次或区级城市管理考核领导小组在示范街创建考核中，因清运不合格导致创建不成功的，甲方有权终止合同。</w:t>
      </w:r>
    </w:p>
    <w:p>
      <w:pPr>
        <w:snapToGrid w:val="0"/>
        <w:spacing w:line="360" w:lineRule="auto"/>
        <w:jc w:val="both"/>
        <w:rPr>
          <w:rFonts w:ascii="仿宋" w:hAnsi="仿宋" w:eastAsia="仿宋" w:cs="仿宋_GB2312"/>
          <w:b/>
          <w:sz w:val="36"/>
          <w:szCs w:val="36"/>
        </w:rPr>
      </w:pPr>
      <w:r>
        <w:rPr>
          <w:rFonts w:ascii="仿宋" w:hAnsi="仿宋" w:eastAsia="仿宋" w:cs="仿宋_GB2312"/>
          <w:b/>
          <w:sz w:val="24"/>
        </w:rPr>
        <w:br w:type="page"/>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9" w:name="_Toc184308057"/>
      <w:bookmarkEnd w:id="29"/>
      <w:bookmarkStart w:id="30" w:name="_Toc184308042"/>
      <w:bookmarkEnd w:id="30"/>
      <w:bookmarkStart w:id="31" w:name="_Toc184312139"/>
      <w:bookmarkEnd w:id="31"/>
      <w:bookmarkStart w:id="32" w:name="_Toc184308051"/>
      <w:bookmarkEnd w:id="32"/>
      <w:bookmarkStart w:id="33" w:name="_Toc184313274"/>
      <w:bookmarkEnd w:id="33"/>
      <w:bookmarkStart w:id="34" w:name="_Toc184308083"/>
      <w:bookmarkEnd w:id="34"/>
      <w:bookmarkStart w:id="35" w:name="_Toc184308102"/>
      <w:bookmarkEnd w:id="35"/>
      <w:bookmarkStart w:id="36" w:name="_Toc184313282"/>
      <w:bookmarkEnd w:id="36"/>
      <w:bookmarkStart w:id="37" w:name="_Toc184314461"/>
      <w:bookmarkEnd w:id="37"/>
      <w:bookmarkStart w:id="38" w:name="_Toc184310339"/>
      <w:bookmarkEnd w:id="38"/>
      <w:bookmarkStart w:id="39" w:name="_Toc184314440"/>
      <w:bookmarkEnd w:id="39"/>
      <w:bookmarkStart w:id="40" w:name="_Toc184312115"/>
      <w:bookmarkEnd w:id="40"/>
      <w:bookmarkStart w:id="41" w:name="_Toc184310342"/>
      <w:bookmarkEnd w:id="41"/>
      <w:bookmarkStart w:id="42" w:name="_Toc184308053"/>
      <w:bookmarkEnd w:id="42"/>
      <w:bookmarkStart w:id="43" w:name="_Toc184308077"/>
      <w:bookmarkEnd w:id="43"/>
      <w:bookmarkStart w:id="44" w:name="_Toc184314448"/>
      <w:bookmarkEnd w:id="44"/>
      <w:bookmarkStart w:id="45" w:name="_Toc184312136"/>
      <w:bookmarkEnd w:id="45"/>
      <w:bookmarkStart w:id="46" w:name="_Toc184312112"/>
      <w:bookmarkEnd w:id="46"/>
      <w:bookmarkStart w:id="47" w:name="_Toc184312131"/>
      <w:bookmarkEnd w:id="47"/>
      <w:bookmarkStart w:id="48" w:name="_Toc184310292"/>
      <w:bookmarkEnd w:id="48"/>
      <w:bookmarkStart w:id="49" w:name="_Toc184310306"/>
      <w:bookmarkEnd w:id="49"/>
      <w:bookmarkStart w:id="50" w:name="_Toc184312087"/>
      <w:bookmarkEnd w:id="50"/>
      <w:bookmarkStart w:id="51" w:name="_Toc184308070"/>
      <w:bookmarkEnd w:id="51"/>
      <w:bookmarkStart w:id="52" w:name="_Toc184313240"/>
      <w:bookmarkEnd w:id="52"/>
      <w:bookmarkStart w:id="53" w:name="_Toc184314453"/>
      <w:bookmarkEnd w:id="53"/>
      <w:bookmarkStart w:id="54" w:name="_Toc184310313"/>
      <w:bookmarkEnd w:id="54"/>
      <w:bookmarkStart w:id="55" w:name="_Toc184312078"/>
      <w:bookmarkEnd w:id="55"/>
      <w:bookmarkStart w:id="56" w:name="_Toc184310285"/>
      <w:bookmarkEnd w:id="56"/>
      <w:bookmarkStart w:id="57" w:name="_Toc184312088"/>
      <w:bookmarkEnd w:id="57"/>
      <w:bookmarkStart w:id="58" w:name="_Toc184314410"/>
      <w:bookmarkEnd w:id="58"/>
      <w:bookmarkStart w:id="59" w:name="_Toc184308059"/>
      <w:bookmarkEnd w:id="59"/>
      <w:bookmarkStart w:id="60" w:name="_Toc184313270"/>
      <w:bookmarkEnd w:id="60"/>
      <w:bookmarkStart w:id="61" w:name="_Toc184312101"/>
      <w:bookmarkEnd w:id="61"/>
      <w:bookmarkStart w:id="62" w:name="_Toc184313239"/>
      <w:bookmarkEnd w:id="62"/>
      <w:bookmarkStart w:id="63" w:name="_Toc184312108"/>
      <w:bookmarkEnd w:id="63"/>
      <w:bookmarkStart w:id="64" w:name="_Toc184310293"/>
      <w:bookmarkEnd w:id="64"/>
      <w:bookmarkStart w:id="65" w:name="_Toc184313279"/>
      <w:bookmarkEnd w:id="65"/>
      <w:bookmarkStart w:id="66" w:name="_Toc184312071"/>
      <w:bookmarkEnd w:id="66"/>
      <w:bookmarkStart w:id="67" w:name="_Toc184308066"/>
      <w:bookmarkEnd w:id="67"/>
      <w:bookmarkStart w:id="68" w:name="_Toc184308065"/>
      <w:bookmarkEnd w:id="68"/>
      <w:bookmarkStart w:id="69" w:name="_Toc184310303"/>
      <w:bookmarkEnd w:id="69"/>
      <w:bookmarkStart w:id="70" w:name="_Toc184312100"/>
      <w:bookmarkEnd w:id="70"/>
      <w:bookmarkStart w:id="71" w:name="_Toc184313281"/>
      <w:bookmarkEnd w:id="71"/>
      <w:bookmarkStart w:id="72" w:name="_Toc184312082"/>
      <w:bookmarkEnd w:id="72"/>
      <w:bookmarkStart w:id="73" w:name="_Toc184312070"/>
      <w:bookmarkEnd w:id="73"/>
      <w:bookmarkStart w:id="74" w:name="_Toc184310282"/>
      <w:bookmarkEnd w:id="74"/>
      <w:bookmarkStart w:id="75" w:name="_Toc184314419"/>
      <w:bookmarkEnd w:id="75"/>
      <w:bookmarkStart w:id="76" w:name="_Toc184313258"/>
      <w:bookmarkEnd w:id="76"/>
      <w:bookmarkStart w:id="77" w:name="_Toc184313268"/>
      <w:bookmarkEnd w:id="77"/>
      <w:bookmarkStart w:id="78" w:name="_Toc184308094"/>
      <w:bookmarkEnd w:id="78"/>
      <w:bookmarkStart w:id="79" w:name="_Toc184310328"/>
      <w:bookmarkEnd w:id="79"/>
      <w:bookmarkStart w:id="80" w:name="_Toc184312081"/>
      <w:bookmarkEnd w:id="80"/>
      <w:bookmarkStart w:id="81" w:name="_Toc184308052"/>
      <w:bookmarkEnd w:id="81"/>
      <w:bookmarkStart w:id="82" w:name="_Toc184314451"/>
      <w:bookmarkEnd w:id="82"/>
      <w:bookmarkStart w:id="83" w:name="_Toc184310337"/>
      <w:bookmarkEnd w:id="83"/>
      <w:bookmarkStart w:id="84" w:name="_Toc184314426"/>
      <w:bookmarkEnd w:id="84"/>
      <w:bookmarkStart w:id="85" w:name="_Toc184314456"/>
      <w:bookmarkEnd w:id="85"/>
      <w:bookmarkStart w:id="86" w:name="_Toc184310315"/>
      <w:bookmarkEnd w:id="86"/>
      <w:bookmarkStart w:id="87" w:name="_Toc184313267"/>
      <w:bookmarkEnd w:id="87"/>
      <w:bookmarkStart w:id="88" w:name="_Toc184310319"/>
      <w:bookmarkEnd w:id="88"/>
      <w:bookmarkStart w:id="89" w:name="_Toc184308069"/>
      <w:bookmarkEnd w:id="89"/>
      <w:bookmarkStart w:id="90" w:name="_Toc184313256"/>
      <w:bookmarkEnd w:id="90"/>
      <w:bookmarkStart w:id="91" w:name="_Toc184312124"/>
      <w:bookmarkEnd w:id="91"/>
      <w:bookmarkStart w:id="92" w:name="_Toc184310305"/>
      <w:bookmarkEnd w:id="92"/>
      <w:bookmarkStart w:id="93" w:name="_Toc184310284"/>
      <w:bookmarkEnd w:id="93"/>
      <w:bookmarkStart w:id="94" w:name="_Toc184308071"/>
      <w:bookmarkEnd w:id="94"/>
      <w:bookmarkStart w:id="95" w:name="_Toc184310317"/>
      <w:bookmarkEnd w:id="95"/>
      <w:bookmarkStart w:id="96" w:name="_Toc184312118"/>
      <w:bookmarkEnd w:id="96"/>
      <w:bookmarkStart w:id="97" w:name="_Toc184310296"/>
      <w:bookmarkEnd w:id="97"/>
      <w:bookmarkStart w:id="98" w:name="_Toc184314432"/>
      <w:bookmarkEnd w:id="98"/>
      <w:bookmarkStart w:id="99" w:name="_Toc184313264"/>
      <w:bookmarkEnd w:id="99"/>
      <w:bookmarkStart w:id="100" w:name="_Toc184314446"/>
      <w:bookmarkEnd w:id="100"/>
      <w:bookmarkStart w:id="101" w:name="_Toc184308055"/>
      <w:bookmarkEnd w:id="101"/>
      <w:bookmarkStart w:id="102" w:name="_Toc184314420"/>
      <w:bookmarkEnd w:id="102"/>
      <w:bookmarkStart w:id="103" w:name="_Toc184314475"/>
      <w:bookmarkEnd w:id="103"/>
      <w:bookmarkStart w:id="104" w:name="_Toc184310323"/>
      <w:bookmarkEnd w:id="104"/>
      <w:bookmarkStart w:id="105" w:name="_Toc184314445"/>
      <w:bookmarkEnd w:id="105"/>
      <w:bookmarkStart w:id="106" w:name="_Toc184313254"/>
      <w:bookmarkEnd w:id="106"/>
      <w:bookmarkStart w:id="107" w:name="_Toc184314444"/>
      <w:bookmarkEnd w:id="107"/>
      <w:bookmarkStart w:id="108" w:name="_Toc184312103"/>
      <w:bookmarkEnd w:id="108"/>
      <w:bookmarkStart w:id="109" w:name="_Toc184310311"/>
      <w:bookmarkEnd w:id="109"/>
      <w:bookmarkStart w:id="110" w:name="_Toc184308082"/>
      <w:bookmarkEnd w:id="110"/>
      <w:bookmarkStart w:id="111" w:name="_Toc184312084"/>
      <w:bookmarkEnd w:id="111"/>
      <w:bookmarkStart w:id="112" w:name="_Toc184312068"/>
      <w:bookmarkEnd w:id="112"/>
      <w:bookmarkStart w:id="113" w:name="_Toc184314441"/>
      <w:bookmarkEnd w:id="113"/>
      <w:bookmarkStart w:id="114" w:name="_Toc184310301"/>
      <w:bookmarkEnd w:id="114"/>
      <w:bookmarkStart w:id="115" w:name="_Toc184313259"/>
      <w:bookmarkEnd w:id="115"/>
      <w:bookmarkStart w:id="116" w:name="_Toc184313247"/>
      <w:bookmarkEnd w:id="116"/>
      <w:bookmarkStart w:id="117" w:name="_Toc184310300"/>
      <w:bookmarkEnd w:id="117"/>
      <w:bookmarkStart w:id="118" w:name="_Toc184313291"/>
      <w:bookmarkEnd w:id="118"/>
      <w:bookmarkStart w:id="119" w:name="_Toc184312083"/>
      <w:bookmarkEnd w:id="119"/>
      <w:bookmarkStart w:id="120" w:name="_Toc184312102"/>
      <w:bookmarkEnd w:id="120"/>
      <w:bookmarkStart w:id="121" w:name="_Toc184312097"/>
      <w:bookmarkEnd w:id="121"/>
      <w:bookmarkStart w:id="122" w:name="_Toc184313255"/>
      <w:bookmarkEnd w:id="122"/>
      <w:bookmarkStart w:id="123" w:name="_Toc184314438"/>
      <w:bookmarkEnd w:id="123"/>
      <w:bookmarkStart w:id="124" w:name="_Toc184310308"/>
      <w:bookmarkEnd w:id="124"/>
      <w:bookmarkStart w:id="125" w:name="_Toc184308079"/>
      <w:bookmarkEnd w:id="125"/>
      <w:bookmarkStart w:id="126" w:name="_Toc184312116"/>
      <w:bookmarkEnd w:id="126"/>
      <w:bookmarkStart w:id="127" w:name="_Toc184313310"/>
      <w:bookmarkEnd w:id="127"/>
      <w:bookmarkStart w:id="128" w:name="_Toc184308048"/>
      <w:bookmarkEnd w:id="128"/>
      <w:bookmarkStart w:id="129" w:name="_Toc184314428"/>
      <w:bookmarkEnd w:id="129"/>
      <w:bookmarkStart w:id="130" w:name="_Toc184310309"/>
      <w:bookmarkEnd w:id="130"/>
      <w:bookmarkStart w:id="131" w:name="_Toc184310341"/>
      <w:bookmarkEnd w:id="131"/>
      <w:bookmarkStart w:id="132" w:name="_Toc184312135"/>
      <w:bookmarkEnd w:id="132"/>
      <w:bookmarkStart w:id="133" w:name="_Toc184310302"/>
      <w:bookmarkEnd w:id="133"/>
      <w:bookmarkStart w:id="134" w:name="_Toc184313287"/>
      <w:bookmarkEnd w:id="134"/>
      <w:bookmarkStart w:id="135" w:name="_Toc184308101"/>
      <w:bookmarkEnd w:id="135"/>
      <w:bookmarkStart w:id="136" w:name="_Toc184312110"/>
      <w:bookmarkEnd w:id="136"/>
      <w:bookmarkStart w:id="137" w:name="_Toc184313238"/>
      <w:bookmarkEnd w:id="137"/>
      <w:bookmarkStart w:id="138" w:name="_Toc184313253"/>
      <w:bookmarkEnd w:id="138"/>
      <w:bookmarkStart w:id="139" w:name="_Toc184308105"/>
      <w:bookmarkEnd w:id="139"/>
      <w:bookmarkStart w:id="140" w:name="_Toc184308058"/>
      <w:bookmarkEnd w:id="140"/>
      <w:bookmarkStart w:id="141" w:name="_Toc184312094"/>
      <w:bookmarkEnd w:id="141"/>
      <w:bookmarkStart w:id="142" w:name="_Toc184313257"/>
      <w:bookmarkEnd w:id="142"/>
      <w:bookmarkStart w:id="143" w:name="_Toc184313283"/>
      <w:bookmarkEnd w:id="143"/>
      <w:bookmarkStart w:id="144" w:name="_Toc184310314"/>
      <w:bookmarkEnd w:id="144"/>
      <w:bookmarkStart w:id="145" w:name="_Toc184314473"/>
      <w:bookmarkEnd w:id="145"/>
      <w:bookmarkStart w:id="146" w:name="_Toc184314450"/>
      <w:bookmarkEnd w:id="146"/>
      <w:bookmarkStart w:id="147" w:name="_Toc184308036"/>
      <w:bookmarkEnd w:id="147"/>
      <w:bookmarkStart w:id="148" w:name="_Toc184313308"/>
      <w:bookmarkEnd w:id="148"/>
      <w:bookmarkStart w:id="149" w:name="_Toc184313277"/>
      <w:bookmarkEnd w:id="149"/>
      <w:bookmarkStart w:id="150" w:name="_Toc184313266"/>
      <w:bookmarkEnd w:id="150"/>
      <w:bookmarkStart w:id="151" w:name="_Toc184312079"/>
      <w:bookmarkEnd w:id="151"/>
      <w:bookmarkStart w:id="152" w:name="_Toc184310310"/>
      <w:bookmarkEnd w:id="152"/>
      <w:bookmarkStart w:id="153" w:name="_Toc184308084"/>
      <w:bookmarkEnd w:id="153"/>
      <w:bookmarkStart w:id="154" w:name="_Toc184308047"/>
      <w:bookmarkEnd w:id="154"/>
      <w:bookmarkStart w:id="155" w:name="_Toc184308078"/>
      <w:bookmarkEnd w:id="155"/>
      <w:bookmarkStart w:id="156" w:name="_Toc184310322"/>
      <w:bookmarkEnd w:id="156"/>
      <w:bookmarkStart w:id="157" w:name="_Toc184310272"/>
      <w:bookmarkEnd w:id="157"/>
      <w:bookmarkStart w:id="158" w:name="_Toc184314454"/>
      <w:bookmarkEnd w:id="158"/>
      <w:bookmarkStart w:id="159" w:name="_Toc184313303"/>
      <w:bookmarkEnd w:id="159"/>
      <w:bookmarkStart w:id="160" w:name="_Toc184313273"/>
      <w:bookmarkEnd w:id="160"/>
      <w:bookmarkStart w:id="161" w:name="_Toc184313269"/>
      <w:bookmarkEnd w:id="161"/>
      <w:bookmarkStart w:id="162" w:name="_Toc184312106"/>
      <w:bookmarkEnd w:id="162"/>
      <w:bookmarkStart w:id="163" w:name="_Toc184313251"/>
      <w:bookmarkEnd w:id="163"/>
      <w:bookmarkStart w:id="164" w:name="_Toc184312098"/>
      <w:bookmarkEnd w:id="164"/>
      <w:bookmarkStart w:id="165" w:name="_Toc184312095"/>
      <w:bookmarkEnd w:id="165"/>
      <w:bookmarkStart w:id="166" w:name="_Toc184314431"/>
      <w:bookmarkEnd w:id="166"/>
      <w:bookmarkStart w:id="167" w:name="_Toc184312067"/>
      <w:bookmarkEnd w:id="167"/>
      <w:bookmarkStart w:id="168" w:name="_Toc184314424"/>
      <w:bookmarkEnd w:id="168"/>
      <w:bookmarkStart w:id="169" w:name="_Toc184313275"/>
      <w:bookmarkEnd w:id="169"/>
      <w:bookmarkStart w:id="170" w:name="_Toc184313249"/>
      <w:bookmarkEnd w:id="170"/>
      <w:bookmarkStart w:id="171" w:name="_Toc184312085"/>
      <w:bookmarkEnd w:id="171"/>
      <w:bookmarkStart w:id="172" w:name="_Toc184313271"/>
      <w:bookmarkEnd w:id="172"/>
      <w:bookmarkStart w:id="173" w:name="_Toc184308056"/>
      <w:bookmarkEnd w:id="173"/>
      <w:bookmarkStart w:id="174" w:name="_Toc184314429"/>
      <w:bookmarkEnd w:id="174"/>
      <w:bookmarkStart w:id="175" w:name="_Toc184308039"/>
      <w:bookmarkEnd w:id="175"/>
      <w:bookmarkStart w:id="176" w:name="_Toc184312069"/>
      <w:bookmarkEnd w:id="176"/>
      <w:bookmarkStart w:id="177" w:name="_Toc184313296"/>
      <w:bookmarkEnd w:id="177"/>
      <w:bookmarkStart w:id="178" w:name="_Toc184310330"/>
      <w:bookmarkEnd w:id="178"/>
      <w:bookmarkStart w:id="179" w:name="_Toc184310336"/>
      <w:bookmarkEnd w:id="179"/>
      <w:bookmarkStart w:id="180" w:name="_Toc184308074"/>
      <w:bookmarkEnd w:id="180"/>
      <w:bookmarkStart w:id="181" w:name="_Toc184314459"/>
      <w:bookmarkEnd w:id="181"/>
      <w:bookmarkStart w:id="182" w:name="_Toc184313292"/>
      <w:bookmarkEnd w:id="182"/>
      <w:bookmarkStart w:id="183" w:name="_Toc184310273"/>
      <w:bookmarkEnd w:id="183"/>
      <w:bookmarkStart w:id="184" w:name="_Toc184312125"/>
      <w:bookmarkEnd w:id="184"/>
      <w:bookmarkStart w:id="185" w:name="_Toc184310298"/>
      <w:bookmarkEnd w:id="185"/>
      <w:bookmarkStart w:id="186" w:name="_Toc184313307"/>
      <w:bookmarkEnd w:id="186"/>
      <w:bookmarkStart w:id="187" w:name="_Toc184308061"/>
      <w:bookmarkEnd w:id="187"/>
      <w:bookmarkStart w:id="188" w:name="_Toc184314425"/>
      <w:bookmarkEnd w:id="188"/>
      <w:bookmarkStart w:id="189" w:name="_Toc184310332"/>
      <w:bookmarkEnd w:id="189"/>
      <w:bookmarkStart w:id="190" w:name="_Toc184314434"/>
      <w:bookmarkEnd w:id="190"/>
      <w:bookmarkStart w:id="191" w:name="_Toc184310281"/>
      <w:bookmarkEnd w:id="191"/>
      <w:bookmarkStart w:id="192" w:name="_Toc184308060"/>
      <w:bookmarkEnd w:id="192"/>
      <w:bookmarkStart w:id="193" w:name="_Toc184312077"/>
      <w:bookmarkEnd w:id="193"/>
      <w:bookmarkStart w:id="194" w:name="_Toc184314430"/>
      <w:bookmarkEnd w:id="194"/>
      <w:bookmarkStart w:id="195" w:name="_Toc184313248"/>
      <w:bookmarkEnd w:id="195"/>
      <w:bookmarkStart w:id="196" w:name="_Toc184310297"/>
      <w:bookmarkEnd w:id="196"/>
      <w:bookmarkStart w:id="197" w:name="_Toc184308041"/>
      <w:bookmarkEnd w:id="197"/>
      <w:bookmarkStart w:id="198" w:name="_Toc184310299"/>
      <w:bookmarkEnd w:id="198"/>
      <w:bookmarkStart w:id="199" w:name="_Toc184314416"/>
      <w:bookmarkEnd w:id="199"/>
      <w:bookmarkStart w:id="200" w:name="_Toc184312086"/>
      <w:bookmarkEnd w:id="200"/>
      <w:bookmarkStart w:id="201" w:name="_Toc184308054"/>
      <w:bookmarkEnd w:id="201"/>
      <w:bookmarkStart w:id="202" w:name="_Toc184310291"/>
      <w:bookmarkEnd w:id="202"/>
      <w:bookmarkStart w:id="203" w:name="_Toc184314458"/>
      <w:bookmarkEnd w:id="203"/>
      <w:bookmarkStart w:id="204" w:name="_Toc184312073"/>
      <w:bookmarkEnd w:id="204"/>
      <w:bookmarkStart w:id="205" w:name="_Toc184314478"/>
      <w:bookmarkEnd w:id="205"/>
      <w:bookmarkStart w:id="206" w:name="_Toc184308064"/>
      <w:bookmarkEnd w:id="206"/>
      <w:bookmarkStart w:id="207" w:name="_Toc184310274"/>
      <w:bookmarkEnd w:id="207"/>
      <w:bookmarkStart w:id="208" w:name="_Toc184308045"/>
      <w:bookmarkEnd w:id="208"/>
      <w:bookmarkStart w:id="209" w:name="_Toc184313263"/>
      <w:bookmarkEnd w:id="209"/>
      <w:bookmarkStart w:id="210" w:name="_Toc184308043"/>
      <w:bookmarkEnd w:id="210"/>
      <w:bookmarkStart w:id="211" w:name="_Toc184310343"/>
      <w:bookmarkEnd w:id="211"/>
      <w:bookmarkStart w:id="212" w:name="_Toc184314414"/>
      <w:bookmarkEnd w:id="212"/>
      <w:bookmarkStart w:id="213" w:name="_Toc184314418"/>
      <w:bookmarkEnd w:id="213"/>
      <w:bookmarkStart w:id="214" w:name="_Toc184313305"/>
      <w:bookmarkEnd w:id="214"/>
      <w:bookmarkStart w:id="215" w:name="_Toc184308040"/>
      <w:bookmarkEnd w:id="215"/>
      <w:bookmarkStart w:id="216" w:name="_Toc184308067"/>
      <w:bookmarkEnd w:id="216"/>
      <w:bookmarkStart w:id="217" w:name="_Toc184308044"/>
      <w:bookmarkEnd w:id="217"/>
      <w:bookmarkStart w:id="218" w:name="_Toc184308050"/>
      <w:bookmarkEnd w:id="218"/>
      <w:bookmarkStart w:id="219" w:name="_Toc184308103"/>
      <w:bookmarkEnd w:id="219"/>
      <w:bookmarkStart w:id="220" w:name="_Toc184313280"/>
      <w:bookmarkEnd w:id="220"/>
      <w:bookmarkStart w:id="221" w:name="_Toc184308068"/>
      <w:bookmarkEnd w:id="221"/>
      <w:bookmarkStart w:id="222" w:name="_Toc184314437"/>
      <w:bookmarkEnd w:id="222"/>
      <w:bookmarkStart w:id="223" w:name="_Toc184314443"/>
      <w:bookmarkEnd w:id="223"/>
      <w:bookmarkStart w:id="224" w:name="_Toc184313276"/>
      <w:bookmarkEnd w:id="224"/>
      <w:bookmarkStart w:id="225" w:name="_Toc184313306"/>
      <w:bookmarkEnd w:id="225"/>
      <w:bookmarkStart w:id="226" w:name="_Toc184314449"/>
      <w:bookmarkEnd w:id="226"/>
      <w:bookmarkStart w:id="227" w:name="_Toc184314447"/>
      <w:bookmarkEnd w:id="227"/>
      <w:bookmarkStart w:id="228" w:name="_Toc184313309"/>
      <w:bookmarkEnd w:id="228"/>
      <w:bookmarkStart w:id="229" w:name="_Toc184310294"/>
      <w:bookmarkEnd w:id="229"/>
      <w:bookmarkStart w:id="230" w:name="_Toc184313286"/>
      <w:bookmarkEnd w:id="230"/>
      <w:bookmarkStart w:id="231" w:name="_Toc184308046"/>
      <w:bookmarkEnd w:id="231"/>
      <w:bookmarkStart w:id="232" w:name="_Toc184308099"/>
      <w:bookmarkEnd w:id="232"/>
      <w:bookmarkStart w:id="233" w:name="_Toc184310326"/>
      <w:bookmarkEnd w:id="233"/>
      <w:bookmarkStart w:id="234" w:name="_Toc184310289"/>
      <w:bookmarkEnd w:id="234"/>
      <w:bookmarkStart w:id="235" w:name="_Toc184314474"/>
      <w:bookmarkEnd w:id="235"/>
      <w:bookmarkStart w:id="236" w:name="_Toc184310280"/>
      <w:bookmarkEnd w:id="236"/>
      <w:bookmarkStart w:id="237" w:name="_Toc184314472"/>
      <w:bookmarkEnd w:id="237"/>
      <w:bookmarkStart w:id="238" w:name="_Toc184312117"/>
      <w:bookmarkEnd w:id="238"/>
      <w:bookmarkStart w:id="239" w:name="_Toc184310279"/>
      <w:bookmarkEnd w:id="239"/>
      <w:bookmarkStart w:id="240" w:name="_Toc184314433"/>
      <w:bookmarkEnd w:id="240"/>
      <w:bookmarkStart w:id="241" w:name="_Toc184313260"/>
      <w:bookmarkEnd w:id="241"/>
      <w:bookmarkStart w:id="242" w:name="_Toc184310277"/>
      <w:bookmarkEnd w:id="242"/>
      <w:bookmarkStart w:id="243" w:name="_Toc184314455"/>
      <w:bookmarkEnd w:id="243"/>
      <w:bookmarkStart w:id="244" w:name="_Toc184308049"/>
      <w:bookmarkEnd w:id="244"/>
      <w:bookmarkStart w:id="245" w:name="_Toc184310312"/>
      <w:bookmarkEnd w:id="245"/>
      <w:bookmarkStart w:id="246" w:name="_Toc184310338"/>
      <w:bookmarkEnd w:id="246"/>
      <w:bookmarkStart w:id="247" w:name="_Toc184312107"/>
      <w:bookmarkEnd w:id="247"/>
      <w:bookmarkStart w:id="248" w:name="_Toc184314413"/>
      <w:bookmarkEnd w:id="248"/>
      <w:bookmarkStart w:id="249" w:name="_Toc184310275"/>
      <w:bookmarkEnd w:id="249"/>
      <w:bookmarkStart w:id="250" w:name="_Toc184312091"/>
      <w:bookmarkEnd w:id="250"/>
      <w:bookmarkStart w:id="251" w:name="_Toc184312138"/>
      <w:bookmarkEnd w:id="251"/>
      <w:bookmarkStart w:id="252" w:name="_Toc184312111"/>
      <w:bookmarkEnd w:id="252"/>
      <w:bookmarkStart w:id="253" w:name="_Toc184313262"/>
      <w:bookmarkEnd w:id="253"/>
      <w:bookmarkStart w:id="254" w:name="_Toc184312127"/>
      <w:bookmarkEnd w:id="254"/>
      <w:bookmarkStart w:id="255" w:name="_Toc184312090"/>
      <w:bookmarkEnd w:id="255"/>
      <w:bookmarkStart w:id="256" w:name="_Toc184314457"/>
      <w:bookmarkEnd w:id="256"/>
      <w:bookmarkStart w:id="257" w:name="_Toc184312133"/>
      <w:bookmarkEnd w:id="257"/>
      <w:bookmarkStart w:id="258" w:name="_Toc184313285"/>
      <w:bookmarkEnd w:id="258"/>
      <w:bookmarkStart w:id="259" w:name="_Toc184310331"/>
      <w:bookmarkEnd w:id="259"/>
      <w:bookmarkStart w:id="260" w:name="_Toc184310290"/>
      <w:bookmarkEnd w:id="260"/>
      <w:bookmarkStart w:id="261" w:name="_Toc184314464"/>
      <w:bookmarkEnd w:id="261"/>
      <w:bookmarkStart w:id="262" w:name="_Toc184313278"/>
      <w:bookmarkEnd w:id="262"/>
      <w:bookmarkStart w:id="263" w:name="_Toc184312080"/>
      <w:bookmarkEnd w:id="263"/>
      <w:bookmarkStart w:id="264" w:name="_Toc184308091"/>
      <w:bookmarkEnd w:id="264"/>
      <w:bookmarkStart w:id="265" w:name="_Toc184313288"/>
      <w:bookmarkEnd w:id="265"/>
      <w:bookmarkStart w:id="266" w:name="_Toc184310335"/>
      <w:bookmarkEnd w:id="266"/>
      <w:bookmarkStart w:id="267" w:name="_Toc184308090"/>
      <w:bookmarkEnd w:id="267"/>
      <w:bookmarkStart w:id="268" w:name="_Toc184314427"/>
      <w:bookmarkEnd w:id="268"/>
      <w:bookmarkStart w:id="269" w:name="_Toc184312120"/>
      <w:bookmarkEnd w:id="269"/>
      <w:bookmarkStart w:id="270" w:name="_Toc184313261"/>
      <w:bookmarkEnd w:id="270"/>
      <w:bookmarkStart w:id="271" w:name="_Toc184312076"/>
      <w:bookmarkEnd w:id="271"/>
      <w:bookmarkStart w:id="272" w:name="_Toc184310316"/>
      <w:bookmarkEnd w:id="272"/>
      <w:bookmarkStart w:id="273" w:name="_Toc184313272"/>
      <w:bookmarkEnd w:id="273"/>
      <w:bookmarkStart w:id="274" w:name="_Toc184310329"/>
      <w:bookmarkEnd w:id="274"/>
      <w:bookmarkStart w:id="275" w:name="_Toc184312105"/>
      <w:bookmarkEnd w:id="275"/>
      <w:bookmarkStart w:id="276" w:name="_Toc184314422"/>
      <w:bookmarkEnd w:id="276"/>
      <w:bookmarkStart w:id="277" w:name="_Toc184313243"/>
      <w:bookmarkEnd w:id="277"/>
      <w:bookmarkStart w:id="278" w:name="_Toc184308081"/>
      <w:bookmarkEnd w:id="278"/>
      <w:bookmarkStart w:id="279" w:name="_Toc184310288"/>
      <w:bookmarkEnd w:id="279"/>
      <w:bookmarkStart w:id="280" w:name="_Toc184308089"/>
      <w:bookmarkEnd w:id="280"/>
      <w:bookmarkStart w:id="281" w:name="_Toc184310307"/>
      <w:bookmarkEnd w:id="281"/>
      <w:bookmarkStart w:id="282" w:name="_Toc184313244"/>
      <w:bookmarkEnd w:id="282"/>
      <w:bookmarkStart w:id="283" w:name="_Toc184313246"/>
      <w:bookmarkEnd w:id="283"/>
      <w:bookmarkStart w:id="284" w:name="_Toc184312089"/>
      <w:bookmarkEnd w:id="284"/>
      <w:bookmarkStart w:id="285" w:name="_Toc184314466"/>
      <w:bookmarkEnd w:id="285"/>
      <w:bookmarkStart w:id="286" w:name="_Toc184313298"/>
      <w:bookmarkEnd w:id="286"/>
      <w:bookmarkStart w:id="287" w:name="_Toc184312126"/>
      <w:bookmarkEnd w:id="287"/>
      <w:bookmarkStart w:id="288" w:name="_Toc184308075"/>
      <w:bookmarkEnd w:id="288"/>
      <w:bookmarkStart w:id="289" w:name="_Toc184308076"/>
      <w:bookmarkEnd w:id="289"/>
      <w:bookmarkStart w:id="290" w:name="_Toc184310304"/>
      <w:bookmarkEnd w:id="290"/>
      <w:bookmarkStart w:id="291" w:name="_Toc184313245"/>
      <w:bookmarkEnd w:id="291"/>
      <w:bookmarkStart w:id="292" w:name="_Toc184314470"/>
      <w:bookmarkEnd w:id="292"/>
      <w:bookmarkStart w:id="293" w:name="_Toc184313293"/>
      <w:bookmarkEnd w:id="293"/>
      <w:bookmarkStart w:id="294" w:name="_Toc184314477"/>
      <w:bookmarkEnd w:id="294"/>
      <w:bookmarkStart w:id="295" w:name="_Toc184312121"/>
      <w:bookmarkEnd w:id="295"/>
      <w:bookmarkStart w:id="296" w:name="_Toc184310320"/>
      <w:bookmarkEnd w:id="296"/>
      <w:bookmarkStart w:id="297" w:name="_Toc184314463"/>
      <w:bookmarkEnd w:id="297"/>
      <w:bookmarkStart w:id="298" w:name="_Toc184312109"/>
      <w:bookmarkEnd w:id="298"/>
      <w:bookmarkStart w:id="299" w:name="_Toc184308107"/>
      <w:bookmarkEnd w:id="299"/>
      <w:bookmarkStart w:id="300" w:name="_Toc184308106"/>
      <w:bookmarkEnd w:id="300"/>
      <w:bookmarkStart w:id="301" w:name="_Toc184310333"/>
      <w:bookmarkEnd w:id="301"/>
      <w:bookmarkStart w:id="302" w:name="_Toc184314460"/>
      <w:bookmarkEnd w:id="302"/>
      <w:bookmarkStart w:id="303" w:name="_Toc184314452"/>
      <w:bookmarkEnd w:id="303"/>
      <w:bookmarkStart w:id="304" w:name="_Toc184314411"/>
      <w:bookmarkEnd w:id="304"/>
      <w:bookmarkStart w:id="305" w:name="_Toc184312114"/>
      <w:bookmarkEnd w:id="305"/>
      <w:bookmarkStart w:id="306" w:name="_Toc184312130"/>
      <w:bookmarkEnd w:id="306"/>
      <w:bookmarkStart w:id="307" w:name="_Toc184313299"/>
      <w:bookmarkEnd w:id="307"/>
      <w:bookmarkStart w:id="308" w:name="_Toc184312137"/>
      <w:bookmarkEnd w:id="308"/>
      <w:bookmarkStart w:id="309" w:name="_Toc184314421"/>
      <w:bookmarkEnd w:id="309"/>
      <w:bookmarkStart w:id="310" w:name="_Toc184314412"/>
      <w:bookmarkEnd w:id="310"/>
      <w:bookmarkStart w:id="311" w:name="_Toc184312134"/>
      <w:bookmarkEnd w:id="311"/>
      <w:bookmarkStart w:id="312" w:name="_Toc184312122"/>
      <w:bookmarkEnd w:id="312"/>
      <w:bookmarkStart w:id="313" w:name="_Toc184314476"/>
      <w:bookmarkEnd w:id="313"/>
      <w:bookmarkStart w:id="314" w:name="_Toc184310325"/>
      <w:bookmarkEnd w:id="314"/>
      <w:bookmarkStart w:id="315" w:name="_Toc184312093"/>
      <w:bookmarkEnd w:id="315"/>
      <w:bookmarkStart w:id="316" w:name="_Toc184308038"/>
      <w:bookmarkEnd w:id="316"/>
      <w:bookmarkStart w:id="317" w:name="_Toc184312128"/>
      <w:bookmarkEnd w:id="317"/>
      <w:bookmarkStart w:id="318" w:name="_Toc184313284"/>
      <w:bookmarkEnd w:id="318"/>
      <w:bookmarkStart w:id="319" w:name="_Toc184310321"/>
      <w:bookmarkEnd w:id="319"/>
      <w:bookmarkStart w:id="320" w:name="_Toc184314479"/>
      <w:bookmarkEnd w:id="320"/>
      <w:bookmarkStart w:id="321" w:name="_Toc184308085"/>
      <w:bookmarkEnd w:id="321"/>
      <w:bookmarkStart w:id="322" w:name="_Toc184313241"/>
      <w:bookmarkEnd w:id="322"/>
      <w:bookmarkStart w:id="323" w:name="_Toc184312119"/>
      <w:bookmarkEnd w:id="323"/>
      <w:bookmarkStart w:id="324" w:name="_Toc184314468"/>
      <w:bookmarkEnd w:id="324"/>
      <w:bookmarkStart w:id="325" w:name="_Toc184308097"/>
      <w:bookmarkEnd w:id="325"/>
      <w:bookmarkStart w:id="326" w:name="_Toc184314467"/>
      <w:bookmarkEnd w:id="326"/>
      <w:bookmarkStart w:id="327" w:name="_Toc184314465"/>
      <w:bookmarkEnd w:id="327"/>
      <w:bookmarkStart w:id="328" w:name="_Toc184313265"/>
      <w:bookmarkEnd w:id="328"/>
      <w:bookmarkStart w:id="329" w:name="_Toc184312096"/>
      <w:bookmarkEnd w:id="329"/>
      <w:bookmarkStart w:id="330" w:name="_Toc184308092"/>
      <w:bookmarkEnd w:id="330"/>
      <w:bookmarkStart w:id="331" w:name="_Toc184312123"/>
      <w:bookmarkEnd w:id="331"/>
      <w:bookmarkStart w:id="332" w:name="_Toc184308086"/>
      <w:bookmarkEnd w:id="332"/>
      <w:bookmarkStart w:id="333" w:name="_Toc184308087"/>
      <w:bookmarkEnd w:id="333"/>
      <w:bookmarkStart w:id="334" w:name="_Toc184314482"/>
      <w:bookmarkEnd w:id="334"/>
      <w:bookmarkStart w:id="335" w:name="_Toc184308100"/>
      <w:bookmarkEnd w:id="335"/>
      <w:bookmarkStart w:id="336" w:name="_Toc184313289"/>
      <w:bookmarkEnd w:id="336"/>
      <w:bookmarkStart w:id="337" w:name="_Toc184314423"/>
      <w:bookmarkEnd w:id="337"/>
      <w:bookmarkStart w:id="338" w:name="_Toc184310324"/>
      <w:bookmarkEnd w:id="338"/>
      <w:bookmarkStart w:id="339" w:name="_Toc184314480"/>
      <w:bookmarkEnd w:id="339"/>
      <w:bookmarkStart w:id="340" w:name="_Toc184312113"/>
      <w:bookmarkEnd w:id="340"/>
      <w:bookmarkStart w:id="341" w:name="_Toc184313295"/>
      <w:bookmarkEnd w:id="341"/>
      <w:bookmarkStart w:id="342" w:name="_Toc184308095"/>
      <w:bookmarkEnd w:id="342"/>
      <w:bookmarkStart w:id="343" w:name="_Toc184313252"/>
      <w:bookmarkEnd w:id="343"/>
      <w:bookmarkStart w:id="344" w:name="_Toc184308063"/>
      <w:bookmarkEnd w:id="344"/>
      <w:bookmarkStart w:id="345" w:name="_Toc184308098"/>
      <w:bookmarkEnd w:id="345"/>
      <w:bookmarkStart w:id="346" w:name="_Toc184310340"/>
      <w:bookmarkEnd w:id="346"/>
      <w:bookmarkStart w:id="347" w:name="_Toc184314462"/>
      <w:bookmarkEnd w:id="347"/>
      <w:bookmarkStart w:id="348" w:name="_Toc184314436"/>
      <w:bookmarkEnd w:id="348"/>
      <w:bookmarkStart w:id="349" w:name="_Toc184310295"/>
      <w:bookmarkEnd w:id="349"/>
      <w:bookmarkStart w:id="350" w:name="_Toc184314415"/>
      <w:bookmarkEnd w:id="350"/>
      <w:bookmarkStart w:id="351" w:name="_Toc184310276"/>
      <w:bookmarkEnd w:id="351"/>
      <w:bookmarkStart w:id="352" w:name="_Toc184310283"/>
      <w:bookmarkEnd w:id="352"/>
      <w:bookmarkStart w:id="353" w:name="_Toc184314442"/>
      <w:bookmarkEnd w:id="353"/>
      <w:bookmarkStart w:id="354" w:name="_Toc184310286"/>
      <w:bookmarkEnd w:id="354"/>
      <w:bookmarkStart w:id="355" w:name="_Toc184308080"/>
      <w:bookmarkEnd w:id="355"/>
      <w:bookmarkStart w:id="356" w:name="_Toc184313301"/>
      <w:bookmarkEnd w:id="356"/>
      <w:bookmarkStart w:id="357" w:name="_Toc184313242"/>
      <w:bookmarkEnd w:id="357"/>
      <w:bookmarkStart w:id="358" w:name="_Toc184310344"/>
      <w:bookmarkEnd w:id="358"/>
      <w:bookmarkStart w:id="359" w:name="_Toc184310287"/>
      <w:bookmarkEnd w:id="359"/>
      <w:bookmarkStart w:id="360" w:name="_Toc184308073"/>
      <w:bookmarkEnd w:id="360"/>
      <w:bookmarkStart w:id="361" w:name="_Toc184308104"/>
      <w:bookmarkEnd w:id="361"/>
      <w:bookmarkStart w:id="362" w:name="_Toc184312104"/>
      <w:bookmarkEnd w:id="362"/>
      <w:bookmarkStart w:id="363" w:name="_Toc184314469"/>
      <w:bookmarkEnd w:id="363"/>
      <w:bookmarkStart w:id="364" w:name="_Toc184308062"/>
      <w:bookmarkEnd w:id="364"/>
      <w:bookmarkStart w:id="365" w:name="_Toc184308088"/>
      <w:bookmarkEnd w:id="365"/>
      <w:bookmarkStart w:id="366" w:name="_Toc184308072"/>
      <w:bookmarkEnd w:id="366"/>
      <w:bookmarkStart w:id="367" w:name="_Toc184312074"/>
      <w:bookmarkEnd w:id="367"/>
      <w:bookmarkStart w:id="368" w:name="_Toc184312099"/>
      <w:bookmarkEnd w:id="368"/>
      <w:bookmarkStart w:id="369" w:name="_Toc184313302"/>
      <w:bookmarkEnd w:id="369"/>
      <w:bookmarkStart w:id="370" w:name="_Toc184308108"/>
      <w:bookmarkEnd w:id="370"/>
      <w:bookmarkStart w:id="371" w:name="_Toc184308037"/>
      <w:bookmarkEnd w:id="371"/>
      <w:bookmarkStart w:id="372" w:name="_Toc184310318"/>
      <w:bookmarkEnd w:id="372"/>
      <w:bookmarkStart w:id="373" w:name="_Toc184313250"/>
      <w:bookmarkEnd w:id="373"/>
      <w:bookmarkStart w:id="374" w:name="_Toc184312129"/>
      <w:bookmarkEnd w:id="374"/>
      <w:bookmarkStart w:id="375" w:name="_Toc184312072"/>
      <w:bookmarkEnd w:id="375"/>
      <w:bookmarkStart w:id="376" w:name="_Toc184310278"/>
      <w:bookmarkEnd w:id="376"/>
      <w:bookmarkStart w:id="377" w:name="_Toc184310327"/>
      <w:bookmarkEnd w:id="377"/>
      <w:bookmarkStart w:id="378" w:name="_Toc184314417"/>
      <w:bookmarkEnd w:id="378"/>
      <w:bookmarkStart w:id="379" w:name="_Toc184312132"/>
      <w:bookmarkEnd w:id="379"/>
      <w:bookmarkStart w:id="380" w:name="_Toc184313300"/>
      <w:bookmarkEnd w:id="380"/>
      <w:bookmarkStart w:id="381" w:name="_Toc184313294"/>
      <w:bookmarkEnd w:id="381"/>
      <w:bookmarkStart w:id="382" w:name="_Toc184312075"/>
      <w:bookmarkEnd w:id="382"/>
      <w:bookmarkStart w:id="383" w:name="_Toc184314471"/>
      <w:bookmarkEnd w:id="383"/>
      <w:bookmarkStart w:id="384" w:name="_Toc184313297"/>
      <w:bookmarkEnd w:id="384"/>
      <w:bookmarkStart w:id="385" w:name="_Toc184312092"/>
      <w:bookmarkEnd w:id="385"/>
      <w:bookmarkStart w:id="386" w:name="_Toc184308096"/>
      <w:bookmarkEnd w:id="386"/>
      <w:bookmarkStart w:id="387" w:name="_Toc184310334"/>
      <w:bookmarkEnd w:id="387"/>
      <w:bookmarkStart w:id="388" w:name="_Toc184314481"/>
      <w:bookmarkEnd w:id="388"/>
      <w:bookmarkStart w:id="389" w:name="_Toc184314439"/>
      <w:bookmarkEnd w:id="389"/>
      <w:bookmarkStart w:id="390" w:name="_Toc184308093"/>
      <w:bookmarkEnd w:id="390"/>
      <w:bookmarkStart w:id="391" w:name="_Toc184313304"/>
      <w:bookmarkEnd w:id="391"/>
      <w:bookmarkStart w:id="392" w:name="_Toc184314435"/>
      <w:bookmarkEnd w:id="392"/>
      <w:bookmarkStart w:id="393" w:name="_Toc184313290"/>
      <w:bookmarkEnd w:id="393"/>
      <w:r>
        <w:rPr>
          <w:rFonts w:hint="eastAsia" w:ascii="仿宋" w:hAnsi="仿宋" w:eastAsia="仿宋" w:cs="仿宋_GB2312"/>
          <w:b/>
          <w:sz w:val="36"/>
          <w:szCs w:val="36"/>
        </w:rPr>
        <w:t>评标办法</w:t>
      </w:r>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评标办法前附表</w:t>
      </w:r>
    </w:p>
    <w:p>
      <w:pPr>
        <w:pStyle w:val="354"/>
        <w:rPr>
          <w:rFonts w:hint="eastAsia" w:ascii="宋体" w:hAnsi="宋体" w:eastAsia="宋体" w:cs="宋体"/>
          <w:bCs/>
          <w:color w:val="000000"/>
          <w:szCs w:val="24"/>
          <w:highlight w:val="none"/>
        </w:rPr>
      </w:pPr>
      <w:r>
        <w:rPr>
          <w:rFonts w:hint="eastAsia" w:ascii="宋体" w:hAnsi="宋体" w:eastAsia="宋体" w:cs="宋体"/>
          <w:bCs/>
          <w:color w:val="000000"/>
          <w:szCs w:val="24"/>
          <w:highlight w:val="none"/>
        </w:rPr>
        <w:t>各投标人的综合得分为：投标价格得分+技术商务得分之和，总和为100分，其中：投标价格得分</w:t>
      </w:r>
      <w:r>
        <w:rPr>
          <w:rFonts w:hint="eastAsia" w:ascii="宋体" w:hAnsi="宋体" w:cs="宋体"/>
          <w:bCs/>
          <w:color w:val="000000"/>
          <w:szCs w:val="24"/>
          <w:highlight w:val="none"/>
          <w:lang w:val="en-US" w:eastAsia="zh-CN"/>
        </w:rPr>
        <w:t>1</w:t>
      </w:r>
      <w:r>
        <w:rPr>
          <w:rFonts w:hint="eastAsia" w:ascii="宋体" w:hAnsi="宋体" w:eastAsia="宋体" w:cs="宋体"/>
          <w:bCs/>
          <w:color w:val="000000"/>
          <w:szCs w:val="24"/>
          <w:highlight w:val="none"/>
        </w:rPr>
        <w:t>0分，商务技术得分</w:t>
      </w:r>
      <w:r>
        <w:rPr>
          <w:rFonts w:hint="eastAsia" w:ascii="宋体" w:hAnsi="宋体" w:cs="宋体"/>
          <w:bCs/>
          <w:color w:val="000000"/>
          <w:szCs w:val="24"/>
          <w:highlight w:val="none"/>
          <w:lang w:val="en-US" w:eastAsia="zh-CN"/>
        </w:rPr>
        <w:t>9</w:t>
      </w:r>
      <w:r>
        <w:rPr>
          <w:rFonts w:hint="eastAsia" w:ascii="宋体" w:hAnsi="宋体" w:eastAsia="宋体" w:cs="宋体"/>
          <w:bCs/>
          <w:color w:val="000000"/>
          <w:szCs w:val="24"/>
          <w:highlight w:val="none"/>
        </w:rPr>
        <w:t>0分。</w:t>
      </w:r>
    </w:p>
    <w:p>
      <w:pPr>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eastAsia="zh-CN"/>
        </w:rPr>
        <w:t>商务</w:t>
      </w:r>
      <w:r>
        <w:rPr>
          <w:rFonts w:hint="eastAsia" w:ascii="宋体" w:hAnsi="宋体" w:eastAsia="宋体" w:cs="宋体"/>
          <w:kern w:val="0"/>
          <w:sz w:val="24"/>
          <w:szCs w:val="24"/>
        </w:rPr>
        <w:t>技术分   总分</w:t>
      </w:r>
      <w:r>
        <w:rPr>
          <w:rFonts w:hint="eastAsia" w:ascii="宋体" w:hAnsi="宋体" w:cs="宋体"/>
          <w:kern w:val="0"/>
          <w:sz w:val="24"/>
          <w:szCs w:val="24"/>
          <w:lang w:val="en-US" w:eastAsia="zh-CN"/>
        </w:rPr>
        <w:t>9</w:t>
      </w:r>
      <w:r>
        <w:rPr>
          <w:rFonts w:hint="eastAsia" w:ascii="宋体" w:hAnsi="宋体" w:eastAsia="宋体" w:cs="宋体"/>
          <w:kern w:val="0"/>
          <w:sz w:val="24"/>
          <w:szCs w:val="24"/>
        </w:rPr>
        <w:t>0分</w:t>
      </w:r>
    </w:p>
    <w:p>
      <w:pPr>
        <w:pStyle w:val="354"/>
      </w:pPr>
      <w:r>
        <w:rPr>
          <w:rFonts w:hint="eastAsia" w:ascii="宋体" w:hAnsi="宋体" w:eastAsia="宋体" w:cs="宋体"/>
          <w:color w:val="auto"/>
          <w:kern w:val="0"/>
          <w:sz w:val="24"/>
          <w:szCs w:val="24"/>
        </w:rPr>
        <w:t>该评分分值由评标委员会根据评审情况在分值范围内独立打分（具体分值设定详见表格），小数点后保留一位小数。每个投标人的最终技术分为评标委员会打分的算术平均值（小数点后保留二位小数，第三位四舍五入）。</w:t>
      </w:r>
    </w:p>
    <w:tbl>
      <w:tblPr>
        <w:tblStyle w:val="63"/>
        <w:tblpPr w:leftFromText="180" w:rightFromText="180" w:vertAnchor="text" w:horzAnchor="page" w:tblpX="1031" w:tblpY="126"/>
        <w:tblW w:w="9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5901"/>
        <w:gridCol w:w="795"/>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913" w:type="dxa"/>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5901" w:type="dxa"/>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795" w:type="dxa"/>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2136" w:type="dxa"/>
            <w:vAlign w:val="top"/>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745" w:type="dxa"/>
            <w:gridSpan w:val="4"/>
            <w:vAlign w:val="center"/>
          </w:tcPr>
          <w:p>
            <w:pPr>
              <w:spacing w:line="360" w:lineRule="auto"/>
              <w:jc w:val="left"/>
              <w:outlineLvl w:val="0"/>
              <w:rPr>
                <w:rFonts w:hint="eastAsia" w:ascii="仿宋" w:hAnsi="仿宋" w:eastAsia="仿宋" w:cs="仿宋"/>
                <w:sz w:val="24"/>
                <w:szCs w:val="24"/>
              </w:rPr>
            </w:pPr>
            <w:r>
              <w:rPr>
                <w:rFonts w:hint="eastAsia" w:ascii="仿宋" w:hAnsi="仿宋" w:eastAsia="仿宋" w:cs="仿宋"/>
                <w:color w:val="auto"/>
                <w:sz w:val="24"/>
                <w:szCs w:val="24"/>
              </w:rPr>
              <w:t>商务分（</w:t>
            </w:r>
            <w:r>
              <w:rPr>
                <w:rFonts w:hint="eastAsia" w:ascii="仿宋" w:hAnsi="仿宋" w:eastAsia="仿宋" w:cs="仿宋"/>
                <w:color w:val="auto"/>
                <w:sz w:val="24"/>
                <w:szCs w:val="24"/>
                <w:lang w:val="en-US" w:eastAsia="zh-CN"/>
              </w:rPr>
              <w:t>13</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913" w:type="dxa"/>
            <w:vAlign w:val="center"/>
          </w:tcPr>
          <w:p>
            <w:pPr>
              <w:spacing w:line="360" w:lineRule="auto"/>
              <w:ind w:firstLine="360" w:firstLineChars="150"/>
              <w:jc w:val="left"/>
              <w:outlineLvl w:val="0"/>
              <w:rPr>
                <w:rFonts w:hint="eastAsia" w:ascii="仿宋" w:hAnsi="仿宋" w:eastAsia="仿宋" w:cs="仿宋"/>
                <w:sz w:val="24"/>
                <w:szCs w:val="24"/>
              </w:rPr>
            </w:pPr>
            <w:r>
              <w:rPr>
                <w:rFonts w:hint="eastAsia" w:ascii="仿宋" w:hAnsi="仿宋" w:eastAsia="仿宋" w:cs="仿宋"/>
                <w:sz w:val="24"/>
                <w:szCs w:val="24"/>
              </w:rPr>
              <w:t>1</w:t>
            </w:r>
          </w:p>
        </w:tc>
        <w:tc>
          <w:tcPr>
            <w:tcW w:w="5901" w:type="dxa"/>
            <w:vAlign w:val="center"/>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投标单位承担过垃圾清运项目的，承担过的有一个得</w:t>
            </w:r>
            <w:r>
              <w:rPr>
                <w:rFonts w:hint="eastAsia" w:ascii="仿宋" w:hAnsi="仿宋" w:eastAsia="仿宋" w:cs="仿宋"/>
                <w:color w:val="000000"/>
                <w:sz w:val="24"/>
                <w:szCs w:val="24"/>
                <w:lang w:val="en-US" w:eastAsia="zh-CN"/>
              </w:rPr>
              <w:t>0.5</w:t>
            </w:r>
            <w:r>
              <w:rPr>
                <w:rFonts w:hint="eastAsia" w:ascii="仿宋" w:hAnsi="仿宋" w:eastAsia="仿宋" w:cs="仿宋"/>
                <w:color w:val="000000"/>
                <w:sz w:val="24"/>
                <w:szCs w:val="24"/>
              </w:rPr>
              <w:t>分，最多得</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分。(同一单位视为一个项目，不重复给分）</w:t>
            </w:r>
          </w:p>
          <w:p>
            <w:p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b/>
                <w:bCs/>
                <w:sz w:val="24"/>
                <w:szCs w:val="24"/>
              </w:rPr>
              <w:t>（投标文件中提供合同复印件加盖公章或扫描件加盖公章，否则不得分。）</w:t>
            </w:r>
          </w:p>
        </w:tc>
        <w:tc>
          <w:tcPr>
            <w:tcW w:w="795" w:type="dxa"/>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1</w:t>
            </w:r>
          </w:p>
        </w:tc>
        <w:tc>
          <w:tcPr>
            <w:tcW w:w="2136" w:type="dxa"/>
            <w:vAlign w:val="center"/>
          </w:tcPr>
          <w:p>
            <w:pPr>
              <w:spacing w:line="360" w:lineRule="auto"/>
              <w:jc w:val="center"/>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913" w:type="dxa"/>
            <w:vAlign w:val="center"/>
          </w:tcPr>
          <w:p>
            <w:pPr>
              <w:spacing w:line="360" w:lineRule="auto"/>
              <w:ind w:firstLine="360" w:firstLineChars="150"/>
              <w:jc w:val="left"/>
              <w:outlineLvl w:val="0"/>
              <w:rPr>
                <w:rFonts w:hint="eastAsia" w:ascii="仿宋" w:hAnsi="仿宋" w:eastAsia="仿宋" w:cs="仿宋"/>
                <w:sz w:val="24"/>
                <w:szCs w:val="24"/>
              </w:rPr>
            </w:pPr>
            <w:r>
              <w:rPr>
                <w:rFonts w:hint="eastAsia" w:ascii="仿宋" w:hAnsi="仿宋" w:eastAsia="仿宋" w:cs="仿宋"/>
                <w:sz w:val="24"/>
                <w:szCs w:val="24"/>
              </w:rPr>
              <w:t>2</w:t>
            </w:r>
          </w:p>
        </w:tc>
        <w:tc>
          <w:tcPr>
            <w:tcW w:w="5901" w:type="dxa"/>
            <w:vAlign w:val="center"/>
          </w:tcPr>
          <w:p>
            <w:pPr>
              <w:spacing w:line="360" w:lineRule="auto"/>
              <w:rPr>
                <w:rFonts w:hint="eastAsia" w:ascii="仿宋" w:hAnsi="仿宋" w:eastAsia="仿宋" w:cs="仿宋"/>
                <w:sz w:val="24"/>
                <w:szCs w:val="24"/>
              </w:rPr>
            </w:pPr>
            <w:r>
              <w:rPr>
                <w:rFonts w:hint="eastAsia" w:ascii="仿宋" w:hAnsi="仿宋" w:eastAsia="仿宋" w:cs="仿宋"/>
                <w:color w:val="000000"/>
                <w:sz w:val="24"/>
                <w:szCs w:val="24"/>
              </w:rPr>
              <w:t>投标单位获得质量管理体系认证、环境管理体系认证、职业健康安全管理体系认证证书（</w:t>
            </w:r>
            <w:r>
              <w:rPr>
                <w:rFonts w:hint="eastAsia" w:ascii="仿宋" w:hAnsi="仿宋" w:eastAsia="仿宋" w:cs="仿宋"/>
                <w:sz w:val="24"/>
                <w:szCs w:val="24"/>
              </w:rPr>
              <w:t>认证范围需包含或类似垃圾清运的</w:t>
            </w:r>
            <w:r>
              <w:rPr>
                <w:rFonts w:hint="eastAsia" w:ascii="仿宋" w:hAnsi="仿宋" w:eastAsia="仿宋" w:cs="仿宋"/>
                <w:color w:val="000000"/>
                <w:sz w:val="24"/>
                <w:szCs w:val="24"/>
              </w:rPr>
              <w:t>）</w:t>
            </w:r>
            <w:r>
              <w:rPr>
                <w:rFonts w:hint="eastAsia" w:ascii="仿宋" w:hAnsi="仿宋" w:eastAsia="仿宋" w:cs="仿宋"/>
                <w:kern w:val="0"/>
                <w:sz w:val="24"/>
                <w:szCs w:val="24"/>
              </w:rPr>
              <w:t>认证证书</w:t>
            </w:r>
            <w:r>
              <w:rPr>
                <w:rFonts w:hint="eastAsia" w:ascii="仿宋" w:hAnsi="仿宋" w:eastAsia="仿宋" w:cs="仿宋"/>
                <w:color w:val="000000"/>
                <w:sz w:val="24"/>
                <w:szCs w:val="24"/>
              </w:rPr>
              <w:t>且在有效期内，</w:t>
            </w:r>
            <w:r>
              <w:rPr>
                <w:rFonts w:hint="eastAsia" w:ascii="仿宋" w:hAnsi="仿宋" w:eastAsia="仿宋" w:cs="仿宋"/>
                <w:sz w:val="24"/>
                <w:szCs w:val="24"/>
              </w:rPr>
              <w:t>提供1个得</w:t>
            </w:r>
            <w:r>
              <w:rPr>
                <w:rFonts w:hint="eastAsia" w:ascii="仿宋" w:hAnsi="仿宋" w:eastAsia="仿宋" w:cs="仿宋"/>
                <w:sz w:val="24"/>
                <w:szCs w:val="24"/>
                <w:lang w:val="en-US" w:eastAsia="zh-CN"/>
              </w:rPr>
              <w:t>2</w:t>
            </w:r>
            <w:r>
              <w:rPr>
                <w:rFonts w:hint="eastAsia" w:ascii="仿宋" w:hAnsi="仿宋" w:eastAsia="仿宋" w:cs="仿宋"/>
                <w:sz w:val="24"/>
                <w:szCs w:val="24"/>
              </w:rPr>
              <w:t>分，共</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p>
            <w:p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b/>
                <w:bCs/>
                <w:sz w:val="24"/>
                <w:szCs w:val="24"/>
              </w:rPr>
              <w:t>（</w:t>
            </w:r>
            <w:r>
              <w:rPr>
                <w:rFonts w:hint="eastAsia" w:ascii="仿宋" w:hAnsi="仿宋" w:eastAsia="仿宋" w:cs="仿宋"/>
                <w:sz w:val="24"/>
                <w:szCs w:val="24"/>
              </w:rPr>
              <w:t>投标文件中提供相关证明资料复印件加盖公章或扫描件加盖公章，</w:t>
            </w:r>
            <w:r>
              <w:rPr>
                <w:rFonts w:hint="eastAsia" w:ascii="仿宋" w:hAnsi="仿宋" w:eastAsia="仿宋" w:cs="仿宋"/>
                <w:color w:val="000000"/>
                <w:sz w:val="24"/>
                <w:szCs w:val="24"/>
              </w:rPr>
              <w:t>体系认证还需提供全国认证认可信息公共服务平台网页查询截图  http://cx.cnca.cn/CertECloud/index/index/page，不提供不得分）</w:t>
            </w:r>
          </w:p>
        </w:tc>
        <w:tc>
          <w:tcPr>
            <w:tcW w:w="79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6</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901" w:type="dxa"/>
            <w:vAlign w:val="center"/>
          </w:tcPr>
          <w:p>
            <w:pPr>
              <w:spacing w:line="360" w:lineRule="auto"/>
              <w:rPr>
                <w:rFonts w:hint="eastAsia" w:ascii="仿宋" w:hAnsi="仿宋" w:eastAsia="仿宋" w:cs="仿宋"/>
                <w:sz w:val="24"/>
              </w:rPr>
            </w:pPr>
            <w:r>
              <w:rPr>
                <w:rFonts w:hint="eastAsia" w:ascii="仿宋" w:hAnsi="仿宋" w:eastAsia="仿宋" w:cs="仿宋"/>
                <w:sz w:val="24"/>
                <w:lang w:val="en-US" w:eastAsia="zh-CN"/>
              </w:rPr>
              <w:t>投标单位具有</w:t>
            </w:r>
            <w:r>
              <w:rPr>
                <w:rFonts w:hint="eastAsia" w:ascii="仿宋" w:hAnsi="仿宋" w:eastAsia="仿宋" w:cs="仿宋"/>
                <w:sz w:val="24"/>
              </w:rPr>
              <w:t>城市生活垃圾经营性清扫、收集、运输服务许可证，并在有效期内的</w:t>
            </w:r>
            <w:r>
              <w:rPr>
                <w:rFonts w:hint="eastAsia" w:ascii="仿宋" w:hAnsi="仿宋" w:eastAsia="仿宋" w:cs="仿宋"/>
                <w:sz w:val="24"/>
                <w:lang w:val="en-US" w:eastAsia="zh-CN"/>
              </w:rPr>
              <w:t>得3分</w:t>
            </w:r>
            <w:r>
              <w:rPr>
                <w:rFonts w:hint="eastAsia" w:ascii="仿宋" w:hAnsi="仿宋" w:eastAsia="仿宋" w:cs="仿宋"/>
                <w:sz w:val="24"/>
              </w:rPr>
              <w:t>。</w:t>
            </w:r>
          </w:p>
          <w:p>
            <w:pPr>
              <w:spacing w:line="360" w:lineRule="auto"/>
              <w:rPr>
                <w:rFonts w:hint="eastAsia" w:eastAsia="仿宋_GB2312"/>
                <w:lang w:val="en-US" w:eastAsia="zh-CN"/>
              </w:rPr>
            </w:pPr>
            <w:r>
              <w:rPr>
                <w:rFonts w:hint="eastAsia" w:ascii="仿宋" w:hAnsi="仿宋" w:eastAsia="仿宋" w:cs="仿宋"/>
                <w:sz w:val="24"/>
                <w:szCs w:val="24"/>
                <w:lang w:eastAsia="zh-CN"/>
              </w:rPr>
              <w:t>（</w:t>
            </w:r>
            <w:r>
              <w:rPr>
                <w:rFonts w:hint="eastAsia" w:ascii="仿宋" w:hAnsi="仿宋" w:eastAsia="仿宋" w:cs="仿宋"/>
                <w:b w:val="0"/>
                <w:bCs w:val="0"/>
                <w:sz w:val="24"/>
                <w:szCs w:val="24"/>
              </w:rPr>
              <w:t>投标文件中提供</w:t>
            </w:r>
            <w:r>
              <w:rPr>
                <w:rFonts w:hint="eastAsia" w:ascii="仿宋" w:hAnsi="仿宋" w:eastAsia="仿宋" w:cs="仿宋"/>
                <w:b w:val="0"/>
                <w:bCs w:val="0"/>
                <w:sz w:val="24"/>
                <w:szCs w:val="24"/>
                <w:lang w:val="en-US" w:eastAsia="zh-CN"/>
              </w:rPr>
              <w:t>证书</w:t>
            </w:r>
            <w:r>
              <w:rPr>
                <w:rFonts w:hint="eastAsia" w:ascii="仿宋" w:hAnsi="仿宋" w:eastAsia="仿宋" w:cs="仿宋"/>
                <w:b w:val="0"/>
                <w:bCs w:val="0"/>
                <w:sz w:val="24"/>
                <w:szCs w:val="24"/>
              </w:rPr>
              <w:t>复印件加盖公章或扫描件加盖公章，否则不得分。</w:t>
            </w:r>
            <w:r>
              <w:rPr>
                <w:rFonts w:hint="eastAsia" w:ascii="仿宋" w:hAnsi="仿宋" w:eastAsia="仿宋" w:cs="仿宋"/>
                <w:sz w:val="24"/>
                <w:szCs w:val="24"/>
                <w:lang w:eastAsia="zh-CN"/>
              </w:rPr>
              <w:t>）</w:t>
            </w:r>
          </w:p>
        </w:tc>
        <w:tc>
          <w:tcPr>
            <w:tcW w:w="795"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p>
        </w:tc>
        <w:tc>
          <w:tcPr>
            <w:tcW w:w="5901" w:type="dxa"/>
            <w:vAlign w:val="center"/>
          </w:tcPr>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投标单位获得过保洁或卫生类的省级及以上表彰荣誉的得3分，市级表彰荣誉的得2分，区、县级表彰荣誉的得1分。（就高计取，不得累计得分）</w:t>
            </w:r>
          </w:p>
          <w:p>
            <w:pPr>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lang w:val="en-US" w:eastAsia="zh-CN"/>
              </w:rPr>
              <w:t>（</w:t>
            </w:r>
            <w:r>
              <w:rPr>
                <w:rFonts w:hint="eastAsia" w:ascii="仿宋" w:hAnsi="仿宋" w:eastAsia="仿宋" w:cs="仿宋"/>
                <w:b w:val="0"/>
                <w:bCs w:val="0"/>
                <w:sz w:val="24"/>
                <w:szCs w:val="24"/>
              </w:rPr>
              <w:t>投标文件中提供表彰文件或表彰证书的复印件或扫描件加盖公章，否则不得分</w:t>
            </w:r>
            <w:r>
              <w:rPr>
                <w:rFonts w:hint="eastAsia" w:ascii="仿宋" w:hAnsi="仿宋" w:eastAsia="仿宋" w:cs="仿宋"/>
                <w:sz w:val="24"/>
                <w:szCs w:val="24"/>
                <w:lang w:val="en-US" w:eastAsia="zh-CN"/>
              </w:rPr>
              <w:t>）</w:t>
            </w:r>
            <w:r>
              <w:rPr>
                <w:rFonts w:hint="eastAsia" w:ascii="仿宋" w:hAnsi="仿宋" w:eastAsia="仿宋" w:cs="仿宋"/>
                <w:b w:val="0"/>
                <w:bCs w:val="0"/>
                <w:sz w:val="24"/>
                <w:szCs w:val="24"/>
              </w:rPr>
              <w:t>。</w:t>
            </w:r>
          </w:p>
        </w:tc>
        <w:tc>
          <w:tcPr>
            <w:tcW w:w="795"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745" w:type="dxa"/>
            <w:gridSpan w:val="4"/>
            <w:vAlign w:val="center"/>
          </w:tcPr>
          <w:p>
            <w:pPr>
              <w:spacing w:line="360" w:lineRule="auto"/>
              <w:outlineLvl w:val="0"/>
              <w:rPr>
                <w:rFonts w:hint="eastAsia" w:ascii="仿宋" w:hAnsi="仿宋" w:eastAsia="仿宋" w:cs="仿宋"/>
                <w:sz w:val="24"/>
                <w:szCs w:val="24"/>
              </w:rPr>
            </w:pPr>
            <w:r>
              <w:rPr>
                <w:rFonts w:hint="eastAsia" w:ascii="仿宋" w:hAnsi="仿宋" w:eastAsia="仿宋" w:cs="仿宋"/>
                <w:color w:val="auto"/>
                <w:sz w:val="24"/>
                <w:szCs w:val="24"/>
              </w:rPr>
              <w:t>技术分（</w:t>
            </w:r>
            <w:r>
              <w:rPr>
                <w:rFonts w:hint="eastAsia" w:ascii="仿宋" w:hAnsi="仿宋" w:eastAsia="仿宋" w:cs="仿宋"/>
                <w:color w:val="auto"/>
                <w:sz w:val="24"/>
                <w:szCs w:val="24"/>
                <w:lang w:val="en-US" w:eastAsia="zh-CN"/>
              </w:rPr>
              <w:t>77</w:t>
            </w:r>
            <w:r>
              <w:rPr>
                <w:rFonts w:hint="eastAsia" w:ascii="仿宋" w:hAnsi="仿宋" w:eastAsia="仿宋" w:cs="仿宋"/>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5901" w:type="dxa"/>
            <w:vAlign w:val="center"/>
          </w:tcPr>
          <w:p>
            <w:pPr>
              <w:spacing w:line="42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机械设备</w:t>
            </w:r>
            <w:r>
              <w:rPr>
                <w:rFonts w:hint="eastAsia" w:ascii="仿宋" w:hAnsi="仿宋" w:eastAsia="仿宋" w:cs="仿宋"/>
                <w:color w:val="000000"/>
                <w:sz w:val="24"/>
                <w:szCs w:val="24"/>
                <w:lang w:eastAsia="zh-CN"/>
              </w:rPr>
              <w:t>：</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1、密闭式其他垃圾直运车（0-12分）：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①自备核定总重量 15吨及以上的每辆得 2分，最高得8分；租赁的或承诺中标后购买的，每辆得1分，最高得4分；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②自备核定总重量 8吨及以上的每辆得 2分，最高得4分；租赁的或承诺中标后购买的，每辆得1分，最高得2分；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2、吸污（粪）车（0-2分）：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①自备核定总重量 9吨及以上的每辆得2分，最高得2分；租赁的或承诺中标后购买的，每辆得1分，最高得1分；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3、易腐垃圾桶装桶运车（0-12分）：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①自备核定总重量2.5吨及以上的每辆得2分，最高得12分；租赁的或承诺中标后购买的，每辆得1分，最高得6分；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4、密闭式易腐垃圾直运车（0-2分）：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①自备核定总重量7吨及以上的每辆得 2分，最高得2分；租赁的或承诺中标后购买的，每辆得1分，最高得1分；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5、音乐线收集车辆（四轮八桶新能源车）（0-5分）：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自备的每辆得 1分，最高得5分；租赁的或承诺中标后购买的，每辆得0.5分，最高得2.5分；</w:t>
            </w:r>
          </w:p>
          <w:p>
            <w:pPr>
              <w:numPr>
                <w:ilvl w:val="0"/>
                <w:numId w:val="3"/>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以上序号1-4车辆设备中具有新能源车辆的加1分（0-1分）。</w:t>
            </w:r>
          </w:p>
          <w:p>
            <w:pPr>
              <w:numPr>
                <w:ilvl w:val="0"/>
                <w:numId w:val="0"/>
              </w:numPr>
              <w:spacing w:line="276" w:lineRule="auto"/>
              <w:jc w:val="left"/>
              <w:rPr>
                <w:rFonts w:hint="eastAsia" w:ascii="仿宋" w:hAnsi="仿宋" w:eastAsia="仿宋" w:cs="仿宋"/>
                <w:b/>
                <w:bCs/>
                <w:sz w:val="24"/>
                <w:szCs w:val="24"/>
              </w:rPr>
            </w:pPr>
            <w:r>
              <w:rPr>
                <w:rFonts w:hint="eastAsia" w:ascii="仿宋" w:hAnsi="仿宋" w:eastAsia="仿宋" w:cs="仿宋"/>
                <w:b/>
                <w:bCs/>
                <w:sz w:val="24"/>
                <w:szCs w:val="24"/>
              </w:rPr>
              <w:t>本项最高得</w:t>
            </w:r>
            <w:r>
              <w:rPr>
                <w:rFonts w:hint="eastAsia" w:ascii="仿宋" w:hAnsi="仿宋" w:eastAsia="仿宋" w:cs="仿宋"/>
                <w:b/>
                <w:bCs/>
                <w:sz w:val="24"/>
                <w:szCs w:val="24"/>
                <w:lang w:val="en-US" w:eastAsia="zh-CN"/>
              </w:rPr>
              <w:t>34</w:t>
            </w:r>
            <w:r>
              <w:rPr>
                <w:rFonts w:hint="eastAsia" w:ascii="仿宋" w:hAnsi="仿宋" w:eastAsia="仿宋" w:cs="仿宋"/>
                <w:b/>
                <w:bCs/>
                <w:sz w:val="24"/>
                <w:szCs w:val="24"/>
              </w:rPr>
              <w:t>分。</w:t>
            </w:r>
          </w:p>
          <w:p>
            <w:pPr>
              <w:spacing w:line="42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b/>
                <w:bCs/>
                <w:sz w:val="24"/>
                <w:szCs w:val="24"/>
              </w:rPr>
              <w:t>注：上述（1-4）自备车辆均需在投标文件中提供行驶证复印件加盖公章或扫描件加盖公章、车辆登记证复印件加盖公章或扫描件加盖公章及购车发票复印件加盖公章或扫描件加盖公章；上述（5）自备车辆均需在投标文件中提供行购车发票复印件加盖公章或扫描件加盖公章；租赁或承诺中标后购买的得分车辆数最高以自备车辆最高得分车辆数计算，租赁车辆以租赁合同为准且符合本项目服务期要求，承诺中标后购买的以承诺书为准，否则不得分。</w:t>
            </w:r>
          </w:p>
        </w:tc>
        <w:tc>
          <w:tcPr>
            <w:tcW w:w="795" w:type="dxa"/>
            <w:vAlign w:val="center"/>
          </w:tcPr>
          <w:p>
            <w:pPr>
              <w:spacing w:line="420" w:lineRule="exact"/>
              <w:jc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34</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901" w:type="dxa"/>
            <w:vAlign w:val="center"/>
          </w:tcPr>
          <w:p>
            <w:pPr>
              <w:pStyle w:val="2"/>
              <w:numPr>
                <w:ilvl w:val="0"/>
                <w:numId w:val="0"/>
              </w:numPr>
              <w:spacing w:line="36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项目管理人员</w:t>
            </w:r>
            <w:r>
              <w:rPr>
                <w:rFonts w:hint="eastAsia" w:ascii="仿宋" w:hAnsi="仿宋" w:eastAsia="仿宋" w:cs="仿宋"/>
                <w:color w:val="000000"/>
                <w:sz w:val="24"/>
                <w:szCs w:val="24"/>
                <w:lang w:eastAsia="zh-CN"/>
              </w:rPr>
              <w:t>：</w:t>
            </w:r>
          </w:p>
          <w:p>
            <w:pPr>
              <w:pStyle w:val="2"/>
              <w:numPr>
                <w:ilvl w:val="0"/>
                <w:numId w:val="0"/>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拟派项目负责人担任过垃圾清运项目管理负责人的，得 2 分。</w:t>
            </w:r>
          </w:p>
          <w:p>
            <w:pPr>
              <w:pStyle w:val="2"/>
              <w:numPr>
                <w:ilvl w:val="0"/>
                <w:numId w:val="0"/>
              </w:numPr>
              <w:spacing w:line="360" w:lineRule="auto"/>
              <w:rPr>
                <w:rFonts w:hint="eastAsia" w:ascii="仿宋" w:hAnsi="仿宋" w:eastAsia="仿宋" w:cs="仿宋"/>
                <w:b/>
                <w:bCs/>
                <w:sz w:val="24"/>
                <w:szCs w:val="24"/>
              </w:rPr>
            </w:pPr>
            <w:r>
              <w:rPr>
                <w:rFonts w:hint="eastAsia" w:ascii="仿宋" w:hAnsi="仿宋" w:eastAsia="仿宋" w:cs="仿宋"/>
                <w:b/>
                <w:bCs/>
                <w:sz w:val="24"/>
                <w:szCs w:val="24"/>
              </w:rPr>
              <w:t>投标文件中需提供近3个月</w:t>
            </w:r>
            <w:r>
              <w:rPr>
                <w:rFonts w:hint="eastAsia" w:ascii="仿宋" w:hAnsi="仿宋" w:eastAsia="仿宋" w:cs="仿宋"/>
                <w:b/>
                <w:bCs/>
                <w:sz w:val="24"/>
              </w:rPr>
              <w:t>投标人为其缴纳社保的证明</w:t>
            </w:r>
            <w:r>
              <w:rPr>
                <w:rFonts w:hint="eastAsia" w:ascii="仿宋" w:hAnsi="仿宋" w:eastAsia="仿宋" w:cs="仿宋"/>
                <w:b/>
                <w:bCs/>
                <w:sz w:val="24"/>
                <w:szCs w:val="24"/>
              </w:rPr>
              <w:t>社保证明、劳动合同复印件或扫描件加盖公章，否则不得分。</w:t>
            </w:r>
          </w:p>
          <w:p>
            <w:pPr>
              <w:pStyle w:val="2"/>
              <w:numPr>
                <w:ilvl w:val="0"/>
                <w:numId w:val="0"/>
              </w:numPr>
              <w:spacing w:line="360" w:lineRule="auto"/>
              <w:rPr>
                <w:rFonts w:hint="eastAsia" w:ascii="仿宋" w:hAnsi="仿宋" w:eastAsia="仿宋" w:cs="仿宋"/>
                <w:color w:val="000000"/>
                <w:sz w:val="24"/>
                <w:szCs w:val="24"/>
              </w:rPr>
            </w:pPr>
            <w:r>
              <w:rPr>
                <w:rFonts w:hint="eastAsia" w:ascii="仿宋" w:hAnsi="仿宋" w:eastAsia="仿宋" w:cs="仿宋"/>
                <w:b/>
                <w:bCs/>
                <w:sz w:val="24"/>
                <w:szCs w:val="24"/>
                <w:lang w:val="en-US" w:eastAsia="zh-CN"/>
              </w:rPr>
              <w:t>2、</w:t>
            </w:r>
            <w:r>
              <w:rPr>
                <w:rFonts w:hint="eastAsia" w:ascii="仿宋" w:hAnsi="仿宋" w:eastAsia="仿宋" w:cs="仿宋"/>
                <w:color w:val="000000"/>
                <w:sz w:val="24"/>
                <w:szCs w:val="24"/>
              </w:rPr>
              <w:t>拟派本项目的主要人员中有垃圾分类项目经理、清扫收集运输项目经理、垃圾处理管理师，污水处理工程师，有1个得0.5分，本项最高得2分。</w:t>
            </w:r>
          </w:p>
          <w:p>
            <w:pPr>
              <w:pStyle w:val="2"/>
              <w:numPr>
                <w:ilvl w:val="0"/>
                <w:numId w:val="0"/>
              </w:numPr>
              <w:ind w:firstLine="0" w:firstLineChars="0"/>
              <w:rPr>
                <w:rFonts w:hint="eastAsia" w:ascii="仿宋" w:hAnsi="仿宋" w:eastAsia="仿宋" w:cs="仿宋"/>
                <w:sz w:val="24"/>
                <w:szCs w:val="24"/>
              </w:rPr>
            </w:pPr>
            <w:r>
              <w:rPr>
                <w:rFonts w:hint="eastAsia" w:ascii="仿宋" w:hAnsi="仿宋" w:eastAsia="仿宋" w:cs="仿宋"/>
                <w:b/>
                <w:bCs/>
                <w:sz w:val="24"/>
                <w:szCs w:val="24"/>
              </w:rPr>
              <w:t>投标文件中提供以上人员相关证书和持证人员的近3个月</w:t>
            </w:r>
            <w:r>
              <w:rPr>
                <w:rFonts w:hint="eastAsia" w:ascii="仿宋" w:hAnsi="仿宋" w:eastAsia="仿宋" w:cs="仿宋"/>
                <w:b/>
                <w:bCs/>
              </w:rPr>
              <w:t>投标人为其缴纳社保的证明</w:t>
            </w:r>
            <w:r>
              <w:rPr>
                <w:rFonts w:hint="eastAsia" w:ascii="仿宋" w:hAnsi="仿宋" w:eastAsia="仿宋" w:cs="仿宋"/>
                <w:b/>
                <w:bCs/>
                <w:sz w:val="24"/>
                <w:szCs w:val="24"/>
              </w:rPr>
              <w:t>复印件或扫描件并加盖公章，否则不得分</w:t>
            </w:r>
            <w:r>
              <w:rPr>
                <w:rFonts w:hint="eastAsia" w:ascii="仿宋" w:hAnsi="仿宋" w:eastAsia="仿宋" w:cs="仿宋"/>
                <w:sz w:val="24"/>
                <w:szCs w:val="24"/>
              </w:rPr>
              <w:t xml:space="preserve">。 </w:t>
            </w:r>
          </w:p>
          <w:p>
            <w:pPr>
              <w:pStyle w:val="2"/>
              <w:numPr>
                <w:ilvl w:val="-1"/>
                <w:numId w:val="0"/>
              </w:numPr>
              <w:ind w:firstLine="0" w:firstLineChars="0"/>
              <w:rPr>
                <w:rFonts w:hint="eastAsia"/>
              </w:rPr>
            </w:pPr>
            <w:r>
              <w:rPr>
                <w:rFonts w:hint="eastAsia" w:ascii="仿宋" w:hAnsi="仿宋" w:eastAsia="仿宋" w:cs="仿宋"/>
                <w:color w:val="000000"/>
                <w:sz w:val="24"/>
                <w:szCs w:val="24"/>
                <w:lang w:val="en-US" w:eastAsia="zh-CN"/>
              </w:rPr>
              <w:t>3、</w:t>
            </w:r>
            <w:r>
              <w:rPr>
                <w:rFonts w:hint="eastAsia" w:ascii="仿宋" w:hAnsi="仿宋" w:eastAsia="仿宋" w:cs="仿宋"/>
                <w:color w:val="000000"/>
                <w:kern w:val="2"/>
                <w:sz w:val="24"/>
                <w:szCs w:val="24"/>
                <w:lang w:val="en-US" w:eastAsia="zh-CN"/>
              </w:rPr>
              <w:t>因疫情防控需要，</w:t>
            </w:r>
            <w:r>
              <w:rPr>
                <w:rFonts w:hint="eastAsia" w:ascii="仿宋" w:hAnsi="仿宋" w:eastAsia="仿宋" w:cs="仿宋"/>
                <w:color w:val="000000"/>
                <w:kern w:val="2"/>
                <w:sz w:val="24"/>
                <w:szCs w:val="24"/>
              </w:rPr>
              <w:t>拟派项目</w:t>
            </w:r>
            <w:r>
              <w:rPr>
                <w:rFonts w:hint="eastAsia" w:ascii="仿宋" w:hAnsi="仿宋" w:eastAsia="仿宋" w:cs="仿宋"/>
                <w:color w:val="000000"/>
                <w:kern w:val="2"/>
              </w:rPr>
              <w:t>项目组成人员中有国家人社部门颁发的国家职业资格有害生物防制员证的</w:t>
            </w:r>
            <w:r>
              <w:rPr>
                <w:rFonts w:hint="eastAsia" w:ascii="仿宋" w:hAnsi="仿宋" w:eastAsia="仿宋" w:cs="仿宋"/>
                <w:color w:val="000000"/>
                <w:kern w:val="2"/>
                <w:lang w:eastAsia="zh-CN"/>
              </w:rPr>
              <w:t>得</w:t>
            </w:r>
            <w:r>
              <w:rPr>
                <w:rFonts w:hint="eastAsia" w:ascii="仿宋" w:hAnsi="仿宋" w:eastAsia="仿宋" w:cs="仿宋"/>
                <w:color w:val="000000"/>
                <w:kern w:val="2"/>
                <w:lang w:val="en-US" w:eastAsia="zh-CN"/>
              </w:rPr>
              <w:t>1分，</w:t>
            </w:r>
            <w:r>
              <w:rPr>
                <w:rFonts w:hint="eastAsia" w:ascii="仿宋" w:hAnsi="仿宋" w:eastAsia="仿宋" w:cs="仿宋"/>
                <w:color w:val="000000"/>
                <w:kern w:val="2"/>
              </w:rPr>
              <w:t>四级及以上</w:t>
            </w:r>
            <w:r>
              <w:rPr>
                <w:rFonts w:hint="eastAsia" w:ascii="仿宋" w:hAnsi="仿宋" w:eastAsia="仿宋" w:cs="仿宋"/>
                <w:color w:val="000000"/>
                <w:kern w:val="2"/>
                <w:lang w:eastAsia="zh-CN"/>
              </w:rPr>
              <w:t>的</w:t>
            </w:r>
            <w:r>
              <w:rPr>
                <w:rFonts w:hint="eastAsia" w:ascii="仿宋" w:hAnsi="仿宋" w:eastAsia="仿宋" w:cs="仿宋"/>
                <w:color w:val="000000"/>
                <w:kern w:val="2"/>
                <w:lang w:val="en-US" w:eastAsia="zh-CN"/>
              </w:rPr>
              <w:t>加1</w:t>
            </w:r>
            <w:r>
              <w:rPr>
                <w:rFonts w:hint="eastAsia" w:ascii="仿宋" w:hAnsi="仿宋" w:eastAsia="仿宋" w:cs="仿宋"/>
                <w:color w:val="000000"/>
                <w:kern w:val="2"/>
              </w:rPr>
              <w:t>分，</w:t>
            </w:r>
            <w:r>
              <w:rPr>
                <w:rFonts w:hint="eastAsia" w:ascii="仿宋" w:hAnsi="仿宋" w:eastAsia="仿宋" w:cs="仿宋"/>
                <w:color w:val="000000"/>
                <w:kern w:val="2"/>
                <w:sz w:val="24"/>
                <w:szCs w:val="24"/>
              </w:rPr>
              <w:t>本项最高得2分。</w:t>
            </w:r>
            <w:r>
              <w:rPr>
                <w:rFonts w:hint="eastAsia" w:ascii="仿宋" w:hAnsi="仿宋" w:eastAsia="仿宋" w:cs="仿宋"/>
                <w:color w:val="000000"/>
                <w:kern w:val="2"/>
              </w:rPr>
              <w:t>。</w:t>
            </w:r>
          </w:p>
          <w:p>
            <w:pPr>
              <w:pStyle w:val="2"/>
              <w:numPr>
                <w:ilvl w:val="0"/>
                <w:numId w:val="0"/>
              </w:numPr>
              <w:spacing w:line="360" w:lineRule="auto"/>
              <w:rPr>
                <w:rFonts w:hint="eastAsia" w:ascii="仿宋" w:hAnsi="仿宋" w:eastAsia="仿宋" w:cs="仿宋"/>
                <w:b/>
                <w:bCs/>
                <w:sz w:val="24"/>
                <w:szCs w:val="24"/>
                <w:lang w:val="en-US" w:eastAsia="zh-CN"/>
              </w:rPr>
            </w:pPr>
            <w:r>
              <w:rPr>
                <w:rFonts w:hint="eastAsia" w:ascii="仿宋" w:hAnsi="仿宋" w:eastAsia="仿宋" w:cs="仿宋"/>
                <w:b/>
                <w:bCs/>
                <w:kern w:val="2"/>
                <w:sz w:val="24"/>
                <w:szCs w:val="24"/>
              </w:rPr>
              <w:t>投标文件中提供</w:t>
            </w:r>
            <w:r>
              <w:rPr>
                <w:rFonts w:hint="eastAsia" w:ascii="仿宋" w:hAnsi="仿宋" w:eastAsia="仿宋" w:cs="仿宋"/>
                <w:b/>
                <w:bCs/>
                <w:kern w:val="2"/>
                <w:lang w:val="en-US" w:eastAsia="zh-CN"/>
              </w:rPr>
              <w:t>人员</w:t>
            </w:r>
            <w:r>
              <w:rPr>
                <w:rFonts w:hint="eastAsia" w:ascii="仿宋" w:hAnsi="仿宋" w:eastAsia="仿宋" w:cs="仿宋"/>
                <w:b/>
                <w:bCs/>
                <w:kern w:val="2"/>
              </w:rPr>
              <w:t>相关证书</w:t>
            </w:r>
            <w:r>
              <w:rPr>
                <w:rFonts w:hint="eastAsia" w:ascii="仿宋" w:hAnsi="仿宋" w:eastAsia="仿宋" w:cs="仿宋"/>
                <w:b/>
                <w:bCs/>
                <w:kern w:val="2"/>
                <w:sz w:val="24"/>
                <w:szCs w:val="24"/>
              </w:rPr>
              <w:t>和持证人员的</w:t>
            </w:r>
            <w:r>
              <w:rPr>
                <w:rFonts w:hint="eastAsia" w:ascii="仿宋" w:hAnsi="仿宋" w:eastAsia="仿宋" w:cs="仿宋"/>
                <w:b/>
                <w:bCs/>
                <w:kern w:val="2"/>
              </w:rPr>
              <w:t>近</w:t>
            </w:r>
            <w:r>
              <w:rPr>
                <w:rFonts w:hint="eastAsia" w:ascii="仿宋" w:hAnsi="仿宋" w:eastAsia="仿宋" w:cs="仿宋"/>
                <w:b/>
                <w:bCs/>
                <w:kern w:val="2"/>
                <w:lang w:val="en-US" w:eastAsia="zh-CN"/>
              </w:rPr>
              <w:t>3个月</w:t>
            </w:r>
            <w:r>
              <w:rPr>
                <w:rFonts w:hint="eastAsia" w:ascii="仿宋" w:hAnsi="仿宋" w:eastAsia="仿宋" w:cs="仿宋"/>
                <w:b/>
                <w:bCs/>
                <w:kern w:val="2"/>
              </w:rPr>
              <w:t>投标人为其缴纳社保的证明</w:t>
            </w:r>
            <w:r>
              <w:rPr>
                <w:rFonts w:hint="eastAsia" w:ascii="仿宋" w:hAnsi="仿宋" w:eastAsia="仿宋" w:cs="仿宋"/>
                <w:b/>
                <w:bCs/>
                <w:kern w:val="2"/>
                <w:sz w:val="24"/>
                <w:szCs w:val="24"/>
              </w:rPr>
              <w:t>复印件或扫描件并加盖公章，否则不得分。</w:t>
            </w:r>
          </w:p>
        </w:tc>
        <w:tc>
          <w:tcPr>
            <w:tcW w:w="795" w:type="dxa"/>
            <w:vAlign w:val="center"/>
          </w:tcPr>
          <w:p>
            <w:pPr>
              <w:spacing w:line="42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901" w:type="dxa"/>
            <w:vAlign w:val="center"/>
          </w:tcPr>
          <w:p>
            <w:pPr>
              <w:spacing w:line="360" w:lineRule="auto"/>
              <w:rPr>
                <w:rFonts w:hint="eastAsia" w:ascii="仿宋" w:hAnsi="仿宋" w:eastAsia="仿宋" w:cs="仿宋"/>
                <w:color w:val="auto"/>
                <w:sz w:val="24"/>
                <w:szCs w:val="24"/>
                <w:lang w:eastAsia="zh-CN"/>
              </w:rPr>
            </w:pPr>
            <w:r>
              <w:rPr>
                <w:rFonts w:hint="eastAsia" w:ascii="仿宋" w:hAnsi="仿宋" w:eastAsia="仿宋" w:cs="仿宋"/>
                <w:color w:val="000000"/>
                <w:sz w:val="24"/>
                <w:szCs w:val="24"/>
              </w:rPr>
              <w:t>健全的管理组织</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投标人管理理念</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、管理模式</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、管理组织架构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、管理监督机制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等是否健全</w:t>
            </w:r>
            <w:r>
              <w:rPr>
                <w:rFonts w:hint="eastAsia" w:ascii="仿宋" w:hAnsi="仿宋" w:eastAsia="仿宋" w:cs="仿宋"/>
                <w:sz w:val="24"/>
                <w:szCs w:val="24"/>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5901" w:type="dxa"/>
            <w:vAlign w:val="center"/>
          </w:tcPr>
          <w:p>
            <w:pPr>
              <w:spacing w:line="420" w:lineRule="exact"/>
              <w:rPr>
                <w:rFonts w:hint="eastAsia" w:ascii="仿宋" w:hAnsi="仿宋" w:eastAsia="仿宋" w:cs="仿宋"/>
                <w:color w:val="auto"/>
                <w:sz w:val="24"/>
                <w:szCs w:val="24"/>
                <w:lang w:eastAsia="zh-CN"/>
              </w:rPr>
            </w:pPr>
            <w:r>
              <w:rPr>
                <w:rFonts w:hint="eastAsia" w:ascii="仿宋" w:hAnsi="仿宋" w:eastAsia="仿宋" w:cs="仿宋"/>
                <w:color w:val="000000"/>
                <w:sz w:val="24"/>
                <w:szCs w:val="24"/>
              </w:rPr>
              <w:t>管理制度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投标人管理守则</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、岗位职责</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、安全管理制度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、文明管理制度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、考核制度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、员工培训</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等是否全面合理</w:t>
            </w:r>
            <w:r>
              <w:rPr>
                <w:rFonts w:hint="eastAsia" w:ascii="仿宋" w:hAnsi="仿宋" w:eastAsia="仿宋" w:cs="仿宋"/>
                <w:sz w:val="24"/>
                <w:szCs w:val="24"/>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5901" w:type="dxa"/>
            <w:vAlign w:val="center"/>
          </w:tcPr>
          <w:p>
            <w:pPr>
              <w:spacing w:line="42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sz w:val="24"/>
                <w:szCs w:val="24"/>
              </w:rPr>
              <w:t>作业机构</w:t>
            </w:r>
            <w:r>
              <w:rPr>
                <w:rFonts w:hint="eastAsia" w:ascii="仿宋" w:hAnsi="仿宋" w:eastAsia="仿宋" w:cs="仿宋"/>
                <w:color w:val="auto"/>
                <w:sz w:val="24"/>
                <w:szCs w:val="24"/>
                <w:lang w:eastAsia="zh-CN"/>
              </w:rPr>
              <w:t>：</w:t>
            </w:r>
            <w:r>
              <w:rPr>
                <w:rFonts w:hint="eastAsia" w:ascii="仿宋" w:hAnsi="仿宋" w:eastAsia="仿宋" w:cs="仿宋"/>
                <w:sz w:val="24"/>
                <w:szCs w:val="24"/>
              </w:rPr>
              <w:t>投标人的作业机构分组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0-1.5分</w:t>
            </w:r>
            <w:r>
              <w:rPr>
                <w:rFonts w:hint="eastAsia" w:ascii="仿宋" w:hAnsi="仿宋" w:eastAsia="仿宋" w:cs="仿宋"/>
                <w:color w:val="000000"/>
                <w:sz w:val="24"/>
                <w:szCs w:val="24"/>
                <w:lang w:eastAsia="zh-CN"/>
              </w:rPr>
              <w:t>）</w:t>
            </w:r>
            <w:r>
              <w:rPr>
                <w:rFonts w:hint="eastAsia" w:ascii="仿宋" w:hAnsi="仿宋" w:eastAsia="仿宋" w:cs="仿宋"/>
                <w:sz w:val="24"/>
                <w:szCs w:val="24"/>
              </w:rPr>
              <w:t>和班组作业内容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0-1.5分</w:t>
            </w:r>
            <w:r>
              <w:rPr>
                <w:rFonts w:hint="eastAsia" w:ascii="仿宋" w:hAnsi="仿宋" w:eastAsia="仿宋" w:cs="仿宋"/>
                <w:color w:val="000000"/>
                <w:sz w:val="24"/>
                <w:szCs w:val="24"/>
                <w:lang w:eastAsia="zh-CN"/>
              </w:rPr>
              <w:t>）</w:t>
            </w:r>
            <w:r>
              <w:rPr>
                <w:rFonts w:hint="eastAsia" w:ascii="仿宋" w:hAnsi="仿宋" w:eastAsia="仿宋" w:cs="仿宋"/>
                <w:sz w:val="24"/>
                <w:szCs w:val="24"/>
              </w:rPr>
              <w:t>是否符合本项目实情，</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5901" w:type="dxa"/>
            <w:vAlign w:val="center"/>
          </w:tcPr>
          <w:p>
            <w:pPr>
              <w:spacing w:line="42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sz w:val="24"/>
                <w:szCs w:val="24"/>
              </w:rPr>
              <w:t>作业方案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作业方案是否符合作业要求</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，作业时间</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、作业标准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、工作流程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等是否切实可行</w:t>
            </w:r>
            <w:r>
              <w:rPr>
                <w:rFonts w:hint="eastAsia" w:ascii="仿宋" w:hAnsi="仿宋" w:eastAsia="仿宋" w:cs="仿宋"/>
                <w:sz w:val="24"/>
                <w:szCs w:val="24"/>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5901" w:type="dxa"/>
            <w:vAlign w:val="center"/>
          </w:tcPr>
          <w:p>
            <w:pPr>
              <w:spacing w:line="420" w:lineRule="exact"/>
              <w:rPr>
                <w:rFonts w:hint="eastAsia" w:ascii="仿宋" w:hAnsi="仿宋" w:eastAsia="仿宋" w:cs="仿宋"/>
                <w:color w:val="auto"/>
                <w:sz w:val="24"/>
                <w:szCs w:val="24"/>
                <w:lang w:eastAsia="zh-CN"/>
              </w:rPr>
            </w:pPr>
            <w:r>
              <w:rPr>
                <w:rFonts w:hint="eastAsia" w:ascii="仿宋" w:hAnsi="仿宋" w:eastAsia="仿宋" w:cs="仿宋"/>
                <w:color w:val="000000"/>
                <w:sz w:val="24"/>
                <w:szCs w:val="24"/>
              </w:rPr>
              <w:t>规范和标准</w:t>
            </w:r>
            <w:r>
              <w:rPr>
                <w:rFonts w:hint="eastAsia" w:ascii="仿宋" w:hAnsi="仿宋" w:eastAsia="仿宋" w:cs="仿宋"/>
                <w:color w:val="000000"/>
                <w:sz w:val="24"/>
                <w:szCs w:val="24"/>
                <w:lang w:eastAsia="zh-CN"/>
              </w:rPr>
              <w:t>：</w:t>
            </w:r>
            <w:r>
              <w:rPr>
                <w:rFonts w:hint="eastAsia" w:ascii="仿宋" w:hAnsi="仿宋" w:eastAsia="仿宋" w:cs="仿宋"/>
                <w:sz w:val="24"/>
                <w:szCs w:val="24"/>
              </w:rPr>
              <w:t>投标人如何保证</w:t>
            </w:r>
            <w:r>
              <w:rPr>
                <w:rFonts w:hint="eastAsia" w:ascii="仿宋" w:hAnsi="仿宋" w:eastAsia="仿宋" w:cs="仿宋"/>
                <w:color w:val="000000"/>
                <w:sz w:val="24"/>
                <w:szCs w:val="24"/>
              </w:rPr>
              <w:t>人员</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0-2分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、车辆设备</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0-1.5分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、作业流程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0-1.5分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等是否规范和标准</w:t>
            </w:r>
            <w:r>
              <w:rPr>
                <w:rFonts w:hint="eastAsia" w:ascii="仿宋" w:hAnsi="仿宋" w:eastAsia="仿宋" w:cs="仿宋"/>
                <w:sz w:val="24"/>
                <w:szCs w:val="24"/>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5901" w:type="dxa"/>
            <w:vAlign w:val="center"/>
          </w:tcPr>
          <w:p>
            <w:pPr>
              <w:spacing w:line="420" w:lineRule="exact"/>
              <w:rPr>
                <w:rFonts w:hint="eastAsia" w:ascii="仿宋" w:hAnsi="仿宋" w:eastAsia="仿宋" w:cs="仿宋"/>
                <w:color w:val="auto"/>
                <w:sz w:val="24"/>
                <w:szCs w:val="24"/>
                <w:lang w:eastAsia="zh-CN"/>
              </w:rPr>
            </w:pPr>
            <w:r>
              <w:rPr>
                <w:rFonts w:hint="eastAsia" w:ascii="仿宋" w:hAnsi="仿宋" w:eastAsia="仿宋" w:cs="仿宋"/>
                <w:color w:val="000000"/>
                <w:sz w:val="24"/>
                <w:szCs w:val="24"/>
              </w:rPr>
              <w:t>质量保证措施</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投标人是否具有质量保证措施</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，质量监督和考核是否完善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、先进可靠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sz w:val="24"/>
                <w:szCs w:val="24"/>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5901" w:type="dxa"/>
            <w:vAlign w:val="center"/>
          </w:tcPr>
          <w:p>
            <w:pPr>
              <w:spacing w:line="420" w:lineRule="exact"/>
              <w:rPr>
                <w:rFonts w:hint="eastAsia" w:ascii="仿宋" w:hAnsi="仿宋" w:eastAsia="仿宋" w:cs="仿宋"/>
                <w:color w:val="auto"/>
                <w:sz w:val="24"/>
                <w:szCs w:val="24"/>
                <w:lang w:eastAsia="zh-CN"/>
              </w:rPr>
            </w:pPr>
            <w:r>
              <w:rPr>
                <w:rFonts w:hint="eastAsia" w:ascii="仿宋" w:hAnsi="仿宋" w:eastAsia="仿宋" w:cs="仿宋"/>
                <w:color w:val="000000"/>
                <w:sz w:val="24"/>
                <w:szCs w:val="24"/>
              </w:rPr>
              <w:t>文明安全体系措施</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投标人安全生产制度和措施</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，安全生产监督机构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，安全生产培训</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等是否完善、先进可靠</w:t>
            </w:r>
            <w:r>
              <w:rPr>
                <w:rFonts w:hint="eastAsia" w:ascii="仿宋" w:hAnsi="仿宋" w:eastAsia="仿宋" w:cs="仿宋"/>
                <w:sz w:val="24"/>
                <w:szCs w:val="24"/>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5901" w:type="dxa"/>
            <w:vAlign w:val="center"/>
          </w:tcPr>
          <w:p>
            <w:pPr>
              <w:spacing w:line="420" w:lineRule="exact"/>
              <w:rPr>
                <w:rFonts w:hint="eastAsia" w:ascii="仿宋" w:hAnsi="仿宋" w:eastAsia="仿宋" w:cs="仿宋"/>
                <w:color w:val="auto"/>
                <w:sz w:val="24"/>
                <w:szCs w:val="24"/>
                <w:lang w:eastAsia="zh-CN"/>
              </w:rPr>
            </w:pPr>
            <w:r>
              <w:rPr>
                <w:rFonts w:hint="eastAsia" w:ascii="仿宋" w:hAnsi="仿宋" w:eastAsia="仿宋" w:cs="仿宋"/>
                <w:color w:val="000000"/>
                <w:sz w:val="24"/>
                <w:szCs w:val="24"/>
              </w:rPr>
              <w:t>应急预案</w:t>
            </w:r>
            <w:r>
              <w:rPr>
                <w:rFonts w:hint="eastAsia" w:ascii="仿宋" w:hAnsi="仿宋" w:eastAsia="仿宋" w:cs="仿宋"/>
                <w:color w:val="000000"/>
                <w:sz w:val="24"/>
                <w:szCs w:val="24"/>
                <w:lang w:eastAsia="zh-CN"/>
              </w:rPr>
              <w:t>：</w:t>
            </w:r>
            <w:r>
              <w:rPr>
                <w:rFonts w:hint="eastAsia" w:ascii="仿宋" w:hAnsi="仿宋" w:eastAsia="仿宋" w:cs="仿宋"/>
                <w:color w:val="auto"/>
                <w:sz w:val="24"/>
                <w:szCs w:val="24"/>
              </w:rPr>
              <w:t>对</w:t>
            </w:r>
            <w:r>
              <w:rPr>
                <w:rFonts w:hint="eastAsia" w:ascii="仿宋" w:hAnsi="仿宋" w:eastAsia="仿宋" w:cs="仿宋"/>
                <w:color w:val="auto"/>
                <w:sz w:val="24"/>
                <w:szCs w:val="24"/>
                <w:lang w:val="en-US" w:eastAsia="zh-CN"/>
              </w:rPr>
              <w:t>疫情</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0-2分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突发事故</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、自然灾害</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、机械设备故障的处理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及配合重大活动</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的应急预案</w:t>
            </w:r>
            <w:r>
              <w:rPr>
                <w:rFonts w:hint="eastAsia" w:ascii="仿宋" w:hAnsi="仿宋" w:eastAsia="仿宋" w:cs="仿宋"/>
                <w:color w:val="000000"/>
                <w:sz w:val="24"/>
                <w:szCs w:val="24"/>
                <w:lang w:eastAsia="zh-CN"/>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13" w:type="dxa"/>
            <w:vAlign w:val="center"/>
          </w:tcPr>
          <w:p>
            <w:pPr>
              <w:spacing w:line="360" w:lineRule="auto"/>
              <w:ind w:firstLine="360" w:firstLineChars="150"/>
              <w:jc w:val="left"/>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5901" w:type="dxa"/>
            <w:vAlign w:val="center"/>
          </w:tcPr>
          <w:p>
            <w:pPr>
              <w:spacing w:line="42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000000"/>
                <w:sz w:val="24"/>
                <w:szCs w:val="24"/>
              </w:rPr>
              <w:t>合理化建议</w:t>
            </w:r>
            <w:r>
              <w:rPr>
                <w:rFonts w:hint="eastAsia" w:ascii="仿宋" w:hAnsi="仿宋" w:eastAsia="仿宋" w:cs="仿宋"/>
                <w:color w:val="auto"/>
                <w:sz w:val="24"/>
                <w:szCs w:val="24"/>
                <w:lang w:eastAsia="zh-CN"/>
              </w:rPr>
              <w:t>：</w:t>
            </w:r>
            <w:r>
              <w:rPr>
                <w:rFonts w:hint="eastAsia" w:ascii="仿宋" w:hAnsi="仿宋" w:eastAsia="仿宋" w:cs="仿宋"/>
                <w:color w:val="000000"/>
                <w:sz w:val="24"/>
                <w:szCs w:val="24"/>
              </w:rPr>
              <w:t>根据投标单位提出的合理化</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0-1.5分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、优化建议</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0-1.5分</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进行打分</w:t>
            </w:r>
            <w:r>
              <w:rPr>
                <w:rFonts w:hint="eastAsia" w:ascii="仿宋" w:hAnsi="仿宋" w:eastAsia="仿宋" w:cs="仿宋"/>
                <w:sz w:val="24"/>
                <w:szCs w:val="24"/>
              </w:rPr>
              <w:t>，</w:t>
            </w:r>
            <w:r>
              <w:rPr>
                <w:rFonts w:hint="eastAsia" w:ascii="仿宋" w:hAnsi="仿宋" w:eastAsia="仿宋" w:cs="仿宋"/>
                <w:color w:val="auto"/>
                <w:sz w:val="24"/>
                <w:szCs w:val="24"/>
              </w:rPr>
              <w:t>评标委员会进行打分</w:t>
            </w:r>
          </w:p>
        </w:tc>
        <w:tc>
          <w:tcPr>
            <w:tcW w:w="795" w:type="dxa"/>
            <w:vAlign w:val="center"/>
          </w:tcPr>
          <w:p>
            <w:pPr>
              <w:spacing w:line="42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2136" w:type="dxa"/>
            <w:vAlign w:val="top"/>
          </w:tcPr>
          <w:p>
            <w:pPr>
              <w:spacing w:line="360" w:lineRule="auto"/>
              <w:outlineLvl w:val="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745" w:type="dxa"/>
            <w:gridSpan w:val="4"/>
            <w:vAlign w:val="center"/>
          </w:tcPr>
          <w:p>
            <w:pPr>
              <w:spacing w:line="360" w:lineRule="auto"/>
              <w:outlineLvl w:val="0"/>
              <w:rPr>
                <w:rFonts w:hint="eastAsia" w:ascii="仿宋" w:hAnsi="仿宋" w:eastAsia="仿宋" w:cs="仿宋_GB2312"/>
                <w:sz w:val="24"/>
                <w:lang w:eastAsia="zh-CN"/>
              </w:rPr>
            </w:pPr>
            <w:r>
              <w:rPr>
                <w:rFonts w:hint="eastAsia" w:ascii="仿宋" w:hAnsi="仿宋" w:eastAsia="仿宋" w:cs="仿宋_GB2312"/>
                <w:sz w:val="24"/>
                <w:lang w:eastAsia="zh-CN"/>
              </w:rPr>
              <w:t>报价分（</w:t>
            </w:r>
            <w:r>
              <w:rPr>
                <w:rFonts w:hint="eastAsia" w:ascii="仿宋" w:hAnsi="仿宋" w:eastAsia="仿宋" w:cs="仿宋_GB2312"/>
                <w:sz w:val="24"/>
                <w:lang w:val="en-US" w:eastAsia="zh-CN"/>
              </w:rPr>
              <w:t>10分</w:t>
            </w:r>
            <w:r>
              <w:rPr>
                <w:rFonts w:hint="eastAsia" w:ascii="仿宋" w:hAnsi="仿宋" w:eastAsia="仿宋" w:cs="仿宋_GB2312"/>
                <w:sz w:val="24"/>
                <w:lang w:eastAsia="zh-CN"/>
              </w:rPr>
              <w:t>）：</w:t>
            </w:r>
          </w:p>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rPr>
              <w:t>价格权值</w:t>
            </w:r>
            <w:r>
              <w:rPr>
                <w:rFonts w:ascii="仿宋" w:hAnsi="仿宋" w:eastAsia="仿宋" w:cs="仿宋_GB2312"/>
                <w:sz w:val="24"/>
              </w:rPr>
              <w:t>］的计算公式计算。</w:t>
            </w:r>
          </w:p>
          <w:p>
            <w:pPr>
              <w:widowControl/>
              <w:shd w:val="clear" w:color="auto" w:fill="FFFFFF"/>
              <w:adjustRightInd/>
              <w:spacing w:after="225" w:line="315" w:lineRule="atLeast"/>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spacing w:line="360" w:lineRule="auto"/>
              <w:outlineLvl w:val="0"/>
              <w:rPr>
                <w:rFonts w:hint="eastAsia" w:ascii="仿宋" w:hAnsi="仿宋" w:eastAsia="仿宋" w:cs="仿宋"/>
                <w:sz w:val="24"/>
                <w:szCs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13" w:type="dxa"/>
            <w:vAlign w:val="center"/>
          </w:tcPr>
          <w:p>
            <w:pPr>
              <w:pStyle w:val="26"/>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w:t>
            </w:r>
          </w:p>
        </w:tc>
        <w:tc>
          <w:tcPr>
            <w:tcW w:w="5901"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其他垃圾收集</w:t>
            </w:r>
          </w:p>
        </w:tc>
        <w:tc>
          <w:tcPr>
            <w:tcW w:w="795" w:type="dxa"/>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2136" w:type="dxa"/>
            <w:vAlign w:val="top"/>
          </w:tcPr>
          <w:p>
            <w:pPr>
              <w:spacing w:line="360" w:lineRule="auto"/>
              <w:jc w:val="center"/>
              <w:outlineLvl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13" w:type="dxa"/>
            <w:vAlign w:val="center"/>
          </w:tcPr>
          <w:p>
            <w:pPr>
              <w:pStyle w:val="26"/>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2</w:t>
            </w:r>
          </w:p>
        </w:tc>
        <w:tc>
          <w:tcPr>
            <w:tcW w:w="5901" w:type="dxa"/>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易腐垃圾收集</w:t>
            </w:r>
          </w:p>
        </w:tc>
        <w:tc>
          <w:tcPr>
            <w:tcW w:w="795" w:type="dxa"/>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2136" w:type="dxa"/>
            <w:vAlign w:val="top"/>
          </w:tcPr>
          <w:p>
            <w:pPr>
              <w:spacing w:line="360" w:lineRule="auto"/>
              <w:jc w:val="center"/>
              <w:outlineLvl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13" w:type="dxa"/>
            <w:vAlign w:val="center"/>
          </w:tcPr>
          <w:p>
            <w:pPr>
              <w:spacing w:line="4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3</w:t>
            </w:r>
          </w:p>
        </w:tc>
        <w:tc>
          <w:tcPr>
            <w:tcW w:w="5901" w:type="dxa"/>
            <w:vAlign w:val="center"/>
          </w:tcPr>
          <w:p>
            <w:pPr>
              <w:spacing w:line="4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垃圾音乐线</w:t>
            </w:r>
          </w:p>
        </w:tc>
        <w:tc>
          <w:tcPr>
            <w:tcW w:w="795" w:type="dxa"/>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2136" w:type="dxa"/>
            <w:vAlign w:val="top"/>
          </w:tcPr>
          <w:p>
            <w:pPr>
              <w:spacing w:line="420" w:lineRule="exact"/>
              <w:jc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13" w:type="dxa"/>
            <w:vAlign w:val="center"/>
          </w:tcPr>
          <w:p>
            <w:pPr>
              <w:spacing w:line="4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4</w:t>
            </w:r>
          </w:p>
        </w:tc>
        <w:tc>
          <w:tcPr>
            <w:tcW w:w="5901" w:type="dxa"/>
            <w:vAlign w:val="center"/>
          </w:tcPr>
          <w:p>
            <w:pPr>
              <w:spacing w:line="4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杭师园林绿化垃圾清运及化粪池吸污</w:t>
            </w:r>
          </w:p>
        </w:tc>
        <w:tc>
          <w:tcPr>
            <w:tcW w:w="795" w:type="dxa"/>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2136" w:type="dxa"/>
            <w:vAlign w:val="top"/>
          </w:tcPr>
          <w:p>
            <w:pPr>
              <w:spacing w:line="420" w:lineRule="exact"/>
              <w:jc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13" w:type="dxa"/>
            <w:vAlign w:val="center"/>
          </w:tcPr>
          <w:p>
            <w:pPr>
              <w:spacing w:line="4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5</w:t>
            </w:r>
          </w:p>
        </w:tc>
        <w:tc>
          <w:tcPr>
            <w:tcW w:w="5901" w:type="dxa"/>
            <w:vAlign w:val="center"/>
          </w:tcPr>
          <w:p>
            <w:pPr>
              <w:spacing w:line="42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苕溪生活垃圾音乐线集置点管理</w:t>
            </w:r>
          </w:p>
        </w:tc>
        <w:tc>
          <w:tcPr>
            <w:tcW w:w="795" w:type="dxa"/>
            <w:vAlign w:val="center"/>
          </w:tcPr>
          <w:p>
            <w:pPr>
              <w:spacing w:line="4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2136" w:type="dxa"/>
            <w:vAlign w:val="top"/>
          </w:tcPr>
          <w:p>
            <w:pPr>
              <w:spacing w:line="420" w:lineRule="exact"/>
              <w:jc w:val="center"/>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w:t>
            </w:r>
          </w:p>
        </w:tc>
      </w:tr>
    </w:tbl>
    <w:p>
      <w:pPr>
        <w:snapToGrid w:val="0"/>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85"/>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85"/>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85"/>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85"/>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85"/>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85"/>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85"/>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85"/>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85"/>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7"/>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7"/>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7"/>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7"/>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7"/>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7"/>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7"/>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7"/>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7"/>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4" w:name="_Toc86217003"/>
      <w:bookmarkStart w:id="395" w:name="第五部分"/>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pStyle w:val="5"/>
        <w:rPr>
          <w:rFonts w:ascii="仿宋_GB2312" w:hAnsi="仿宋" w:eastAsia="仿宋_GB2312" w:cs="仿宋_GB2312"/>
          <w:b/>
          <w:sz w:val="36"/>
          <w:szCs w:val="36"/>
        </w:rPr>
      </w:pPr>
    </w:p>
    <w:p>
      <w:pPr>
        <w:rPr>
          <w:rFonts w:ascii="仿宋_GB2312" w:hAnsi="仿宋" w:eastAsia="仿宋_GB2312" w:cs="仿宋_GB2312"/>
          <w:b/>
          <w:sz w:val="36"/>
          <w:szCs w:val="36"/>
        </w:rPr>
      </w:pPr>
    </w:p>
    <w:p>
      <w:pPr>
        <w:pStyle w:val="5"/>
        <w:rPr>
          <w:rFonts w:ascii="仿宋_GB2312" w:hAnsi="仿宋" w:eastAsia="仿宋_GB2312" w:cs="仿宋_GB2312"/>
          <w:b/>
          <w:sz w:val="36"/>
          <w:szCs w:val="36"/>
        </w:rPr>
      </w:pPr>
    </w:p>
    <w:p>
      <w:pPr>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bookmarkEnd w:id="394"/>
    <w:bookmarkEnd w:id="395"/>
    <w:p>
      <w:pPr>
        <w:snapToGrid w:val="0"/>
        <w:spacing w:line="360" w:lineRule="auto"/>
        <w:ind w:firstLine="2570" w:firstLineChars="800"/>
        <w:jc w:val="both"/>
        <w:rPr>
          <w:rFonts w:hint="eastAsia" w:ascii="仿宋" w:hAnsi="仿宋" w:eastAsia="仿宋" w:cs="仿宋"/>
        </w:rPr>
      </w:pPr>
      <w:r>
        <w:rPr>
          <w:rFonts w:hint="eastAsia" w:ascii="仿宋" w:hAnsi="仿宋" w:eastAsia="仿宋" w:cs="仿宋"/>
          <w:b/>
          <w:color w:val="000000"/>
          <w:sz w:val="32"/>
          <w:szCs w:val="32"/>
        </w:rPr>
        <w:t>（以最终合同为准）</w:t>
      </w:r>
    </w:p>
    <w:p>
      <w:pPr>
        <w:autoSpaceDE w:val="0"/>
        <w:autoSpaceDN w:val="0"/>
        <w:snapToGrid w:val="0"/>
        <w:spacing w:line="360" w:lineRule="auto"/>
        <w:ind w:firstLine="436" w:firstLineChars="182"/>
        <w:rPr>
          <w:rFonts w:hint="eastAsia" w:ascii="仿宋" w:hAnsi="仿宋" w:eastAsia="仿宋" w:cs="仿宋"/>
          <w:color w:val="000000"/>
          <w:sz w:val="24"/>
        </w:rPr>
      </w:pPr>
      <w:r>
        <w:rPr>
          <w:rFonts w:hint="eastAsia" w:ascii="仿宋" w:hAnsi="仿宋" w:eastAsia="仿宋" w:cs="仿宋"/>
          <w:color w:val="000000"/>
          <w:sz w:val="24"/>
        </w:rPr>
        <w:t xml:space="preserve">项目名称： </w:t>
      </w:r>
    </w:p>
    <w:p>
      <w:pPr>
        <w:pStyle w:val="35"/>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招标编号：</w:t>
      </w:r>
    </w:p>
    <w:p>
      <w:pPr>
        <w:pStyle w:val="35"/>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甲方： </w:t>
      </w:r>
    </w:p>
    <w:p>
      <w:pPr>
        <w:snapToGrid w:val="0"/>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乙方：</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甲、乙双方根据浙江鑫润工程管理有限公司关于</w:t>
      </w:r>
      <w:r>
        <w:rPr>
          <w:rFonts w:hint="eastAsia" w:ascii="仿宋" w:hAnsi="仿宋" w:eastAsia="仿宋" w:cs="仿宋"/>
          <w:sz w:val="24"/>
          <w:szCs w:val="24"/>
          <w:u w:val="single"/>
          <w:lang w:eastAsia="zh-CN"/>
        </w:rPr>
        <w:t>仓前街道居民生活垃圾前端收集及音乐线项目</w:t>
      </w:r>
      <w:r>
        <w:rPr>
          <w:rFonts w:hint="eastAsia" w:ascii="仿宋" w:hAnsi="仿宋" w:eastAsia="仿宋" w:cs="仿宋"/>
          <w:color w:val="000000"/>
          <w:sz w:val="24"/>
          <w:szCs w:val="24"/>
          <w:lang w:eastAsia="zh-CN"/>
        </w:rPr>
        <w:t>政府采购公开招标的结果，签署本合同。</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一、服务内容</w:t>
      </w:r>
    </w:p>
    <w:p>
      <w:pPr>
        <w:pStyle w:val="166"/>
        <w:snapToGrid w:val="0"/>
        <w:spacing w:line="360" w:lineRule="auto"/>
        <w:ind w:firstLine="480" w:firstLineChars="200"/>
        <w:rPr>
          <w:rFonts w:hint="eastAsia" w:ascii="仿宋" w:hAnsi="仿宋" w:eastAsia="仿宋" w:cs="仿宋"/>
          <w:b/>
          <w:color w:val="000000"/>
          <w:sz w:val="24"/>
          <w:szCs w:val="24"/>
          <w:lang w:eastAsia="zh-CN"/>
        </w:rPr>
      </w:pPr>
      <w:r>
        <w:rPr>
          <w:rFonts w:hint="eastAsia" w:ascii="仿宋" w:hAnsi="仿宋" w:eastAsia="仿宋" w:cs="仿宋"/>
          <w:sz w:val="24"/>
          <w:szCs w:val="24"/>
          <w:lang w:eastAsia="zh-CN"/>
        </w:rPr>
        <w:t>仓前街道居民生活垃圾前端收集及音乐线项目，具体内容和相关要求详见招标文件“第三部分——项目技术规范和服务要求”</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二、项目服务期</w:t>
      </w:r>
    </w:p>
    <w:p>
      <w:pPr>
        <w:pStyle w:val="166"/>
        <w:snapToGrid w:val="0"/>
        <w:spacing w:line="360" w:lineRule="auto"/>
        <w:ind w:firstLine="480" w:firstLineChars="200"/>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 xml:space="preserve"> </w:t>
      </w:r>
      <w:r>
        <w:rPr>
          <w:rFonts w:hint="eastAsia" w:ascii="仿宋" w:hAnsi="仿宋" w:eastAsia="仿宋" w:cs="仿宋"/>
          <w:color w:val="000000"/>
          <w:sz w:val="24"/>
          <w:szCs w:val="24"/>
          <w:lang w:eastAsia="zh-CN"/>
        </w:rPr>
        <w:t>按招标文件约定。</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二、合同金额</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本合同金额为（大写）</w:t>
      </w:r>
      <w:r>
        <w:rPr>
          <w:rFonts w:hint="eastAsia" w:ascii="仿宋" w:hAnsi="仿宋" w:eastAsia="仿宋" w:cs="仿宋"/>
          <w:color w:val="000000"/>
          <w:sz w:val="24"/>
          <w:szCs w:val="24"/>
          <w:u w:val="single"/>
          <w:lang w:eastAsia="zh-CN"/>
        </w:rPr>
        <w:t xml:space="preserve">            </w:t>
      </w:r>
      <w:r>
        <w:rPr>
          <w:rFonts w:hint="eastAsia" w:ascii="仿宋" w:hAnsi="仿宋" w:eastAsia="仿宋" w:cs="仿宋"/>
          <w:color w:val="000000"/>
          <w:sz w:val="24"/>
          <w:szCs w:val="24"/>
          <w:lang w:eastAsia="zh-CN"/>
        </w:rPr>
        <w:t>元/吨（￥</w:t>
      </w:r>
      <w:r>
        <w:rPr>
          <w:rFonts w:hint="eastAsia" w:ascii="仿宋" w:hAnsi="仿宋" w:eastAsia="仿宋" w:cs="仿宋"/>
          <w:color w:val="000000"/>
          <w:sz w:val="24"/>
          <w:szCs w:val="24"/>
          <w:u w:val="single"/>
          <w:lang w:eastAsia="zh-CN"/>
        </w:rPr>
        <w:t xml:space="preserve">        </w:t>
      </w:r>
      <w:r>
        <w:rPr>
          <w:rFonts w:hint="eastAsia" w:ascii="仿宋" w:hAnsi="仿宋" w:eastAsia="仿宋" w:cs="仿宋"/>
          <w:color w:val="000000"/>
          <w:sz w:val="24"/>
          <w:szCs w:val="24"/>
          <w:lang w:eastAsia="zh-CN"/>
        </w:rPr>
        <w:t>元/吨）人民币。</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三、技术资料</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1、乙方应按招标文件规定的时间向甲方提供有关技术资料。</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四、知识产权</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乙方应保证提供服务过程中不会侵犯任何第三方的知识产权。</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五、履约保证金</w:t>
      </w:r>
    </w:p>
    <w:p>
      <w:pPr>
        <w:shd w:val="clear" w:color="auto" w:fill="FFFFFF"/>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按招标文件约定。</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六、转包或分包</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1、本合同范围的服务，应由乙方直接供应，不得转让他人供应；</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2、除非得到甲方的书面同意，乙方不得将本合同范围的服务全部或部分分包给他人供应；</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3、如有转让和未经甲方同意的分包行为，甲方有权解除合同，没收履约保证金并追究乙方的违约责任。</w:t>
      </w:r>
    </w:p>
    <w:p>
      <w:pPr>
        <w:pStyle w:val="166"/>
        <w:snapToGrid w:val="0"/>
        <w:spacing w:line="360" w:lineRule="auto"/>
        <w:ind w:firstLine="482" w:firstLineChars="200"/>
        <w:rPr>
          <w:rFonts w:hint="eastAsia" w:ascii="仿宋" w:hAnsi="仿宋" w:eastAsia="仿宋" w:cs="仿宋"/>
          <w:color w:val="000000"/>
          <w:sz w:val="24"/>
          <w:szCs w:val="24"/>
          <w:lang w:eastAsia="zh-CN"/>
        </w:rPr>
      </w:pPr>
      <w:r>
        <w:rPr>
          <w:rFonts w:hint="eastAsia" w:ascii="仿宋" w:hAnsi="仿宋" w:eastAsia="仿宋" w:cs="仿宋"/>
          <w:b/>
          <w:color w:val="000000"/>
          <w:sz w:val="24"/>
          <w:szCs w:val="24"/>
          <w:lang w:eastAsia="zh-CN"/>
        </w:rPr>
        <w:t>七、合同履行时间、履行方式及履行地点</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1、履行时间：</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2、履行地点：</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八、款项支付</w:t>
      </w:r>
    </w:p>
    <w:p>
      <w:pPr>
        <w:snapToGrid w:val="0"/>
        <w:spacing w:line="360" w:lineRule="auto"/>
        <w:ind w:firstLine="480" w:firstLineChars="200"/>
        <w:rPr>
          <w:rFonts w:hint="eastAsia" w:ascii="仿宋" w:hAnsi="仿宋" w:eastAsia="仿宋" w:cs="仿宋"/>
          <w:color w:val="000000"/>
          <w:kern w:val="0"/>
          <w:sz w:val="24"/>
        </w:rPr>
      </w:pPr>
      <w:r>
        <w:rPr>
          <w:rFonts w:hint="eastAsia" w:ascii="仿宋" w:hAnsi="仿宋" w:eastAsia="仿宋" w:cs="仿宋"/>
          <w:color w:val="000000"/>
          <w:sz w:val="24"/>
        </w:rPr>
        <w:t>按招标文件约定。</w:t>
      </w:r>
    </w:p>
    <w:p>
      <w:pPr>
        <w:autoSpaceDE w:val="0"/>
        <w:autoSpaceDN w:val="0"/>
        <w:snapToGrid w:val="0"/>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九、税费</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本合同执行中相关的一切税费均由乙方负担。</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十、质量保证及后续服务</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1、乙方应按招标文件规定向甲方提供服务。</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2、乙方提供的服务成果在服务质量保证期内发生故障，乙方应负责免费提供后续服务。对达不到要求者，根据实际情况，经双方协商，可按以下办法处理：</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（1）重做：由乙方承担所发生的全部费用。</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（2）解除合同。</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3、在服务质量保证期内，乙方应对出现的质量及安全问题负责处理解决并承担一切费用。</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十一、违约责任</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1、甲方无正当理由拒收接受服务的，甲方向乙方偿付合同款项百分之五作为违约金。</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2、甲方无故逾期验收和办理款项支付手续的，甲方应按逾期付款总额每日万分之五向乙方支付违约金。</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乙方未能如期提供服务的，每日向甲方支付合同款项的千分之五作为违约金。乙方超过约定日期5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十二、不可抗力事件处理</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1、在合同有效期内，任何一方因不可抗力事件导致不能履行合同，则合同履行期可延长，其延长期与不可抗力影响期相同。2、不可抗力事件发生后，应立即通知对方，并寄送有关权威机构出具的证明。</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3、不可抗力事件延续120天以上，双方应通过友好协商，确定是否继续履行合同。</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十三、诉讼</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双方在执行合同中所发生的一切争议，应通过协商解决。如协商不成，可向甲方所在地法院起诉。</w:t>
      </w:r>
    </w:p>
    <w:p>
      <w:pPr>
        <w:pStyle w:val="166"/>
        <w:snapToGrid w:val="0"/>
        <w:spacing w:line="360" w:lineRule="auto"/>
        <w:ind w:firstLine="482" w:firstLineChars="200"/>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eastAsia="zh-CN"/>
        </w:rPr>
        <w:t>十四、合同生效及其它</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1、合同经双方法定代表人或授权代表签字并加盖单位公章后生效。</w:t>
      </w:r>
    </w:p>
    <w:p>
      <w:pPr>
        <w:pStyle w:val="166"/>
        <w:snapToGrid w:val="0"/>
        <w:spacing w:line="360" w:lineRule="auto"/>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3、招标文件、投标文件及评标过程中形成的文字资料、询标纪要均作为本合同的组成部分，具有同等效力。本合同未尽事宜，遵照《合同法》有关条文执行。</w:t>
      </w:r>
    </w:p>
    <w:p>
      <w:pPr>
        <w:pStyle w:val="35"/>
        <w:snapToGrid w:val="0"/>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4、本合同一式肆份，具有同等法律效力，甲乙双方各执两份。</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甲方（盖章）：                             乙方（盖章）：        </w:t>
      </w:r>
    </w:p>
    <w:p>
      <w:pPr>
        <w:snapToGrid w:val="0"/>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法定代表人：                              法定代表人：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或受委托人（签字）：                       或受委托人（签字）：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联系人：                                  联系人：</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地址：                                    地址：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电话：                                    电话：</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传真：                                    传真：</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开户银行：                                开户银行： </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帐号：                                    帐号：</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签订时间：                                签订时间：</w:t>
      </w:r>
    </w:p>
    <w:p>
      <w:pPr>
        <w:pStyle w:val="2"/>
        <w:rPr>
          <w:rFonts w:hint="eastAsia" w:ascii="仿宋" w:hAnsi="仿宋" w:eastAsia="仿宋" w:cs="仿宋"/>
          <w:i w:val="0"/>
          <w:iCs w:val="0"/>
        </w:rPr>
      </w:pPr>
    </w:p>
    <w:p>
      <w:pPr>
        <w:rPr>
          <w:rFonts w:hint="eastAsia" w:ascii="仿宋" w:hAnsi="仿宋" w:eastAsia="仿宋" w:cs="仿宋"/>
          <w:sz w:val="24"/>
        </w:rPr>
      </w:pPr>
    </w:p>
    <w:p>
      <w:pPr>
        <w:pStyle w:val="2"/>
        <w:rPr>
          <w:rFonts w:hint="eastAsia" w:ascii="仿宋" w:hAnsi="仿宋" w:eastAsia="仿宋" w:cs="仿宋"/>
          <w:i w:val="0"/>
          <w:iCs w:val="0"/>
        </w:rPr>
      </w:pPr>
    </w:p>
    <w:p>
      <w:pPr>
        <w:rPr>
          <w:rFonts w:hint="eastAsia" w:ascii="仿宋" w:hAnsi="仿宋" w:eastAsia="仿宋" w:cs="仿宋"/>
          <w:sz w:val="24"/>
        </w:rPr>
      </w:pPr>
    </w:p>
    <w:p>
      <w:pPr>
        <w:pStyle w:val="2"/>
        <w:rPr>
          <w:rFonts w:hint="eastAsia" w:ascii="仿宋" w:hAnsi="仿宋" w:eastAsia="仿宋" w:cs="仿宋"/>
          <w:i w:val="0"/>
          <w:iCs w:val="0"/>
        </w:rPr>
      </w:pPr>
    </w:p>
    <w:p>
      <w:pPr>
        <w:rPr>
          <w:rFonts w:hint="eastAsia" w:ascii="仿宋" w:hAnsi="仿宋" w:eastAsia="仿宋" w:cs="仿宋"/>
          <w:color w:val="000000"/>
          <w:sz w:val="24"/>
        </w:rPr>
      </w:pPr>
      <w:bookmarkStart w:id="396" w:name="_Toc328381300"/>
      <w:bookmarkStart w:id="397" w:name="_Toc326765771"/>
      <w:bookmarkStart w:id="398" w:name="_Toc339872468"/>
      <w:bookmarkStart w:id="399" w:name="_Toc349721554"/>
      <w:bookmarkStart w:id="400" w:name="_Toc350327365"/>
      <w:r>
        <w:rPr>
          <w:rFonts w:hint="eastAsia" w:ascii="仿宋" w:hAnsi="仿宋" w:eastAsia="仿宋" w:cs="仿宋"/>
          <w:b/>
          <w:bCs/>
          <w:sz w:val="24"/>
        </w:rPr>
        <w:t>★ 此仅为合同书样本，中标单位需根据实际情况和采购人签订相应的合同！</w:t>
      </w:r>
      <w:bookmarkEnd w:id="396"/>
      <w:bookmarkEnd w:id="397"/>
      <w:bookmarkEnd w:id="398"/>
      <w:bookmarkEnd w:id="399"/>
      <w:bookmarkEnd w:id="400"/>
    </w:p>
    <w:p>
      <w:pPr>
        <w:spacing w:line="360" w:lineRule="auto"/>
        <w:ind w:left="720" w:firstLine="723" w:firstLineChars="200"/>
        <w:outlineLvl w:val="0"/>
        <w:rPr>
          <w:rFonts w:hint="eastAsia" w:ascii="仿宋" w:hAnsi="仿宋" w:eastAsia="仿宋" w:cs="仿宋"/>
          <w:b/>
          <w:bCs/>
          <w:sz w:val="36"/>
          <w:szCs w:val="36"/>
        </w:rPr>
      </w:pPr>
    </w:p>
    <w:p>
      <w:pPr>
        <w:spacing w:line="360" w:lineRule="auto"/>
        <w:ind w:left="720" w:firstLine="723" w:firstLineChars="200"/>
        <w:outlineLvl w:val="0"/>
        <w:rPr>
          <w:rFonts w:hint="eastAsia" w:ascii="仿宋" w:hAnsi="仿宋" w:eastAsia="仿宋" w:cs="仿宋"/>
          <w:b/>
          <w:bCs/>
          <w:sz w:val="36"/>
          <w:szCs w:val="36"/>
        </w:rPr>
      </w:pPr>
    </w:p>
    <w:p>
      <w:pPr>
        <w:spacing w:line="360" w:lineRule="auto"/>
        <w:ind w:left="720" w:firstLine="723" w:firstLineChars="200"/>
        <w:outlineLvl w:val="0"/>
        <w:rPr>
          <w:rFonts w:ascii="仿宋" w:hAnsi="仿宋" w:eastAsia="仿宋"/>
          <w:b/>
          <w:bCs/>
          <w:sz w:val="36"/>
          <w:szCs w:val="36"/>
        </w:rPr>
      </w:pPr>
      <w:r>
        <w:rPr>
          <w:rFonts w:hint="eastAsia" w:ascii="仿宋" w:hAnsi="仿宋" w:eastAsia="仿宋" w:cs="仿宋"/>
          <w:b/>
          <w:bCs/>
          <w:sz w:val="36"/>
          <w:szCs w:val="36"/>
        </w:rPr>
        <w:t>第六部分</w:t>
      </w:r>
      <w:r>
        <w:rPr>
          <w:rFonts w:ascii="仿宋" w:hAnsi="仿宋" w:eastAsia="仿宋" w:cs="仿宋"/>
          <w:b/>
          <w:bCs/>
          <w:sz w:val="36"/>
          <w:szCs w:val="36"/>
        </w:rPr>
        <w:t xml:space="preserve"> </w:t>
      </w:r>
      <w:r>
        <w:rPr>
          <w:rFonts w:hint="eastAsia" w:ascii="仿宋" w:hAnsi="仿宋" w:eastAsia="仿宋" w:cs="仿宋"/>
          <w:b/>
          <w:bCs/>
          <w:sz w:val="36"/>
          <w:szCs w:val="36"/>
        </w:rPr>
        <w:t>应提交的有关格式范例</w:t>
      </w:r>
    </w:p>
    <w:p>
      <w:pPr>
        <w:spacing w:line="360" w:lineRule="auto"/>
        <w:jc w:val="center"/>
        <w:outlineLvl w:val="0"/>
        <w:rPr>
          <w:rFonts w:ascii="仿宋_GB2312" w:hAnsi="仿宋" w:eastAsia="仿宋_GB2312"/>
          <w:b/>
          <w:bCs/>
          <w:kern w:val="0"/>
          <w:sz w:val="36"/>
          <w:szCs w:val="36"/>
        </w:rPr>
      </w:pP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资格文件部分</w:t>
      </w:r>
    </w:p>
    <w:p>
      <w:pPr>
        <w:spacing w:line="360" w:lineRule="auto"/>
        <w:jc w:val="center"/>
        <w:outlineLvl w:val="0"/>
        <w:rPr>
          <w:rFonts w:ascii="仿宋_GB2312" w:hAnsi="仿宋" w:eastAsia="仿宋_GB2312"/>
          <w:b/>
          <w:bCs/>
          <w:kern w:val="0"/>
          <w:sz w:val="36"/>
          <w:szCs w:val="36"/>
        </w:rPr>
      </w:pPr>
      <w:r>
        <w:rPr>
          <w:rFonts w:hint="eastAsia" w:ascii="仿宋_GB2312" w:hAnsi="仿宋" w:eastAsia="仿宋_GB2312" w:cs="仿宋_GB2312"/>
          <w:b/>
          <w:bCs/>
          <w:kern w:val="0"/>
          <w:sz w:val="36"/>
          <w:szCs w:val="36"/>
        </w:rPr>
        <w:t>目录</w:t>
      </w:r>
    </w:p>
    <w:p>
      <w:pPr>
        <w:spacing w:line="360" w:lineRule="auto"/>
        <w:jc w:val="center"/>
        <w:outlineLvl w:val="0"/>
        <w:rPr>
          <w:rFonts w:ascii="仿宋_GB2312" w:hAnsi="仿宋" w:eastAsia="仿宋_GB2312"/>
          <w:b/>
          <w:bCs/>
          <w:kern w:val="0"/>
          <w:sz w:val="36"/>
          <w:szCs w:val="36"/>
        </w:rPr>
      </w:pP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1</w:t>
      </w:r>
      <w:r>
        <w:rPr>
          <w:rFonts w:hint="eastAsia" w:ascii="仿宋_GB2312" w:hAnsi="仿宋" w:eastAsia="仿宋_GB2312" w:cs="仿宋_GB2312"/>
          <w:sz w:val="24"/>
          <w:szCs w:val="24"/>
        </w:rPr>
        <w:t>）符合参加政府采购活动应当具备的一般条件的承诺函……………（页码）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2</w:t>
      </w:r>
      <w:r>
        <w:rPr>
          <w:rFonts w:hint="eastAsia" w:ascii="仿宋_GB2312" w:hAnsi="仿宋" w:eastAsia="仿宋_GB2312" w:cs="仿宋_GB2312"/>
          <w:sz w:val="24"/>
          <w:szCs w:val="24"/>
        </w:rPr>
        <w:t>）落实政府采购政策需满足的资格要求………………………………（页码）</w:t>
      </w:r>
    </w:p>
    <w:p>
      <w:pPr>
        <w:snapToGrid w:val="0"/>
        <w:spacing w:line="360" w:lineRule="auto"/>
        <w:rPr>
          <w:rFonts w:ascii="仿宋_GB2312" w:hAnsi="仿宋" w:eastAsia="仿宋_GB2312"/>
          <w:sz w:val="24"/>
          <w:szCs w:val="24"/>
        </w:rPr>
      </w:pPr>
      <w:r>
        <w:rPr>
          <w:rFonts w:hint="eastAsia" w:ascii="仿宋_GB2312" w:hAnsi="仿宋" w:eastAsia="仿宋_GB2312" w:cs="仿宋_GB2312"/>
          <w:sz w:val="24"/>
          <w:szCs w:val="24"/>
        </w:rPr>
        <w:t>（</w:t>
      </w:r>
      <w:r>
        <w:rPr>
          <w:rFonts w:ascii="仿宋_GB2312" w:hAnsi="仿宋" w:eastAsia="仿宋_GB2312" w:cs="仿宋_GB2312"/>
          <w:sz w:val="24"/>
          <w:szCs w:val="24"/>
        </w:rPr>
        <w:t>3</w:t>
      </w:r>
      <w:r>
        <w:rPr>
          <w:rFonts w:hint="eastAsia" w:ascii="仿宋_GB2312" w:hAnsi="仿宋" w:eastAsia="仿宋_GB2312" w:cs="仿宋_GB2312"/>
          <w:sz w:val="24"/>
          <w:szCs w:val="24"/>
        </w:rPr>
        <w:t>）本项目的特定资格要求………………………………………………（页码）</w:t>
      </w:r>
    </w:p>
    <w:p>
      <w:pPr>
        <w:pStyle w:val="27"/>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rPr>
          <w:rFonts w:hint="eastAsia"/>
        </w:rPr>
      </w:pPr>
    </w:p>
    <w:p>
      <w:pPr>
        <w:pStyle w:val="28"/>
        <w:rPr>
          <w:rFonts w:hint="eastAsia"/>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8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vAlign w:val="top"/>
          </w:tcPr>
          <w:p>
            <w:pPr>
              <w:pStyle w:val="8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8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vAlign w:val="top"/>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vAlign w:val="top"/>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5"/>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vAlign w:val="top"/>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vAlign w:val="top"/>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vAlign w:val="top"/>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top"/>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vAlign w:val="top"/>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vAlign w:val="top"/>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top"/>
          </w:tcPr>
          <w:p>
            <w:pPr>
              <w:jc w:val="center"/>
              <w:rPr>
                <w:rFonts w:ascii="仿宋_GB2312" w:hAnsi="仿宋" w:eastAsia="仿宋_GB2312" w:cs="仿宋_GB2312"/>
                <w:b/>
                <w:kern w:val="0"/>
                <w:sz w:val="32"/>
                <w:szCs w:val="32"/>
              </w:rPr>
            </w:pPr>
          </w:p>
        </w:tc>
        <w:tc>
          <w:tcPr>
            <w:tcW w:w="3546" w:type="dxa"/>
            <w:vAlign w:val="top"/>
          </w:tcPr>
          <w:p>
            <w:pPr>
              <w:jc w:val="center"/>
              <w:rPr>
                <w:rFonts w:ascii="仿宋_GB2312" w:hAnsi="仿宋" w:eastAsia="仿宋_GB2312" w:cs="仿宋_GB2312"/>
                <w:b/>
                <w:kern w:val="0"/>
                <w:sz w:val="32"/>
                <w:szCs w:val="32"/>
              </w:rPr>
            </w:pPr>
          </w:p>
        </w:tc>
        <w:tc>
          <w:tcPr>
            <w:tcW w:w="1276" w:type="dxa"/>
            <w:vAlign w:val="top"/>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453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top"/>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4536"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r>
              <w:rPr>
                <w:rFonts w:hint="eastAsia" w:ascii="仿宋_GB2312" w:hAnsi="仿宋" w:eastAsia="仿宋_GB2312"/>
                <w:b/>
                <w:sz w:val="24"/>
                <w:lang w:val="en-US" w:eastAsia="zh-CN"/>
              </w:rPr>
              <w:t xml:space="preserve"> </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4536"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4536"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4536"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4536"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4536"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2"/>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2"/>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pPr>
    </w:p>
    <w:p>
      <w:pPr>
        <w:pStyle w:val="376"/>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376"/>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376"/>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5"/>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5"/>
        <w:numPr>
          <w:ilvl w:val="0"/>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4"/>
        <w:pageBreakBefore/>
        <w:widowControl/>
        <w:spacing w:before="100" w:beforeAutospacing="1" w:after="100" w:afterAutospacing="1" w:line="360" w:lineRule="auto"/>
        <w:ind w:left="1290" w:firstLine="3092" w:firstLineChars="700"/>
        <w:rPr>
          <w:rFonts w:ascii="仿宋_GB2312" w:hAnsi="仿宋" w:eastAsia="仿宋_GB2312"/>
        </w:rPr>
      </w:pPr>
      <w:bookmarkStart w:id="401" w:name="_Toc465665161"/>
      <w:r>
        <w:rPr>
          <w:rFonts w:hint="eastAsia" w:ascii="仿宋_GB2312" w:hAnsi="仿宋" w:eastAsia="仿宋_GB2312"/>
        </w:rPr>
        <w:t>附件</w:t>
      </w:r>
      <w:bookmarkEnd w:id="40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2" w:name="OLE_LINK13"/>
      <w:bookmarkStart w:id="403" w:name="OLE_LINK14"/>
      <w:r>
        <w:rPr>
          <w:rFonts w:hint="eastAsia" w:ascii="仿宋_GB2312" w:hAnsi="仿宋" w:eastAsia="仿宋_GB2312"/>
          <w:b/>
          <w:spacing w:val="6"/>
          <w:sz w:val="32"/>
          <w:szCs w:val="32"/>
        </w:rPr>
        <w:t>残疾人福利性单位声明函</w:t>
      </w:r>
    </w:p>
    <w:bookmarkEnd w:id="402"/>
    <w:bookmarkEnd w:id="40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5080"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cs="Times New Roman"/>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4445"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lang w:val="en-US"/>
        </w:rPr>
      </w:pPr>
    </w:p>
    <w:p>
      <w:pPr>
        <w:spacing w:line="360" w:lineRule="auto"/>
        <w:ind w:right="420"/>
      </w:pPr>
    </w:p>
    <w:p>
      <w:pPr>
        <w:spacing w:line="360" w:lineRule="auto"/>
        <w:rPr>
          <w:rFonts w:ascii="仿宋" w:hAnsi="仿宋" w:eastAsia="仿宋"/>
          <w:bCs/>
          <w:sz w:val="24"/>
        </w:rPr>
      </w:pPr>
    </w:p>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4" w:name="_Toc131845147"/>
    <w:bookmarkStart w:id="405" w:name="_Toc164085800"/>
    <w:bookmarkStart w:id="406" w:name="_Toc91899912"/>
    <w:bookmarkStart w:id="407" w:name="_Toc36110187"/>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7FA57"/>
    <w:multiLevelType w:val="singleLevel"/>
    <w:tmpl w:val="0C77FA57"/>
    <w:lvl w:ilvl="0" w:tentative="0">
      <w:start w:val="1"/>
      <w:numFmt w:val="chineseCounting"/>
      <w:suff w:val="nothing"/>
      <w:lvlText w:val="%1、"/>
      <w:lvlJc w:val="left"/>
      <w:rPr>
        <w:rFonts w:hint="eastAsia"/>
      </w:rPr>
    </w:lvl>
  </w:abstractNum>
  <w:abstractNum w:abstractNumId="1">
    <w:nsid w:val="1EAC7380"/>
    <w:multiLevelType w:val="singleLevel"/>
    <w:tmpl w:val="1EAC7380"/>
    <w:lvl w:ilvl="0" w:tentative="0">
      <w:start w:val="6"/>
      <w:numFmt w:val="decimal"/>
      <w:suff w:val="nothing"/>
      <w:lvlText w:val="%1、"/>
      <w:lvlJc w:val="left"/>
    </w:lvl>
  </w:abstractNum>
  <w:abstractNum w:abstractNumId="2">
    <w:nsid w:val="660D9D52"/>
    <w:multiLevelType w:val="singleLevel"/>
    <w:tmpl w:val="660D9D52"/>
    <w:lvl w:ilvl="0" w:tentative="0">
      <w:start w:val="1"/>
      <w:numFmt w:val="decimal"/>
      <w:suff w:val="nothing"/>
      <w:lvlText w:val="%1、"/>
      <w:lvlJc w:val="left"/>
      <w:pPr>
        <w:ind w:left="21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8033BD"/>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66CF6"/>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4147AE"/>
    <w:rsid w:val="16A8729C"/>
    <w:rsid w:val="16B33777"/>
    <w:rsid w:val="16BC70A7"/>
    <w:rsid w:val="16C6339E"/>
    <w:rsid w:val="172F2D79"/>
    <w:rsid w:val="17557BEF"/>
    <w:rsid w:val="17D349C1"/>
    <w:rsid w:val="1830729E"/>
    <w:rsid w:val="1870062C"/>
    <w:rsid w:val="18817102"/>
    <w:rsid w:val="18830A15"/>
    <w:rsid w:val="18852B28"/>
    <w:rsid w:val="188B5321"/>
    <w:rsid w:val="19013E26"/>
    <w:rsid w:val="19932372"/>
    <w:rsid w:val="19A20DD5"/>
    <w:rsid w:val="19AE03F1"/>
    <w:rsid w:val="1A071A03"/>
    <w:rsid w:val="1A1F16AE"/>
    <w:rsid w:val="1A3B5C77"/>
    <w:rsid w:val="1A7335DA"/>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120906"/>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008F0"/>
    <w:rsid w:val="1F5771FF"/>
    <w:rsid w:val="1FE868A9"/>
    <w:rsid w:val="20034907"/>
    <w:rsid w:val="20173E4B"/>
    <w:rsid w:val="204E48BC"/>
    <w:rsid w:val="208921B3"/>
    <w:rsid w:val="20973DEB"/>
    <w:rsid w:val="20B26522"/>
    <w:rsid w:val="20B44310"/>
    <w:rsid w:val="20FF3095"/>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7950FAC"/>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D9068E"/>
    <w:rsid w:val="3CE01310"/>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25D9C"/>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90120D"/>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767C48"/>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37CEB"/>
    <w:rsid w:val="58917D2F"/>
    <w:rsid w:val="5894085C"/>
    <w:rsid w:val="58AE4F0C"/>
    <w:rsid w:val="58B85899"/>
    <w:rsid w:val="58E363A9"/>
    <w:rsid w:val="595E1678"/>
    <w:rsid w:val="596D5BD4"/>
    <w:rsid w:val="597E3DD8"/>
    <w:rsid w:val="59CD506C"/>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520A48"/>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A11441"/>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4DA6AA9"/>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691A02"/>
    <w:rsid w:val="7AAB1D04"/>
    <w:rsid w:val="7ABA4368"/>
    <w:rsid w:val="7AD05746"/>
    <w:rsid w:val="7B257FFD"/>
    <w:rsid w:val="7B2B7D2B"/>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unhideWhenUsed/>
    <w:qFormat/>
    <w:uiPriority w:val="1"/>
  </w:style>
  <w:style w:type="table" w:default="1" w:styleId="63">
    <w:name w:val="Normal Table"/>
    <w:unhideWhenUsed/>
    <w:qFormat/>
    <w:uiPriority w:val="99"/>
    <w:tblPr>
      <w:tblCellMar>
        <w:top w:w="0" w:type="dxa"/>
        <w:left w:w="108" w:type="dxa"/>
        <w:bottom w:w="0" w:type="dxa"/>
        <w:right w:w="108" w:type="dxa"/>
      </w:tblCellMar>
    </w:tblPr>
  </w:style>
  <w:style w:type="paragraph" w:customStyle="1" w:styleId="2">
    <w:name w:val="正文1"/>
    <w:basedOn w:val="3"/>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7">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75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25"/>
    <w:qFormat/>
    <w:uiPriority w:val="0"/>
    <w:pPr>
      <w:shd w:val="clear" w:color="auto" w:fill="000080"/>
    </w:pPr>
  </w:style>
  <w:style w:type="paragraph" w:styleId="21">
    <w:name w:val="annotation text"/>
    <w:basedOn w:val="1"/>
    <w:link w:val="853"/>
    <w:qFormat/>
    <w:uiPriority w:val="99"/>
    <w:pPr>
      <w:jc w:val="left"/>
    </w:pPr>
  </w:style>
  <w:style w:type="paragraph" w:styleId="22">
    <w:name w:val="Salutation"/>
    <w:basedOn w:val="1"/>
    <w:next w:val="1"/>
    <w:link w:val="813"/>
    <w:qFormat/>
    <w:uiPriority w:val="0"/>
    <w:rPr>
      <w:rFonts w:ascii="仿宋_GB2312" w:eastAsia="仿宋_GB2312"/>
      <w:sz w:val="28"/>
      <w:szCs w:val="20"/>
    </w:rPr>
  </w:style>
  <w:style w:type="paragraph" w:styleId="23">
    <w:name w:val="Body Text 3"/>
    <w:basedOn w:val="1"/>
    <w:link w:val="84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0"/>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832"/>
    <w:qFormat/>
    <w:uiPriority w:val="0"/>
    <w:pPr>
      <w:ind w:firstLine="420"/>
    </w:pPr>
    <w:rPr>
      <w:rFonts w:hAnsi="Calibri" w:cs="Times New Roman"/>
      <w:szCs w:val="20"/>
    </w:rPr>
  </w:style>
  <w:style w:type="paragraph" w:styleId="27">
    <w:name w:val="Body Text Indent"/>
    <w:basedOn w:val="1"/>
    <w:next w:val="28"/>
    <w:link w:val="781"/>
    <w:qFormat/>
    <w:uiPriority w:val="0"/>
    <w:pPr>
      <w:spacing w:line="480" w:lineRule="exact"/>
      <w:ind w:firstLine="480" w:firstLineChars="200"/>
    </w:pPr>
    <w:rPr>
      <w:rFonts w:ascii="宋体" w:hAnsi="宋体"/>
      <w:sz w:val="24"/>
    </w:rPr>
  </w:style>
  <w:style w:type="paragraph" w:styleId="28">
    <w:name w:val="Body Text First Indent 2"/>
    <w:basedOn w:val="27"/>
    <w:next w:val="1"/>
    <w:link w:val="653"/>
    <w:qFormat/>
    <w:uiPriority w:val="0"/>
    <w:pPr>
      <w:adjustRightInd/>
      <w:spacing w:after="120" w:line="240" w:lineRule="auto"/>
      <w:ind w:left="420" w:leftChars="200" w:firstLine="210"/>
    </w:pPr>
    <w:rPr>
      <w:sz w:val="21"/>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Plain Text"/>
    <w:basedOn w:val="1"/>
    <w:next w:val="1"/>
    <w:link w:val="65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07"/>
    <w:qFormat/>
    <w:uiPriority w:val="0"/>
    <w:pPr>
      <w:ind w:left="100" w:leftChars="2500"/>
    </w:pPr>
    <w:rPr>
      <w:rFonts w:ascii="宋体"/>
      <w:sz w:val="24"/>
      <w:szCs w:val="21"/>
      <w:lang w:val="zh-CN"/>
    </w:rPr>
  </w:style>
  <w:style w:type="paragraph" w:styleId="39">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0">
    <w:name w:val="endnote text"/>
    <w:basedOn w:val="1"/>
    <w:link w:val="938"/>
    <w:qFormat/>
    <w:uiPriority w:val="0"/>
    <w:rPr>
      <w:lang w:val="zh-CN"/>
    </w:rPr>
  </w:style>
  <w:style w:type="paragraph" w:styleId="41">
    <w:name w:val="Balloon Text"/>
    <w:basedOn w:val="1"/>
    <w:link w:val="714"/>
    <w:qFormat/>
    <w:uiPriority w:val="0"/>
    <w:rPr>
      <w:sz w:val="18"/>
      <w:szCs w:val="18"/>
    </w:rPr>
  </w:style>
  <w:style w:type="paragraph" w:styleId="42">
    <w:name w:val="footer"/>
    <w:basedOn w:val="1"/>
    <w:link w:val="889"/>
    <w:qFormat/>
    <w:uiPriority w:val="99"/>
    <w:pPr>
      <w:tabs>
        <w:tab w:val="center" w:pos="4153"/>
        <w:tab w:val="right" w:pos="8306"/>
      </w:tabs>
      <w:snapToGrid w:val="0"/>
      <w:jc w:val="left"/>
    </w:pPr>
    <w:rPr>
      <w:sz w:val="18"/>
      <w:szCs w:val="18"/>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7"/>
    <w:link w:val="823"/>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7"/>
    <w:qFormat/>
    <w:uiPriority w:val="0"/>
    <w:pPr>
      <w:spacing w:after="120" w:line="480" w:lineRule="auto"/>
    </w:pPr>
  </w:style>
  <w:style w:type="paragraph" w:styleId="59">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1"/>
    <w:next w:val="21"/>
    <w:link w:val="630"/>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5"/>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8"/>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8"/>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7"/>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8"/>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Char1"/>
    <w:basedOn w:val="1"/>
    <w:qFormat/>
    <w:uiPriority w:val="0"/>
    <w:rPr>
      <w:rFonts w:ascii="仿宋_GB2312" w:eastAsia="仿宋_GB2312"/>
      <w:b/>
      <w:sz w:val="32"/>
      <w:szCs w:val="32"/>
    </w:rPr>
  </w:style>
  <w:style w:type="paragraph" w:customStyle="1" w:styleId="15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6">
    <w:name w:val="6级标题"/>
    <w:basedOn w:val="157"/>
    <w:qFormat/>
    <w:uiPriority w:val="0"/>
    <w:pPr>
      <w:keepNext/>
      <w:tabs>
        <w:tab w:val="left" w:pos="360"/>
      </w:tabs>
      <w:spacing w:before="0" w:after="0"/>
      <w:outlineLvl w:val="5"/>
    </w:pPr>
  </w:style>
  <w:style w:type="paragraph" w:customStyle="1" w:styleId="157">
    <w:name w:val="5级标题"/>
    <w:basedOn w:val="158"/>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8">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9">
    <w:name w:val="样式 正文文本缩进 + 段前: 2 字符"/>
    <w:basedOn w:val="1"/>
    <w:qFormat/>
    <w:uiPriority w:val="0"/>
    <w:pPr>
      <w:adjustRightInd/>
      <w:ind w:left="420" w:leftChars="200"/>
      <w:jc w:val="left"/>
    </w:pPr>
    <w:rPr>
      <w:sz w:val="28"/>
      <w:szCs w:val="20"/>
      <w:lang w:eastAsia="zh-TW"/>
    </w:rPr>
  </w:style>
  <w:style w:type="paragraph" w:customStyle="1" w:styleId="160">
    <w:name w:val="Char2 Char Char"/>
    <w:basedOn w:val="1"/>
    <w:qFormat/>
    <w:uiPriority w:val="0"/>
    <w:pPr>
      <w:adjustRightInd/>
    </w:pPr>
    <w:rPr>
      <w:rFonts w:ascii="Tahoma" w:hAnsi="Tahoma"/>
      <w:sz w:val="24"/>
      <w:szCs w:val="20"/>
    </w:rPr>
  </w:style>
  <w:style w:type="paragraph" w:customStyle="1" w:styleId="161">
    <w:name w:val="_Style 11"/>
    <w:basedOn w:val="1"/>
    <w:qFormat/>
    <w:uiPriority w:val="34"/>
    <w:pPr>
      <w:adjustRightInd/>
      <w:ind w:firstLine="420" w:firstLineChars="200"/>
    </w:pPr>
    <w:rPr>
      <w:rFonts w:eastAsia="仿宋_GB2312"/>
      <w:sz w:val="28"/>
    </w:rPr>
  </w:style>
  <w:style w:type="paragraph" w:customStyle="1" w:styleId="16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3">
    <w:name w:val="Char Char Char"/>
    <w:basedOn w:val="1"/>
    <w:qFormat/>
    <w:uiPriority w:val="0"/>
    <w:rPr>
      <w:rFonts w:ascii="Tahoma" w:hAnsi="Tahoma"/>
      <w:sz w:val="24"/>
      <w:szCs w:val="20"/>
    </w:rPr>
  </w:style>
  <w:style w:type="paragraph" w:customStyle="1" w:styleId="164">
    <w:name w:val="数字标题6"/>
    <w:basedOn w:val="10"/>
    <w:next w:val="1"/>
    <w:qFormat/>
    <w:uiPriority w:val="0"/>
    <w:pPr>
      <w:tabs>
        <w:tab w:val="left" w:pos="1080"/>
        <w:tab w:val="clear" w:pos="1152"/>
      </w:tabs>
      <w:ind w:left="1080" w:hanging="1080"/>
    </w:pPr>
    <w:rPr>
      <w:rFonts w:ascii="Times New Roman" w:hAnsi="Times New Roman" w:eastAsia="宋体"/>
      <w:i/>
    </w:rPr>
  </w:style>
  <w:style w:type="paragraph" w:customStyle="1" w:styleId="16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6">
    <w:name w:val="No Spacing"/>
    <w:basedOn w:val="1"/>
    <w:link w:val="939"/>
    <w:qFormat/>
    <w:uiPriority w:val="99"/>
    <w:rPr>
      <w:szCs w:val="22"/>
    </w:rPr>
  </w:style>
  <w:style w:type="paragraph" w:customStyle="1" w:styleId="16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8">
    <w:name w:val="Char Char Char Char Char Char Char Char Char Char Char Char1 Char1"/>
    <w:basedOn w:val="1"/>
    <w:qFormat/>
    <w:uiPriority w:val="6"/>
    <w:rPr>
      <w:rFonts w:ascii="Tahoma" w:hAnsi="Tahoma" w:cs="仿宋_GB2312"/>
      <w:sz w:val="24"/>
      <w:szCs w:val="20"/>
    </w:rPr>
  </w:style>
  <w:style w:type="paragraph" w:customStyle="1" w:styleId="16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2">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73">
    <w:name w:val="五级无标题条"/>
    <w:basedOn w:val="1"/>
    <w:qFormat/>
    <w:uiPriority w:val="0"/>
    <w:pPr>
      <w:adjustRightInd/>
    </w:pPr>
  </w:style>
  <w:style w:type="paragraph" w:customStyle="1" w:styleId="174">
    <w:name w:val="Char5"/>
    <w:basedOn w:val="1"/>
    <w:qFormat/>
    <w:uiPriority w:val="0"/>
    <w:rPr>
      <w:rFonts w:ascii="仿宋_GB2312" w:eastAsia="仿宋_GB2312"/>
      <w:b/>
      <w:sz w:val="32"/>
      <w:szCs w:val="32"/>
    </w:rPr>
  </w:style>
  <w:style w:type="paragraph" w:customStyle="1" w:styleId="17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6">
    <w:name w:val="彩色列表 - 强调文字颜色 12"/>
    <w:basedOn w:val="1"/>
    <w:qFormat/>
    <w:uiPriority w:val="0"/>
    <w:pPr>
      <w:adjustRightInd/>
      <w:ind w:firstLine="420" w:firstLineChars="200"/>
    </w:pPr>
    <w:rPr>
      <w:rFonts w:ascii="Calibri" w:hAnsi="Calibri"/>
      <w:szCs w:val="22"/>
    </w:rPr>
  </w:style>
  <w:style w:type="paragraph" w:customStyle="1" w:styleId="17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8">
    <w:name w:val="Char2"/>
    <w:basedOn w:val="1"/>
    <w:qFormat/>
    <w:uiPriority w:val="0"/>
    <w:rPr>
      <w:rFonts w:ascii="仿宋_GB2312" w:eastAsia="仿宋_GB2312"/>
      <w:b/>
      <w:sz w:val="32"/>
      <w:szCs w:val="32"/>
    </w:rPr>
  </w:style>
  <w:style w:type="paragraph" w:customStyle="1" w:styleId="179">
    <w:name w:val="数字标题3"/>
    <w:basedOn w:val="6"/>
    <w:next w:val="1"/>
    <w:qFormat/>
    <w:uiPriority w:val="0"/>
    <w:pPr>
      <w:spacing w:line="240" w:lineRule="auto"/>
    </w:pPr>
    <w:rPr>
      <w:sz w:val="28"/>
      <w:szCs w:val="28"/>
    </w:rPr>
  </w:style>
  <w:style w:type="paragraph" w:customStyle="1" w:styleId="180">
    <w:name w:val="FA正文"/>
    <w:basedOn w:val="1"/>
    <w:qFormat/>
    <w:uiPriority w:val="0"/>
    <w:pPr>
      <w:spacing w:line="360" w:lineRule="auto"/>
      <w:ind w:firstLine="480" w:firstLineChars="200"/>
    </w:pPr>
    <w:rPr>
      <w:rFonts w:hAnsi="宋体"/>
      <w:sz w:val="24"/>
      <w:szCs w:val="20"/>
    </w:rPr>
  </w:style>
  <w:style w:type="paragraph" w:customStyle="1" w:styleId="181">
    <w:name w:val="MM Topic 5"/>
    <w:basedOn w:val="9"/>
    <w:qFormat/>
    <w:uiPriority w:val="0"/>
    <w:pPr>
      <w:tabs>
        <w:tab w:val="left" w:pos="2520"/>
        <w:tab w:val="clear" w:pos="1008"/>
      </w:tabs>
      <w:adjustRightInd/>
      <w:ind w:left="2520" w:hanging="420"/>
    </w:pPr>
  </w:style>
  <w:style w:type="paragraph" w:customStyle="1" w:styleId="182">
    <w:name w:val="Char Char Char Char Char Char Char Char Char Char1"/>
    <w:basedOn w:val="1"/>
    <w:qFormat/>
    <w:uiPriority w:val="0"/>
    <w:rPr>
      <w:rFonts w:ascii="仿宋_GB2312" w:eastAsia="仿宋_GB2312"/>
      <w:b/>
      <w:sz w:val="32"/>
      <w:szCs w:val="32"/>
    </w:rPr>
  </w:style>
  <w:style w:type="paragraph" w:customStyle="1" w:styleId="18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4">
    <w:name w:val="修订1"/>
    <w:qFormat/>
    <w:uiPriority w:val="3"/>
    <w:rPr>
      <w:rFonts w:ascii="Times New Roman" w:hAnsi="Times New Roman" w:eastAsia="宋体" w:cs="Times New Roman"/>
      <w:color w:val="000000"/>
      <w:kern w:val="1"/>
      <w:sz w:val="21"/>
      <w:lang w:val="en-US" w:eastAsia="zh-CN" w:bidi="ar-SA"/>
    </w:rPr>
  </w:style>
  <w:style w:type="paragraph" w:customStyle="1" w:styleId="185">
    <w:name w:val="Char2 Char Char Char"/>
    <w:basedOn w:val="1"/>
    <w:qFormat/>
    <w:uiPriority w:val="0"/>
    <w:rPr>
      <w:rFonts w:ascii="仿宋_GB2312" w:eastAsia="仿宋_GB2312"/>
      <w:b/>
      <w:sz w:val="32"/>
      <w:szCs w:val="32"/>
    </w:rPr>
  </w:style>
  <w:style w:type="paragraph" w:customStyle="1" w:styleId="186">
    <w:name w:val="Char2 Char Char Char1"/>
    <w:basedOn w:val="1"/>
    <w:qFormat/>
    <w:uiPriority w:val="6"/>
    <w:rPr>
      <w:rFonts w:ascii="仿宋_GB2312" w:eastAsia="仿宋_GB2312"/>
      <w:b/>
      <w:sz w:val="32"/>
      <w:szCs w:val="32"/>
    </w:rPr>
  </w:style>
  <w:style w:type="paragraph" w:customStyle="1" w:styleId="187">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8">
    <w:name w:val="图中文字"/>
    <w:basedOn w:val="1"/>
    <w:qFormat/>
    <w:uiPriority w:val="0"/>
    <w:pPr>
      <w:snapToGrid w:val="0"/>
      <w:spacing w:line="0" w:lineRule="atLeast"/>
      <w:ind w:firstLine="200" w:firstLineChars="200"/>
      <w:jc w:val="center"/>
    </w:pPr>
    <w:rPr>
      <w:sz w:val="24"/>
      <w:szCs w:val="20"/>
    </w:rPr>
  </w:style>
  <w:style w:type="paragraph" w:customStyle="1" w:styleId="18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0">
    <w:name w:val="MM Topic 3"/>
    <w:basedOn w:val="6"/>
    <w:qFormat/>
    <w:uiPriority w:val="0"/>
    <w:pPr>
      <w:tabs>
        <w:tab w:val="left" w:pos="1680"/>
        <w:tab w:val="clear" w:pos="900"/>
      </w:tabs>
      <w:adjustRightInd/>
      <w:ind w:left="1680" w:hanging="420"/>
    </w:pPr>
  </w:style>
  <w:style w:type="paragraph" w:customStyle="1" w:styleId="191">
    <w:name w:val="标准小四"/>
    <w:basedOn w:val="1"/>
    <w:qFormat/>
    <w:uiPriority w:val="0"/>
    <w:pPr>
      <w:spacing w:line="360" w:lineRule="auto"/>
      <w:ind w:firstLine="480" w:firstLineChars="200"/>
    </w:pPr>
    <w:rPr>
      <w:rFonts w:ascii="Arial" w:hAnsi="Arial"/>
      <w:sz w:val="24"/>
      <w:szCs w:val="21"/>
    </w:rPr>
  </w:style>
  <w:style w:type="paragraph" w:customStyle="1" w:styleId="19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193">
    <w:name w:val="表格（小）"/>
    <w:basedOn w:val="1"/>
    <w:qFormat/>
    <w:uiPriority w:val="0"/>
    <w:pPr>
      <w:adjustRightInd/>
      <w:snapToGrid w:val="0"/>
      <w:spacing w:line="300" w:lineRule="auto"/>
    </w:pPr>
    <w:rPr>
      <w:rFonts w:eastAsia="仿宋"/>
      <w:szCs w:val="21"/>
    </w:rPr>
  </w:style>
  <w:style w:type="paragraph" w:customStyle="1" w:styleId="19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5">
    <w:name w:val="Char2 Char Char1"/>
    <w:basedOn w:val="1"/>
    <w:qFormat/>
    <w:uiPriority w:val="6"/>
    <w:pPr>
      <w:adjustRightInd/>
    </w:pPr>
    <w:rPr>
      <w:rFonts w:ascii="Tahoma" w:hAnsi="Tahoma"/>
      <w:sz w:val="24"/>
      <w:szCs w:val="20"/>
    </w:rPr>
  </w:style>
  <w:style w:type="paragraph" w:customStyle="1" w:styleId="196">
    <w:name w:val="列出段落5"/>
    <w:basedOn w:val="1"/>
    <w:qFormat/>
    <w:uiPriority w:val="0"/>
    <w:pPr>
      <w:spacing w:line="360" w:lineRule="auto"/>
      <w:ind w:firstLine="200" w:firstLineChars="200"/>
    </w:pPr>
    <w:rPr>
      <w:rFonts w:eastAsia="楷体_GB2312" w:cs="Lucida Sans"/>
      <w:sz w:val="24"/>
    </w:rPr>
  </w:style>
  <w:style w:type="paragraph" w:customStyle="1" w:styleId="19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8">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19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4">
    <w:name w:val="_Style 3"/>
    <w:basedOn w:val="1"/>
    <w:qFormat/>
    <w:uiPriority w:val="0"/>
    <w:pPr>
      <w:adjustRightInd/>
      <w:ind w:firstLine="420" w:firstLineChars="200"/>
    </w:pPr>
    <w:rPr>
      <w:rFonts w:eastAsia="仿宋_GB2312"/>
      <w:sz w:val="28"/>
    </w:rPr>
  </w:style>
  <w:style w:type="paragraph" w:customStyle="1" w:styleId="20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6">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7">
    <w:name w:val="左对齐表格文字"/>
    <w:basedOn w:val="1"/>
    <w:qFormat/>
    <w:uiPriority w:val="0"/>
    <w:pPr>
      <w:adjustRightInd/>
      <w:ind w:firstLine="200" w:firstLineChars="200"/>
      <w:jc w:val="right"/>
    </w:pPr>
  </w:style>
  <w:style w:type="paragraph" w:customStyle="1" w:styleId="208">
    <w:name w:val="Char Char11 Char Char Char Char Char Char Char Char Char"/>
    <w:basedOn w:val="1"/>
    <w:qFormat/>
    <w:uiPriority w:val="0"/>
    <w:pPr>
      <w:spacing w:line="360" w:lineRule="auto"/>
    </w:pPr>
    <w:rPr>
      <w:szCs w:val="20"/>
    </w:rPr>
  </w:style>
  <w:style w:type="paragraph" w:customStyle="1" w:styleId="209">
    <w:name w:val="正文1.25"/>
    <w:basedOn w:val="1"/>
    <w:qFormat/>
    <w:uiPriority w:val="0"/>
    <w:pPr>
      <w:adjustRightInd/>
      <w:spacing w:line="300" w:lineRule="auto"/>
      <w:ind w:firstLine="480" w:firstLineChars="200"/>
    </w:pPr>
    <w:rPr>
      <w:sz w:val="24"/>
      <w:szCs w:val="20"/>
    </w:rPr>
  </w:style>
  <w:style w:type="paragraph" w:customStyle="1" w:styleId="21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3">
    <w:name w:val="Char Char1 Char Char Char1"/>
    <w:basedOn w:val="1"/>
    <w:qFormat/>
    <w:uiPriority w:val="6"/>
    <w:rPr>
      <w:rFonts w:ascii="仿宋_GB2312" w:eastAsia="仿宋_GB2312"/>
      <w:b/>
      <w:sz w:val="32"/>
      <w:szCs w:val="20"/>
    </w:rPr>
  </w:style>
  <w:style w:type="paragraph" w:customStyle="1" w:styleId="214">
    <w:name w:val="列出段落2"/>
    <w:basedOn w:val="1"/>
    <w:qFormat/>
    <w:uiPriority w:val="0"/>
    <w:pPr>
      <w:adjustRightInd/>
      <w:ind w:firstLine="420" w:firstLineChars="200"/>
    </w:pPr>
    <w:rPr>
      <w:rFonts w:ascii="宋体" w:hAnsi="宋体"/>
      <w:sz w:val="24"/>
    </w:rPr>
  </w:style>
  <w:style w:type="paragraph" w:customStyle="1" w:styleId="215">
    <w:name w:val="默认段落字体 Para Char Char Char Char Char Char Char"/>
    <w:basedOn w:val="1"/>
    <w:qFormat/>
    <w:uiPriority w:val="0"/>
    <w:rPr>
      <w:rFonts w:eastAsia="仿宋_GB2312"/>
      <w:sz w:val="28"/>
      <w:szCs w:val="20"/>
    </w:rPr>
  </w:style>
  <w:style w:type="paragraph" w:customStyle="1" w:styleId="21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7">
    <w:name w:val="样式 标题 4PIM 4H4h4bulletblbbH41H42H43H44H45H46H47H48...1"/>
    <w:basedOn w:val="8"/>
    <w:qFormat/>
    <w:uiPriority w:val="0"/>
    <w:pPr>
      <w:widowControl/>
      <w:jc w:val="left"/>
    </w:pPr>
    <w:rPr>
      <w:rFonts w:cs="宋体"/>
      <w:sz w:val="24"/>
      <w:szCs w:val="20"/>
    </w:rPr>
  </w:style>
  <w:style w:type="paragraph" w:customStyle="1" w:styleId="218">
    <w:name w:val="彩色列表 - 强调文字颜色 11"/>
    <w:basedOn w:val="1"/>
    <w:qFormat/>
    <w:uiPriority w:val="0"/>
    <w:pPr>
      <w:adjustRightInd/>
      <w:ind w:firstLine="420" w:firstLineChars="200"/>
    </w:pPr>
    <w:rPr>
      <w:rFonts w:ascii="Calibri" w:hAnsi="Calibri"/>
      <w:szCs w:val="22"/>
    </w:rPr>
  </w:style>
  <w:style w:type="paragraph" w:customStyle="1" w:styleId="21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2">
    <w:name w:val="Char Char Char1 Char1"/>
    <w:basedOn w:val="1"/>
    <w:qFormat/>
    <w:uiPriority w:val="6"/>
    <w:rPr>
      <w:szCs w:val="20"/>
    </w:rPr>
  </w:style>
  <w:style w:type="paragraph" w:customStyle="1" w:styleId="22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8">
    <w:name w:val="CM14"/>
    <w:basedOn w:val="96"/>
    <w:next w:val="96"/>
    <w:qFormat/>
    <w:uiPriority w:val="0"/>
    <w:pPr>
      <w:spacing w:after="68"/>
    </w:pPr>
    <w:rPr>
      <w:rFonts w:ascii="FHLHE E+ Futura Bk" w:eastAsia="FHLHE E+ Futura Bk" w:cs="Times New Roman"/>
      <w:color w:val="auto"/>
    </w:rPr>
  </w:style>
  <w:style w:type="paragraph" w:customStyle="1" w:styleId="22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2">
    <w:name w:val="正文文字 2"/>
    <w:basedOn w:val="96"/>
    <w:next w:val="96"/>
    <w:qFormat/>
    <w:uiPriority w:val="0"/>
    <w:rPr>
      <w:rFonts w:ascii="宋体" w:eastAsia="宋体" w:cs="Times New Roman"/>
      <w:color w:val="auto"/>
    </w:rPr>
  </w:style>
  <w:style w:type="paragraph" w:customStyle="1" w:styleId="23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4">
    <w:name w:val="Char Char1 Char"/>
    <w:basedOn w:val="1"/>
    <w:qFormat/>
    <w:uiPriority w:val="0"/>
    <w:rPr>
      <w:rFonts w:ascii="仿宋_GB2312" w:eastAsia="仿宋_GB2312"/>
      <w:b/>
      <w:sz w:val="32"/>
      <w:szCs w:val="32"/>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7">
    <w:name w:val="Char Char111"/>
    <w:basedOn w:val="1"/>
    <w:qFormat/>
    <w:uiPriority w:val="0"/>
    <w:pPr>
      <w:spacing w:line="360" w:lineRule="auto"/>
    </w:pPr>
    <w:rPr>
      <w:szCs w:val="20"/>
    </w:rPr>
  </w:style>
  <w:style w:type="paragraph" w:customStyle="1" w:styleId="238">
    <w:name w:val="Char"/>
    <w:basedOn w:val="1"/>
    <w:qFormat/>
    <w:uiPriority w:val="0"/>
    <w:rPr>
      <w:rFonts w:ascii="仿宋_GB2312" w:eastAsia="仿宋_GB2312"/>
      <w:b/>
      <w:sz w:val="32"/>
      <w:szCs w:val="32"/>
    </w:rPr>
  </w:style>
  <w:style w:type="paragraph" w:customStyle="1" w:styleId="23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1">
    <w:name w:val="Char Char Char1 Char"/>
    <w:basedOn w:val="1"/>
    <w:qFormat/>
    <w:uiPriority w:val="0"/>
    <w:rPr>
      <w:szCs w:val="20"/>
    </w:rPr>
  </w:style>
  <w:style w:type="paragraph" w:customStyle="1" w:styleId="242">
    <w:name w:val="正文标准"/>
    <w:basedOn w:val="1"/>
    <w:qFormat/>
    <w:uiPriority w:val="0"/>
    <w:pPr>
      <w:adjustRightInd/>
      <w:spacing w:line="360" w:lineRule="auto"/>
      <w:ind w:firstLine="200" w:firstLineChars="200"/>
    </w:pPr>
    <w:rPr>
      <w:rFonts w:ascii="宋体" w:hAnsi="Calibri"/>
      <w:sz w:val="24"/>
    </w:rPr>
  </w:style>
  <w:style w:type="paragraph" w:customStyle="1" w:styleId="24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4">
    <w:name w:val="标准有序列表（L1）"/>
    <w:basedOn w:val="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5">
    <w:name w:val="Char Char Char Char Char Char Char Char Char Char"/>
    <w:basedOn w:val="1"/>
    <w:qFormat/>
    <w:uiPriority w:val="0"/>
    <w:rPr>
      <w:rFonts w:ascii="仿宋_GB2312" w:eastAsia="仿宋_GB2312"/>
      <w:b/>
      <w:sz w:val="32"/>
      <w:szCs w:val="32"/>
    </w:rPr>
  </w:style>
  <w:style w:type="paragraph" w:customStyle="1" w:styleId="25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7">
    <w:name w:val="_正文段落"/>
    <w:basedOn w:val="1"/>
    <w:qFormat/>
    <w:uiPriority w:val="0"/>
    <w:pPr>
      <w:adjustRightInd/>
      <w:ind w:firstLine="560"/>
    </w:pPr>
    <w:rPr>
      <w:rFonts w:ascii="仿宋_GB2312" w:hAnsi="仿宋" w:eastAsia="仿宋_GB2312"/>
      <w:kern w:val="0"/>
      <w:sz w:val="28"/>
      <w:szCs w:val="28"/>
    </w:rPr>
  </w:style>
  <w:style w:type="paragraph" w:customStyle="1" w:styleId="25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0">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4">
    <w:name w:val="Char Char Char1 Char2"/>
    <w:basedOn w:val="1"/>
    <w:qFormat/>
    <w:uiPriority w:val="0"/>
    <w:rPr>
      <w:szCs w:val="20"/>
    </w:rPr>
  </w:style>
  <w:style w:type="paragraph" w:customStyle="1" w:styleId="26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6">
    <w:name w:val="默认段落字体 Para Char"/>
    <w:basedOn w:val="1"/>
    <w:qFormat/>
    <w:uiPriority w:val="0"/>
    <w:rPr>
      <w:rFonts w:ascii="Tahoma" w:hAnsi="Tahoma"/>
      <w:sz w:val="24"/>
      <w:szCs w:val="20"/>
    </w:rPr>
  </w:style>
  <w:style w:type="paragraph" w:customStyle="1" w:styleId="267">
    <w:name w:val="标题五"/>
    <w:basedOn w:val="1"/>
    <w:qFormat/>
    <w:uiPriority w:val="0"/>
    <w:pPr>
      <w:adjustRightInd/>
      <w:spacing w:before="156" w:beforeLines="50" w:line="360" w:lineRule="auto"/>
    </w:pPr>
    <w:rPr>
      <w:b/>
      <w:sz w:val="24"/>
    </w:rPr>
  </w:style>
  <w:style w:type="paragraph" w:customStyle="1" w:styleId="268">
    <w:name w:val="Char Char1101"/>
    <w:basedOn w:val="1"/>
    <w:qFormat/>
    <w:uiPriority w:val="0"/>
    <w:pPr>
      <w:spacing w:line="360" w:lineRule="auto"/>
    </w:pPr>
    <w:rPr>
      <w:rFonts w:ascii="Tahoma" w:hAnsi="Tahoma"/>
      <w:sz w:val="24"/>
      <w:szCs w:val="20"/>
    </w:rPr>
  </w:style>
  <w:style w:type="paragraph" w:customStyle="1" w:styleId="269">
    <w:name w:val="Char Char Char Char Char Char Char Char1"/>
    <w:basedOn w:val="1"/>
    <w:qFormat/>
    <w:uiPriority w:val="0"/>
    <w:pPr>
      <w:tabs>
        <w:tab w:val="left" w:pos="360"/>
      </w:tabs>
    </w:pPr>
    <w:rPr>
      <w:sz w:val="24"/>
      <w:szCs w:val="20"/>
    </w:rPr>
  </w:style>
  <w:style w:type="paragraph" w:customStyle="1" w:styleId="270">
    <w:name w:val="Char Char Char 字元 字元"/>
    <w:basedOn w:val="1"/>
    <w:qFormat/>
    <w:uiPriority w:val="0"/>
    <w:pPr>
      <w:adjustRightInd/>
      <w:spacing w:line="360" w:lineRule="auto"/>
      <w:ind w:firstLine="200" w:firstLineChars="200"/>
    </w:pPr>
    <w:rPr>
      <w:szCs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2">
    <w:name w:val="Char Char Char Char Char Char Char"/>
    <w:basedOn w:val="1"/>
    <w:qFormat/>
    <w:uiPriority w:val="0"/>
    <w:rPr>
      <w:rFonts w:ascii="仿宋_GB2312" w:eastAsia="仿宋_GB2312"/>
      <w:b/>
      <w:sz w:val="32"/>
      <w:szCs w:val="32"/>
    </w:rPr>
  </w:style>
  <w:style w:type="paragraph" w:customStyle="1" w:styleId="27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5">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6">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7">
    <w:name w:val="批注框文本 Char Char"/>
    <w:basedOn w:val="1"/>
    <w:qFormat/>
    <w:uiPriority w:val="0"/>
    <w:pPr>
      <w:adjustRightInd/>
    </w:pPr>
    <w:rPr>
      <w:sz w:val="18"/>
      <w:szCs w:val="20"/>
    </w:rPr>
  </w:style>
  <w:style w:type="paragraph" w:customStyle="1" w:styleId="27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2">
    <w:name w:val="索引 11"/>
    <w:basedOn w:val="1"/>
    <w:next w:val="1"/>
    <w:qFormat/>
    <w:uiPriority w:val="99"/>
    <w:pPr>
      <w:adjustRightInd/>
      <w:spacing w:line="360" w:lineRule="auto"/>
    </w:pPr>
    <w:rPr>
      <w:rFonts w:ascii="仿宋_GB2312" w:eastAsia="仿宋_GB2312"/>
      <w:sz w:val="24"/>
      <w:szCs w:val="20"/>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5">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6">
    <w:name w:val="文档正文"/>
    <w:basedOn w:val="1"/>
    <w:qFormat/>
    <w:uiPriority w:val="0"/>
    <w:pPr>
      <w:spacing w:line="480" w:lineRule="atLeast"/>
      <w:ind w:firstLine="567"/>
      <w:textAlignment w:val="baseline"/>
    </w:pPr>
    <w:rPr>
      <w:kern w:val="0"/>
      <w:sz w:val="24"/>
      <w:szCs w:val="20"/>
    </w:rPr>
  </w:style>
  <w:style w:type="paragraph" w:customStyle="1" w:styleId="287">
    <w:name w:val="正文文字表格居中"/>
    <w:basedOn w:val="1"/>
    <w:next w:val="58"/>
    <w:qFormat/>
    <w:uiPriority w:val="0"/>
    <w:pPr>
      <w:snapToGrid w:val="0"/>
      <w:spacing w:line="360" w:lineRule="auto"/>
    </w:pPr>
    <w:rPr>
      <w:rFonts w:ascii="宋体"/>
      <w:b/>
      <w:sz w:val="24"/>
      <w:szCs w:val="20"/>
    </w:rPr>
  </w:style>
  <w:style w:type="paragraph" w:customStyle="1" w:styleId="28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9">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0">
    <w:name w:val="Plain Text1"/>
    <w:basedOn w:val="1"/>
    <w:qFormat/>
    <w:uiPriority w:val="7"/>
    <w:pPr>
      <w:adjustRightInd/>
    </w:pPr>
    <w:rPr>
      <w:rFonts w:ascii="宋体" w:hAnsi="Courier New"/>
    </w:rPr>
  </w:style>
  <w:style w:type="paragraph" w:customStyle="1" w:styleId="291">
    <w:name w:val="Char3"/>
    <w:basedOn w:val="1"/>
    <w:qFormat/>
    <w:uiPriority w:val="0"/>
    <w:pPr>
      <w:adjustRightInd/>
    </w:pPr>
    <w:rPr>
      <w:rFonts w:ascii="仿宋_GB2312" w:eastAsia="仿宋_GB2312"/>
      <w:b/>
      <w:sz w:val="32"/>
      <w:szCs w:val="32"/>
    </w:rPr>
  </w:style>
  <w:style w:type="paragraph" w:customStyle="1" w:styleId="29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4">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5">
    <w:name w:val="List Paragraph1"/>
    <w:basedOn w:val="1"/>
    <w:qFormat/>
    <w:uiPriority w:val="0"/>
    <w:pPr>
      <w:spacing w:line="360" w:lineRule="auto"/>
      <w:ind w:firstLine="200" w:firstLineChars="200"/>
    </w:pPr>
    <w:rPr>
      <w:rFonts w:eastAsia="楷体_GB2312" w:cs="Lucida Sans"/>
      <w:sz w:val="24"/>
    </w:rPr>
  </w:style>
  <w:style w:type="paragraph" w:customStyle="1" w:styleId="296">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9">
    <w:name w:val="Char3 Char Char Char"/>
    <w:basedOn w:val="1"/>
    <w:qFormat/>
    <w:uiPriority w:val="0"/>
    <w:pPr>
      <w:widowControl/>
      <w:adjustRightInd/>
      <w:spacing w:after="160" w:line="240" w:lineRule="exact"/>
      <w:jc w:val="left"/>
    </w:pPr>
    <w:rPr>
      <w:szCs w:val="20"/>
    </w:rPr>
  </w:style>
  <w:style w:type="paragraph" w:customStyle="1" w:styleId="300">
    <w:name w:val="表格标题2"/>
    <w:basedOn w:val="301"/>
    <w:qFormat/>
    <w:uiPriority w:val="0"/>
    <w:rPr>
      <w:b/>
    </w:rPr>
  </w:style>
  <w:style w:type="paragraph" w:customStyle="1" w:styleId="301">
    <w:name w:val="表格内文"/>
    <w:basedOn w:val="1"/>
    <w:qFormat/>
    <w:uiPriority w:val="0"/>
    <w:pPr>
      <w:adjustRightInd/>
      <w:spacing w:line="360" w:lineRule="auto"/>
    </w:pPr>
    <w:rPr>
      <w:rFonts w:ascii="宋体" w:hAnsi="宋体" w:cs="宋体"/>
      <w:color w:val="000000"/>
      <w:szCs w:val="20"/>
    </w:rPr>
  </w:style>
  <w:style w:type="paragraph" w:customStyle="1" w:styleId="302">
    <w:name w:val="Char Char Char Char Char Char Char Char Char Char2"/>
    <w:basedOn w:val="1"/>
    <w:qFormat/>
    <w:uiPriority w:val="0"/>
    <w:rPr>
      <w:rFonts w:ascii="仿宋_GB2312" w:eastAsia="仿宋_GB2312"/>
      <w:b/>
      <w:sz w:val="32"/>
      <w:szCs w:val="32"/>
    </w:rPr>
  </w:style>
  <w:style w:type="paragraph" w:customStyle="1" w:styleId="30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5">
    <w:name w:val="Char Char11 Char Char Char Char Char Char Char Char Char11"/>
    <w:basedOn w:val="1"/>
    <w:qFormat/>
    <w:uiPriority w:val="0"/>
    <w:pPr>
      <w:spacing w:line="360" w:lineRule="auto"/>
    </w:pPr>
    <w:rPr>
      <w:szCs w:val="20"/>
    </w:rPr>
  </w:style>
  <w:style w:type="paragraph" w:customStyle="1" w:styleId="30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8">
    <w:name w:val="MM Topic 1"/>
    <w:basedOn w:val="4"/>
    <w:qFormat/>
    <w:uiPriority w:val="0"/>
    <w:pPr>
      <w:tabs>
        <w:tab w:val="left" w:pos="840"/>
        <w:tab w:val="clear" w:pos="432"/>
      </w:tabs>
      <w:adjustRightInd/>
      <w:ind w:left="840" w:hanging="420"/>
    </w:pPr>
  </w:style>
  <w:style w:type="paragraph" w:customStyle="1" w:styleId="30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10">
    <w:name w:val="文本正文 Char"/>
    <w:basedOn w:val="1"/>
    <w:qFormat/>
    <w:uiPriority w:val="0"/>
    <w:pPr>
      <w:spacing w:line="360" w:lineRule="auto"/>
      <w:ind w:firstLine="200" w:firstLineChars="200"/>
    </w:pPr>
    <w:rPr>
      <w:kern w:val="0"/>
      <w:sz w:val="24"/>
      <w:szCs w:val="20"/>
    </w:rPr>
  </w:style>
  <w:style w:type="paragraph" w:customStyle="1" w:styleId="311">
    <w:name w:val="表格"/>
    <w:basedOn w:val="1"/>
    <w:qFormat/>
    <w:uiPriority w:val="0"/>
    <w:pPr>
      <w:snapToGrid w:val="0"/>
      <w:ind w:firstLine="42" w:firstLineChars="21"/>
    </w:pPr>
    <w:rPr>
      <w:rFonts w:ascii="宋体" w:hAnsi="宋体"/>
      <w:kern w:val="0"/>
      <w:sz w:val="20"/>
      <w:szCs w:val="20"/>
    </w:rPr>
  </w:style>
  <w:style w:type="paragraph" w:customStyle="1" w:styleId="312">
    <w:name w:val="标书标题4"/>
    <w:basedOn w:val="8"/>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5">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6">
    <w:name w:val="EB_表格"/>
    <w:basedOn w:val="1"/>
    <w:qFormat/>
    <w:uiPriority w:val="0"/>
    <w:pPr>
      <w:adjustRightInd/>
      <w:spacing w:line="300" w:lineRule="auto"/>
      <w:jc w:val="center"/>
    </w:pPr>
  </w:style>
  <w:style w:type="paragraph" w:customStyle="1" w:styleId="317">
    <w:name w:val="_Style 6"/>
    <w:basedOn w:val="1"/>
    <w:qFormat/>
    <w:uiPriority w:val="34"/>
    <w:pPr>
      <w:adjustRightInd/>
      <w:ind w:firstLine="420" w:firstLineChars="200"/>
    </w:pPr>
    <w:rPr>
      <w:rFonts w:eastAsia="仿宋_GB2312"/>
      <w:sz w:val="28"/>
    </w:rPr>
  </w:style>
  <w:style w:type="paragraph" w:customStyle="1" w:styleId="31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0">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21">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2">
    <w:name w:val="正文表标题"/>
    <w:next w:val="32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5">
    <w:name w:val="trademark"/>
    <w:qFormat/>
    <w:uiPriority w:val="0"/>
    <w:pPr>
      <w:spacing w:after="60"/>
    </w:pPr>
    <w:rPr>
      <w:rFonts w:ascii="Futura Bk" w:hAnsi="Futura Bk" w:eastAsia="宋体" w:cs="Times New Roman"/>
      <w:sz w:val="15"/>
      <w:lang w:val="en-US" w:eastAsia="en-US" w:bidi="ar-SA"/>
    </w:rPr>
  </w:style>
  <w:style w:type="paragraph" w:customStyle="1" w:styleId="3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7">
    <w:name w:val="Char Char1 Char Char Char Char Char Char1"/>
    <w:basedOn w:val="1"/>
    <w:qFormat/>
    <w:uiPriority w:val="0"/>
    <w:rPr>
      <w:rFonts w:ascii="仿宋_GB2312" w:eastAsia="仿宋_GB2312"/>
      <w:b/>
      <w:sz w:val="32"/>
      <w:szCs w:val="20"/>
    </w:rPr>
  </w:style>
  <w:style w:type="paragraph" w:customStyle="1" w:styleId="32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9">
    <w:name w:val="Char1 Char Char Char1"/>
    <w:basedOn w:val="1"/>
    <w:qFormat/>
    <w:uiPriority w:val="0"/>
    <w:pPr>
      <w:adjustRightInd/>
      <w:ind w:firstLine="200" w:firstLineChars="200"/>
    </w:pPr>
    <w:rPr>
      <w:rFonts w:ascii="Tahoma" w:hAnsi="Tahoma"/>
      <w:sz w:val="24"/>
      <w:szCs w:val="20"/>
    </w:rPr>
  </w:style>
  <w:style w:type="paragraph" w:customStyle="1" w:styleId="330">
    <w:name w:val="a1"/>
    <w:basedOn w:val="1"/>
    <w:qFormat/>
    <w:uiPriority w:val="0"/>
    <w:pPr>
      <w:widowControl/>
      <w:spacing w:line="300" w:lineRule="atLeast"/>
      <w:jc w:val="left"/>
    </w:pPr>
    <w:rPr>
      <w:rFonts w:ascii="宋体" w:hAnsi="宋体"/>
      <w:kern w:val="0"/>
      <w:sz w:val="18"/>
      <w:szCs w:val="20"/>
    </w:rPr>
  </w:style>
  <w:style w:type="paragraph" w:customStyle="1" w:styleId="331">
    <w:name w:val="样式7"/>
    <w:basedOn w:val="332"/>
    <w:next w:val="1"/>
    <w:qFormat/>
    <w:uiPriority w:val="0"/>
    <w:pPr>
      <w:spacing w:after="156" w:afterLines="50"/>
      <w:jc w:val="left"/>
      <w:outlineLvl w:val="3"/>
    </w:pPr>
    <w:rPr>
      <w:sz w:val="24"/>
      <w:szCs w:val="24"/>
    </w:rPr>
  </w:style>
  <w:style w:type="paragraph" w:customStyle="1" w:styleId="33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5">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6">
    <w:name w:val="Char2 Char Char2"/>
    <w:basedOn w:val="1"/>
    <w:qFormat/>
    <w:uiPriority w:val="0"/>
    <w:pPr>
      <w:adjustRightInd/>
    </w:pPr>
    <w:rPr>
      <w:rFonts w:ascii="Tahoma" w:hAnsi="Tahoma"/>
      <w:sz w:val="24"/>
      <w:szCs w:val="20"/>
    </w:rPr>
  </w:style>
  <w:style w:type="paragraph" w:customStyle="1" w:styleId="33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8">
    <w:name w:val="三级条标题"/>
    <w:basedOn w:val="339"/>
    <w:next w:val="323"/>
    <w:qFormat/>
    <w:uiPriority w:val="0"/>
    <w:pPr>
      <w:tabs>
        <w:tab w:val="left" w:pos="1260"/>
        <w:tab w:val="left" w:pos="1680"/>
        <w:tab w:val="left" w:pos="2100"/>
        <w:tab w:val="left" w:pos="2520"/>
      </w:tabs>
      <w:ind w:left="2520"/>
      <w:outlineLvl w:val="4"/>
    </w:pPr>
  </w:style>
  <w:style w:type="paragraph" w:customStyle="1" w:styleId="339">
    <w:name w:val="二级条标题"/>
    <w:basedOn w:val="340"/>
    <w:next w:val="323"/>
    <w:qFormat/>
    <w:uiPriority w:val="0"/>
    <w:pPr>
      <w:tabs>
        <w:tab w:val="left" w:pos="1260"/>
        <w:tab w:val="left" w:pos="1680"/>
        <w:tab w:val="left" w:pos="2100"/>
      </w:tabs>
      <w:ind w:left="0"/>
      <w:outlineLvl w:val="3"/>
    </w:pPr>
  </w:style>
  <w:style w:type="paragraph" w:customStyle="1" w:styleId="340">
    <w:name w:val="一级条标题"/>
    <w:basedOn w:val="341"/>
    <w:next w:val="323"/>
    <w:qFormat/>
    <w:uiPriority w:val="0"/>
    <w:pPr>
      <w:tabs>
        <w:tab w:val="left" w:pos="1260"/>
        <w:tab w:val="left" w:pos="1680"/>
      </w:tabs>
      <w:spacing w:before="0" w:beforeLines="0" w:after="0" w:afterLines="0"/>
      <w:ind w:left="1680"/>
      <w:outlineLvl w:val="2"/>
    </w:pPr>
  </w:style>
  <w:style w:type="paragraph" w:customStyle="1" w:styleId="341">
    <w:name w:val="章标题"/>
    <w:next w:val="32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2">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4">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6">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8">
    <w:name w:val="正文 项目2"/>
    <w:basedOn w:val="349"/>
    <w:qFormat/>
    <w:uiPriority w:val="0"/>
    <w:pPr>
      <w:tabs>
        <w:tab w:val="left" w:pos="840"/>
      </w:tabs>
      <w:spacing w:after="0"/>
      <w:ind w:left="900"/>
    </w:pPr>
  </w:style>
  <w:style w:type="paragraph" w:customStyle="1" w:styleId="34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0">
    <w:name w:val="Body Text 2*"/>
    <w:basedOn w:val="1"/>
    <w:qFormat/>
    <w:uiPriority w:val="6"/>
    <w:pPr>
      <w:widowControl/>
      <w:adjustRightInd/>
      <w:ind w:left="720" w:hanging="720"/>
    </w:pPr>
    <w:rPr>
      <w:color w:val="000000"/>
      <w:kern w:val="0"/>
      <w:sz w:val="24"/>
      <w:szCs w:val="20"/>
    </w:rPr>
  </w:style>
  <w:style w:type="paragraph" w:customStyle="1" w:styleId="351">
    <w:name w:val="表1"/>
    <w:basedOn w:val="1"/>
    <w:qFormat/>
    <w:uiPriority w:val="0"/>
    <w:pPr>
      <w:tabs>
        <w:tab w:val="left" w:pos="703"/>
      </w:tabs>
      <w:adjustRightInd/>
      <w:spacing w:line="360" w:lineRule="auto"/>
      <w:ind w:left="703"/>
      <w:jc w:val="center"/>
    </w:pPr>
  </w:style>
  <w:style w:type="paragraph" w:customStyle="1" w:styleId="35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5">
    <w:name w:val="2级标题"/>
    <w:basedOn w:val="356"/>
    <w:qFormat/>
    <w:uiPriority w:val="0"/>
    <w:pPr>
      <w:jc w:val="left"/>
      <w:outlineLvl w:val="1"/>
    </w:pPr>
    <w:rPr>
      <w:rFonts w:ascii="Times New Roman" w:hAnsi="Times New Roman" w:eastAsia="仿宋"/>
      <w:sz w:val="30"/>
    </w:rPr>
  </w:style>
  <w:style w:type="paragraph" w:customStyle="1" w:styleId="35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1">
    <w:name w:val="bullet"/>
    <w:basedOn w:val="1"/>
    <w:qFormat/>
    <w:uiPriority w:val="0"/>
    <w:pPr>
      <w:tabs>
        <w:tab w:val="left" w:pos="840"/>
      </w:tabs>
      <w:adjustRightInd/>
      <w:ind w:left="840" w:hanging="420"/>
    </w:pPr>
  </w:style>
  <w:style w:type="paragraph" w:customStyle="1" w:styleId="36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9">
    <w:name w:val="MM Topic 4"/>
    <w:basedOn w:val="8"/>
    <w:qFormat/>
    <w:uiPriority w:val="0"/>
    <w:pPr>
      <w:tabs>
        <w:tab w:val="left" w:pos="2100"/>
        <w:tab w:val="clear" w:pos="864"/>
      </w:tabs>
      <w:adjustRightInd/>
      <w:ind w:left="2100" w:hanging="420"/>
    </w:pPr>
    <w:rPr>
      <w:lang w:val="en-US"/>
    </w:rPr>
  </w:style>
  <w:style w:type="paragraph" w:customStyle="1" w:styleId="37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2">
    <w:name w:val="Char Char11 Char Char Char Char Char Char Char Char Char1"/>
    <w:basedOn w:val="1"/>
    <w:qFormat/>
    <w:uiPriority w:val="6"/>
    <w:pPr>
      <w:spacing w:line="360" w:lineRule="auto"/>
    </w:pPr>
    <w:rPr>
      <w:szCs w:val="20"/>
    </w:rPr>
  </w:style>
  <w:style w:type="paragraph" w:customStyle="1" w:styleId="37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5">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2">
    <w:name w:val="单元格居中"/>
    <w:basedOn w:val="1"/>
    <w:qFormat/>
    <w:uiPriority w:val="0"/>
    <w:pPr>
      <w:adjustRightInd/>
      <w:spacing w:line="360" w:lineRule="auto"/>
      <w:jc w:val="center"/>
    </w:pPr>
    <w:rPr>
      <w:sz w:val="24"/>
    </w:rPr>
  </w:style>
  <w:style w:type="paragraph" w:customStyle="1" w:styleId="38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4">
    <w:name w:val="Char Char Char Char Char Char Char1"/>
    <w:basedOn w:val="1"/>
    <w:qFormat/>
    <w:uiPriority w:val="6"/>
    <w:rPr>
      <w:rFonts w:ascii="仿宋_GB2312" w:eastAsia="仿宋_GB2312"/>
      <w:b/>
      <w:sz w:val="32"/>
      <w:szCs w:val="32"/>
    </w:rPr>
  </w:style>
  <w:style w:type="paragraph" w:customStyle="1" w:styleId="385">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39"/>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6"/>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5"/>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6"/>
    <w:next w:val="55"/>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3"/>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8"/>
    <w:next w:val="323"/>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7"/>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0"/>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5"/>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1"/>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2"/>
    <w:qFormat/>
    <w:uiPriority w:val="0"/>
    <w:rPr>
      <w:b w:val="0"/>
      <w:sz w:val="20"/>
    </w:rPr>
  </w:style>
  <w:style w:type="paragraph" w:customStyle="1" w:styleId="576">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9"/>
    <w:next w:val="1"/>
    <w:qFormat/>
    <w:uiPriority w:val="0"/>
    <w:pPr>
      <w:tabs>
        <w:tab w:val="left" w:pos="1080"/>
        <w:tab w:val="clear" w:pos="1008"/>
      </w:tabs>
      <w:ind w:left="1080" w:hanging="1080"/>
    </w:pPr>
  </w:style>
  <w:style w:type="paragraph" w:customStyle="1" w:styleId="579">
    <w:name w:val="数字标题1"/>
    <w:basedOn w:val="4"/>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5"/>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No Spacing1"/>
    <w:qFormat/>
    <w:uiPriority w:val="0"/>
    <w:rPr>
      <w:rFonts w:ascii="Times New Roman" w:hAnsi="Times New Roman" w:eastAsia="??" w:cs="宋体"/>
      <w:sz w:val="22"/>
      <w:szCs w:val="22"/>
      <w:lang w:val="en-US" w:eastAsia="en-US" w:bidi="ar-SA"/>
    </w:rPr>
  </w:style>
  <w:style w:type="paragraph" w:customStyle="1" w:styleId="618">
    <w:name w:val="[Normal]"/>
    <w:qFormat/>
    <w:uiPriority w:val="0"/>
    <w:rPr>
      <w:rFonts w:ascii="宋体" w:hAnsi="宋体" w:eastAsia="宋体" w:cs="Times New Roman"/>
      <w:sz w:val="24"/>
      <w:szCs w:val="22"/>
      <w:lang w:val="zh-CN" w:eastAsia="zh-CN" w:bidi="ar-SA"/>
    </w:r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2"/>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28"/>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70"/>
    <w:qFormat/>
    <w:uiPriority w:val="0"/>
    <w:rPr>
      <w:rFonts w:ascii="Arial" w:hAnsi="Arial" w:eastAsia="黑体" w:cs="Arial"/>
      <w:snapToGrid w:val="0"/>
      <w:kern w:val="0"/>
      <w:szCs w:val="21"/>
    </w:rPr>
  </w:style>
  <w:style w:type="character" w:customStyle="1" w:styleId="657">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10"/>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8"/>
    <w:qFormat/>
    <w:uiPriority w:val="0"/>
    <w:rPr>
      <w:rFonts w:ascii="宋体"/>
      <w:kern w:val="2"/>
      <w:sz w:val="24"/>
      <w:szCs w:val="21"/>
      <w:lang w:val="zh-CN"/>
    </w:rPr>
  </w:style>
  <w:style w:type="character" w:customStyle="1" w:styleId="708">
    <w:name w:val="标题 9 Char"/>
    <w:link w:val="13"/>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1"/>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7"/>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0"/>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70"/>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3"/>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8"/>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7"/>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4"/>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1"/>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9"/>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2"/>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9"/>
    <w:qFormat/>
    <w:uiPriority w:val="0"/>
    <w:rPr>
      <w:rFonts w:ascii="黑体" w:hAnsi="Courier New" w:eastAsia="黑体"/>
    </w:rPr>
  </w:style>
  <w:style w:type="character" w:customStyle="1" w:styleId="817">
    <w:name w:val="正文文本 2 Char1"/>
    <w:link w:val="58"/>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11"/>
    <w:qFormat/>
    <w:uiPriority w:val="0"/>
    <w:rPr>
      <w:b/>
      <w:bCs/>
      <w:kern w:val="2"/>
      <w:sz w:val="24"/>
      <w:szCs w:val="24"/>
    </w:rPr>
  </w:style>
  <w:style w:type="character" w:customStyle="1" w:styleId="821">
    <w:name w:val="正文文本缩进 2 Char"/>
    <w:link w:val="39"/>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26"/>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8"/>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3"/>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21"/>
    <w:qFormat/>
    <w:uiPriority w:val="0"/>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2"/>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5"/>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2"/>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70"/>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31">
    <w:name w:val="gray6"/>
    <w:basedOn w:val="70"/>
    <w:qFormat/>
    <w:uiPriority w:val="0"/>
    <w:rPr>
      <w:rFonts w:ascii="Arial" w:hAnsi="Arial" w:eastAsia="黑体" w:cs="Arial"/>
      <w:snapToGrid w:val="0"/>
      <w:kern w:val="0"/>
      <w:szCs w:val="21"/>
    </w:rPr>
  </w:style>
  <w:style w:type="character" w:customStyle="1" w:styleId="932">
    <w:name w:val="hui"/>
    <w:basedOn w:val="70"/>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40"/>
    <w:qFormat/>
    <w:uiPriority w:val="0"/>
    <w:rPr>
      <w:kern w:val="2"/>
      <w:sz w:val="21"/>
      <w:szCs w:val="24"/>
      <w:lang w:val="zh-CN"/>
    </w:rPr>
  </w:style>
  <w:style w:type="character" w:customStyle="1" w:styleId="939">
    <w:name w:val="无间隔 Char"/>
    <w:link w:val="166"/>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70"/>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76</Pages>
  <Words>36516</Words>
  <Characters>38295</Characters>
  <Lines>287</Lines>
  <Paragraphs>81</Paragraphs>
  <TotalTime>4</TotalTime>
  <ScaleCrop>false</ScaleCrop>
  <LinksUpToDate>false</LinksUpToDate>
  <CharactersWithSpaces>43702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暹罗猫</cp:lastModifiedBy>
  <cp:lastPrinted>2021-12-27T03:06:00Z</cp:lastPrinted>
  <dcterms:modified xsi:type="dcterms:W3CDTF">2022-04-28T08:58:06Z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B2429566DB3042ABBA6CB3926047AB42</vt:lpwstr>
  </property>
</Properties>
</file>