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jc w:val="left"/>
        <w:rPr>
          <w:rFonts w:ascii="宋体" w:hAnsi="宋体" w:cs="宋体"/>
          <w:b/>
          <w:color w:val="auto"/>
          <w:sz w:val="24"/>
        </w:rPr>
      </w:pPr>
    </w:p>
    <w:p>
      <w:pPr>
        <w:ind w:firstLine="883"/>
        <w:rPr>
          <w:rFonts w:ascii="宋体" w:hAnsi="宋体" w:cs="宋体"/>
          <w:b/>
          <w:color w:val="auto"/>
          <w:sz w:val="44"/>
          <w:szCs w:val="44"/>
        </w:rPr>
      </w:pPr>
    </w:p>
    <w:p>
      <w:pPr>
        <w:pStyle w:val="61"/>
        <w:rPr>
          <w:color w:val="auto"/>
        </w:rPr>
      </w:pPr>
    </w:p>
    <w:p>
      <w:pPr>
        <w:ind w:firstLine="883"/>
        <w:rPr>
          <w:rFonts w:ascii="宋体" w:hAnsi="宋体" w:cs="宋体"/>
          <w:b/>
          <w:color w:val="auto"/>
          <w:sz w:val="44"/>
          <w:szCs w:val="44"/>
        </w:rPr>
      </w:pPr>
    </w:p>
    <w:p>
      <w:pPr>
        <w:pStyle w:val="61"/>
        <w:rPr>
          <w:color w:val="auto"/>
        </w:rPr>
      </w:pPr>
    </w:p>
    <w:p>
      <w:pPr>
        <w:ind w:firstLine="480"/>
        <w:rPr>
          <w:color w:val="auto"/>
        </w:rPr>
      </w:pPr>
    </w:p>
    <w:p>
      <w:pPr>
        <w:adjustRightInd/>
        <w:spacing w:line="360" w:lineRule="auto"/>
        <w:ind w:firstLine="964"/>
        <w:jc w:val="center"/>
        <w:rPr>
          <w:rFonts w:ascii="宋体" w:hAnsi="宋体" w:cs="宋体"/>
          <w:b/>
          <w:color w:val="auto"/>
          <w:sz w:val="48"/>
          <w:szCs w:val="48"/>
        </w:rPr>
      </w:pPr>
    </w:p>
    <w:p>
      <w:pPr>
        <w:adjustRightInd/>
        <w:spacing w:line="360" w:lineRule="auto"/>
        <w:ind w:firstLine="960"/>
        <w:jc w:val="center"/>
        <w:rPr>
          <w:rFonts w:ascii="宋体" w:hAnsi="宋体" w:cs="宋体"/>
          <w:color w:val="auto"/>
          <w:sz w:val="48"/>
          <w:szCs w:val="48"/>
        </w:rPr>
      </w:pPr>
      <w:r>
        <w:rPr>
          <w:rFonts w:hint="eastAsia" w:ascii="宋体" w:hAnsi="宋体" w:cs="宋体"/>
          <w:color w:val="auto"/>
          <w:sz w:val="48"/>
          <w:szCs w:val="48"/>
        </w:rPr>
        <w:t>2024年图书（电子书）采购及图书加工</w:t>
      </w:r>
    </w:p>
    <w:p>
      <w:pPr>
        <w:adjustRightInd/>
        <w:spacing w:line="360" w:lineRule="auto"/>
        <w:ind w:firstLine="960"/>
        <w:jc w:val="center"/>
        <w:rPr>
          <w:rFonts w:ascii="宋体" w:hAnsi="宋体" w:cs="宋体"/>
          <w:color w:val="auto"/>
          <w:sz w:val="48"/>
          <w:szCs w:val="48"/>
        </w:rPr>
      </w:pPr>
    </w:p>
    <w:p>
      <w:pPr>
        <w:adjustRightInd/>
        <w:spacing w:line="360" w:lineRule="auto"/>
        <w:ind w:firstLine="960"/>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ind w:firstLine="883"/>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ind w:firstLine="600"/>
        <w:jc w:val="center"/>
        <w:rPr>
          <w:rFonts w:ascii="宋体" w:hAnsi="宋体" w:cs="宋体"/>
          <w:color w:val="auto"/>
          <w:sz w:val="30"/>
          <w:szCs w:val="30"/>
        </w:rPr>
      </w:pPr>
      <w:r>
        <w:rPr>
          <w:rFonts w:hint="eastAsia" w:ascii="宋体" w:hAnsi="宋体" w:cs="宋体"/>
          <w:color w:val="auto"/>
          <w:sz w:val="30"/>
          <w:szCs w:val="30"/>
        </w:rPr>
        <w:t>编号：HZYX-XTSG-24255GK</w:t>
      </w:r>
    </w:p>
    <w:p>
      <w:pPr>
        <w:adjustRightInd/>
        <w:spacing w:line="360" w:lineRule="auto"/>
        <w:ind w:firstLine="560"/>
        <w:rPr>
          <w:rFonts w:ascii="宋体" w:hAnsi="宋体" w:cs="宋体"/>
          <w:color w:val="auto"/>
          <w:sz w:val="28"/>
          <w:szCs w:val="20"/>
        </w:rPr>
      </w:pPr>
    </w:p>
    <w:p>
      <w:pPr>
        <w:spacing w:line="360" w:lineRule="auto"/>
        <w:ind w:firstLine="883"/>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ind w:firstLine="883"/>
        <w:jc w:val="center"/>
        <w:rPr>
          <w:rFonts w:ascii="宋体" w:hAnsi="宋体" w:cs="宋体"/>
          <w:b/>
          <w:color w:val="auto"/>
          <w:sz w:val="44"/>
          <w:szCs w:val="44"/>
        </w:rPr>
      </w:pPr>
    </w:p>
    <w:p>
      <w:pPr>
        <w:spacing w:line="360" w:lineRule="auto"/>
        <w:ind w:firstLine="480"/>
        <w:jc w:val="center"/>
        <w:rPr>
          <w:rFonts w:ascii="宋体" w:hAnsi="宋体" w:cs="宋体"/>
          <w:color w:val="auto"/>
          <w:sz w:val="24"/>
        </w:rPr>
      </w:pPr>
    </w:p>
    <w:p>
      <w:pPr>
        <w:spacing w:line="360" w:lineRule="auto"/>
        <w:ind w:firstLine="640"/>
        <w:rPr>
          <w:rFonts w:ascii="宋体" w:hAnsi="宋体" w:cs="宋体"/>
          <w:color w:val="auto"/>
          <w:sz w:val="32"/>
          <w:szCs w:val="32"/>
        </w:rPr>
      </w:pPr>
    </w:p>
    <w:p>
      <w:pPr>
        <w:snapToGrid w:val="0"/>
        <w:spacing w:line="360" w:lineRule="auto"/>
        <w:ind w:firstLine="640"/>
        <w:jc w:val="center"/>
        <w:rPr>
          <w:rFonts w:ascii="宋体" w:hAnsi="宋体" w:cs="宋体"/>
          <w:color w:val="auto"/>
          <w:sz w:val="32"/>
          <w:szCs w:val="32"/>
        </w:rPr>
      </w:pPr>
      <w:r>
        <w:rPr>
          <w:rFonts w:hint="eastAsia" w:ascii="宋体" w:hAnsi="宋体" w:cs="宋体"/>
          <w:color w:val="auto"/>
          <w:sz w:val="32"/>
          <w:szCs w:val="32"/>
        </w:rPr>
        <w:t>采购人：杭州市西湖区图书馆</w:t>
      </w:r>
    </w:p>
    <w:p>
      <w:pPr>
        <w:spacing w:line="360" w:lineRule="auto"/>
        <w:ind w:firstLine="640"/>
        <w:jc w:val="center"/>
        <w:rPr>
          <w:rFonts w:ascii="宋体" w:hAnsi="宋体" w:cs="宋体"/>
          <w:bCs/>
          <w:color w:val="auto"/>
          <w:sz w:val="32"/>
          <w:szCs w:val="32"/>
        </w:rPr>
      </w:pPr>
      <w:r>
        <w:rPr>
          <w:rFonts w:hint="eastAsia" w:ascii="宋体" w:hAnsi="宋体" w:cs="宋体"/>
          <w:bCs/>
          <w:color w:val="auto"/>
          <w:sz w:val="32"/>
          <w:szCs w:val="32"/>
        </w:rPr>
        <w:t>采购代理机构：杭州意信招标代理有限公司</w:t>
      </w:r>
    </w:p>
    <w:p>
      <w:pPr>
        <w:snapToGrid w:val="0"/>
        <w:spacing w:line="360" w:lineRule="auto"/>
        <w:ind w:firstLine="640"/>
        <w:jc w:val="center"/>
        <w:rPr>
          <w:rFonts w:ascii="宋体" w:hAnsi="宋体" w:cs="宋体"/>
          <w:bCs/>
          <w:color w:val="auto"/>
          <w:sz w:val="32"/>
          <w:szCs w:val="32"/>
        </w:rPr>
      </w:pPr>
      <w:r>
        <w:rPr>
          <w:rFonts w:hint="eastAsia" w:ascii="宋体" w:hAnsi="宋体" w:cs="宋体"/>
          <w:bCs/>
          <w:color w:val="auto"/>
          <w:sz w:val="32"/>
          <w:szCs w:val="32"/>
        </w:rPr>
        <w:t>二〇二四年</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九</w:t>
      </w:r>
      <w:r>
        <w:rPr>
          <w:rFonts w:hint="eastAsia" w:ascii="宋体" w:hAnsi="宋体" w:cs="宋体"/>
          <w:bCs/>
          <w:color w:val="auto"/>
          <w:sz w:val="32"/>
          <w:szCs w:val="32"/>
        </w:rPr>
        <w:t>日</w:t>
      </w:r>
    </w:p>
    <w:p>
      <w:pPr>
        <w:spacing w:line="360" w:lineRule="auto"/>
        <w:ind w:firstLine="480"/>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ind w:firstLine="480"/>
        <w:jc w:val="center"/>
        <w:rPr>
          <w:rFonts w:ascii="宋体" w:hAnsi="宋体" w:cs="宋体"/>
          <w:color w:val="auto"/>
          <w:sz w:val="24"/>
        </w:rPr>
      </w:pPr>
    </w:p>
    <w:p>
      <w:pPr>
        <w:spacing w:line="360" w:lineRule="auto"/>
        <w:ind w:firstLine="964"/>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ind w:firstLine="640"/>
        <w:rPr>
          <w:rFonts w:ascii="宋体" w:hAnsi="宋体" w:cs="宋体"/>
          <w:color w:val="auto"/>
          <w:sz w:val="32"/>
          <w:szCs w:val="32"/>
        </w:rPr>
      </w:pPr>
    </w:p>
    <w:p>
      <w:pPr>
        <w:spacing w:line="360" w:lineRule="auto"/>
        <w:ind w:firstLine="640"/>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480"/>
        <w:rPr>
          <w:rFonts w:ascii="宋体" w:hAnsi="宋体" w:cs="宋体"/>
          <w:color w:val="auto"/>
          <w:sz w:val="24"/>
        </w:rPr>
      </w:pPr>
    </w:p>
    <w:p>
      <w:pPr>
        <w:adjustRightInd/>
        <w:spacing w:line="360" w:lineRule="auto"/>
        <w:ind w:firstLine="723"/>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2024年图书（电子书）采购及图书加工</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2024</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09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adjustRightInd/>
        <w:spacing w:line="360" w:lineRule="auto"/>
        <w:ind w:firstLine="482"/>
        <w:rPr>
          <w:rFonts w:ascii="宋体" w:hAnsi="宋体" w:cs="宋体"/>
          <w:b/>
          <w:color w:val="auto"/>
          <w:sz w:val="24"/>
        </w:rPr>
      </w:pPr>
      <w:r>
        <w:rPr>
          <w:rFonts w:hint="eastAsia" w:ascii="宋体" w:hAnsi="宋体" w:cs="宋体"/>
          <w:b/>
          <w:color w:val="auto"/>
          <w:sz w:val="24"/>
        </w:rPr>
        <w:t xml:space="preserve">一、项目基本情况                                            </w:t>
      </w:r>
    </w:p>
    <w:p>
      <w:pPr>
        <w:adjustRightInd/>
        <w:spacing w:line="360" w:lineRule="auto"/>
        <w:ind w:firstLine="480"/>
        <w:rPr>
          <w:rFonts w:ascii="宋体" w:hAnsi="宋体" w:cs="宋体"/>
          <w:color w:val="auto"/>
          <w:sz w:val="24"/>
        </w:rPr>
      </w:pPr>
      <w:r>
        <w:rPr>
          <w:rFonts w:hint="eastAsia" w:ascii="宋体" w:hAnsi="宋体" w:cs="宋体"/>
          <w:b/>
          <w:color w:val="auto"/>
          <w:sz w:val="24"/>
        </w:rPr>
        <w:t>项目编号：</w:t>
      </w:r>
      <w:r>
        <w:rPr>
          <w:rFonts w:hint="eastAsia" w:ascii="宋体" w:hAnsi="宋体" w:cs="宋体"/>
          <w:color w:val="auto"/>
          <w:sz w:val="24"/>
        </w:rPr>
        <w:t>HZYX-XTSG-24255GK</w:t>
      </w:r>
    </w:p>
    <w:p>
      <w:pPr>
        <w:adjustRightInd/>
        <w:spacing w:line="360" w:lineRule="auto"/>
        <w:ind w:firstLine="480"/>
        <w:rPr>
          <w:rFonts w:ascii="宋体" w:hAnsi="宋体" w:cs="宋体"/>
          <w:color w:val="auto"/>
          <w:sz w:val="24"/>
        </w:rPr>
      </w:pPr>
      <w:r>
        <w:rPr>
          <w:rFonts w:hint="eastAsia" w:ascii="宋体" w:hAnsi="宋体" w:cs="宋体"/>
          <w:b/>
          <w:color w:val="auto"/>
          <w:sz w:val="24"/>
        </w:rPr>
        <w:t>项目名称：</w:t>
      </w:r>
      <w:r>
        <w:rPr>
          <w:rFonts w:hint="eastAsia" w:ascii="宋体" w:hAnsi="宋体" w:cs="宋体"/>
          <w:color w:val="auto"/>
          <w:sz w:val="24"/>
        </w:rPr>
        <w:t>2024年图书（电子书）采购及图书加工</w:t>
      </w:r>
    </w:p>
    <w:p>
      <w:pPr>
        <w:adjustRightInd/>
        <w:spacing w:line="360" w:lineRule="auto"/>
        <w:ind w:firstLine="480"/>
        <w:rPr>
          <w:rFonts w:ascii="宋体" w:hAnsi="宋体" w:cs="宋体"/>
          <w:color w:val="auto"/>
          <w:sz w:val="24"/>
        </w:rPr>
      </w:pPr>
      <w:r>
        <w:rPr>
          <w:rFonts w:hint="eastAsia" w:ascii="宋体" w:hAnsi="宋体" w:cs="宋体"/>
          <w:b/>
          <w:color w:val="auto"/>
          <w:sz w:val="24"/>
        </w:rPr>
        <w:t>预算金额（元）：</w:t>
      </w:r>
      <w:r>
        <w:rPr>
          <w:rFonts w:hint="eastAsia" w:ascii="宋体" w:hAnsi="宋体" w:cs="宋体"/>
          <w:bCs/>
          <w:color w:val="auto"/>
          <w:sz w:val="24"/>
        </w:rPr>
        <w:t xml:space="preserve">1840000.00 </w:t>
      </w:r>
    </w:p>
    <w:p>
      <w:pPr>
        <w:adjustRightInd/>
        <w:spacing w:line="360" w:lineRule="auto"/>
        <w:ind w:firstLine="482"/>
        <w:rPr>
          <w:rFonts w:ascii="宋体" w:hAnsi="宋体" w:cs="宋体"/>
          <w:color w:val="auto"/>
          <w:sz w:val="24"/>
        </w:rPr>
      </w:pPr>
      <w:r>
        <w:rPr>
          <w:rFonts w:hint="eastAsia" w:ascii="宋体" w:hAnsi="宋体" w:cs="宋体"/>
          <w:b/>
          <w:color w:val="auto"/>
          <w:sz w:val="24"/>
        </w:rPr>
        <w:t>最高限价（元）：</w:t>
      </w:r>
      <w:r>
        <w:rPr>
          <w:rFonts w:hint="eastAsia" w:ascii="宋体" w:hAnsi="宋体" w:cs="宋体"/>
          <w:bCs/>
          <w:color w:val="auto"/>
          <w:sz w:val="24"/>
        </w:rPr>
        <w:t xml:space="preserve">1840000.00  </w:t>
      </w:r>
    </w:p>
    <w:p>
      <w:pPr>
        <w:pStyle w:val="5"/>
        <w:adjustRightInd/>
        <w:snapToGrid/>
        <w:spacing w:line="360" w:lineRule="auto"/>
        <w:ind w:firstLine="482"/>
        <w:rPr>
          <w:rFonts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rPr>
        <w:t>2024年图书（电子书）采购及图书加工主要内容：图书采购及加工、线下图书点购和书店借书不少于4万册，电子书30000册（版权使用期限不少于一年）。</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0"/>
        <w:adjustRightInd/>
        <w:spacing w:before="0"/>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olor w:val="auto"/>
          <w:szCs w:val="24"/>
        </w:rPr>
        <w:t>自合同签订生效之日起至</w:t>
      </w:r>
      <w:r>
        <w:rPr>
          <w:rFonts w:ascii="仿宋_GB2312" w:hAnsi="仿宋_GB2312"/>
          <w:color w:val="auto"/>
          <w:szCs w:val="24"/>
        </w:rPr>
        <w:t>202</w:t>
      </w:r>
      <w:r>
        <w:rPr>
          <w:rFonts w:hint="eastAsia" w:ascii="仿宋_GB2312" w:hAnsi="仿宋_GB2312"/>
          <w:color w:val="auto"/>
          <w:szCs w:val="24"/>
        </w:rPr>
        <w:t>4</w:t>
      </w:r>
      <w:r>
        <w:rPr>
          <w:rFonts w:hint="eastAsia" w:ascii="宋体" w:hAnsi="宋体"/>
          <w:color w:val="auto"/>
          <w:szCs w:val="24"/>
        </w:rPr>
        <w:t>年</w:t>
      </w:r>
      <w:r>
        <w:rPr>
          <w:rFonts w:ascii="仿宋_GB2312" w:hAnsi="宋体"/>
          <w:color w:val="auto"/>
          <w:szCs w:val="24"/>
        </w:rPr>
        <w:t>12</w:t>
      </w:r>
      <w:r>
        <w:rPr>
          <w:rFonts w:hint="eastAsia" w:ascii="宋体" w:hAnsi="宋体"/>
          <w:color w:val="auto"/>
          <w:szCs w:val="24"/>
        </w:rPr>
        <w:t>月</w:t>
      </w:r>
      <w:r>
        <w:rPr>
          <w:rFonts w:ascii="仿宋_GB2312" w:hAnsi="仿宋_GB2312"/>
          <w:color w:val="auto"/>
          <w:szCs w:val="24"/>
        </w:rPr>
        <w:t>31</w:t>
      </w:r>
      <w:r>
        <w:rPr>
          <w:rFonts w:hint="eastAsia" w:ascii="宋体" w:hAnsi="宋体"/>
          <w:color w:val="auto"/>
          <w:szCs w:val="24"/>
        </w:rPr>
        <w:t>日止。</w:t>
      </w:r>
    </w:p>
    <w:p>
      <w:pPr>
        <w:pStyle w:val="5"/>
        <w:adjustRightInd/>
        <w:snapToGrid/>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ind w:firstLine="482"/>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color w:val="auto"/>
          <w:kern w:val="28"/>
          <w:sz w:val="24"/>
          <w:szCs w:val="20"/>
        </w:rPr>
      </w:pP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snapToGrid w:val="0"/>
          <w:color w:val="auto"/>
          <w:kern w:val="28"/>
          <w:sz w:val="24"/>
          <w:szCs w:val="20"/>
        </w:rPr>
      </w:pPr>
      <w:r>
        <w:rPr>
          <w:rFonts w:hint="eastAsia" w:ascii="宋体" w:hAnsi="宋体" w:cs="宋体"/>
          <w:snapToGrid w:val="0"/>
          <w:color w:val="auto"/>
          <w:kern w:val="28"/>
          <w:sz w:val="24"/>
          <w:szCs w:val="20"/>
        </w:rPr>
        <w:t>4.本项目的特定资格要求：投标人具有相关部门颁发的《出版物经营许可证》；</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2024年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ind w:firstLine="482"/>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2024年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2024年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ind w:firstLine="482"/>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ind w:firstLine="482"/>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2"/>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ind w:firstLine="480"/>
        <w:rPr>
          <w:rFonts w:ascii="宋体" w:hAnsi="宋体" w:cs="宋体"/>
          <w:color w:val="auto"/>
          <w:sz w:val="24"/>
        </w:rPr>
      </w:pPr>
      <w:r>
        <w:rPr>
          <w:rFonts w:hint="eastAsia" w:ascii="宋体" w:hAnsi="宋体" w:cs="宋体"/>
          <w:color w:val="auto"/>
          <w:sz w:val="24"/>
        </w:rPr>
        <w:t>1.采购人信息</w:t>
      </w:r>
    </w:p>
    <w:p>
      <w:pPr>
        <w:spacing w:line="360" w:lineRule="auto"/>
        <w:ind w:firstLine="480"/>
        <w:rPr>
          <w:rFonts w:ascii="宋体" w:hAnsi="宋体" w:cs="宋体"/>
          <w:color w:val="auto"/>
          <w:sz w:val="24"/>
        </w:rPr>
      </w:pPr>
      <w:r>
        <w:rPr>
          <w:rFonts w:hint="eastAsia" w:ascii="宋体" w:hAnsi="宋体" w:cs="宋体"/>
          <w:color w:val="auto"/>
          <w:sz w:val="24"/>
        </w:rPr>
        <w:t xml:space="preserve">名    称：杭州市西湖区图书馆 </w:t>
      </w:r>
    </w:p>
    <w:p>
      <w:pPr>
        <w:spacing w:line="360" w:lineRule="auto"/>
        <w:ind w:firstLine="480"/>
        <w:rPr>
          <w:rFonts w:ascii="宋体" w:hAnsi="宋体" w:cs="宋体"/>
          <w:color w:val="auto"/>
          <w:sz w:val="24"/>
        </w:rPr>
      </w:pPr>
      <w:r>
        <w:rPr>
          <w:rFonts w:hint="eastAsia" w:ascii="宋体" w:hAnsi="宋体" w:cs="宋体"/>
          <w:color w:val="auto"/>
          <w:sz w:val="24"/>
        </w:rPr>
        <w:t xml:space="preserve">地    址：浙江省杭州市西湖区古墩路413-1号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项目联系人（询问）：陈荻  高虹</w:t>
      </w:r>
    </w:p>
    <w:p>
      <w:pPr>
        <w:spacing w:line="360" w:lineRule="auto"/>
        <w:ind w:firstLine="480"/>
        <w:rPr>
          <w:rFonts w:ascii="宋体" w:hAnsi="宋体" w:cs="宋体"/>
          <w:color w:val="auto"/>
          <w:sz w:val="24"/>
        </w:rPr>
      </w:pPr>
      <w:r>
        <w:rPr>
          <w:rFonts w:hint="eastAsia" w:ascii="宋体" w:hAnsi="宋体" w:cs="宋体"/>
          <w:color w:val="auto"/>
          <w:sz w:val="24"/>
        </w:rPr>
        <w:t>项目联系方式（询问）：0571-81952562</w:t>
      </w:r>
    </w:p>
    <w:p>
      <w:pPr>
        <w:spacing w:line="360" w:lineRule="auto"/>
        <w:ind w:firstLine="480"/>
        <w:rPr>
          <w:rFonts w:ascii="宋体" w:hAnsi="宋体" w:cs="宋体"/>
          <w:color w:val="auto"/>
          <w:sz w:val="24"/>
        </w:rPr>
      </w:pPr>
      <w:r>
        <w:rPr>
          <w:rFonts w:hint="eastAsia" w:ascii="宋体" w:hAnsi="宋体" w:cs="宋体"/>
          <w:color w:val="auto"/>
          <w:sz w:val="24"/>
        </w:rPr>
        <w:t>质疑联系人：边老师</w:t>
      </w:r>
    </w:p>
    <w:p>
      <w:pPr>
        <w:spacing w:line="360" w:lineRule="auto"/>
        <w:ind w:firstLine="480"/>
        <w:rPr>
          <w:rFonts w:ascii="宋体" w:hAnsi="宋体" w:cs="宋体"/>
          <w:color w:val="auto"/>
          <w:sz w:val="24"/>
        </w:rPr>
      </w:pPr>
      <w:r>
        <w:rPr>
          <w:rFonts w:hint="eastAsia" w:ascii="宋体" w:hAnsi="宋体" w:cs="宋体"/>
          <w:color w:val="auto"/>
          <w:sz w:val="24"/>
        </w:rPr>
        <w:t>质疑联系方式：0571-87981282</w:t>
      </w:r>
      <w:r>
        <w:rPr>
          <w:rFonts w:hint="eastAsia" w:ascii="宋体" w:hAnsi="宋体" w:cs="宋体"/>
          <w:color w:val="auto"/>
          <w:sz w:val="24"/>
        </w:rPr>
        <w:t>（请通过以下路径在线提起质疑：政采云-项目采购-询问质疑投诉-质疑列表）</w:t>
      </w:r>
    </w:p>
    <w:p>
      <w:pPr>
        <w:spacing w:line="360" w:lineRule="auto"/>
        <w:ind w:firstLine="480"/>
        <w:rPr>
          <w:rFonts w:ascii="宋体" w:hAnsi="宋体" w:cs="宋体"/>
          <w:color w:val="auto"/>
          <w:sz w:val="24"/>
        </w:rPr>
      </w:pPr>
      <w:r>
        <w:rPr>
          <w:rFonts w:hint="eastAsia" w:ascii="宋体" w:hAnsi="宋体" w:cs="宋体"/>
          <w:color w:val="auto"/>
          <w:sz w:val="24"/>
        </w:rPr>
        <w:t xml:space="preserve">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称：杭州意信招标代理有限公司</w:t>
      </w:r>
    </w:p>
    <w:p>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kern w:val="0"/>
          <w:sz w:val="24"/>
        </w:rPr>
        <w:t>杭州市教工路1号</w:t>
      </w:r>
      <w:r>
        <w:rPr>
          <w:rFonts w:hint="eastAsia" w:ascii="宋体" w:hAnsi="宋体" w:cs="宋体"/>
          <w:color w:val="auto"/>
          <w:sz w:val="24"/>
        </w:rPr>
        <w:t>，西湖数源软件园17号楼509室</w:t>
      </w:r>
    </w:p>
    <w:p>
      <w:pPr>
        <w:spacing w:line="360" w:lineRule="auto"/>
        <w:ind w:firstLine="480"/>
        <w:rPr>
          <w:rFonts w:ascii="宋体" w:hAnsi="宋体" w:cs="宋体"/>
          <w:color w:val="auto"/>
          <w:sz w:val="24"/>
        </w:rPr>
      </w:pPr>
      <w:r>
        <w:rPr>
          <w:rFonts w:hint="eastAsia" w:ascii="宋体" w:hAnsi="宋体" w:cs="宋体"/>
          <w:color w:val="auto"/>
          <w:sz w:val="24"/>
        </w:rPr>
        <w:t>传    真：0571-87211507</w:t>
      </w:r>
    </w:p>
    <w:p>
      <w:pPr>
        <w:spacing w:line="360" w:lineRule="auto"/>
        <w:ind w:firstLine="480"/>
        <w:rPr>
          <w:rFonts w:ascii="宋体" w:hAnsi="宋体" w:cs="宋体"/>
          <w:color w:val="auto"/>
          <w:sz w:val="24"/>
        </w:rPr>
      </w:pPr>
      <w:r>
        <w:rPr>
          <w:rFonts w:hint="eastAsia" w:ascii="宋体" w:hAnsi="宋体" w:cs="宋体"/>
          <w:color w:val="auto"/>
          <w:sz w:val="24"/>
        </w:rPr>
        <w:t>项目联系人（询问）：金婉娇、曹海英</w:t>
      </w:r>
    </w:p>
    <w:p>
      <w:pPr>
        <w:spacing w:line="360" w:lineRule="auto"/>
        <w:ind w:firstLine="480"/>
        <w:rPr>
          <w:rFonts w:ascii="宋体" w:hAnsi="宋体" w:cs="宋体"/>
          <w:color w:val="auto"/>
          <w:sz w:val="24"/>
        </w:rPr>
      </w:pPr>
      <w:r>
        <w:rPr>
          <w:rFonts w:hint="eastAsia" w:ascii="宋体" w:hAnsi="宋体" w:cs="宋体"/>
          <w:color w:val="auto"/>
          <w:sz w:val="24"/>
        </w:rPr>
        <w:t>项目联系方式（询问）：0571-88219719，87211505</w:t>
      </w:r>
    </w:p>
    <w:p>
      <w:pPr>
        <w:spacing w:line="360" w:lineRule="auto"/>
        <w:ind w:firstLine="480"/>
        <w:rPr>
          <w:rFonts w:ascii="宋体" w:hAnsi="宋体" w:cs="宋体"/>
          <w:color w:val="auto"/>
          <w:sz w:val="24"/>
        </w:rPr>
      </w:pPr>
      <w:r>
        <w:rPr>
          <w:rFonts w:hint="eastAsia" w:ascii="宋体" w:hAnsi="宋体" w:cs="宋体"/>
          <w:color w:val="auto"/>
          <w:sz w:val="24"/>
        </w:rPr>
        <w:t>质疑联系人：曹红</w:t>
      </w:r>
    </w:p>
    <w:p>
      <w:pPr>
        <w:spacing w:line="360" w:lineRule="auto"/>
        <w:ind w:firstLine="480"/>
        <w:rPr>
          <w:rFonts w:ascii="宋体" w:hAnsi="宋体" w:cs="宋体"/>
          <w:color w:val="auto"/>
          <w:sz w:val="24"/>
        </w:rPr>
      </w:pPr>
      <w:r>
        <w:rPr>
          <w:rFonts w:hint="eastAsia" w:ascii="宋体" w:hAnsi="宋体" w:cs="宋体"/>
          <w:color w:val="auto"/>
          <w:sz w:val="24"/>
        </w:rPr>
        <w:t>质疑联系方式：0571-87829182（请通过以下路径在线提起质疑：政采云-项目采购-询问质疑投诉-质疑列表）</w:t>
      </w:r>
    </w:p>
    <w:p>
      <w:pPr>
        <w:spacing w:line="360" w:lineRule="auto"/>
        <w:ind w:firstLine="480"/>
        <w:rPr>
          <w:rFonts w:ascii="宋体" w:hAnsi="宋体" w:cs="宋体"/>
          <w:color w:val="auto"/>
          <w:sz w:val="24"/>
        </w:rPr>
      </w:pPr>
      <w:r>
        <w:rPr>
          <w:rFonts w:hint="eastAsia" w:ascii="宋体" w:hAnsi="宋体" w:cs="宋体"/>
          <w:color w:val="auto"/>
          <w:sz w:val="24"/>
        </w:rPr>
        <w:t>3.</w:t>
      </w:r>
      <w:r>
        <w:rPr>
          <w:rFonts w:hint="eastAsia"/>
          <w:color w:val="auto"/>
        </w:rPr>
        <w:t xml:space="preserve"> </w:t>
      </w:r>
      <w:r>
        <w:rPr>
          <w:rFonts w:hint="eastAsia" w:ascii="宋体" w:hAnsi="宋体" w:cs="宋体"/>
          <w:color w:val="auto"/>
          <w:sz w:val="24"/>
        </w:rPr>
        <w:t xml:space="preserve">同级政府采购监督管理部门            </w:t>
      </w:r>
    </w:p>
    <w:p>
      <w:pPr>
        <w:spacing w:line="360" w:lineRule="auto"/>
        <w:ind w:firstLine="480"/>
        <w:rPr>
          <w:rFonts w:ascii="宋体" w:hAnsi="宋体" w:cs="宋体"/>
          <w:color w:val="auto"/>
          <w:sz w:val="24"/>
        </w:rPr>
      </w:pPr>
      <w:r>
        <w:rPr>
          <w:rFonts w:hint="eastAsia" w:ascii="宋体" w:hAnsi="宋体" w:cs="宋体"/>
          <w:color w:val="auto"/>
          <w:sz w:val="24"/>
        </w:rPr>
        <w:t>名    称：杭州市西湖区财政局、浙江省政府采购行政裁决服务中心（杭州）</w:t>
      </w:r>
    </w:p>
    <w:p>
      <w:pPr>
        <w:spacing w:line="360" w:lineRule="auto"/>
        <w:ind w:firstLine="480"/>
        <w:rPr>
          <w:rFonts w:ascii="宋体" w:hAnsi="宋体" w:cs="宋体"/>
          <w:color w:val="auto"/>
          <w:sz w:val="24"/>
        </w:rPr>
      </w:pPr>
      <w:r>
        <w:rPr>
          <w:rFonts w:hint="eastAsia" w:ascii="宋体" w:hAnsi="宋体" w:cs="宋体"/>
          <w:color w:val="auto"/>
          <w:sz w:val="24"/>
        </w:rPr>
        <w:t>地    址：杭州市上城区四季青街道新业路市民之家G03办公室（快递仅限ems或顺丰）</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联系人 ：朱女士、王女士</w:t>
      </w:r>
    </w:p>
    <w:p>
      <w:pPr>
        <w:spacing w:line="360" w:lineRule="auto"/>
        <w:ind w:firstLine="480"/>
        <w:rPr>
          <w:rFonts w:ascii="宋体" w:hAnsi="宋体" w:cs="宋体"/>
          <w:color w:val="auto"/>
          <w:sz w:val="24"/>
        </w:rPr>
      </w:pPr>
      <w:r>
        <w:rPr>
          <w:rFonts w:hint="eastAsia" w:ascii="宋体" w:hAnsi="宋体" w:cs="宋体"/>
          <w:color w:val="auto"/>
          <w:sz w:val="24"/>
        </w:rPr>
        <w:t>监督投诉电话：0571-85252453</w:t>
      </w:r>
    </w:p>
    <w:p>
      <w:pPr>
        <w:spacing w:line="360" w:lineRule="auto"/>
        <w:ind w:firstLine="480"/>
        <w:rPr>
          <w:rFonts w:ascii="宋体" w:hAnsi="宋体" w:cs="宋体"/>
          <w:color w:val="auto"/>
          <w:sz w:val="24"/>
        </w:rPr>
      </w:pP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pStyle w:val="32"/>
        <w:spacing w:line="360" w:lineRule="auto"/>
        <w:ind w:firstLine="480"/>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pPr>
        <w:pStyle w:val="3"/>
        <w:ind w:firstLine="643"/>
        <w:rPr>
          <w:rFonts w:ascii="宋体"/>
          <w:snapToGrid w:val="0"/>
          <w:color w:val="auto"/>
        </w:rPr>
      </w:pPr>
      <w:r>
        <w:rPr>
          <w:color w:val="auto"/>
        </w:rPr>
        <w:br w:type="page"/>
      </w:r>
    </w:p>
    <w:p>
      <w:pPr>
        <w:adjustRightInd/>
        <w:spacing w:line="360" w:lineRule="auto"/>
        <w:ind w:firstLine="723"/>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l2br w:val="nil"/>
              <w:tr2bl w:val="nil"/>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l2br w:val="nil"/>
              <w:tr2bl w:val="nil"/>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85"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项目属性与核心产品</w:t>
            </w:r>
          </w:p>
        </w:tc>
        <w:tc>
          <w:tcPr>
            <w:tcW w:w="6095" w:type="dxa"/>
            <w:tcBorders>
              <w:tl2br w:val="nil"/>
              <w:tr2bl w:val="nil"/>
            </w:tcBorders>
            <w:vAlign w:val="center"/>
          </w:tcPr>
          <w:p>
            <w:pPr>
              <w:spacing w:line="360" w:lineRule="auto"/>
              <w:ind w:firstLine="480"/>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无 </w:t>
            </w:r>
            <w:r>
              <w:rPr>
                <w:rFonts w:hint="eastAsia" w:ascii="宋体" w:hAnsi="宋体" w:cs="宋体"/>
                <w:color w:val="auto"/>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l2br w:val="nil"/>
              <w:tr2bl w:val="nil"/>
            </w:tcBorders>
            <w:vAlign w:val="center"/>
          </w:tcPr>
          <w:p>
            <w:pPr>
              <w:adjustRightInd/>
              <w:spacing w:line="360" w:lineRule="auto"/>
              <w:ind w:firstLine="480"/>
              <w:rPr>
                <w:rFonts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sz w:val="24"/>
                <w:u w:val="single"/>
              </w:rPr>
              <w:t>2024年图书（电子书）采购及图书加工</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bCs/>
                <w:color w:val="auto"/>
                <w:sz w:val="24"/>
                <w:u w:val="single"/>
              </w:rPr>
              <w:t xml:space="preserve">（四）批发业 </w:t>
            </w:r>
            <w:r>
              <w:rPr>
                <w:rFonts w:hint="eastAsia" w:ascii="宋体" w:hAnsi="宋体" w:cs="宋体"/>
                <w:color w:val="auto"/>
                <w:kern w:val="0"/>
                <w:sz w:val="24"/>
              </w:rPr>
              <w:t>行业；</w:t>
            </w:r>
          </w:p>
          <w:p>
            <w:pPr>
              <w:pStyle w:val="3"/>
              <w:ind w:left="0" w:firstLine="482"/>
              <w:rPr>
                <w:rFonts w:ascii="宋体" w:hAnsi="宋体" w:eastAsia="宋体" w:cs="宋体"/>
                <w:color w:val="auto"/>
                <w:lang w:val="en-US"/>
              </w:rPr>
            </w:pPr>
            <w:r>
              <w:rPr>
                <w:rFonts w:hint="eastAsia" w:ascii="宋体" w:hAnsi="宋体" w:eastAsia="宋体" w:cs="宋体"/>
                <w:bCs w:val="0"/>
                <w:color w:val="auto"/>
                <w:sz w:val="24"/>
                <w:szCs w:val="24"/>
                <w:lang w:val="en-US"/>
              </w:rPr>
              <w:t>批发业划型标准为：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l2br w:val="nil"/>
              <w:tr2bl w:val="nil"/>
            </w:tcBorders>
            <w:vAlign w:val="center"/>
          </w:tcPr>
          <w:p>
            <w:pPr>
              <w:spacing w:line="360" w:lineRule="auto"/>
              <w:ind w:firstLine="480"/>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ind w:firstLine="480"/>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l2br w:val="nil"/>
              <w:tr2bl w:val="nil"/>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分包</w:t>
            </w:r>
          </w:p>
        </w:tc>
        <w:tc>
          <w:tcPr>
            <w:tcW w:w="6095" w:type="dxa"/>
            <w:tcBorders>
              <w:tl2br w:val="nil"/>
              <w:tr2bl w:val="nil"/>
            </w:tcBorders>
            <w:vAlign w:val="center"/>
          </w:tcPr>
          <w:p>
            <w:pPr>
              <w:spacing w:line="360" w:lineRule="auto"/>
              <w:ind w:firstLine="480"/>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ind w:firstLine="480"/>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l2br w:val="nil"/>
              <w:tr2bl w:val="nil"/>
            </w:tcBorders>
            <w:vAlign w:val="center"/>
          </w:tcPr>
          <w:p>
            <w:pPr>
              <w:spacing w:line="360" w:lineRule="auto"/>
              <w:ind w:firstLine="480"/>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ind w:firstLine="480"/>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样品提供</w:t>
            </w:r>
          </w:p>
        </w:tc>
        <w:tc>
          <w:tcPr>
            <w:tcW w:w="6095" w:type="dxa"/>
            <w:tcBorders>
              <w:tl2br w:val="nil"/>
              <w:tr2bl w:val="nil"/>
            </w:tcBorders>
            <w:vAlign w:val="center"/>
          </w:tcPr>
          <w:p>
            <w:pPr>
              <w:spacing w:line="360" w:lineRule="auto"/>
              <w:ind w:firstLine="480"/>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ind w:firstLine="480"/>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ind w:firstLine="480"/>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ind w:firstLine="480"/>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ind w:firstLine="480"/>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ind w:firstLine="480"/>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ind w:firstLine="480"/>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ind w:firstLine="480"/>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ind w:firstLine="480"/>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l2br w:val="nil"/>
              <w:tr2bl w:val="nil"/>
            </w:tcBorders>
            <w:vAlign w:val="center"/>
          </w:tcPr>
          <w:p>
            <w:pPr>
              <w:snapToGrid w:val="0"/>
              <w:spacing w:line="360" w:lineRule="auto"/>
              <w:jc w:val="both"/>
              <w:rPr>
                <w:rFonts w:ascii="宋体" w:hAnsi="宋体" w:cs="宋体"/>
                <w:bCs/>
                <w:color w:val="auto"/>
                <w:sz w:val="24"/>
              </w:rPr>
            </w:pPr>
            <w:r>
              <w:rPr>
                <w:rFonts w:hint="eastAsia" w:ascii="宋体" w:hAnsi="宋体" w:cs="宋体"/>
                <w:b/>
                <w:color w:val="auto"/>
                <w:sz w:val="24"/>
              </w:rPr>
              <w:t>方案讲解演示</w:t>
            </w:r>
          </w:p>
        </w:tc>
        <w:tc>
          <w:tcPr>
            <w:tcW w:w="6095" w:type="dxa"/>
            <w:tcBorders>
              <w:tl2br w:val="nil"/>
              <w:tr2bl w:val="nil"/>
            </w:tcBorders>
            <w:vAlign w:val="center"/>
          </w:tcPr>
          <w:p>
            <w:pPr>
              <w:spacing w:line="360" w:lineRule="auto"/>
              <w:ind w:firstLine="480"/>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ind w:firstLine="480"/>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ind w:firstLine="480"/>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pPr>
              <w:snapToGrid w:val="0"/>
              <w:spacing w:line="360" w:lineRule="auto"/>
              <w:ind w:firstLine="480"/>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ind w:firstLine="480"/>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ind w:firstLine="480"/>
              <w:rPr>
                <w:rFonts w:ascii="宋体" w:hAnsi="宋体" w:cs="宋体"/>
                <w:color w:val="auto"/>
                <w:kern w:val="0"/>
                <w:sz w:val="24"/>
              </w:rPr>
            </w:pPr>
            <w:r>
              <w:rPr>
                <w:rFonts w:hint="eastAsia" w:ascii="宋体" w:hAnsi="宋体" w:cs="宋体"/>
                <w:color w:val="auto"/>
                <w:kern w:val="0"/>
                <w:sz w:val="24"/>
              </w:rPr>
              <w:t>方式二：采购代理机构现场讲解演示。现场讲解地点为</w:t>
            </w:r>
            <w:r>
              <w:rPr>
                <w:rFonts w:hint="eastAsia" w:ascii="宋体" w:hAnsi="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ind w:firstLine="480"/>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l2br w:val="nil"/>
              <w:tr2bl w:val="nil"/>
            </w:tcBorders>
            <w:vAlign w:val="center"/>
          </w:tcPr>
          <w:p>
            <w:pPr>
              <w:spacing w:line="360" w:lineRule="auto"/>
              <w:ind w:firstLine="480"/>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ind w:firstLine="480"/>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pPr>
              <w:snapToGrid w:val="0"/>
              <w:spacing w:line="360" w:lineRule="auto"/>
              <w:ind w:firstLine="480"/>
              <w:jc w:val="center"/>
              <w:rPr>
                <w:rFonts w:ascii="宋体" w:hAnsi="宋体" w:cs="宋体"/>
                <w:color w:val="auto"/>
                <w:sz w:val="24"/>
              </w:rPr>
            </w:pPr>
          </w:p>
        </w:tc>
        <w:tc>
          <w:tcPr>
            <w:tcW w:w="1843" w:type="dxa"/>
            <w:vMerge w:val="continue"/>
            <w:tcBorders>
              <w:tl2br w:val="nil"/>
              <w:tr2bl w:val="nil"/>
            </w:tcBorders>
            <w:vAlign w:val="center"/>
          </w:tcPr>
          <w:p>
            <w:pPr>
              <w:snapToGrid w:val="0"/>
              <w:spacing w:line="360" w:lineRule="auto"/>
              <w:ind w:firstLine="482"/>
              <w:jc w:val="center"/>
              <w:rPr>
                <w:rFonts w:ascii="宋体" w:hAnsi="宋体" w:cs="宋体"/>
                <w:b/>
                <w:color w:val="auto"/>
                <w:sz w:val="24"/>
              </w:rPr>
            </w:pPr>
          </w:p>
        </w:tc>
        <w:tc>
          <w:tcPr>
            <w:tcW w:w="6095" w:type="dxa"/>
            <w:tcBorders>
              <w:tl2br w:val="nil"/>
              <w:tr2bl w:val="nil"/>
            </w:tcBorders>
            <w:vAlign w:val="center"/>
          </w:tcPr>
          <w:p>
            <w:pPr>
              <w:spacing w:line="360" w:lineRule="auto"/>
              <w:ind w:firstLine="480"/>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l2br w:val="nil"/>
              <w:tr2bl w:val="nil"/>
            </w:tcBorders>
            <w:vAlign w:val="center"/>
          </w:tcPr>
          <w:p>
            <w:pPr>
              <w:snapToGrid w:val="0"/>
              <w:spacing w:line="360" w:lineRule="auto"/>
              <w:ind w:firstLine="480"/>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报价要求</w:t>
            </w:r>
          </w:p>
        </w:tc>
        <w:tc>
          <w:tcPr>
            <w:tcW w:w="6095" w:type="dxa"/>
            <w:tcBorders>
              <w:tl2br w:val="nil"/>
              <w:tr2bl w:val="nil"/>
            </w:tcBorders>
            <w:vAlign w:val="center"/>
          </w:tcPr>
          <w:p>
            <w:pPr>
              <w:snapToGrid w:val="0"/>
              <w:spacing w:line="360" w:lineRule="auto"/>
              <w:ind w:firstLine="480"/>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ind w:firstLine="482"/>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658"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中小企业信用融资</w:t>
            </w:r>
          </w:p>
        </w:tc>
        <w:tc>
          <w:tcPr>
            <w:tcW w:w="6095" w:type="dxa"/>
            <w:tcBorders>
              <w:tl2br w:val="nil"/>
              <w:tr2bl w:val="nil"/>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l2br w:val="nil"/>
              <w:tr2bl w:val="nil"/>
            </w:tcBorders>
            <w:vAlign w:val="center"/>
          </w:tcPr>
          <w:p>
            <w:pPr>
              <w:pStyle w:val="32"/>
              <w:spacing w:line="360" w:lineRule="auto"/>
              <w:ind w:firstLine="480"/>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杭州市</w:t>
            </w:r>
            <w:r>
              <w:rPr>
                <w:rFonts w:hint="eastAsia" w:hAnsi="宋体" w:cs="宋体"/>
                <w:color w:val="auto"/>
                <w:sz w:val="24"/>
                <w:u w:val="single"/>
                <w:lang w:val="en-US" w:eastAsia="zh-CN"/>
              </w:rPr>
              <w:t>拱墅区星尚发展大厦A座810室</w:t>
            </w:r>
            <w:r>
              <w:rPr>
                <w:rFonts w:hint="eastAsia" w:hAnsi="宋体" w:cs="宋体"/>
                <w:color w:val="auto"/>
                <w:kern w:val="28"/>
                <w:sz w:val="24"/>
                <w:szCs w:val="24"/>
              </w:rPr>
              <w:t>；备份投标文件签收人员联系电话：</w:t>
            </w:r>
            <w:r>
              <w:rPr>
                <w:rFonts w:hint="eastAsia" w:hAnsi="宋体" w:cs="宋体"/>
                <w:color w:val="auto"/>
                <w:kern w:val="28"/>
                <w:sz w:val="24"/>
                <w:szCs w:val="24"/>
                <w:u w:val="single"/>
              </w:rPr>
              <w:t>金婉娇，</w:t>
            </w:r>
            <w:r>
              <w:rPr>
                <w:rFonts w:hint="eastAsia" w:hAnsi="宋体" w:cs="宋体"/>
                <w:color w:val="auto"/>
                <w:sz w:val="24"/>
                <w:u w:val="single"/>
              </w:rPr>
              <w:t>0571-88219719，18072746771</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l2br w:val="nil"/>
              <w:tr2bl w:val="nil"/>
            </w:tcBorders>
            <w:vAlign w:val="center"/>
          </w:tcPr>
          <w:p>
            <w:pPr>
              <w:snapToGrid w:val="0"/>
              <w:spacing w:line="360" w:lineRule="auto"/>
              <w:jc w:val="both"/>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l2br w:val="nil"/>
              <w:tr2bl w:val="nil"/>
            </w:tcBorders>
            <w:vAlign w:val="center"/>
          </w:tcPr>
          <w:p>
            <w:pPr>
              <w:spacing w:line="360" w:lineRule="auto"/>
              <w:ind w:firstLine="480"/>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pPr>
              <w:snapToGrid w:val="0"/>
              <w:spacing w:line="360" w:lineRule="auto"/>
              <w:ind w:firstLine="480"/>
              <w:jc w:val="center"/>
              <w:rPr>
                <w:rFonts w:ascii="宋体" w:hAnsi="宋体" w:cs="宋体"/>
                <w:color w:val="auto"/>
                <w:sz w:val="24"/>
              </w:rPr>
            </w:pPr>
          </w:p>
        </w:tc>
        <w:tc>
          <w:tcPr>
            <w:tcW w:w="1843" w:type="dxa"/>
            <w:vMerge w:val="continue"/>
            <w:tcBorders>
              <w:tl2br w:val="nil"/>
              <w:tr2bl w:val="nil"/>
            </w:tcBorders>
            <w:vAlign w:val="center"/>
          </w:tcPr>
          <w:p>
            <w:pPr>
              <w:snapToGrid w:val="0"/>
              <w:spacing w:line="360" w:lineRule="auto"/>
              <w:ind w:firstLine="482"/>
              <w:jc w:val="center"/>
              <w:rPr>
                <w:rFonts w:ascii="宋体" w:hAnsi="宋体" w:cs="宋体"/>
                <w:b/>
                <w:color w:val="auto"/>
                <w:sz w:val="24"/>
              </w:rPr>
            </w:pPr>
          </w:p>
        </w:tc>
        <w:tc>
          <w:tcPr>
            <w:tcW w:w="6095" w:type="dxa"/>
            <w:tcBorders>
              <w:tl2br w:val="nil"/>
              <w:tr2bl w:val="nil"/>
            </w:tcBorders>
            <w:vAlign w:val="center"/>
          </w:tcPr>
          <w:p>
            <w:pPr>
              <w:spacing w:line="360" w:lineRule="auto"/>
              <w:ind w:firstLine="480"/>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ind w:firstLine="480"/>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采购代理机构代理服务费用</w:t>
            </w:r>
          </w:p>
        </w:tc>
        <w:tc>
          <w:tcPr>
            <w:tcW w:w="6095" w:type="dxa"/>
            <w:tcBorders>
              <w:tl2br w:val="nil"/>
              <w:tr2bl w:val="nil"/>
            </w:tcBorders>
            <w:vAlign w:val="center"/>
          </w:tcPr>
          <w:p>
            <w:pPr>
              <w:pStyle w:val="32"/>
              <w:spacing w:line="360" w:lineRule="auto"/>
              <w:ind w:firstLine="480"/>
              <w:contextualSpacing/>
              <w:rPr>
                <w:rFonts w:hAnsi="宋体" w:cs="宋体"/>
                <w:color w:val="auto"/>
                <w:sz w:val="24"/>
                <w:szCs w:val="24"/>
              </w:rPr>
            </w:pPr>
            <w:r>
              <w:rPr>
                <w:rFonts w:hint="eastAsia" w:hAnsi="宋体" w:cs="宋体"/>
                <w:color w:val="auto"/>
                <w:kern w:val="28"/>
                <w:sz w:val="24"/>
                <w:szCs w:val="24"/>
              </w:rPr>
              <w:t>由中标供应商支付。本项目代理服务费参照国家计委：计价格[2002]1980号文件规定服务类收费标准向杭州意信招标代理有限公司支付中标服务费。由于本项目报价为折扣率，中标金额按预算控制金额计算。收费标准如下：</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1671"/>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86" w:type="dxa"/>
                  <w:vAlign w:val="center"/>
                </w:tcPr>
                <w:p>
                  <w:pPr>
                    <w:ind w:firstLine="480"/>
                    <w:jc w:val="center"/>
                    <w:rPr>
                      <w:rFonts w:ascii="宋体" w:hAnsi="宋体" w:cs="宋体"/>
                      <w:color w:val="auto"/>
                      <w:sz w:val="24"/>
                    </w:rPr>
                  </w:pPr>
                  <w:r>
                    <w:rPr>
                      <w:rFonts w:hint="eastAsia" w:ascii="宋体" w:hAnsi="宋体" w:cs="宋体"/>
                      <w:color w:val="auto"/>
                      <w:sz w:val="24"/>
                    </w:rPr>
                    <w:t>中标金额（万元）</w:t>
                  </w:r>
                </w:p>
              </w:tc>
              <w:tc>
                <w:tcPr>
                  <w:tcW w:w="1671" w:type="dxa"/>
                  <w:vAlign w:val="center"/>
                </w:tcPr>
                <w:p>
                  <w:pPr>
                    <w:ind w:firstLine="480"/>
                    <w:jc w:val="center"/>
                    <w:rPr>
                      <w:rFonts w:ascii="宋体" w:hAnsi="宋体" w:cs="宋体"/>
                      <w:color w:val="auto"/>
                      <w:sz w:val="24"/>
                    </w:rPr>
                  </w:pPr>
                  <w:bookmarkStart w:id="560" w:name="_GoBack"/>
                  <w:bookmarkEnd w:id="560"/>
                  <w:r>
                    <w:rPr>
                      <w:rFonts w:hint="eastAsia" w:ascii="宋体" w:hAnsi="宋体" w:cs="宋体"/>
                      <w:color w:val="auto"/>
                      <w:sz w:val="24"/>
                    </w:rPr>
                    <w:t>货物类费率</w:t>
                  </w:r>
                </w:p>
              </w:tc>
              <w:tc>
                <w:tcPr>
                  <w:tcW w:w="1731" w:type="dxa"/>
                  <w:vAlign w:val="center"/>
                </w:tcPr>
                <w:p>
                  <w:pPr>
                    <w:ind w:firstLine="480"/>
                    <w:jc w:val="center"/>
                    <w:rPr>
                      <w:rFonts w:ascii="宋体" w:hAnsi="宋体" w:cs="宋体"/>
                      <w:color w:val="auto"/>
                      <w:sz w:val="24"/>
                    </w:rPr>
                  </w:pPr>
                  <w:r>
                    <w:rPr>
                      <w:rFonts w:hint="eastAsia" w:ascii="宋体" w:hAnsi="宋体" w:cs="宋体"/>
                      <w:color w:val="auto"/>
                      <w:sz w:val="24"/>
                    </w:rPr>
                    <w:t>服务类费率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86" w:type="dxa"/>
                  <w:vAlign w:val="center"/>
                </w:tcPr>
                <w:p>
                  <w:pPr>
                    <w:ind w:firstLine="480"/>
                    <w:jc w:val="center"/>
                    <w:rPr>
                      <w:rFonts w:ascii="宋体" w:hAnsi="宋体" w:cs="宋体"/>
                      <w:color w:val="auto"/>
                      <w:sz w:val="24"/>
                    </w:rPr>
                  </w:pPr>
                  <w:r>
                    <w:rPr>
                      <w:rFonts w:hint="eastAsia" w:ascii="宋体" w:hAnsi="宋体" w:cs="宋体"/>
                      <w:color w:val="auto"/>
                      <w:sz w:val="24"/>
                    </w:rPr>
                    <w:t>100以下</w:t>
                  </w:r>
                </w:p>
              </w:tc>
              <w:tc>
                <w:tcPr>
                  <w:tcW w:w="1671" w:type="dxa"/>
                  <w:vAlign w:val="center"/>
                </w:tcPr>
                <w:p>
                  <w:pPr>
                    <w:ind w:firstLine="480"/>
                    <w:jc w:val="center"/>
                    <w:rPr>
                      <w:rFonts w:ascii="宋体" w:hAnsi="宋体" w:cs="宋体"/>
                      <w:color w:val="auto"/>
                      <w:sz w:val="24"/>
                    </w:rPr>
                  </w:pPr>
                  <w:r>
                    <w:rPr>
                      <w:rFonts w:hint="eastAsia" w:ascii="宋体" w:hAnsi="宋体" w:cs="宋体"/>
                      <w:color w:val="auto"/>
                      <w:sz w:val="24"/>
                    </w:rPr>
                    <w:t>1.5%</w:t>
                  </w:r>
                </w:p>
              </w:tc>
              <w:tc>
                <w:tcPr>
                  <w:tcW w:w="1731" w:type="dxa"/>
                  <w:vAlign w:val="center"/>
                </w:tcPr>
                <w:p>
                  <w:pPr>
                    <w:ind w:firstLine="480"/>
                    <w:jc w:val="center"/>
                    <w:rPr>
                      <w:rFonts w:ascii="宋体" w:hAnsi="宋体" w:cs="宋体"/>
                      <w:color w:val="auto"/>
                      <w:sz w:val="24"/>
                    </w:rPr>
                  </w:pPr>
                  <w:r>
                    <w:rPr>
                      <w:rFonts w:hint="eastAsia" w:ascii="宋体" w:hAnsi="宋体" w:cs="宋体"/>
                      <w:color w:val="auto"/>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86" w:type="dxa"/>
                  <w:vAlign w:val="center"/>
                </w:tcPr>
                <w:p>
                  <w:pPr>
                    <w:ind w:firstLine="480"/>
                    <w:jc w:val="center"/>
                    <w:rPr>
                      <w:rFonts w:ascii="宋体" w:hAnsi="宋体" w:cs="宋体"/>
                      <w:color w:val="auto"/>
                      <w:sz w:val="24"/>
                    </w:rPr>
                  </w:pPr>
                  <w:r>
                    <w:rPr>
                      <w:rFonts w:hint="eastAsia" w:ascii="宋体" w:hAnsi="宋体" w:cs="宋体"/>
                      <w:color w:val="auto"/>
                      <w:sz w:val="24"/>
                    </w:rPr>
                    <w:t>100-500</w:t>
                  </w:r>
                </w:p>
              </w:tc>
              <w:tc>
                <w:tcPr>
                  <w:tcW w:w="1671" w:type="dxa"/>
                  <w:vAlign w:val="center"/>
                </w:tcPr>
                <w:p>
                  <w:pPr>
                    <w:ind w:firstLine="480"/>
                    <w:jc w:val="center"/>
                    <w:rPr>
                      <w:rFonts w:ascii="宋体" w:hAnsi="宋体" w:cs="宋体"/>
                      <w:color w:val="auto"/>
                      <w:sz w:val="24"/>
                    </w:rPr>
                  </w:pPr>
                  <w:r>
                    <w:rPr>
                      <w:rFonts w:hint="eastAsia" w:ascii="宋体" w:hAnsi="宋体" w:cs="宋体"/>
                      <w:color w:val="auto"/>
                      <w:sz w:val="24"/>
                    </w:rPr>
                    <w:t>1.1%</w:t>
                  </w:r>
                </w:p>
              </w:tc>
              <w:tc>
                <w:tcPr>
                  <w:tcW w:w="1731" w:type="dxa"/>
                  <w:vAlign w:val="center"/>
                </w:tcPr>
                <w:p>
                  <w:pPr>
                    <w:ind w:firstLine="480"/>
                    <w:jc w:val="center"/>
                    <w:rPr>
                      <w:rFonts w:ascii="宋体" w:hAnsi="宋体" w:cs="宋体"/>
                      <w:color w:val="auto"/>
                      <w:sz w:val="24"/>
                    </w:rPr>
                  </w:pPr>
                  <w:r>
                    <w:rPr>
                      <w:rFonts w:hint="eastAsia" w:ascii="宋体" w:hAnsi="宋体" w:cs="宋体"/>
                      <w:color w:val="auto"/>
                      <w:sz w:val="24"/>
                    </w:rPr>
                    <w:t>0.8%</w:t>
                  </w:r>
                </w:p>
              </w:tc>
            </w:tr>
          </w:tbl>
          <w:p>
            <w:pPr>
              <w:pStyle w:val="32"/>
              <w:ind w:firstLine="480"/>
              <w:contextualSpacing/>
              <w:rPr>
                <w:rFonts w:asciiTheme="minorEastAsia" w:hAnsiTheme="minorEastAsia" w:eastAsiaTheme="minorEastAsia"/>
                <w:color w:val="auto"/>
                <w:kern w:val="0"/>
                <w:sz w:val="24"/>
              </w:rPr>
            </w:pPr>
            <w:r>
              <w:rPr>
                <w:rFonts w:hint="eastAsia" w:hAnsi="宋体" w:cs="宋体"/>
                <w:color w:val="auto"/>
                <w:sz w:val="24"/>
                <w:szCs w:val="24"/>
              </w:rPr>
              <w:t>注：差额累进法计算总额。</w:t>
            </w:r>
          </w:p>
        </w:tc>
      </w:tr>
    </w:tbl>
    <w:p>
      <w:pPr>
        <w:snapToGrid w:val="0"/>
        <w:spacing w:line="360" w:lineRule="auto"/>
        <w:ind w:firstLine="643"/>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3" w:name="_Toc164416483"/>
      <w:bookmarkStart w:id="14" w:name="第三部分"/>
      <w:r>
        <w:rPr>
          <w:rFonts w:hint="eastAsia" w:ascii="宋体" w:hAnsi="宋体" w:cs="宋体"/>
          <w:b/>
          <w:color w:val="auto"/>
          <w:sz w:val="32"/>
          <w:szCs w:val="20"/>
        </w:rPr>
        <w:t>一、总则</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ascii="宋体" w:hAnsi="宋体" w:cs="宋体"/>
          <w:b/>
          <w:color w:val="auto"/>
          <w:sz w:val="24"/>
        </w:rPr>
      </w:pPr>
      <w:r>
        <w:rPr>
          <w:rFonts w:hint="eastAsia" w:ascii="宋体" w:hAnsi="宋体" w:cs="宋体"/>
          <w:b/>
          <w:color w:val="auto"/>
          <w:sz w:val="24"/>
        </w:rPr>
        <w:t>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pStyle w:val="3"/>
        <w:ind w:left="0" w:firstLine="480" w:firstLineChars="200"/>
        <w:rPr>
          <w:color w:val="auto"/>
        </w:rPr>
      </w:pPr>
      <w:r>
        <w:rPr>
          <w:rFonts w:hint="eastAsia" w:ascii="宋体" w:hAnsi="宋体" w:eastAsia="宋体" w:cs="仿宋"/>
          <w:b w:val="0"/>
          <w:bCs w:val="0"/>
          <w:color w:val="auto"/>
          <w:sz w:val="24"/>
          <w:szCs w:val="24"/>
          <w:lang w:val="en-US"/>
        </w:rPr>
        <w:t>3.4.3 采购人应当贯彻落实知识产权保护相关法律法规，应当采购使用正版软件。</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auto"/>
        </w:rPr>
      </w:pPr>
      <w:r>
        <w:rPr>
          <w:rFonts w:hint="eastAsia" w:ascii="宋体" w:hAnsi="宋体" w:cs="宋体"/>
          <w:b/>
          <w:color w:val="auto"/>
          <w:sz w:val="24"/>
        </w:rPr>
        <w:t>4. 询问、质疑、投诉、补偿救济</w:t>
      </w:r>
    </w:p>
    <w:p>
      <w:pPr>
        <w:pStyle w:val="888"/>
        <w:shd w:val="clear" w:color="auto" w:fill="FFFFFF"/>
        <w:spacing w:before="0" w:beforeAutospacing="0" w:after="0" w:afterAutospacing="0" w:line="360" w:lineRule="auto"/>
        <w:ind w:firstLine="480"/>
        <w:contextualSpacing/>
        <w:rPr>
          <w:color w:val="auto"/>
          <w:lang w:val="zh-CN"/>
        </w:rPr>
      </w:pPr>
      <w:r>
        <w:rPr>
          <w:rFonts w:hint="eastAsia"/>
          <w:color w:val="auto"/>
          <w:lang w:val="zh-CN"/>
        </w:rPr>
        <w:t>4.1在线询问、质疑、投诉</w:t>
      </w:r>
    </w:p>
    <w:p>
      <w:pPr>
        <w:pStyle w:val="888"/>
        <w:shd w:val="clear" w:color="auto" w:fill="FFFFFF"/>
        <w:spacing w:before="0" w:beforeAutospacing="0" w:after="0" w:afterAutospacing="0" w:line="360" w:lineRule="auto"/>
        <w:ind w:firstLine="48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5"/>
        <w:spacing w:line="360" w:lineRule="auto"/>
        <w:ind w:firstLine="480" w:firstLineChars="200"/>
        <w:rPr>
          <w:rFonts w:hint="eastAsia" w:hAnsi="宋体" w:cs="宋体"/>
          <w:color w:val="auto"/>
          <w:sz w:val="24"/>
        </w:rPr>
      </w:pPr>
      <w:r>
        <w:rPr>
          <w:rFonts w:hint="eastAsia" w:hAnsi="宋体" w:cs="宋体"/>
          <w:color w:val="auto"/>
          <w:sz w:val="24"/>
        </w:rPr>
        <w:t>4.3.2.2对采购过程提出质疑的，质疑期限为各采购程序环节结束之日起计算。</w:t>
      </w:r>
    </w:p>
    <w:p>
      <w:pPr>
        <w:pStyle w:val="5"/>
        <w:spacing w:line="360" w:lineRule="auto"/>
        <w:ind w:firstLine="480" w:firstLineChars="200"/>
        <w:rPr>
          <w:rFonts w:hAnsi="宋体" w:cs="宋体"/>
          <w:color w:val="auto"/>
          <w:sz w:val="24"/>
        </w:rPr>
      </w:pPr>
      <w:r>
        <w:rPr>
          <w:rFonts w:hint="eastAsia" w:hAnsi="宋体" w:cs="宋体"/>
          <w:color w:val="auto"/>
          <w:sz w:val="24"/>
          <w:lang w:val="en-US" w:eastAsia="zh-CN"/>
        </w:rPr>
        <w:t>4.</w:t>
      </w:r>
      <w:r>
        <w:rPr>
          <w:rFonts w:hint="eastAsia" w:hAnsi="宋体" w:cs="宋体"/>
          <w:color w:val="auto"/>
          <w:sz w:val="24"/>
        </w:rPr>
        <w:t>3.2.3对采购结果提出质疑的，质疑期限自采购结果公告期限届满之日起计算。</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2"/>
        <w:adjustRightInd/>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2"/>
        <w:adjustRightInd/>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2"/>
        <w:adjustRightInd/>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2"/>
        <w:adjustRightInd/>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8"/>
        <w:shd w:val="clear" w:color="auto" w:fill="FFFFFF"/>
        <w:spacing w:before="0" w:beforeAutospacing="0" w:after="0" w:afterAutospacing="0" w:line="360" w:lineRule="auto"/>
        <w:ind w:firstLine="48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pacing w:before="0" w:beforeAutospacing="0" w:after="0" w:afterAutospacing="0" w:line="360" w:lineRule="auto"/>
        <w:ind w:firstLine="480"/>
        <w:contextualSpacing/>
        <w:rPr>
          <w:color w:val="auto"/>
        </w:rPr>
      </w:pPr>
      <w:r>
        <w:rPr>
          <w:rFonts w:hint="eastAsia"/>
          <w:color w:val="auto"/>
        </w:rPr>
        <w:t>质疑函范本及制作说明详见附件2。</w:t>
      </w:r>
    </w:p>
    <w:p>
      <w:pPr>
        <w:pStyle w:val="888"/>
        <w:shd w:val="clear" w:color="auto" w:fill="FFFFFF"/>
        <w:spacing w:before="0" w:beforeAutospacing="0" w:after="0" w:afterAutospacing="0" w:line="360" w:lineRule="auto"/>
        <w:ind w:firstLine="480"/>
        <w:contextualSpacing/>
        <w:rPr>
          <w:color w:val="auto"/>
        </w:rPr>
      </w:pPr>
      <w:r>
        <w:rPr>
          <w:rFonts w:hint="eastAsia"/>
          <w:color w:val="auto"/>
        </w:rPr>
        <w:t>4.3.4对同一采购程序环节的质疑，供应商须在法定质疑期内一次性提出。</w:t>
      </w:r>
    </w:p>
    <w:p>
      <w:pPr>
        <w:pStyle w:val="888"/>
        <w:shd w:val="clear" w:color="auto" w:fill="FFFFFF"/>
        <w:spacing w:before="0" w:beforeAutospacing="0" w:after="0" w:afterAutospacing="0" w:line="360" w:lineRule="auto"/>
        <w:ind w:firstLine="48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8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8"/>
        <w:shd w:val="clear" w:color="auto" w:fill="FFFFFF"/>
        <w:snapToGrid w:val="0"/>
        <w:spacing w:after="240" w:afterAutospacing="0" w:line="360" w:lineRule="auto"/>
        <w:ind w:firstLine="48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8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80"/>
        <w:contextualSpacing/>
        <w:rPr>
          <w:color w:val="auto"/>
        </w:rPr>
      </w:pPr>
      <w:r>
        <w:rPr>
          <w:rFonts w:hint="eastAsia"/>
          <w:color w:val="auto"/>
        </w:rPr>
        <w:t>4.4.3供应商投诉应当有明确的请求和必要的证明材料。</w:t>
      </w:r>
    </w:p>
    <w:p>
      <w:pPr>
        <w:pStyle w:val="888"/>
        <w:shd w:val="clear" w:color="auto" w:fill="FFFFFF"/>
        <w:spacing w:before="0" w:beforeAutospacing="0" w:after="0" w:afterAutospacing="0" w:line="360" w:lineRule="auto"/>
        <w:ind w:firstLine="480"/>
        <w:contextualSpacing/>
        <w:rPr>
          <w:color w:val="auto"/>
        </w:rPr>
      </w:pPr>
      <w:r>
        <w:rPr>
          <w:rFonts w:hint="eastAsia"/>
          <w:color w:val="auto"/>
        </w:rPr>
        <w:t>4.4.4 以联合体形式参加政府采购活动的，其投诉应当由组成联合体的所有供应商共同提出。</w:t>
      </w:r>
    </w:p>
    <w:p>
      <w:pPr>
        <w:pStyle w:val="888"/>
        <w:shd w:val="clear" w:color="auto" w:fill="FFFFFF"/>
        <w:spacing w:before="0" w:beforeAutospacing="0" w:after="0" w:afterAutospacing="0" w:line="360" w:lineRule="auto"/>
        <w:ind w:firstLine="480" w:firstLineChars="200"/>
        <w:contextualSpacing/>
        <w:rPr>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spacing w:line="360" w:lineRule="auto"/>
        <w:ind w:firstLine="480" w:firstLineChars="200"/>
        <w:rPr>
          <w:rFonts w:ascii="宋体" w:hAnsi="宋体" w:cs="仿宋"/>
          <w:color w:val="auto"/>
          <w:sz w:val="24"/>
        </w:rPr>
      </w:pPr>
      <w:r>
        <w:rPr>
          <w:rFonts w:hint="eastAsia" w:ascii="宋体" w:hAnsi="宋体" w:cs="仿宋"/>
          <w:color w:val="auto"/>
          <w:sz w:val="24"/>
        </w:rPr>
        <w:t>4.5 补偿救济</w:t>
      </w:r>
    </w:p>
    <w:p>
      <w:pPr>
        <w:shd w:val="clear" w:color="auto" w:fill="FFFFFF"/>
        <w:spacing w:line="360" w:lineRule="auto"/>
        <w:ind w:firstLine="480" w:firstLineChars="200"/>
        <w:contextualSpacing/>
        <w:rPr>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888"/>
        <w:shd w:val="clear" w:color="auto" w:fill="FFFFFF"/>
        <w:spacing w:before="0" w:beforeAutospacing="0" w:after="0" w:afterAutospacing="0" w:line="360" w:lineRule="auto"/>
        <w:ind w:firstLine="480"/>
        <w:contextualSpacing/>
        <w:rPr>
          <w:color w:val="auto"/>
        </w:rPr>
      </w:pPr>
      <w:r>
        <w:rPr>
          <w:rFonts w:hint="eastAsia"/>
          <w:color w:val="auto"/>
        </w:rPr>
        <w:t>投诉书范本及制作说明详见附件3。</w:t>
      </w:r>
    </w:p>
    <w:p>
      <w:pPr>
        <w:pStyle w:val="130"/>
        <w:snapToGrid w:val="0"/>
        <w:spacing w:before="0"/>
        <w:ind w:firstLine="360"/>
        <w:rPr>
          <w:rFonts w:ascii="宋体" w:hAnsi="宋体" w:cs="宋体"/>
          <w:color w:val="auto"/>
          <w:sz w:val="18"/>
          <w:szCs w:val="18"/>
        </w:rPr>
      </w:pPr>
    </w:p>
    <w:p>
      <w:pPr>
        <w:adjustRightInd/>
        <w:spacing w:line="360" w:lineRule="auto"/>
        <w:ind w:firstLine="643"/>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2"/>
        <w:spacing w:line="360" w:lineRule="auto"/>
        <w:ind w:firstLine="482"/>
        <w:rPr>
          <w:rFonts w:hAnsi="宋体" w:cs="宋体"/>
          <w:b/>
          <w:color w:val="auto"/>
          <w:sz w:val="24"/>
          <w:szCs w:val="24"/>
        </w:rPr>
      </w:pPr>
      <w:r>
        <w:rPr>
          <w:rFonts w:hint="eastAsia" w:hAnsi="宋体" w:cs="宋体"/>
          <w:b/>
          <w:color w:val="auto"/>
          <w:sz w:val="24"/>
          <w:szCs w:val="24"/>
        </w:rPr>
        <w:t>5．招标文件的构成</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2"/>
        <w:spacing w:line="360" w:lineRule="auto"/>
        <w:ind w:firstLine="482"/>
        <w:rPr>
          <w:rFonts w:hAnsi="宋体" w:cs="宋体"/>
          <w:b/>
          <w:color w:val="auto"/>
          <w:sz w:val="24"/>
          <w:szCs w:val="24"/>
        </w:rPr>
      </w:pPr>
      <w:r>
        <w:rPr>
          <w:rFonts w:hint="eastAsia" w:hAnsi="宋体" w:cs="宋体"/>
          <w:b/>
          <w:color w:val="auto"/>
          <w:sz w:val="24"/>
          <w:szCs w:val="24"/>
        </w:rPr>
        <w:t>6. 招标文件的澄清、修改</w:t>
      </w:r>
    </w:p>
    <w:p>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ind w:firstLine="480"/>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ind w:firstLine="602"/>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2"/>
        <w:spacing w:line="360" w:lineRule="auto"/>
        <w:ind w:firstLine="482"/>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2"/>
        <w:spacing w:line="360" w:lineRule="auto"/>
        <w:ind w:firstLine="482"/>
        <w:rPr>
          <w:rFonts w:hAnsi="宋体" w:cs="宋体"/>
          <w:b/>
          <w:color w:val="auto"/>
          <w:sz w:val="24"/>
          <w:szCs w:val="24"/>
        </w:rPr>
      </w:pPr>
      <w:r>
        <w:rPr>
          <w:rFonts w:hint="eastAsia" w:hAnsi="宋体" w:cs="宋体"/>
          <w:b/>
          <w:color w:val="auto"/>
          <w:sz w:val="24"/>
          <w:szCs w:val="24"/>
        </w:rPr>
        <w:t>8.开标前答疑会或现场考察</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ind w:firstLine="482"/>
        <w:rPr>
          <w:rFonts w:hAnsi="宋体" w:cs="宋体"/>
          <w:b/>
          <w:color w:val="auto"/>
          <w:szCs w:val="24"/>
        </w:rPr>
      </w:pPr>
      <w:r>
        <w:rPr>
          <w:rFonts w:hint="eastAsia" w:hAnsi="宋体" w:cs="宋体"/>
          <w:b/>
          <w:color w:val="auto"/>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ind w:firstLine="482"/>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2"/>
        <w:spacing w:line="360" w:lineRule="auto"/>
        <w:ind w:firstLine="482"/>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pStyle w:val="79"/>
        <w:adjustRightInd w:val="0"/>
        <w:spacing w:line="360" w:lineRule="auto"/>
        <w:ind w:firstLine="960" w:firstLineChars="400"/>
        <w:rPr>
          <w:color w:val="auto"/>
        </w:rPr>
      </w:pPr>
      <w:r>
        <w:rPr>
          <w:rFonts w:hint="eastAsia" w:ascii="宋体" w:hAnsi="宋体" w:eastAsia="宋体" w:cs="宋体"/>
          <w:color w:val="auto"/>
          <w:sz w:val="24"/>
          <w:szCs w:val="24"/>
          <w:lang w:val="en-US"/>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color w:val="auto"/>
        </w:rPr>
      </w:pPr>
      <w:r>
        <w:rPr>
          <w:rFonts w:hint="eastAsia"/>
          <w:color w:val="auto"/>
          <w:sz w:val="24"/>
          <w:shd w:val="clear" w:color="auto" w:fill="FFFFFF"/>
        </w:rPr>
        <w:t>投标人应对投标文件中材料的真实性、合法性负责。</w:t>
      </w:r>
    </w:p>
    <w:p>
      <w:pPr>
        <w:pStyle w:val="130"/>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adjustRightInd/>
        <w:spacing w:line="360" w:lineRule="auto"/>
        <w:ind w:firstLine="482"/>
        <w:rPr>
          <w:rFonts w:ascii="宋体" w:hAnsi="宋体" w:cs="宋体"/>
          <w:b/>
          <w:color w:val="auto"/>
          <w:sz w:val="24"/>
        </w:rPr>
      </w:pPr>
      <w:r>
        <w:rPr>
          <w:rFonts w:hint="eastAsia" w:ascii="宋体" w:hAnsi="宋体" w:cs="宋体"/>
          <w:b/>
          <w:color w:val="auto"/>
          <w:sz w:val="24"/>
        </w:rPr>
        <w:t>13.投标文件的签署、盖章</w:t>
      </w:r>
    </w:p>
    <w:p>
      <w:pPr>
        <w:pStyle w:val="130"/>
        <w:adjustRightInd/>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0"/>
        <w:adjustRightInd/>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0"/>
        <w:adjustRightInd/>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0"/>
        <w:keepNext w:val="0"/>
        <w:keepLines w:val="0"/>
        <w:pageBreakBefore w:val="0"/>
        <w:widowControl w:val="0"/>
        <w:kinsoku/>
        <w:wordWrap/>
        <w:overflowPunct/>
        <w:topLinePunct w:val="0"/>
        <w:autoSpaceDE/>
        <w:autoSpaceDN/>
        <w:bidi w:val="0"/>
        <w:adjustRightInd/>
        <w:snapToGrid/>
        <w:spacing w:before="0"/>
        <w:ind w:firstLine="482" w:firstLineChars="200"/>
        <w:textAlignment w:val="auto"/>
        <w:rPr>
          <w:rFonts w:ascii="宋体" w:hAnsi="宋体" w:cs="宋体"/>
          <w:b/>
          <w:color w:val="auto"/>
          <w:szCs w:val="24"/>
        </w:rPr>
      </w:pPr>
      <w:r>
        <w:rPr>
          <w:rFonts w:hint="eastAsia" w:ascii="宋体" w:hAnsi="宋体" w:cs="宋体"/>
          <w:b/>
          <w:color w:val="auto"/>
          <w:szCs w:val="24"/>
        </w:rPr>
        <w:t>14. 投标文件的提交、补充、修改、撤回</w:t>
      </w:r>
    </w:p>
    <w:p>
      <w:pPr>
        <w:pStyle w:val="130"/>
        <w:adjustRightInd/>
        <w:spacing w:before="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adjustRightInd/>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adjustRightInd/>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ind w:firstLine="482"/>
        <w:rPr>
          <w:rFonts w:hAnsi="宋体" w:cs="宋体"/>
          <w:b/>
          <w:color w:val="auto"/>
          <w:sz w:val="24"/>
          <w:szCs w:val="24"/>
        </w:rPr>
      </w:pPr>
      <w:r>
        <w:rPr>
          <w:rFonts w:hint="eastAsia" w:hAnsi="宋体" w:cs="宋体"/>
          <w:b/>
          <w:color w:val="auto"/>
          <w:sz w:val="24"/>
          <w:szCs w:val="24"/>
        </w:rPr>
        <w:t>15.备份投标文件</w:t>
      </w:r>
    </w:p>
    <w:p>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0"/>
        <w:keepNext w:val="0"/>
        <w:keepLines w:val="0"/>
        <w:pageBreakBefore w:val="0"/>
        <w:widowControl w:val="0"/>
        <w:kinsoku/>
        <w:wordWrap/>
        <w:overflowPunct/>
        <w:topLinePunct w:val="0"/>
        <w:autoSpaceDE/>
        <w:autoSpaceDN/>
        <w:bidi w:val="0"/>
        <w:adjustRightInd w:val="0"/>
        <w:snapToGrid/>
        <w:spacing w:before="0"/>
        <w:ind w:firstLine="482" w:firstLineChars="200"/>
        <w:textAlignment w:val="auto"/>
        <w:rPr>
          <w:rFonts w:ascii="宋体" w:hAnsi="宋体" w:cs="宋体"/>
          <w:b/>
          <w:color w:val="auto"/>
          <w:szCs w:val="24"/>
        </w:rPr>
      </w:pPr>
      <w:r>
        <w:rPr>
          <w:rFonts w:hint="eastAsia" w:ascii="宋体" w:hAnsi="宋体" w:cs="宋体"/>
          <w:b/>
          <w:color w:val="auto"/>
          <w:szCs w:val="24"/>
        </w:rPr>
        <w:t>16.投标文件的无效处理</w:t>
      </w:r>
    </w:p>
    <w:p>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pPr>
        <w:pStyle w:val="130"/>
        <w:keepNext w:val="0"/>
        <w:keepLines w:val="0"/>
        <w:pageBreakBefore w:val="0"/>
        <w:widowControl w:val="0"/>
        <w:kinsoku/>
        <w:wordWrap/>
        <w:overflowPunct/>
        <w:topLinePunct w:val="0"/>
        <w:autoSpaceDE/>
        <w:autoSpaceDN/>
        <w:bidi w:val="0"/>
        <w:adjustRightInd w:val="0"/>
        <w:snapToGrid/>
        <w:spacing w:before="0"/>
        <w:ind w:firstLine="482" w:firstLineChars="200"/>
        <w:textAlignment w:val="auto"/>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rPr>
      </w:pPr>
    </w:p>
    <w:p>
      <w:pPr>
        <w:pStyle w:val="13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6"/>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2" w:firstLineChars="200"/>
        <w:contextualSpacing/>
        <w:textAlignment w:val="auto"/>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pPr>
        <w:pStyle w:val="556"/>
        <w:adjustRightInd/>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6"/>
        <w:adjustRightInd/>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adjustRightInd/>
        <w:spacing w:line="360" w:lineRule="auto"/>
        <w:ind w:firstLine="482"/>
        <w:jc w:val="left"/>
        <w:rPr>
          <w:rFonts w:ascii="宋体" w:hAnsi="宋体" w:cs="宋体"/>
          <w:b/>
          <w:color w:val="auto"/>
          <w:sz w:val="24"/>
          <w:szCs w:val="20"/>
        </w:rPr>
      </w:pPr>
      <w:r>
        <w:rPr>
          <w:rFonts w:hint="eastAsia" w:ascii="宋体" w:hAnsi="宋体" w:cs="宋体"/>
          <w:b/>
          <w:color w:val="auto"/>
          <w:sz w:val="24"/>
          <w:szCs w:val="20"/>
        </w:rPr>
        <w:t>19、资格审查</w:t>
      </w:r>
    </w:p>
    <w:p>
      <w:pPr>
        <w:adjustRightInd/>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pPr>
        <w:pStyle w:val="130"/>
        <w:adjustRightInd/>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0"/>
        <w:adjustRightInd/>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pPr>
        <w:pStyle w:val="130"/>
        <w:adjustRightInd/>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130"/>
        <w:adjustRightInd/>
        <w:spacing w:before="0"/>
        <w:ind w:firstLine="480"/>
        <w:rPr>
          <w:rFonts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keepNext w:val="0"/>
        <w:keepLines w:val="0"/>
        <w:pageBreakBefore w:val="0"/>
        <w:widowControl w:val="0"/>
        <w:kinsoku/>
        <w:wordWrap/>
        <w:overflowPunct/>
        <w:topLinePunct w:val="0"/>
        <w:autoSpaceDE/>
        <w:autoSpaceDN/>
        <w:bidi w:val="0"/>
        <w:adjustRightInd w:val="0"/>
        <w:snapToGrid/>
        <w:spacing w:before="0"/>
        <w:ind w:firstLine="482" w:firstLineChars="200"/>
        <w:textAlignment w:val="auto"/>
        <w:rPr>
          <w:rFonts w:ascii="宋体" w:hAnsi="宋体" w:cs="宋体"/>
          <w:b/>
          <w:color w:val="auto"/>
          <w:szCs w:val="24"/>
        </w:rPr>
      </w:pPr>
      <w:r>
        <w:rPr>
          <w:rFonts w:hint="eastAsia" w:ascii="宋体" w:hAnsi="宋体" w:cs="宋体"/>
          <w:b/>
          <w:color w:val="auto"/>
          <w:szCs w:val="24"/>
        </w:rPr>
        <w:t>20、信用信息查询</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0"/>
        <w:spacing w:before="0"/>
        <w:ind w:firstLine="0" w:firstLineChars="0"/>
        <w:rPr>
          <w:rFonts w:ascii="宋体" w:hAnsi="宋体" w:cs="宋体"/>
          <w:color w:val="auto"/>
          <w:kern w:val="0"/>
          <w:szCs w:val="24"/>
        </w:rPr>
      </w:pPr>
    </w:p>
    <w:p>
      <w:pPr>
        <w:snapToGrid w:val="0"/>
        <w:spacing w:line="360" w:lineRule="auto"/>
        <w:ind w:firstLine="723"/>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ind w:firstLine="482"/>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napToGrid w:val="0"/>
        <w:spacing w:line="360" w:lineRule="auto"/>
        <w:ind w:firstLine="723"/>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cs="宋体"/>
          <w:b/>
          <w:color w:val="auto"/>
        </w:rPr>
      </w:pPr>
      <w:r>
        <w:rPr>
          <w:rFonts w:hint="eastAsia" w:cs="宋体"/>
          <w:b/>
          <w:color w:val="auto"/>
        </w:rPr>
        <w:t>22. 确定中标供应商</w:t>
      </w:r>
    </w:p>
    <w:p>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0"/>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pStyle w:val="130"/>
        <w:snapToGrid w:val="0"/>
        <w:spacing w:before="0"/>
        <w:ind w:firstLine="482"/>
        <w:rPr>
          <w:rStyle w:val="78"/>
          <w:color w:val="auto"/>
        </w:rPr>
      </w:pPr>
      <w:r>
        <w:rPr>
          <w:rFonts w:hint="eastAsia" w:ascii="宋体" w:hAnsi="宋体" w:cs="宋体"/>
          <w:b/>
          <w:color w:val="auto"/>
          <w:szCs w:val="24"/>
        </w:rPr>
        <w:t xml:space="preserve">23.4 </w:t>
      </w:r>
      <w:r>
        <w:rPr>
          <w:rFonts w:hint="eastAsia" w:ascii="宋体" w:hAnsi="宋体" w:cs="宋体"/>
          <w:bCs/>
          <w:color w:val="auto"/>
          <w:szCs w:val="24"/>
        </w:rPr>
        <w:t>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4"/>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0"/>
        <w:adjustRightInd/>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0"/>
        <w:adjustRightInd/>
        <w:spacing w:before="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4"/>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cs="宋体"/>
          <w:b/>
          <w:color w:val="auto"/>
        </w:rPr>
      </w:pPr>
      <w:r>
        <w:rPr>
          <w:rFonts w:hint="eastAsia" w:cs="宋体"/>
          <w:b/>
          <w:color w:val="auto"/>
        </w:rPr>
        <w:t>26. 履约保证金</w:t>
      </w:r>
    </w:p>
    <w:p>
      <w:pPr>
        <w:tabs>
          <w:tab w:val="left" w:pos="0"/>
        </w:tabs>
        <w:adjustRightInd/>
        <w:spacing w:line="360" w:lineRule="auto"/>
        <w:ind w:firstLine="480"/>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keepNext/>
        <w:keepLines/>
        <w:pageBreakBefore w:val="0"/>
        <w:widowControl w:val="0"/>
        <w:kinsoku/>
        <w:wordWrap/>
        <w:overflowPunct/>
        <w:topLinePunct w:val="0"/>
        <w:autoSpaceDE/>
        <w:autoSpaceDN/>
        <w:bidi w:val="0"/>
        <w:adjustRightInd/>
        <w:snapToGrid/>
        <w:ind w:left="0" w:firstLine="482" w:firstLineChars="200"/>
        <w:textAlignment w:val="auto"/>
        <w:rPr>
          <w:color w:val="auto"/>
        </w:rPr>
      </w:pPr>
      <w:r>
        <w:rPr>
          <w:rFonts w:ascii="宋体" w:hAnsi="宋体" w:eastAsia="宋体"/>
          <w:color w:val="auto"/>
          <w:sz w:val="24"/>
          <w:lang w:val="en-US"/>
        </w:rPr>
        <w:t>27.预付款</w:t>
      </w:r>
    </w:p>
    <w:p>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0"/>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0"/>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ascii="宋体" w:hAnsi="宋体" w:cs="宋体"/>
          <w:color w:val="auto"/>
        </w:rPr>
      </w:pPr>
      <w:r>
        <w:rPr>
          <w:rFonts w:hint="eastAsia" w:ascii="宋体" w:hAnsi="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4"/>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14665"/>
      <w:bookmarkEnd w:id="19"/>
      <w:bookmarkStart w:id="20" w:name="_Hlt75236011"/>
      <w:bookmarkEnd w:id="20"/>
      <w:bookmarkStart w:id="21" w:name="_Hlt68072990"/>
      <w:bookmarkEnd w:id="21"/>
      <w:bookmarkStart w:id="22" w:name="_Hlt68057669"/>
      <w:bookmarkEnd w:id="22"/>
      <w:bookmarkStart w:id="23" w:name="_Hlt68072998"/>
      <w:bookmarkEnd w:id="23"/>
      <w:bookmarkStart w:id="24" w:name="_Hlt75236290"/>
      <w:bookmarkEnd w:id="24"/>
      <w:bookmarkStart w:id="25" w:name="_Hlt75236101"/>
      <w:bookmarkEnd w:id="25"/>
      <w:bookmarkStart w:id="26" w:name="_Hlt74730295"/>
      <w:bookmarkEnd w:id="26"/>
      <w:bookmarkStart w:id="27" w:name="_Hlt74729768"/>
      <w:bookmarkEnd w:id="27"/>
      <w:bookmarkStart w:id="28" w:name="_Hlt74707468"/>
      <w:bookmarkEnd w:id="28"/>
      <w:bookmarkStart w:id="29" w:name="_Hlt68403820"/>
      <w:bookmarkEnd w:id="29"/>
      <w:bookmarkStart w:id="30" w:name="_Hlt68073093"/>
      <w:bookmarkEnd w:id="30"/>
    </w:p>
    <w:p>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79"/>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pPr>
        <w:spacing w:line="360" w:lineRule="auto"/>
        <w:ind w:firstLine="723"/>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pPr>
        <w:pStyle w:val="57"/>
        <w:adjustRightInd/>
        <w:spacing w:before="0" w:beforeAutospacing="0" w:after="0" w:afterAutospacing="0" w:line="360" w:lineRule="auto"/>
        <w:ind w:firstLine="482"/>
        <w:rPr>
          <w:rFonts w:ascii="仿宋_GB2312"/>
          <w:b/>
          <w:bCs/>
          <w:color w:val="auto"/>
        </w:rPr>
      </w:pPr>
      <w:r>
        <w:rPr>
          <w:rFonts w:hint="eastAsia"/>
          <w:b/>
          <w:bCs/>
          <w:color w:val="auto"/>
        </w:rPr>
        <w:t>一、项目概述</w:t>
      </w:r>
    </w:p>
    <w:p>
      <w:pPr>
        <w:pStyle w:val="57"/>
        <w:adjustRightInd/>
        <w:spacing w:before="0" w:beforeAutospacing="0" w:after="0" w:afterAutospacing="0" w:line="360" w:lineRule="auto"/>
        <w:ind w:firstLine="480" w:firstLineChars="200"/>
        <w:rPr>
          <w:rFonts w:ascii="仿宋_GB2312"/>
          <w:color w:val="auto"/>
        </w:rPr>
      </w:pPr>
      <w:r>
        <w:rPr>
          <w:rFonts w:hint="eastAsia" w:cs="宋体"/>
          <w:color w:val="auto"/>
        </w:rPr>
        <w:t>杭州市西湖区图书馆2024年图书（电子书）采购及图书加工服务。</w:t>
      </w:r>
    </w:p>
    <w:p>
      <w:pPr>
        <w:pStyle w:val="57"/>
        <w:adjustRightInd/>
        <w:spacing w:before="0" w:beforeAutospacing="0" w:after="0" w:afterAutospacing="0" w:line="360" w:lineRule="auto"/>
        <w:ind w:firstLine="482"/>
        <w:rPr>
          <w:rFonts w:ascii="仿宋_GB2312" w:hAnsi="仿宋_GB2312"/>
          <w:b/>
          <w:bCs/>
          <w:color w:val="auto"/>
        </w:rPr>
      </w:pPr>
      <w:bookmarkStart w:id="32" w:name="_Hlk165195798"/>
      <w:r>
        <w:rPr>
          <w:rFonts w:hint="eastAsia" w:ascii="仿宋_GB2312" w:hAnsi="仿宋_GB2312"/>
          <w:b/>
          <w:bCs/>
          <w:color w:val="auto"/>
        </w:rPr>
        <w:t>二、</w:t>
      </w:r>
      <w:r>
        <w:rPr>
          <w:rFonts w:hint="eastAsia" w:cs="宋体"/>
          <w:b/>
          <w:color w:val="auto"/>
        </w:rPr>
        <w:t>采购项目技术、服务要求</w:t>
      </w:r>
    </w:p>
    <w:p>
      <w:pPr>
        <w:pStyle w:val="57"/>
        <w:adjustRightInd/>
        <w:spacing w:before="0" w:beforeAutospacing="0" w:after="0" w:afterAutospacing="0" w:line="360" w:lineRule="auto"/>
        <w:ind w:firstLine="480" w:firstLineChars="200"/>
        <w:rPr>
          <w:rFonts w:ascii="仿宋_GB2312"/>
          <w:color w:val="auto"/>
        </w:rPr>
      </w:pPr>
      <w:r>
        <w:rPr>
          <w:rFonts w:hint="eastAsia" w:ascii="仿宋_GB2312" w:hAnsi="仿宋_GB2312"/>
          <w:color w:val="auto"/>
        </w:rPr>
        <w:t>1.投标人</w:t>
      </w:r>
      <w:r>
        <w:rPr>
          <w:rFonts w:hint="eastAsia"/>
          <w:color w:val="auto"/>
        </w:rPr>
        <w:t>具有提供全国、地方及各大院校出版社的图书供货能力。要求图书品种多、质量好、性价比高。</w:t>
      </w:r>
    </w:p>
    <w:p>
      <w:pPr>
        <w:pStyle w:val="57"/>
        <w:adjustRightInd/>
        <w:spacing w:before="0" w:beforeAutospacing="0" w:after="0" w:afterAutospacing="0" w:line="360" w:lineRule="auto"/>
        <w:ind w:firstLine="480" w:firstLineChars="200"/>
        <w:rPr>
          <w:rFonts w:ascii="仿宋_GB2312"/>
          <w:color w:val="auto"/>
        </w:rPr>
      </w:pPr>
      <w:r>
        <w:rPr>
          <w:rFonts w:hint="eastAsia" w:ascii="仿宋_GB2312" w:hAnsi="仿宋_GB2312"/>
          <w:color w:val="auto"/>
        </w:rPr>
        <w:t>2.投标人</w:t>
      </w:r>
      <w:r>
        <w:rPr>
          <w:rFonts w:hint="eastAsia"/>
          <w:color w:val="auto"/>
        </w:rPr>
        <w:t>具备图书网络信息检索和电子目录征订的条件。图书征订要求每年提供</w:t>
      </w:r>
      <w:r>
        <w:rPr>
          <w:rFonts w:ascii="仿宋_GB2312" w:hAnsi="仿宋_GB2312"/>
          <w:color w:val="auto"/>
        </w:rPr>
        <w:t>10</w:t>
      </w:r>
      <w:r>
        <w:rPr>
          <w:rFonts w:hint="eastAsia"/>
          <w:color w:val="auto"/>
        </w:rPr>
        <w:t>期以上的新书目录（要求近两月出版的新书）；根据图书馆的各项活动提供相应的专题图书目录，配合图书馆做好政府服务项目的专项采购需求，并能满足图书馆对于重点时效性图书和临时性采购任务的选购。</w:t>
      </w:r>
    </w:p>
    <w:p>
      <w:pPr>
        <w:pStyle w:val="57"/>
        <w:adjustRightInd/>
        <w:spacing w:before="0" w:beforeAutospacing="0" w:after="0" w:afterAutospacing="0" w:line="360" w:lineRule="auto"/>
        <w:ind w:firstLine="480" w:firstLineChars="200"/>
        <w:rPr>
          <w:rFonts w:ascii="仿宋_GB2312"/>
          <w:color w:val="auto"/>
          <w:highlight w:val="yellow"/>
        </w:rPr>
      </w:pPr>
      <w:r>
        <w:rPr>
          <w:rFonts w:hint="eastAsia" w:ascii="仿宋_GB2312" w:hAnsi="仿宋_GB2312"/>
          <w:color w:val="auto"/>
        </w:rPr>
        <w:t>3.投标人</w:t>
      </w:r>
      <w:r>
        <w:rPr>
          <w:rFonts w:hint="eastAsia"/>
          <w:color w:val="auto"/>
        </w:rPr>
        <w:t>在收到图书订单后应及时进行订购处理，并将处理情况及时反馈给采购人，并根据订单及时组织供货；现场采购，要求方便快捷。图书不少于</w:t>
      </w:r>
      <w:r>
        <w:rPr>
          <w:rFonts w:hint="eastAsia" w:ascii="仿宋_GB2312" w:hAnsi="仿宋_GB2312"/>
          <w:color w:val="auto"/>
        </w:rPr>
        <w:t>4</w:t>
      </w:r>
      <w:r>
        <w:rPr>
          <w:rFonts w:hint="eastAsia"/>
          <w:color w:val="auto"/>
        </w:rPr>
        <w:t>万册，电子书</w:t>
      </w:r>
      <w:r>
        <w:rPr>
          <w:rFonts w:hint="eastAsia" w:ascii="仿宋_GB2312" w:hAnsi="仿宋_GB2312"/>
          <w:color w:val="auto"/>
        </w:rPr>
        <w:t>3</w:t>
      </w:r>
      <w:r>
        <w:rPr>
          <w:rFonts w:ascii="仿宋_GB2312"/>
          <w:color w:val="auto"/>
        </w:rPr>
        <w:t>0000</w:t>
      </w:r>
      <w:r>
        <w:rPr>
          <w:rFonts w:hint="eastAsia"/>
          <w:color w:val="auto"/>
        </w:rPr>
        <w:t>册（版权使用期限不少于一年）。</w:t>
      </w:r>
    </w:p>
    <w:p>
      <w:pPr>
        <w:pStyle w:val="57"/>
        <w:adjustRightInd/>
        <w:spacing w:before="0" w:beforeAutospacing="0" w:after="0" w:afterAutospacing="0" w:line="360" w:lineRule="auto"/>
        <w:ind w:firstLine="480" w:firstLineChars="200"/>
        <w:rPr>
          <w:rFonts w:ascii="仿宋_GB2312"/>
          <w:color w:val="auto"/>
        </w:rPr>
      </w:pPr>
      <w:r>
        <w:rPr>
          <w:rFonts w:hint="eastAsia" w:ascii="仿宋_GB2312" w:hAnsi="仿宋_GB2312"/>
          <w:color w:val="auto"/>
        </w:rPr>
        <w:t>4.投标人</w:t>
      </w:r>
      <w:r>
        <w:rPr>
          <w:rFonts w:hint="eastAsia"/>
          <w:color w:val="auto"/>
        </w:rPr>
        <w:t>应按采购人提供的订购单批次进行图书配送，在</w:t>
      </w:r>
      <w:r>
        <w:rPr>
          <w:rFonts w:ascii="仿宋_GB2312" w:hAnsi="仿宋_GB2312"/>
          <w:color w:val="auto"/>
        </w:rPr>
        <w:t>15</w:t>
      </w:r>
      <w:r>
        <w:rPr>
          <w:rFonts w:hint="eastAsia"/>
          <w:color w:val="auto"/>
        </w:rPr>
        <w:t>个工作日内，将同一批次未能配送的部分报采购人，并且说明原因，同时告知该批次图书能配送的确切时间；配送时间原则上不能多于</w:t>
      </w:r>
      <w:r>
        <w:rPr>
          <w:rFonts w:ascii="仿宋_GB2312" w:hAnsi="仿宋_GB2312"/>
          <w:color w:val="auto"/>
        </w:rPr>
        <w:t>15</w:t>
      </w:r>
      <w:r>
        <w:rPr>
          <w:rFonts w:hint="eastAsia"/>
          <w:color w:val="auto"/>
        </w:rPr>
        <w:t>个工作日；以确保采购人已订购文献的到馆率及文献资源的完整性。除推迟出版或发生影响协议履行的不可抗力事情外，若不能按时供货的图书种数或册数超过订单订购数的</w:t>
      </w:r>
      <w:r>
        <w:rPr>
          <w:rFonts w:ascii="仿宋_GB2312" w:hAnsi="仿宋_GB2312"/>
          <w:color w:val="auto"/>
        </w:rPr>
        <w:t>20%</w:t>
      </w:r>
      <w:r>
        <w:rPr>
          <w:rFonts w:hint="eastAsia"/>
          <w:color w:val="auto"/>
        </w:rPr>
        <w:t>即可认定该供应商不具备供货条件，采购人可以无条件</w:t>
      </w:r>
      <w:r>
        <w:rPr>
          <w:rFonts w:hint="eastAsia"/>
          <w:color w:val="auto"/>
          <w:lang w:val="en-US" w:eastAsia="zh-CN"/>
        </w:rPr>
        <w:t>解除</w:t>
      </w:r>
      <w:r>
        <w:rPr>
          <w:rFonts w:hint="eastAsia"/>
          <w:color w:val="auto"/>
        </w:rPr>
        <w:t>合同，</w:t>
      </w:r>
      <w:r>
        <w:rPr>
          <w:rFonts w:hint="eastAsia"/>
          <w:color w:val="auto"/>
          <w:lang w:val="en-US" w:eastAsia="zh-CN"/>
        </w:rPr>
        <w:t>解除</w:t>
      </w:r>
      <w:r>
        <w:rPr>
          <w:rFonts w:hint="eastAsia"/>
          <w:color w:val="auto"/>
        </w:rPr>
        <w:t>供货所造成的损失由供应商承担</w:t>
      </w:r>
      <w:r>
        <w:rPr>
          <w:rFonts w:hint="eastAsia"/>
          <w:color w:val="auto"/>
        </w:rPr>
        <w:t>，且</w:t>
      </w:r>
      <w:r>
        <w:rPr>
          <w:rFonts w:hint="eastAsia"/>
          <w:color w:val="auto"/>
          <w:lang w:val="en-US" w:eastAsia="zh-CN"/>
        </w:rPr>
        <w:t>供应商</w:t>
      </w:r>
      <w:r>
        <w:rPr>
          <w:rFonts w:hint="eastAsia"/>
          <w:color w:val="auto"/>
        </w:rPr>
        <w:t>应向</w:t>
      </w:r>
      <w:r>
        <w:rPr>
          <w:rFonts w:hint="eastAsia"/>
          <w:color w:val="auto"/>
          <w:lang w:val="en-US" w:eastAsia="zh-CN"/>
        </w:rPr>
        <w:t>采购人</w:t>
      </w:r>
      <w:r>
        <w:rPr>
          <w:rFonts w:hint="eastAsia"/>
          <w:color w:val="auto"/>
        </w:rPr>
        <w:t>支付合同总金额20%的违约金。</w:t>
      </w:r>
      <w:r>
        <w:rPr>
          <w:rFonts w:hint="eastAsia"/>
          <w:color w:val="auto"/>
        </w:rPr>
        <w:t>为尽可能消除因供应商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宋体"/>
          <w:color w:val="auto"/>
          <w:sz w:val="24"/>
        </w:rPr>
      </w:pPr>
      <w:r>
        <w:rPr>
          <w:rFonts w:hint="eastAsia" w:ascii="宋体" w:hAnsi="宋体"/>
          <w:color w:val="auto"/>
          <w:sz w:val="24"/>
        </w:rPr>
        <w:t>5.投标人应承诺供给的国内中文图书（含国内出版的外文图书）的出版时间为</w:t>
      </w:r>
      <w:r>
        <w:rPr>
          <w:rFonts w:ascii="仿宋_GB2312" w:hAnsi="仿宋_GB2312"/>
          <w:b/>
          <w:bCs/>
          <w:color w:val="auto"/>
          <w:spacing w:val="-2"/>
          <w:sz w:val="24"/>
        </w:rPr>
        <w:t>202</w:t>
      </w:r>
      <w:r>
        <w:rPr>
          <w:rFonts w:hint="eastAsia" w:ascii="仿宋_GB2312" w:hAnsi="仿宋_GB2312"/>
          <w:b/>
          <w:bCs/>
          <w:color w:val="auto"/>
          <w:spacing w:val="-2"/>
          <w:sz w:val="24"/>
        </w:rPr>
        <w:t>4</w:t>
      </w:r>
      <w:r>
        <w:rPr>
          <w:rFonts w:hint="eastAsia" w:ascii="宋体" w:hAnsi="宋体"/>
          <w:b/>
          <w:bCs/>
          <w:color w:val="auto"/>
          <w:spacing w:val="-2"/>
          <w:sz w:val="24"/>
        </w:rPr>
        <w:t>年</w:t>
      </w:r>
      <w:r>
        <w:rPr>
          <w:rFonts w:hint="eastAsia" w:ascii="宋体" w:hAnsi="宋体"/>
          <w:color w:val="auto"/>
          <w:sz w:val="24"/>
        </w:rPr>
        <w:t>出版或发行，原则上不得少于</w:t>
      </w:r>
      <w:r>
        <w:rPr>
          <w:rFonts w:ascii="仿宋_GB2312" w:hAnsi="宋体"/>
          <w:color w:val="auto"/>
          <w:sz w:val="24"/>
        </w:rPr>
        <w:t>90%</w:t>
      </w:r>
      <w:r>
        <w:rPr>
          <w:rFonts w:hint="eastAsia" w:ascii="宋体" w:hAnsi="宋体"/>
          <w:color w:val="auto"/>
          <w:sz w:val="24"/>
        </w:rPr>
        <w:t>；承诺有发货运送能力、售后服务等方面的专业实力；电子书使用版权不少于一年</w:t>
      </w:r>
      <w:r>
        <w:rPr>
          <w:rFonts w:hint="eastAsia" w:ascii="宋体" w:hAnsi="宋体"/>
          <w:color w:val="auto"/>
          <w:sz w:val="24"/>
          <w:lang w:eastAsia="zh-CN"/>
        </w:rPr>
        <w:t>，</w:t>
      </w:r>
      <w:r>
        <w:rPr>
          <w:rFonts w:hint="eastAsia" w:ascii="宋体" w:hAnsi="宋体"/>
          <w:color w:val="auto"/>
          <w:sz w:val="24"/>
        </w:rPr>
        <w:t>如因版权问题导致</w:t>
      </w:r>
      <w:r>
        <w:rPr>
          <w:rFonts w:hint="eastAsia" w:ascii="宋体" w:hAnsi="宋体"/>
          <w:color w:val="auto"/>
          <w:sz w:val="24"/>
          <w:lang w:val="en-US" w:eastAsia="zh-CN"/>
        </w:rPr>
        <w:t>采购人</w:t>
      </w:r>
      <w:r>
        <w:rPr>
          <w:rFonts w:hint="eastAsia" w:ascii="宋体" w:hAnsi="宋体"/>
          <w:color w:val="auto"/>
          <w:sz w:val="24"/>
        </w:rPr>
        <w:t>被第三方追责的，</w:t>
      </w:r>
      <w:r>
        <w:rPr>
          <w:rFonts w:hint="eastAsia" w:ascii="宋体" w:hAnsi="宋体"/>
          <w:color w:val="auto"/>
          <w:sz w:val="24"/>
          <w:lang w:val="en-US" w:eastAsia="zh-CN"/>
        </w:rPr>
        <w:t>采购人</w:t>
      </w:r>
      <w:r>
        <w:rPr>
          <w:rFonts w:hint="eastAsia" w:ascii="宋体" w:hAnsi="宋体"/>
          <w:color w:val="auto"/>
          <w:sz w:val="24"/>
        </w:rPr>
        <w:t>有权就全部损失向</w:t>
      </w:r>
      <w:r>
        <w:rPr>
          <w:rFonts w:hint="eastAsia" w:ascii="宋体" w:hAnsi="宋体"/>
          <w:color w:val="auto"/>
          <w:sz w:val="24"/>
          <w:lang w:val="en-US" w:eastAsia="zh-CN"/>
        </w:rPr>
        <w:t>供应商</w:t>
      </w:r>
      <w:r>
        <w:rPr>
          <w:rFonts w:hint="eastAsia" w:ascii="宋体" w:hAnsi="宋体"/>
          <w:color w:val="auto"/>
          <w:sz w:val="24"/>
        </w:rPr>
        <w:t>追偿。</w:t>
      </w:r>
    </w:p>
    <w:p>
      <w:pPr>
        <w:pStyle w:val="5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仿宋_GB2312"/>
          <w:color w:val="auto"/>
        </w:rPr>
      </w:pPr>
      <w:r>
        <w:rPr>
          <w:rFonts w:hint="eastAsia" w:ascii="仿宋_GB2312" w:hAnsi="仿宋_GB2312"/>
          <w:color w:val="auto"/>
        </w:rPr>
        <w:t>6.</w:t>
      </w:r>
      <w:r>
        <w:rPr>
          <w:rFonts w:hint="eastAsia"/>
          <w:color w:val="auto"/>
        </w:rPr>
        <w:t>投标人应熟悉图书编目业务，应能免费提供加盖馆藏章</w:t>
      </w:r>
      <w:r>
        <w:rPr>
          <w:rFonts w:ascii="仿宋_GB2312"/>
          <w:color w:val="auto"/>
        </w:rPr>
        <w:t>(3</w:t>
      </w:r>
      <w:r>
        <w:rPr>
          <w:rFonts w:hint="eastAsia"/>
          <w:color w:val="auto"/>
        </w:rPr>
        <w:t>次</w:t>
      </w:r>
      <w:r>
        <w:rPr>
          <w:rFonts w:ascii="仿宋_GB2312" w:hAnsi="仿宋_GB2312"/>
          <w:color w:val="auto"/>
        </w:rPr>
        <w:t>)</w:t>
      </w:r>
      <w:r>
        <w:rPr>
          <w:rFonts w:hint="eastAsia"/>
          <w:color w:val="auto"/>
        </w:rPr>
        <w:t>、贴防盗磁条、贴符合要求</w:t>
      </w:r>
      <w:r>
        <w:rPr>
          <w:rFonts w:ascii="仿宋_GB2312" w:hAnsi="仿宋_GB2312"/>
          <w:color w:val="auto"/>
        </w:rPr>
        <w:t>FRID</w:t>
      </w:r>
      <w:r>
        <w:rPr>
          <w:rFonts w:hint="eastAsia"/>
          <w:color w:val="auto"/>
        </w:rPr>
        <w:t>芯片、书标</w:t>
      </w:r>
      <w:r>
        <w:rPr>
          <w:rFonts w:ascii="仿宋_GB2312"/>
          <w:color w:val="auto"/>
        </w:rPr>
        <w:t>(2</w:t>
      </w:r>
      <w:r>
        <w:rPr>
          <w:rFonts w:hint="eastAsia"/>
          <w:color w:val="auto"/>
        </w:rPr>
        <w:t>张，贴膜</w:t>
      </w:r>
      <w:r>
        <w:rPr>
          <w:rFonts w:ascii="仿宋_GB2312" w:hAnsi="仿宋_GB2312"/>
          <w:color w:val="auto"/>
        </w:rPr>
        <w:t>)</w:t>
      </w:r>
      <w:r>
        <w:rPr>
          <w:rFonts w:hint="eastAsia"/>
          <w:color w:val="auto"/>
        </w:rPr>
        <w:t>、数据录入（供应商提供的征订数据必须能以</w:t>
      </w:r>
      <w:r>
        <w:rPr>
          <w:rFonts w:ascii="仿宋_GB2312" w:hAnsi="仿宋_GB2312"/>
          <w:color w:val="auto"/>
        </w:rPr>
        <w:t>Marc</w:t>
      </w:r>
      <w:r>
        <w:rPr>
          <w:rFonts w:hint="eastAsia"/>
          <w:color w:val="auto"/>
        </w:rPr>
        <w:t>格式文件提供。</w:t>
      </w:r>
      <w:r>
        <w:rPr>
          <w:rFonts w:ascii="仿宋_GB2312" w:hAnsi="仿宋_GB2312"/>
          <w:color w:val="auto"/>
        </w:rPr>
        <w:t>Marc</w:t>
      </w:r>
      <w:r>
        <w:rPr>
          <w:rFonts w:hint="eastAsia"/>
          <w:color w:val="auto"/>
        </w:rPr>
        <w:t>格式的采访数据应包括如下项目：订购号（征订号）、</w:t>
      </w:r>
      <w:r>
        <w:rPr>
          <w:rFonts w:ascii="仿宋_GB2312" w:hAnsi="仿宋_GB2312"/>
          <w:color w:val="auto"/>
        </w:rPr>
        <w:t>ISBN</w:t>
      </w:r>
      <w:r>
        <w:rPr>
          <w:rFonts w:hint="eastAsia"/>
          <w:color w:val="auto"/>
        </w:rPr>
        <w:t>号、书名、著者、出版社、出版时间、丛书名、单价、页码、尺寸、读者对象、内容提要和一级分类号等信息；提供的到馆图书编目数据必须以</w:t>
      </w:r>
      <w:r>
        <w:rPr>
          <w:rFonts w:ascii="仿宋_GB2312" w:hAnsi="仿宋_GB2312"/>
          <w:color w:val="auto"/>
        </w:rPr>
        <w:t>Marc</w:t>
      </w:r>
      <w:r>
        <w:rPr>
          <w:rFonts w:hint="eastAsia"/>
          <w:color w:val="auto"/>
        </w:rPr>
        <w:t>格式文件提供。</w:t>
      </w:r>
      <w:r>
        <w:rPr>
          <w:rFonts w:ascii="仿宋_GB2312" w:hAnsi="仿宋_GB2312"/>
          <w:color w:val="auto"/>
        </w:rPr>
        <w:t>Marc</w:t>
      </w:r>
      <w:r>
        <w:rPr>
          <w:rFonts w:hint="eastAsia"/>
          <w:color w:val="auto"/>
        </w:rPr>
        <w:t>格式的编目数据应规范、完整，包括如下项目：完整的头标区、</w:t>
      </w:r>
      <w:r>
        <w:rPr>
          <w:rFonts w:ascii="仿宋_GB2312" w:hAnsi="仿宋_GB2312"/>
          <w:color w:val="auto"/>
        </w:rPr>
        <w:t>010</w:t>
      </w:r>
      <w:r>
        <w:rPr>
          <w:rFonts w:hint="eastAsia"/>
          <w:color w:val="auto"/>
        </w:rPr>
        <w:t>、</w:t>
      </w:r>
      <w:r>
        <w:rPr>
          <w:rFonts w:ascii="仿宋_GB2312" w:hAnsi="仿宋_GB2312"/>
          <w:color w:val="auto"/>
        </w:rPr>
        <w:t>016</w:t>
      </w:r>
      <w:r>
        <w:rPr>
          <w:rFonts w:hint="eastAsia"/>
          <w:color w:val="auto"/>
        </w:rPr>
        <w:t>、</w:t>
      </w:r>
      <w:r>
        <w:rPr>
          <w:rFonts w:ascii="仿宋_GB2312" w:hAnsi="仿宋_GB2312"/>
          <w:color w:val="auto"/>
        </w:rPr>
        <w:t>100</w:t>
      </w:r>
      <w:r>
        <w:rPr>
          <w:rFonts w:hint="eastAsia"/>
          <w:color w:val="auto"/>
        </w:rPr>
        <w:t>、</w:t>
      </w:r>
      <w:r>
        <w:rPr>
          <w:rFonts w:ascii="仿宋_GB2312" w:hAnsi="仿宋_GB2312"/>
          <w:color w:val="auto"/>
        </w:rPr>
        <w:t>101</w:t>
      </w:r>
      <w:r>
        <w:rPr>
          <w:rFonts w:hint="eastAsia"/>
          <w:color w:val="auto"/>
        </w:rPr>
        <w:t>、</w:t>
      </w:r>
      <w:r>
        <w:rPr>
          <w:rFonts w:ascii="仿宋_GB2312" w:hAnsi="仿宋_GB2312"/>
          <w:color w:val="auto"/>
        </w:rPr>
        <w:t>102</w:t>
      </w:r>
      <w:r>
        <w:rPr>
          <w:rFonts w:hint="eastAsia"/>
          <w:color w:val="auto"/>
        </w:rPr>
        <w:t>、</w:t>
      </w:r>
      <w:r>
        <w:rPr>
          <w:rFonts w:ascii="仿宋_GB2312" w:hAnsi="仿宋_GB2312"/>
          <w:color w:val="auto"/>
        </w:rPr>
        <w:t>105</w:t>
      </w:r>
      <w:r>
        <w:rPr>
          <w:rFonts w:hint="eastAsia"/>
          <w:color w:val="auto"/>
        </w:rPr>
        <w:t>、</w:t>
      </w:r>
      <w:r>
        <w:rPr>
          <w:rFonts w:ascii="仿宋_GB2312" w:hAnsi="仿宋_GB2312"/>
          <w:color w:val="auto"/>
        </w:rPr>
        <w:t>106</w:t>
      </w:r>
      <w:r>
        <w:rPr>
          <w:rFonts w:hint="eastAsia"/>
          <w:color w:val="auto"/>
        </w:rPr>
        <w:t>、</w:t>
      </w:r>
      <w:r>
        <w:rPr>
          <w:rFonts w:ascii="仿宋_GB2312" w:hAnsi="仿宋_GB2312"/>
          <w:color w:val="auto"/>
        </w:rPr>
        <w:t>200</w:t>
      </w:r>
      <w:r>
        <w:rPr>
          <w:rFonts w:hint="eastAsia"/>
          <w:color w:val="auto"/>
        </w:rPr>
        <w:t>、</w:t>
      </w:r>
      <w:r>
        <w:rPr>
          <w:rFonts w:ascii="仿宋_GB2312" w:hAnsi="仿宋_GB2312"/>
          <w:color w:val="auto"/>
        </w:rPr>
        <w:t>210</w:t>
      </w:r>
      <w:r>
        <w:rPr>
          <w:rFonts w:hint="eastAsia"/>
          <w:color w:val="auto"/>
        </w:rPr>
        <w:t>、</w:t>
      </w:r>
      <w:r>
        <w:rPr>
          <w:rFonts w:ascii="仿宋_GB2312" w:hAnsi="仿宋_GB2312"/>
          <w:color w:val="auto"/>
        </w:rPr>
        <w:t>215</w:t>
      </w:r>
      <w:r>
        <w:rPr>
          <w:rFonts w:hint="eastAsia"/>
          <w:color w:val="auto"/>
        </w:rPr>
        <w:t>、</w:t>
      </w:r>
      <w:r>
        <w:rPr>
          <w:rFonts w:ascii="仿宋_GB2312" w:hAnsi="仿宋_GB2312"/>
          <w:color w:val="auto"/>
        </w:rPr>
        <w:t>225</w:t>
      </w:r>
      <w:r>
        <w:rPr>
          <w:rFonts w:hint="eastAsia"/>
          <w:color w:val="auto"/>
        </w:rPr>
        <w:t>、</w:t>
      </w:r>
      <w:r>
        <w:rPr>
          <w:rFonts w:ascii="仿宋_GB2312" w:hAnsi="仿宋_GB2312"/>
          <w:color w:val="auto"/>
        </w:rPr>
        <w:t>300</w:t>
      </w:r>
      <w:r>
        <w:rPr>
          <w:rFonts w:hint="eastAsia"/>
          <w:color w:val="auto"/>
        </w:rPr>
        <w:t>、</w:t>
      </w:r>
      <w:r>
        <w:rPr>
          <w:rFonts w:ascii="仿宋_GB2312" w:hAnsi="仿宋_GB2312"/>
          <w:color w:val="auto"/>
        </w:rPr>
        <w:t>330</w:t>
      </w:r>
      <w:r>
        <w:rPr>
          <w:rFonts w:hint="eastAsia"/>
          <w:color w:val="auto"/>
        </w:rPr>
        <w:t>、</w:t>
      </w:r>
      <w:r>
        <w:rPr>
          <w:rFonts w:ascii="仿宋_GB2312" w:hAnsi="仿宋_GB2312"/>
          <w:color w:val="auto"/>
        </w:rPr>
        <w:t>461</w:t>
      </w:r>
      <w:r>
        <w:rPr>
          <w:rFonts w:hint="eastAsia"/>
          <w:color w:val="auto"/>
        </w:rPr>
        <w:t>、</w:t>
      </w:r>
      <w:r>
        <w:rPr>
          <w:rFonts w:ascii="仿宋_GB2312" w:hAnsi="仿宋_GB2312"/>
          <w:color w:val="auto"/>
        </w:rPr>
        <w:t>462</w:t>
      </w:r>
      <w:r>
        <w:rPr>
          <w:rFonts w:hint="eastAsia"/>
          <w:color w:val="auto"/>
        </w:rPr>
        <w:t>、</w:t>
      </w:r>
      <w:r>
        <w:rPr>
          <w:rFonts w:ascii="仿宋_GB2312" w:hAnsi="仿宋_GB2312"/>
          <w:color w:val="auto"/>
        </w:rPr>
        <w:t>6--</w:t>
      </w:r>
      <w:r>
        <w:rPr>
          <w:rFonts w:hint="eastAsia"/>
          <w:color w:val="auto"/>
        </w:rPr>
        <w:t>、</w:t>
      </w:r>
      <w:r>
        <w:rPr>
          <w:rFonts w:ascii="仿宋_GB2312" w:hAnsi="仿宋_GB2312"/>
          <w:color w:val="auto"/>
        </w:rPr>
        <w:t>7--</w:t>
      </w:r>
      <w:r>
        <w:rPr>
          <w:rFonts w:hint="eastAsia"/>
          <w:color w:val="auto"/>
        </w:rPr>
        <w:t>等字段。</w:t>
      </w:r>
      <w:r>
        <w:rPr>
          <w:rFonts w:ascii="仿宋_GB2312" w:hAnsi="仿宋_GB2312"/>
          <w:color w:val="auto"/>
        </w:rPr>
        <w:t>6</w:t>
      </w:r>
      <w:r>
        <w:rPr>
          <w:rFonts w:hint="eastAsia"/>
          <w:color w:val="auto"/>
        </w:rPr>
        <w:t>字段的分类、主题标引都应按中图法（最新版本）和分类主题词表（</w:t>
      </w:r>
      <w:r>
        <w:rPr>
          <w:rFonts w:ascii="仿宋_GB2312" w:hAnsi="仿宋_GB2312"/>
          <w:color w:val="auto"/>
        </w:rPr>
        <w:t>2</w:t>
      </w:r>
      <w:r>
        <w:rPr>
          <w:rFonts w:hint="eastAsia"/>
          <w:color w:val="auto"/>
        </w:rPr>
        <w:t>版）详尽著录。）等图书加工服务，具有杭州图书馆颁发编目著录证书，将本馆图书著录数据并入杭州地区图书馆联网系统的能力。</w:t>
      </w:r>
    </w:p>
    <w:p>
      <w:pPr>
        <w:pStyle w:val="5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仿宋_GB2312"/>
          <w:color w:val="auto"/>
        </w:rPr>
      </w:pPr>
      <w:r>
        <w:rPr>
          <w:rFonts w:hint="eastAsia" w:ascii="仿宋_GB2312" w:hAnsi="仿宋_GB2312"/>
          <w:color w:val="auto"/>
        </w:rPr>
        <w:t>7.</w:t>
      </w:r>
      <w:r>
        <w:rPr>
          <w:rFonts w:hint="eastAsia"/>
          <w:color w:val="auto"/>
        </w:rPr>
        <w:t>上述加工服务图书指国内中文图书（含国内出版的外文图书）等电子读物。</w:t>
      </w:r>
    </w:p>
    <w:p>
      <w:pPr>
        <w:pStyle w:val="57"/>
        <w:adjustRightInd/>
        <w:spacing w:before="0" w:beforeAutospacing="0" w:after="0" w:afterAutospacing="0" w:line="360" w:lineRule="auto"/>
        <w:ind w:firstLine="480" w:firstLineChars="200"/>
        <w:rPr>
          <w:rFonts w:ascii="仿宋_GB2312"/>
          <w:color w:val="auto"/>
        </w:rPr>
      </w:pPr>
      <w:r>
        <w:rPr>
          <w:rFonts w:hint="eastAsia" w:ascii="仿宋_GB2312" w:hAnsi="仿宋_GB2312"/>
          <w:color w:val="auto"/>
        </w:rPr>
        <w:t>8.</w:t>
      </w:r>
      <w:r>
        <w:rPr>
          <w:rFonts w:hint="eastAsia"/>
          <w:color w:val="auto"/>
        </w:rPr>
        <w:t>投标人应在杭州地区公共图书馆具有丰富的图书配送服务经验，随书配备符合国家图书馆联合编目中心著录规则的编目数据的能力和具有杭州地区公共图书馆数据著录能力。</w:t>
      </w:r>
    </w:p>
    <w:p>
      <w:pPr>
        <w:adjustRightInd/>
        <w:spacing w:line="360" w:lineRule="auto"/>
        <w:ind w:firstLine="480" w:firstLineChars="200"/>
        <w:rPr>
          <w:rFonts w:ascii="仿宋_GB2312" w:hAnsi="宋体"/>
          <w:color w:val="auto"/>
          <w:kern w:val="0"/>
          <w:sz w:val="24"/>
        </w:rPr>
      </w:pPr>
      <w:r>
        <w:rPr>
          <w:rFonts w:hint="eastAsia" w:ascii="仿宋_GB2312" w:hAnsi="仿宋_GB2312"/>
          <w:color w:val="auto"/>
          <w:sz w:val="24"/>
        </w:rPr>
        <w:t>9.</w:t>
      </w:r>
      <w:r>
        <w:rPr>
          <w:rFonts w:hint="eastAsia" w:ascii="宋体" w:hAnsi="宋体"/>
          <w:color w:val="auto"/>
          <w:kern w:val="0"/>
          <w:sz w:val="24"/>
        </w:rPr>
        <w:t>投标人应严格按照图书馆的要求进行全加工服务，加工图书所需的书标、磁条、条形码、</w:t>
      </w:r>
      <w:r>
        <w:rPr>
          <w:rFonts w:ascii="仿宋_GB2312" w:hAnsi="宋体" w:cs="宋体"/>
          <w:color w:val="auto"/>
          <w:kern w:val="0"/>
          <w:sz w:val="24"/>
        </w:rPr>
        <w:t>FRID</w:t>
      </w:r>
      <w:r>
        <w:rPr>
          <w:rFonts w:hint="eastAsia" w:ascii="宋体" w:hAnsi="宋体"/>
          <w:color w:val="auto"/>
          <w:kern w:val="0"/>
          <w:sz w:val="24"/>
        </w:rPr>
        <w:t>芯片等费用均应包含在投标报价范围内。</w:t>
      </w:r>
    </w:p>
    <w:p>
      <w:pPr>
        <w:adjustRightInd/>
        <w:spacing w:line="360" w:lineRule="auto"/>
        <w:ind w:firstLine="480" w:firstLineChars="200"/>
        <w:rPr>
          <w:rFonts w:ascii="宋体" w:hAnsi="宋体"/>
          <w:color w:val="auto"/>
          <w:kern w:val="0"/>
          <w:sz w:val="24"/>
        </w:rPr>
      </w:pPr>
      <w:r>
        <w:rPr>
          <w:rFonts w:hint="eastAsia" w:ascii="仿宋_GB2312" w:hAnsi="仿宋_GB2312"/>
          <w:color w:val="auto"/>
          <w:kern w:val="0"/>
          <w:sz w:val="24"/>
        </w:rPr>
        <w:t>10</w:t>
      </w:r>
      <w:r>
        <w:rPr>
          <w:rFonts w:hint="eastAsia" w:ascii="宋体" w:hAnsi="宋体"/>
          <w:color w:val="auto"/>
          <w:kern w:val="0"/>
          <w:sz w:val="24"/>
        </w:rPr>
        <w:t>.投标人应在本市有实体书店，能够提供线下书店借书服务。</w:t>
      </w:r>
    </w:p>
    <w:p>
      <w:pPr>
        <w:adjustRightInd/>
        <w:spacing w:line="360" w:lineRule="auto"/>
        <w:ind w:firstLine="480" w:firstLineChars="200"/>
        <w:rPr>
          <w:rFonts w:ascii="宋体" w:hAnsi="宋体"/>
          <w:color w:val="auto"/>
          <w:sz w:val="24"/>
        </w:rPr>
      </w:pPr>
      <w:r>
        <w:rPr>
          <w:rFonts w:hint="eastAsia" w:ascii="宋体" w:hAnsi="宋体"/>
          <w:color w:val="auto"/>
          <w:kern w:val="0"/>
          <w:sz w:val="24"/>
        </w:rPr>
        <w:t>11.投标人应满足采购人</w:t>
      </w:r>
      <w:r>
        <w:rPr>
          <w:rFonts w:hint="eastAsia" w:ascii="宋体" w:hAnsi="宋体"/>
          <w:color w:val="auto"/>
          <w:sz w:val="24"/>
        </w:rPr>
        <w:t>提供符合杭州地区公共图书馆要求的线上借书和书店借书服务（信阅和悦借服务）。</w:t>
      </w:r>
    </w:p>
    <w:p>
      <w:pPr>
        <w:adjustRightInd/>
        <w:spacing w:line="360" w:lineRule="auto"/>
        <w:ind w:firstLine="482"/>
        <w:rPr>
          <w:rFonts w:ascii="仿宋_GB2312" w:hAnsi="宋体"/>
          <w:b/>
          <w:bCs/>
          <w:color w:val="auto"/>
          <w:sz w:val="24"/>
        </w:rPr>
      </w:pPr>
      <w:r>
        <w:rPr>
          <w:rFonts w:hint="eastAsia" w:ascii="宋体" w:hAnsi="宋体"/>
          <w:b/>
          <w:bCs/>
          <w:color w:val="auto"/>
          <w:sz w:val="24"/>
          <w:lang w:val="en-US" w:eastAsia="zh-CN"/>
        </w:rPr>
        <w:t>三、</w:t>
      </w:r>
      <w:r>
        <w:rPr>
          <w:rFonts w:hint="eastAsia" w:ascii="宋体" w:hAnsi="宋体"/>
          <w:b/>
          <w:bCs/>
          <w:color w:val="auto"/>
          <w:sz w:val="24"/>
        </w:rPr>
        <w:t>中文图书（电子书）采购和图书加工服务要求</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1.</w:t>
      </w:r>
      <w:r>
        <w:rPr>
          <w:rFonts w:hint="eastAsia" w:ascii="宋体" w:hAnsi="宋体"/>
          <w:color w:val="auto"/>
          <w:sz w:val="24"/>
        </w:rPr>
        <w:t>书目预订部分：中标人通过自有供货渠道组织预订书目，预订书目至少应包含社科新书目、科技新书目、当期征订书目（其品种数量与原始订单相符）。电子版书目格式按</w:t>
      </w:r>
      <w:r>
        <w:rPr>
          <w:rFonts w:ascii="仿宋_GB2312" w:hAnsi="仿宋_GB2312"/>
          <w:color w:val="auto"/>
          <w:sz w:val="24"/>
        </w:rPr>
        <w:t>Marc</w:t>
      </w:r>
      <w:r>
        <w:rPr>
          <w:rFonts w:hint="eastAsia" w:ascii="宋体" w:hAnsi="宋体"/>
          <w:color w:val="auto"/>
          <w:sz w:val="24"/>
        </w:rPr>
        <w:t>（或</w:t>
      </w:r>
      <w:r>
        <w:rPr>
          <w:rFonts w:ascii="仿宋_GB2312" w:hAnsi="仿宋_GB2312"/>
          <w:color w:val="auto"/>
          <w:sz w:val="24"/>
        </w:rPr>
        <w:t>iso</w:t>
      </w:r>
      <w:r>
        <w:rPr>
          <w:rFonts w:hint="eastAsia" w:ascii="宋体" w:hAnsi="宋体"/>
          <w:color w:val="auto"/>
          <w:sz w:val="24"/>
        </w:rPr>
        <w:t>）格式编排，内容至少应包括征订号、书名、丛书名、著者、出版时间、出版社、单价、</w:t>
      </w:r>
      <w:r>
        <w:rPr>
          <w:rFonts w:ascii="仿宋_GB2312" w:hAnsi="仿宋_GB2312"/>
          <w:color w:val="auto"/>
          <w:sz w:val="24"/>
        </w:rPr>
        <w:t>ISBN</w:t>
      </w:r>
      <w:r>
        <w:rPr>
          <w:rFonts w:hint="eastAsia" w:ascii="宋体" w:hAnsi="宋体"/>
          <w:color w:val="auto"/>
          <w:sz w:val="24"/>
        </w:rPr>
        <w:t>号。定期通过因特网将预订书目传送给采购人。</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2.</w:t>
      </w:r>
      <w:r>
        <w:rPr>
          <w:rFonts w:hint="eastAsia" w:ascii="宋体" w:hAnsi="宋体"/>
          <w:color w:val="auto"/>
          <w:sz w:val="24"/>
        </w:rPr>
        <w:t>现书订购部分：中标人已到货图书通过编制现书目录（电子版书目格式、内容要求和递交办法同上）或提供样书供招标方选购，并保证现货地点的采购，包括全国或地区性书市、国内著名出版社等。</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3.</w:t>
      </w:r>
      <w:r>
        <w:rPr>
          <w:rFonts w:hint="eastAsia" w:ascii="宋体" w:hAnsi="宋体"/>
          <w:color w:val="auto"/>
          <w:sz w:val="24"/>
        </w:rPr>
        <w:t>采购人自选订购部分：采购人根据读者需求提供给中标人书单，中标人应有能力及时按投标人书单提供图书。</w:t>
      </w:r>
    </w:p>
    <w:p>
      <w:pPr>
        <w:widowControl/>
        <w:adjustRightInd/>
        <w:spacing w:line="360" w:lineRule="auto"/>
        <w:ind w:firstLine="480" w:firstLineChars="200"/>
        <w:jc w:val="left"/>
        <w:rPr>
          <w:rFonts w:ascii="仿宋_GB2312" w:hAnsi="宋体"/>
          <w:color w:val="auto"/>
          <w:sz w:val="24"/>
        </w:rPr>
      </w:pPr>
      <w:r>
        <w:rPr>
          <w:rFonts w:hint="eastAsia" w:ascii="仿宋_GB2312" w:hAnsi="仿宋_GB2312"/>
          <w:color w:val="auto"/>
          <w:sz w:val="24"/>
          <w:lang w:val="en-US" w:eastAsia="zh-CN"/>
        </w:rPr>
        <w:t>4.</w:t>
      </w:r>
      <w:r>
        <w:rPr>
          <w:rFonts w:hint="eastAsia" w:ascii="宋体" w:hAnsi="宋体"/>
          <w:color w:val="auto"/>
          <w:sz w:val="24"/>
        </w:rPr>
        <w:t>对于连续出版、多卷（集）的图书，中标人应负责为采购人提供后续出版的资料。</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5.</w:t>
      </w:r>
      <w:r>
        <w:rPr>
          <w:rFonts w:hint="eastAsia" w:ascii="宋体" w:hAnsi="宋体"/>
          <w:color w:val="auto"/>
          <w:sz w:val="24"/>
        </w:rPr>
        <w:t>中标人接收订单及提供图书：采购人选定所需图书汇成订单后，通过因特网传送给中标人，中标人应及时回复确认。中标人严格按采购人订单配送图书，非采购人订购的图书不得配送，一旦发现一律退回（此类情况如果达到</w:t>
      </w:r>
      <w:r>
        <w:rPr>
          <w:rFonts w:ascii="仿宋_GB2312" w:hAnsi="仿宋_GB2312"/>
          <w:color w:val="auto"/>
          <w:sz w:val="24"/>
        </w:rPr>
        <w:t>1‰</w:t>
      </w:r>
      <w:r>
        <w:rPr>
          <w:rFonts w:hint="eastAsia" w:ascii="宋体" w:hAnsi="宋体"/>
          <w:color w:val="auto"/>
          <w:sz w:val="24"/>
        </w:rPr>
        <w:t>种以上者，将取消供货资格）。中标人同时保证不能提供盗版图书，一经发现立即取消供货资格，并承担所有法律责任。</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6.</w:t>
      </w:r>
      <w:r>
        <w:rPr>
          <w:rFonts w:hint="eastAsia" w:ascii="宋体" w:hAnsi="宋体"/>
          <w:color w:val="auto"/>
          <w:sz w:val="24"/>
        </w:rPr>
        <w:t>中标人提供的图书中，严禁带有内容有色情、暴力、恐怖等不适采购人读者或装祯形式为小开本、活页等不适合采购人流通管理的图书。</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7.</w:t>
      </w:r>
      <w:r>
        <w:rPr>
          <w:rFonts w:hint="eastAsia" w:ascii="宋体" w:hAnsi="宋体"/>
          <w:color w:val="auto"/>
          <w:sz w:val="24"/>
        </w:rPr>
        <w:t>采购人不承担所购图书资料的运管费。</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8.</w:t>
      </w:r>
      <w:r>
        <w:rPr>
          <w:rFonts w:hint="eastAsia" w:ascii="宋体" w:hAnsi="宋体"/>
          <w:color w:val="auto"/>
          <w:sz w:val="24"/>
        </w:rPr>
        <w:t>清点验收和付款：中标送交采购人的图书，每包应附有清单，清单一式两份，清单内容包括包号、征订号、书名、单价、册数及小计。每批图书应有汇总清单，清单内容包括此批图书的种数、册数和总金额，汇总清单上应盖有与付款发票上相同的财务章。采购人收到图书后经清点验收，如发现有错装、倒装、缺页和污损等情况，中标人应在</w:t>
      </w:r>
      <w:r>
        <w:rPr>
          <w:rFonts w:ascii="仿宋_GB2312" w:hAnsi="仿宋_GB2312"/>
          <w:color w:val="auto"/>
          <w:sz w:val="24"/>
        </w:rPr>
        <w:t>5</w:t>
      </w:r>
      <w:r>
        <w:rPr>
          <w:rFonts w:hint="eastAsia" w:ascii="宋体" w:hAnsi="宋体"/>
          <w:color w:val="auto"/>
          <w:sz w:val="24"/>
        </w:rPr>
        <w:t>个工作日无条件予以调换。</w:t>
      </w:r>
      <w:r>
        <w:rPr>
          <w:rFonts w:hint="eastAsia" w:ascii="宋体" w:hAnsi="宋体"/>
          <w:color w:val="auto"/>
          <w:sz w:val="24"/>
        </w:rPr>
        <w:t>否则视为</w:t>
      </w:r>
      <w:r>
        <w:rPr>
          <w:rFonts w:hint="eastAsia" w:ascii="宋体" w:hAnsi="宋体"/>
          <w:color w:val="auto"/>
          <w:sz w:val="24"/>
          <w:lang w:val="en-US" w:eastAsia="zh-CN"/>
        </w:rPr>
        <w:t>供应商</w:t>
      </w:r>
      <w:r>
        <w:rPr>
          <w:rFonts w:hint="eastAsia" w:ascii="宋体" w:hAnsi="宋体"/>
          <w:color w:val="auto"/>
          <w:sz w:val="24"/>
        </w:rPr>
        <w:t>逾期供货，造成</w:t>
      </w:r>
      <w:r>
        <w:rPr>
          <w:rFonts w:hint="eastAsia" w:ascii="宋体" w:hAnsi="宋体"/>
          <w:color w:val="auto"/>
          <w:sz w:val="24"/>
          <w:lang w:val="en-US" w:eastAsia="zh-CN"/>
        </w:rPr>
        <w:t>采购人</w:t>
      </w:r>
      <w:r>
        <w:rPr>
          <w:rFonts w:hint="eastAsia" w:ascii="宋体" w:hAnsi="宋体"/>
          <w:color w:val="auto"/>
          <w:sz w:val="24"/>
        </w:rPr>
        <w:t>损失的，</w:t>
      </w:r>
      <w:r>
        <w:rPr>
          <w:rFonts w:hint="eastAsia" w:ascii="宋体" w:hAnsi="宋体"/>
          <w:color w:val="auto"/>
          <w:sz w:val="24"/>
          <w:lang w:val="en-US" w:eastAsia="zh-CN"/>
        </w:rPr>
        <w:t>供应商</w:t>
      </w:r>
      <w:r>
        <w:rPr>
          <w:rFonts w:hint="eastAsia" w:ascii="宋体" w:hAnsi="宋体"/>
          <w:color w:val="auto"/>
          <w:sz w:val="24"/>
        </w:rPr>
        <w:t>承担赔偿责任。</w:t>
      </w:r>
    </w:p>
    <w:p>
      <w:pPr>
        <w:pStyle w:val="5"/>
        <w:adjustRightInd/>
        <w:snapToGrid/>
        <w:spacing w:line="360" w:lineRule="auto"/>
        <w:ind w:firstLine="480" w:firstLineChars="200"/>
        <w:rPr>
          <w:rFonts w:ascii="仿宋_GB2312" w:hAnsi="宋体"/>
          <w:color w:val="auto"/>
          <w:kern w:val="2"/>
          <w:sz w:val="24"/>
          <w:szCs w:val="24"/>
        </w:rPr>
      </w:pPr>
      <w:r>
        <w:rPr>
          <w:rFonts w:hint="eastAsia" w:ascii="仿宋_GB2312" w:hAnsi="仿宋_GB2312"/>
          <w:color w:val="auto"/>
          <w:kern w:val="2"/>
          <w:sz w:val="24"/>
          <w:szCs w:val="24"/>
          <w:lang w:val="en-US" w:eastAsia="zh-CN"/>
        </w:rPr>
        <w:t>9.</w:t>
      </w:r>
      <w:r>
        <w:rPr>
          <w:rFonts w:hint="eastAsia" w:hAnsi="宋体"/>
          <w:color w:val="auto"/>
          <w:kern w:val="2"/>
          <w:sz w:val="24"/>
          <w:szCs w:val="24"/>
        </w:rPr>
        <w:t>编目数据：</w:t>
      </w:r>
      <w:r>
        <w:rPr>
          <w:rFonts w:hint="eastAsia" w:hAnsi="宋体"/>
          <w:color w:val="auto"/>
          <w:sz w:val="24"/>
          <w:szCs w:val="24"/>
        </w:rPr>
        <w:t>中标</w:t>
      </w:r>
      <w:r>
        <w:rPr>
          <w:rFonts w:hint="eastAsia" w:hAnsi="宋体"/>
          <w:color w:val="auto"/>
          <w:kern w:val="2"/>
          <w:sz w:val="24"/>
          <w:szCs w:val="24"/>
        </w:rPr>
        <w:t>人所提供的每种图书均应有完整的标准</w:t>
      </w:r>
      <w:r>
        <w:rPr>
          <w:rFonts w:ascii="仿宋_GB2312" w:hAnsi="宋体"/>
          <w:color w:val="auto"/>
          <w:kern w:val="2"/>
          <w:sz w:val="24"/>
          <w:szCs w:val="24"/>
        </w:rPr>
        <w:t>Marc</w:t>
      </w:r>
      <w:r>
        <w:rPr>
          <w:rFonts w:hint="eastAsia" w:hAnsi="宋体"/>
          <w:color w:val="auto"/>
          <w:kern w:val="2"/>
          <w:sz w:val="24"/>
          <w:szCs w:val="24"/>
        </w:rPr>
        <w:t>编目数据，如发现有缺少应及时补发（说明</w:t>
      </w:r>
      <w:r>
        <w:rPr>
          <w:rFonts w:ascii="仿宋_GB2312" w:hAnsi="仿宋_GB2312"/>
          <w:color w:val="auto"/>
          <w:kern w:val="2"/>
          <w:sz w:val="24"/>
          <w:szCs w:val="24"/>
        </w:rPr>
        <w:t>Marc</w:t>
      </w:r>
      <w:r>
        <w:rPr>
          <w:rFonts w:hint="eastAsia" w:hAnsi="宋体"/>
          <w:color w:val="auto"/>
          <w:kern w:val="2"/>
          <w:sz w:val="24"/>
          <w:szCs w:val="24"/>
        </w:rPr>
        <w:t>编目数据的来源）。</w:t>
      </w:r>
    </w:p>
    <w:p>
      <w:pPr>
        <w:pStyle w:val="5"/>
        <w:adjustRightInd/>
        <w:snapToGrid/>
        <w:spacing w:line="360" w:lineRule="auto"/>
        <w:ind w:firstLine="480" w:firstLineChars="200"/>
        <w:rPr>
          <w:rFonts w:ascii="仿宋_GB2312"/>
          <w:color w:val="auto"/>
          <w:sz w:val="24"/>
          <w:szCs w:val="24"/>
        </w:rPr>
      </w:pPr>
      <w:r>
        <w:rPr>
          <w:rFonts w:hint="eastAsia" w:ascii="仿宋_GB2312" w:hAnsi="仿宋_GB2312"/>
          <w:color w:val="auto"/>
          <w:kern w:val="2"/>
          <w:sz w:val="24"/>
          <w:szCs w:val="24"/>
          <w:lang w:val="en-US" w:eastAsia="zh-CN"/>
        </w:rPr>
        <w:t>10.</w:t>
      </w:r>
      <w:r>
        <w:rPr>
          <w:rFonts w:hint="eastAsia" w:hAnsi="宋体"/>
          <w:color w:val="auto"/>
          <w:sz w:val="24"/>
          <w:szCs w:val="24"/>
        </w:rPr>
        <w:t>电子书数量为</w:t>
      </w:r>
      <w:r>
        <w:rPr>
          <w:rFonts w:hint="eastAsia" w:ascii="仿宋_GB2312" w:hAnsi="仿宋_GB2312"/>
          <w:color w:val="auto"/>
          <w:sz w:val="24"/>
          <w:szCs w:val="24"/>
        </w:rPr>
        <w:t>3</w:t>
      </w:r>
      <w:r>
        <w:rPr>
          <w:rFonts w:ascii="仿宋_GB2312" w:hAnsi="仿宋_GB2312"/>
          <w:color w:val="auto"/>
          <w:sz w:val="24"/>
          <w:szCs w:val="24"/>
        </w:rPr>
        <w:t>0000</w:t>
      </w:r>
      <w:r>
        <w:rPr>
          <w:rFonts w:hint="eastAsia" w:hAnsi="宋体"/>
          <w:color w:val="auto"/>
          <w:sz w:val="24"/>
          <w:szCs w:val="24"/>
        </w:rPr>
        <w:t>册（版权使用期限不少于一年）。</w:t>
      </w:r>
    </w:p>
    <w:p>
      <w:pPr>
        <w:pStyle w:val="5"/>
        <w:adjustRightInd/>
        <w:snapToGrid/>
        <w:spacing w:line="360" w:lineRule="auto"/>
        <w:ind w:firstLine="480" w:firstLineChars="200"/>
        <w:rPr>
          <w:rFonts w:hAnsi="宋体"/>
          <w:color w:val="auto"/>
          <w:sz w:val="24"/>
          <w:szCs w:val="24"/>
        </w:rPr>
      </w:pPr>
      <w:r>
        <w:rPr>
          <w:rFonts w:hint="eastAsia" w:ascii="仿宋_GB2312" w:hAnsi="仿宋_GB2312"/>
          <w:color w:val="auto"/>
          <w:sz w:val="24"/>
          <w:szCs w:val="24"/>
          <w:lang w:val="en-US" w:eastAsia="zh-CN"/>
        </w:rPr>
        <w:t>11.</w:t>
      </w:r>
      <w:r>
        <w:rPr>
          <w:rFonts w:hint="eastAsia" w:hAnsi="宋体"/>
          <w:color w:val="auto"/>
          <w:sz w:val="24"/>
          <w:szCs w:val="24"/>
        </w:rPr>
        <w:t>能够提供符合杭州地区公共图书馆要求的线上借书和书店借书服务（信阅和悦借服务）。</w:t>
      </w:r>
    </w:p>
    <w:p>
      <w:pPr>
        <w:pStyle w:val="5"/>
        <w:adjustRightInd/>
        <w:snapToGrid/>
        <w:spacing w:line="360" w:lineRule="auto"/>
        <w:ind w:firstLine="480" w:firstLineChars="200"/>
        <w:rPr>
          <w:rFonts w:hAnsi="宋体"/>
          <w:color w:val="auto"/>
          <w:sz w:val="24"/>
          <w:szCs w:val="24"/>
        </w:rPr>
      </w:pPr>
      <w:r>
        <w:rPr>
          <w:rFonts w:hint="eastAsia" w:hAnsi="宋体"/>
          <w:color w:val="auto"/>
          <w:sz w:val="24"/>
          <w:szCs w:val="24"/>
          <w:lang w:val="en-US" w:eastAsia="zh-CN"/>
        </w:rPr>
        <w:t>12.</w:t>
      </w:r>
      <w:r>
        <w:rPr>
          <w:rFonts w:hint="eastAsia" w:hAnsi="宋体"/>
          <w:color w:val="auto"/>
          <w:sz w:val="24"/>
          <w:szCs w:val="24"/>
        </w:rPr>
        <w:t>中标人需满足采购人图书零星加工的服务需求。</w:t>
      </w:r>
    </w:p>
    <w:p>
      <w:pPr>
        <w:adjustRightInd/>
        <w:spacing w:line="360" w:lineRule="auto"/>
        <w:ind w:firstLine="482"/>
        <w:rPr>
          <w:rFonts w:ascii="仿宋_GB2312" w:hAnsi="宋体"/>
          <w:color w:val="auto"/>
          <w:sz w:val="24"/>
        </w:rPr>
      </w:pPr>
      <w:r>
        <w:rPr>
          <w:rFonts w:hint="eastAsia" w:ascii="宋体" w:hAnsi="宋体"/>
          <w:b/>
          <w:bCs/>
          <w:color w:val="auto"/>
          <w:sz w:val="24"/>
          <w:lang w:val="en-US" w:eastAsia="zh-CN"/>
        </w:rPr>
        <w:t>四</w:t>
      </w:r>
      <w:r>
        <w:rPr>
          <w:rFonts w:hint="eastAsia" w:ascii="宋体" w:hAnsi="宋体"/>
          <w:b/>
          <w:bCs/>
          <w:color w:val="auto"/>
          <w:sz w:val="24"/>
        </w:rPr>
        <w:t>、服务承诺及其他要求</w:t>
      </w:r>
    </w:p>
    <w:p>
      <w:pPr>
        <w:pStyle w:val="5"/>
        <w:adjustRightInd/>
        <w:snapToGrid/>
        <w:spacing w:line="360" w:lineRule="auto"/>
        <w:ind w:firstLine="480" w:firstLineChars="200"/>
        <w:rPr>
          <w:rFonts w:ascii="仿宋_GB2312" w:hAnsi="宋体"/>
          <w:color w:val="auto"/>
          <w:kern w:val="2"/>
          <w:sz w:val="24"/>
          <w:szCs w:val="24"/>
        </w:rPr>
      </w:pPr>
      <w:r>
        <w:rPr>
          <w:rFonts w:ascii="仿宋_GB2312" w:hAnsi="仿宋_GB2312"/>
          <w:color w:val="auto"/>
          <w:kern w:val="2"/>
          <w:sz w:val="24"/>
          <w:szCs w:val="24"/>
        </w:rPr>
        <w:t>1.</w:t>
      </w:r>
      <w:r>
        <w:rPr>
          <w:rFonts w:hint="eastAsia" w:hAnsi="宋体"/>
          <w:color w:val="auto"/>
          <w:sz w:val="24"/>
          <w:szCs w:val="24"/>
        </w:rPr>
        <w:t>国内中文图书（含国内出版的外文图书）</w:t>
      </w:r>
      <w:r>
        <w:rPr>
          <w:rFonts w:hint="eastAsia" w:hAnsi="宋体"/>
          <w:color w:val="auto"/>
          <w:kern w:val="2"/>
          <w:sz w:val="24"/>
          <w:szCs w:val="24"/>
        </w:rPr>
        <w:t>价格优惠折扣率（</w:t>
      </w:r>
      <w:r>
        <w:rPr>
          <w:rFonts w:ascii="仿宋_GB2312" w:hAnsi="宋体"/>
          <w:color w:val="auto"/>
          <w:kern w:val="2"/>
          <w:sz w:val="24"/>
          <w:szCs w:val="24"/>
          <w:u w:val="single"/>
        </w:rPr>
        <w:t xml:space="preserve">  </w:t>
      </w:r>
      <w:r>
        <w:rPr>
          <w:rFonts w:ascii="仿宋_GB2312" w:hAnsi="宋体"/>
          <w:color w:val="auto"/>
          <w:kern w:val="2"/>
          <w:sz w:val="24"/>
          <w:szCs w:val="24"/>
        </w:rPr>
        <w:t>%</w:t>
      </w:r>
      <w:r>
        <w:rPr>
          <w:rFonts w:hint="eastAsia" w:hAnsi="宋体"/>
          <w:color w:val="auto"/>
          <w:kern w:val="2"/>
          <w:sz w:val="24"/>
          <w:szCs w:val="24"/>
        </w:rPr>
        <w:t>）。</w:t>
      </w:r>
    </w:p>
    <w:p>
      <w:pPr>
        <w:pStyle w:val="5"/>
        <w:adjustRightInd/>
        <w:snapToGrid/>
        <w:spacing w:line="360" w:lineRule="auto"/>
        <w:ind w:firstLine="480" w:firstLineChars="200"/>
        <w:rPr>
          <w:rFonts w:ascii="仿宋_GB2312" w:hAnsi="宋体"/>
          <w:color w:val="auto"/>
          <w:kern w:val="2"/>
          <w:sz w:val="24"/>
          <w:szCs w:val="24"/>
        </w:rPr>
      </w:pPr>
      <w:r>
        <w:rPr>
          <w:rFonts w:ascii="仿宋_GB2312" w:hAnsi="仿宋_GB2312"/>
          <w:color w:val="auto"/>
          <w:kern w:val="2"/>
          <w:sz w:val="24"/>
          <w:szCs w:val="24"/>
        </w:rPr>
        <w:t>2.</w:t>
      </w:r>
      <w:r>
        <w:rPr>
          <w:rFonts w:hint="eastAsia" w:hAnsi="宋体"/>
          <w:color w:val="auto"/>
          <w:kern w:val="2"/>
          <w:sz w:val="24"/>
          <w:szCs w:val="24"/>
        </w:rPr>
        <w:t>到书时间与到书率。</w:t>
      </w:r>
    </w:p>
    <w:p>
      <w:pPr>
        <w:pStyle w:val="5"/>
        <w:adjustRightInd/>
        <w:snapToGrid/>
        <w:spacing w:line="360" w:lineRule="auto"/>
        <w:ind w:firstLine="480" w:firstLineChars="200"/>
        <w:rPr>
          <w:rFonts w:ascii="仿宋_GB2312" w:hAnsi="宋体"/>
          <w:color w:val="auto"/>
          <w:kern w:val="2"/>
          <w:sz w:val="24"/>
          <w:szCs w:val="24"/>
        </w:rPr>
      </w:pPr>
      <w:r>
        <w:rPr>
          <w:rFonts w:hint="eastAsia" w:hAnsi="宋体"/>
          <w:color w:val="auto"/>
          <w:sz w:val="24"/>
          <w:szCs w:val="24"/>
        </w:rPr>
        <w:t>国内中文图书（含国内出版的外文图书）</w:t>
      </w:r>
      <w:r>
        <w:rPr>
          <w:rFonts w:hint="eastAsia" w:hAnsi="宋体"/>
          <w:color w:val="auto"/>
          <w:kern w:val="2"/>
          <w:sz w:val="24"/>
          <w:szCs w:val="24"/>
        </w:rPr>
        <w:t>：</w:t>
      </w:r>
      <w:r>
        <w:rPr>
          <w:rFonts w:hint="eastAsia" w:hAnsi="宋体"/>
          <w:color w:val="auto"/>
          <w:sz w:val="24"/>
          <w:szCs w:val="24"/>
        </w:rPr>
        <w:t>现货采购的到书时间与到书率：</w:t>
      </w:r>
      <w:r>
        <w:rPr>
          <w:rFonts w:ascii="仿宋_GB2312" w:hAnsi="宋体"/>
          <w:color w:val="auto"/>
          <w:sz w:val="24"/>
          <w:szCs w:val="24"/>
        </w:rPr>
        <w:t>7</w:t>
      </w:r>
      <w:r>
        <w:rPr>
          <w:rFonts w:hint="eastAsia" w:hAnsi="宋体"/>
          <w:color w:val="auto"/>
          <w:sz w:val="24"/>
          <w:szCs w:val="24"/>
        </w:rPr>
        <w:t>天内</w:t>
      </w:r>
      <w:r>
        <w:rPr>
          <w:rFonts w:ascii="仿宋_GB2312" w:hAnsi="仿宋_GB2312"/>
          <w:color w:val="auto"/>
          <w:sz w:val="24"/>
          <w:szCs w:val="24"/>
        </w:rPr>
        <w:t>95%</w:t>
      </w:r>
      <w:r>
        <w:rPr>
          <w:rFonts w:hint="eastAsia" w:hAnsi="宋体"/>
          <w:color w:val="auto"/>
          <w:sz w:val="24"/>
          <w:szCs w:val="24"/>
        </w:rPr>
        <w:t>以上，</w:t>
      </w:r>
      <w:r>
        <w:rPr>
          <w:rFonts w:ascii="仿宋_GB2312" w:hAnsi="仿宋_GB2312"/>
          <w:color w:val="auto"/>
          <w:sz w:val="24"/>
          <w:szCs w:val="24"/>
        </w:rPr>
        <w:t>15</w:t>
      </w:r>
      <w:r>
        <w:rPr>
          <w:rFonts w:hint="eastAsia" w:hAnsi="宋体"/>
          <w:color w:val="auto"/>
          <w:sz w:val="24"/>
          <w:szCs w:val="24"/>
        </w:rPr>
        <w:t>天内</w:t>
      </w:r>
      <w:r>
        <w:rPr>
          <w:rFonts w:ascii="仿宋_GB2312" w:hAnsi="仿宋_GB2312"/>
          <w:color w:val="auto"/>
          <w:sz w:val="24"/>
          <w:szCs w:val="24"/>
        </w:rPr>
        <w:t>98%</w:t>
      </w:r>
      <w:r>
        <w:rPr>
          <w:rFonts w:hint="eastAsia" w:hAnsi="宋体"/>
          <w:color w:val="auto"/>
          <w:sz w:val="24"/>
          <w:szCs w:val="24"/>
        </w:rPr>
        <w:t>以上；现货目录采购的到书时间与到书率：</w:t>
      </w:r>
      <w:r>
        <w:rPr>
          <w:rFonts w:ascii="仿宋_GB2312" w:hAnsi="宋体"/>
          <w:color w:val="auto"/>
          <w:sz w:val="24"/>
          <w:szCs w:val="24"/>
        </w:rPr>
        <w:t>10</w:t>
      </w:r>
      <w:r>
        <w:rPr>
          <w:rFonts w:hint="eastAsia" w:hAnsi="宋体"/>
          <w:color w:val="auto"/>
          <w:sz w:val="24"/>
          <w:szCs w:val="24"/>
        </w:rPr>
        <w:t>天内</w:t>
      </w:r>
      <w:r>
        <w:rPr>
          <w:rFonts w:ascii="仿宋_GB2312" w:hAnsi="仿宋_GB2312"/>
          <w:color w:val="auto"/>
          <w:sz w:val="24"/>
          <w:szCs w:val="24"/>
        </w:rPr>
        <w:t>80%</w:t>
      </w:r>
      <w:r>
        <w:rPr>
          <w:rFonts w:hint="eastAsia" w:hAnsi="宋体"/>
          <w:color w:val="auto"/>
          <w:sz w:val="24"/>
          <w:szCs w:val="24"/>
        </w:rPr>
        <w:t>以上，</w:t>
      </w:r>
      <w:r>
        <w:rPr>
          <w:rFonts w:ascii="仿宋_GB2312" w:hAnsi="仿宋_GB2312"/>
          <w:color w:val="auto"/>
          <w:sz w:val="24"/>
          <w:szCs w:val="24"/>
        </w:rPr>
        <w:t>30</w:t>
      </w:r>
      <w:r>
        <w:rPr>
          <w:rFonts w:hint="eastAsia" w:hAnsi="宋体"/>
          <w:color w:val="auto"/>
          <w:sz w:val="24"/>
          <w:szCs w:val="24"/>
        </w:rPr>
        <w:t>天内</w:t>
      </w:r>
      <w:r>
        <w:rPr>
          <w:rFonts w:ascii="仿宋_GB2312" w:hAnsi="仿宋_GB2312"/>
          <w:color w:val="auto"/>
          <w:sz w:val="24"/>
          <w:szCs w:val="24"/>
        </w:rPr>
        <w:t>90%</w:t>
      </w:r>
      <w:r>
        <w:rPr>
          <w:rFonts w:hint="eastAsia" w:hAnsi="宋体"/>
          <w:color w:val="auto"/>
          <w:sz w:val="24"/>
          <w:szCs w:val="24"/>
        </w:rPr>
        <w:t xml:space="preserve">以上。 </w:t>
      </w:r>
      <w:r>
        <w:rPr>
          <w:rFonts w:ascii="仿宋_GB2312" w:hAnsi="宋体"/>
          <w:color w:val="auto"/>
          <w:kern w:val="2"/>
          <w:sz w:val="24"/>
          <w:szCs w:val="24"/>
        </w:rPr>
        <w:t xml:space="preserve"> </w:t>
      </w:r>
    </w:p>
    <w:p>
      <w:pPr>
        <w:pStyle w:val="5"/>
        <w:adjustRightInd/>
        <w:snapToGrid/>
        <w:spacing w:line="360" w:lineRule="auto"/>
        <w:ind w:firstLine="480" w:firstLineChars="200"/>
        <w:rPr>
          <w:rFonts w:ascii="仿宋_GB2312" w:hAnsi="宋体"/>
          <w:color w:val="auto"/>
          <w:kern w:val="2"/>
          <w:sz w:val="24"/>
          <w:szCs w:val="24"/>
        </w:rPr>
      </w:pPr>
      <w:r>
        <w:rPr>
          <w:rFonts w:ascii="仿宋_GB2312" w:hAnsi="仿宋_GB2312"/>
          <w:color w:val="auto"/>
          <w:kern w:val="2"/>
          <w:sz w:val="24"/>
          <w:szCs w:val="24"/>
        </w:rPr>
        <w:t>3.</w:t>
      </w:r>
      <w:r>
        <w:rPr>
          <w:rFonts w:hint="eastAsia" w:hAnsi="宋体"/>
          <w:color w:val="auto"/>
          <w:kern w:val="2"/>
          <w:sz w:val="24"/>
          <w:szCs w:val="24"/>
        </w:rPr>
        <w:t>标准</w:t>
      </w:r>
      <w:r>
        <w:rPr>
          <w:rFonts w:ascii="仿宋_GB2312" w:hAnsi="仿宋_GB2312"/>
          <w:color w:val="auto"/>
          <w:kern w:val="2"/>
          <w:sz w:val="24"/>
          <w:szCs w:val="24"/>
        </w:rPr>
        <w:t>Marc</w:t>
      </w:r>
      <w:r>
        <w:rPr>
          <w:rFonts w:hint="eastAsia" w:hAnsi="宋体"/>
          <w:color w:val="auto"/>
          <w:kern w:val="2"/>
          <w:sz w:val="24"/>
          <w:szCs w:val="24"/>
        </w:rPr>
        <w:t>编目数据随书配送服务。</w:t>
      </w:r>
    </w:p>
    <w:p>
      <w:pPr>
        <w:adjustRightInd/>
        <w:spacing w:line="360" w:lineRule="auto"/>
        <w:ind w:firstLine="482" w:firstLineChars="200"/>
        <w:rPr>
          <w:rFonts w:ascii="仿宋_GB2312" w:hAnsi="宋体"/>
          <w:b/>
          <w:bCs/>
          <w:color w:val="auto"/>
          <w:sz w:val="24"/>
        </w:rPr>
      </w:pPr>
      <w:r>
        <w:rPr>
          <w:rFonts w:ascii="仿宋_GB2312" w:hAnsi="仿宋_GB2312"/>
          <w:b/>
          <w:bCs/>
          <w:color w:val="auto"/>
          <w:sz w:val="24"/>
        </w:rPr>
        <w:t>4</w:t>
      </w:r>
      <w:r>
        <w:rPr>
          <w:rFonts w:hint="eastAsia" w:ascii="宋体" w:hAnsi="宋体"/>
          <w:b/>
          <w:bCs/>
          <w:color w:val="auto"/>
          <w:sz w:val="24"/>
        </w:rPr>
        <w:t>．图书运送及验收</w:t>
      </w:r>
    </w:p>
    <w:p>
      <w:pPr>
        <w:adjustRightInd/>
        <w:spacing w:line="360" w:lineRule="auto"/>
        <w:ind w:firstLine="480" w:firstLineChars="200"/>
        <w:rPr>
          <w:rFonts w:ascii="仿宋_GB2312" w:hAnsi="宋体"/>
          <w:color w:val="auto"/>
          <w:sz w:val="24"/>
        </w:rPr>
      </w:pPr>
      <w:r>
        <w:rPr>
          <w:rFonts w:ascii="仿宋_GB2312" w:hAnsi="仿宋_GB2312"/>
          <w:color w:val="auto"/>
          <w:sz w:val="24"/>
        </w:rPr>
        <w:t xml:space="preserve">4.1 </w:t>
      </w:r>
      <w:r>
        <w:rPr>
          <w:rFonts w:hint="eastAsia" w:ascii="宋体" w:hAnsi="宋体"/>
          <w:color w:val="auto"/>
          <w:sz w:val="24"/>
        </w:rPr>
        <w:t>中标人应对发送的图书进行防湿和防破装卸要求的包装，保证图书安全运输到达采购人指定地点。</w:t>
      </w:r>
      <w:r>
        <w:rPr>
          <w:rFonts w:hint="eastAsia" w:ascii="宋体" w:hAnsi="宋体"/>
          <w:color w:val="auto"/>
          <w:sz w:val="24"/>
        </w:rPr>
        <w:t>上述图书未经</w:t>
      </w:r>
      <w:r>
        <w:rPr>
          <w:rFonts w:hint="eastAsia" w:ascii="宋体" w:hAnsi="宋体"/>
          <w:color w:val="auto"/>
          <w:sz w:val="24"/>
          <w:lang w:val="en-US" w:eastAsia="zh-CN"/>
        </w:rPr>
        <w:t>采购人</w:t>
      </w:r>
      <w:r>
        <w:rPr>
          <w:rFonts w:hint="eastAsia" w:ascii="宋体" w:hAnsi="宋体"/>
          <w:color w:val="auto"/>
          <w:sz w:val="24"/>
        </w:rPr>
        <w:t>验收通过前，毁损灭失的责任由</w:t>
      </w:r>
      <w:r>
        <w:rPr>
          <w:rFonts w:hint="eastAsia" w:ascii="宋体" w:hAnsi="宋体"/>
          <w:color w:val="auto"/>
          <w:sz w:val="24"/>
          <w:lang w:val="en-US" w:eastAsia="zh-CN"/>
        </w:rPr>
        <w:t>中标人</w:t>
      </w:r>
      <w:r>
        <w:rPr>
          <w:rFonts w:hint="eastAsia" w:ascii="宋体" w:hAnsi="宋体"/>
          <w:color w:val="auto"/>
          <w:sz w:val="24"/>
        </w:rPr>
        <w:t>自行承担。</w:t>
      </w:r>
    </w:p>
    <w:p>
      <w:pPr>
        <w:adjustRightInd/>
        <w:spacing w:line="360" w:lineRule="auto"/>
        <w:ind w:firstLine="482" w:firstLineChars="200"/>
        <w:rPr>
          <w:rFonts w:ascii="仿宋_GB2312" w:hAnsi="宋体"/>
          <w:color w:val="auto"/>
          <w:sz w:val="24"/>
        </w:rPr>
      </w:pPr>
      <w:r>
        <w:rPr>
          <w:rFonts w:ascii="仿宋_GB2312" w:hAnsi="仿宋_GB2312"/>
          <w:b/>
          <w:bCs/>
          <w:color w:val="auto"/>
          <w:sz w:val="24"/>
        </w:rPr>
        <w:t>4.2</w:t>
      </w:r>
      <w:r>
        <w:rPr>
          <w:rFonts w:hint="eastAsia" w:ascii="宋体" w:hAnsi="宋体"/>
          <w:color w:val="auto"/>
          <w:sz w:val="24"/>
        </w:rPr>
        <w:t>中标人负责按采购人要求提供指定地点的免费送书上门服务（包含西湖区所有街道、社区图书馆及招标方指定的其他地址）；并随书提供与货物数量、品种、价格相符的该批图书总清单和分包清单。</w:t>
      </w:r>
    </w:p>
    <w:p>
      <w:pPr>
        <w:adjustRightInd/>
        <w:spacing w:line="360" w:lineRule="auto"/>
        <w:ind w:firstLine="480" w:firstLineChars="200"/>
        <w:rPr>
          <w:rFonts w:ascii="仿宋_GB2312" w:hAnsi="宋体"/>
          <w:color w:val="auto"/>
          <w:sz w:val="24"/>
        </w:rPr>
      </w:pPr>
      <w:r>
        <w:rPr>
          <w:rFonts w:ascii="仿宋_GB2312" w:hAnsi="仿宋_GB2312"/>
          <w:color w:val="auto"/>
          <w:sz w:val="24"/>
        </w:rPr>
        <w:t xml:space="preserve">4.3 </w:t>
      </w:r>
      <w:r>
        <w:rPr>
          <w:rFonts w:hint="eastAsia" w:ascii="宋体" w:hAnsi="宋体"/>
          <w:color w:val="auto"/>
          <w:sz w:val="24"/>
        </w:rPr>
        <w:t>在发送图书之前，中标人应提前一天用电话、书面（或传真）通知中标方，以便采购人准备接货。</w:t>
      </w:r>
    </w:p>
    <w:p>
      <w:pPr>
        <w:adjustRightInd/>
        <w:spacing w:line="360" w:lineRule="auto"/>
        <w:ind w:firstLine="480" w:firstLineChars="200"/>
        <w:rPr>
          <w:rFonts w:ascii="仿宋_GB2312" w:hAnsi="宋体"/>
          <w:color w:val="auto"/>
          <w:sz w:val="24"/>
        </w:rPr>
      </w:pPr>
      <w:r>
        <w:rPr>
          <w:rFonts w:ascii="仿宋_GB2312" w:hAnsi="仿宋_GB2312"/>
          <w:color w:val="auto"/>
          <w:sz w:val="24"/>
        </w:rPr>
        <w:t xml:space="preserve">4.4 </w:t>
      </w:r>
      <w:r>
        <w:rPr>
          <w:rFonts w:hint="eastAsia" w:ascii="宋体" w:hAnsi="宋体"/>
          <w:color w:val="auto"/>
          <w:sz w:val="24"/>
        </w:rPr>
        <w:t>图书在采购人接收前发生的不可预见的风险均由中标人负责。</w:t>
      </w:r>
    </w:p>
    <w:p>
      <w:pPr>
        <w:adjustRightInd/>
        <w:spacing w:line="360" w:lineRule="auto"/>
        <w:ind w:firstLine="480" w:firstLineChars="200"/>
        <w:rPr>
          <w:rFonts w:ascii="仿宋_GB2312" w:hAnsi="宋体"/>
          <w:color w:val="auto"/>
          <w:sz w:val="24"/>
        </w:rPr>
      </w:pPr>
      <w:r>
        <w:rPr>
          <w:rFonts w:ascii="仿宋_GB2312" w:hAnsi="仿宋_GB2312"/>
          <w:color w:val="auto"/>
          <w:sz w:val="24"/>
        </w:rPr>
        <w:t xml:space="preserve">4.5 </w:t>
      </w:r>
      <w:r>
        <w:rPr>
          <w:rFonts w:hint="eastAsia" w:ascii="宋体" w:hAnsi="宋体"/>
          <w:color w:val="auto"/>
          <w:sz w:val="24"/>
        </w:rPr>
        <w:t>所有图书的品种和复本数量均由采购人决定，中标人不得自行搭配和追加非采购人确认订购的品种或复本。图书品种、复本数量和随书光盘</w:t>
      </w:r>
      <w:r>
        <w:rPr>
          <w:rFonts w:ascii="仿宋_GB2312" w:hAnsi="仿宋_GB2312"/>
          <w:color w:val="auto"/>
          <w:sz w:val="24"/>
        </w:rPr>
        <w:t>/</w:t>
      </w:r>
      <w:r>
        <w:rPr>
          <w:rFonts w:hint="eastAsia" w:ascii="宋体" w:hAnsi="宋体"/>
          <w:color w:val="auto"/>
          <w:sz w:val="24"/>
        </w:rPr>
        <w:t>磁盘</w:t>
      </w:r>
      <w:r>
        <w:rPr>
          <w:rFonts w:ascii="仿宋_GB2312" w:hAnsi="仿宋_GB2312"/>
          <w:color w:val="auto"/>
          <w:sz w:val="24"/>
        </w:rPr>
        <w:t>/</w:t>
      </w:r>
      <w:r>
        <w:rPr>
          <w:rFonts w:hint="eastAsia" w:ascii="宋体" w:hAnsi="宋体"/>
          <w:color w:val="auto"/>
          <w:sz w:val="24"/>
        </w:rPr>
        <w:t>磁带等与订单不符时，无论是否已作前期加工，中标人必须无条件负责退换，</w:t>
      </w:r>
      <w:r>
        <w:rPr>
          <w:rFonts w:hint="eastAsia" w:ascii="宋体" w:hAnsi="宋体"/>
          <w:color w:val="auto"/>
          <w:sz w:val="24"/>
        </w:rPr>
        <w:t>相关期限及费用由</w:t>
      </w:r>
      <w:r>
        <w:rPr>
          <w:rFonts w:hint="eastAsia" w:ascii="宋体" w:hAnsi="宋体"/>
          <w:color w:val="auto"/>
          <w:sz w:val="24"/>
          <w:lang w:val="en-US" w:eastAsia="zh-CN"/>
        </w:rPr>
        <w:t>中标人</w:t>
      </w:r>
      <w:r>
        <w:rPr>
          <w:rFonts w:hint="eastAsia" w:ascii="宋体" w:hAnsi="宋体"/>
          <w:color w:val="auto"/>
          <w:sz w:val="24"/>
        </w:rPr>
        <w:t>自行承担。</w:t>
      </w:r>
    </w:p>
    <w:p>
      <w:pPr>
        <w:adjustRightInd/>
        <w:spacing w:line="360" w:lineRule="auto"/>
        <w:ind w:firstLine="480" w:firstLineChars="200"/>
        <w:rPr>
          <w:rFonts w:ascii="仿宋_GB2312" w:hAnsi="宋体"/>
          <w:color w:val="auto"/>
          <w:sz w:val="24"/>
        </w:rPr>
      </w:pPr>
      <w:r>
        <w:rPr>
          <w:rFonts w:ascii="仿宋_GB2312" w:hAnsi="仿宋_GB2312"/>
          <w:color w:val="auto"/>
          <w:sz w:val="24"/>
        </w:rPr>
        <w:t>4.6</w:t>
      </w:r>
      <w:r>
        <w:rPr>
          <w:rFonts w:hint="eastAsia" w:ascii="宋体" w:hAnsi="宋体"/>
          <w:color w:val="auto"/>
          <w:sz w:val="24"/>
        </w:rPr>
        <w:t>中标人必须保证销售正版图书，保证所供应图书的版本与进书来源合法，并对所供应的图书版本、知识产权、进货来源承担相应的法律责任。中标人如提供盗版图书无论是否已作前期加工，中标人必须无条件负责退货，并承担由此导致的一切后果</w:t>
      </w:r>
      <w:r>
        <w:rPr>
          <w:rFonts w:hint="eastAsia" w:ascii="宋体" w:hAnsi="宋体"/>
          <w:color w:val="auto"/>
          <w:sz w:val="24"/>
          <w:lang w:eastAsia="zh-CN"/>
        </w:rPr>
        <w:t>，</w:t>
      </w:r>
      <w:r>
        <w:rPr>
          <w:rFonts w:hint="eastAsia" w:ascii="宋体" w:hAnsi="宋体"/>
          <w:color w:val="auto"/>
          <w:sz w:val="24"/>
        </w:rPr>
        <w:t>导致</w:t>
      </w:r>
      <w:r>
        <w:rPr>
          <w:rFonts w:hint="eastAsia" w:ascii="宋体" w:hAnsi="宋体"/>
          <w:color w:val="auto"/>
          <w:sz w:val="24"/>
          <w:lang w:val="en-US" w:eastAsia="zh-CN"/>
        </w:rPr>
        <w:t>采购人</w:t>
      </w:r>
      <w:r>
        <w:rPr>
          <w:rFonts w:hint="eastAsia" w:ascii="宋体" w:hAnsi="宋体"/>
          <w:color w:val="auto"/>
          <w:sz w:val="24"/>
        </w:rPr>
        <w:t>先行垫付的，</w:t>
      </w:r>
      <w:r>
        <w:rPr>
          <w:rFonts w:hint="eastAsia" w:ascii="宋体" w:hAnsi="宋体"/>
          <w:color w:val="auto"/>
          <w:sz w:val="24"/>
          <w:lang w:val="en-US" w:eastAsia="zh-CN"/>
        </w:rPr>
        <w:t>中标人</w:t>
      </w:r>
      <w:r>
        <w:rPr>
          <w:rFonts w:hint="eastAsia" w:ascii="宋体" w:hAnsi="宋体"/>
          <w:color w:val="auto"/>
          <w:sz w:val="24"/>
        </w:rPr>
        <w:t>应全额赔偿。</w:t>
      </w:r>
    </w:p>
    <w:p>
      <w:pPr>
        <w:adjustRightInd/>
        <w:spacing w:line="360" w:lineRule="auto"/>
        <w:ind w:firstLine="480" w:firstLineChars="200"/>
        <w:rPr>
          <w:rFonts w:ascii="宋体" w:hAnsi="宋体"/>
          <w:color w:val="auto"/>
          <w:sz w:val="24"/>
        </w:rPr>
      </w:pPr>
      <w:r>
        <w:rPr>
          <w:rFonts w:ascii="仿宋_GB2312" w:hAnsi="仿宋_GB2312"/>
          <w:color w:val="auto"/>
          <w:sz w:val="24"/>
        </w:rPr>
        <w:t xml:space="preserve">4.7 </w:t>
      </w:r>
      <w:r>
        <w:rPr>
          <w:rFonts w:hint="eastAsia" w:ascii="宋体" w:hAnsi="宋体"/>
          <w:color w:val="auto"/>
          <w:sz w:val="24"/>
        </w:rPr>
        <w:t>图书出现装订、印刷质量问题和损坏，中标人必须无条件负责退换。</w:t>
      </w:r>
    </w:p>
    <w:p>
      <w:pPr>
        <w:adjustRightInd/>
        <w:spacing w:line="360" w:lineRule="auto"/>
        <w:ind w:firstLine="480" w:firstLineChars="200"/>
        <w:rPr>
          <w:rFonts w:ascii="仿宋_GB2312" w:hAnsi="宋体"/>
          <w:color w:val="auto"/>
          <w:sz w:val="24"/>
        </w:rPr>
      </w:pPr>
      <w:r>
        <w:rPr>
          <w:rFonts w:ascii="仿宋_GB2312" w:hAnsi="仿宋_GB2312"/>
          <w:color w:val="auto"/>
          <w:sz w:val="24"/>
        </w:rPr>
        <w:t xml:space="preserve">4.8 </w:t>
      </w:r>
      <w:r>
        <w:rPr>
          <w:rFonts w:hint="eastAsia" w:ascii="宋体" w:hAnsi="宋体"/>
          <w:color w:val="auto"/>
          <w:sz w:val="24"/>
        </w:rPr>
        <w:t>采购人对中标人供应的图书经检验并认为达到技术质量要求的，给予签收。</w:t>
      </w:r>
    </w:p>
    <w:p>
      <w:pPr>
        <w:adjustRightInd/>
        <w:spacing w:line="360" w:lineRule="auto"/>
        <w:ind w:firstLine="480" w:firstLineChars="200"/>
        <w:rPr>
          <w:rFonts w:ascii="仿宋_GB2312" w:hAnsi="宋体"/>
          <w:color w:val="auto"/>
          <w:sz w:val="24"/>
        </w:rPr>
      </w:pPr>
      <w:r>
        <w:rPr>
          <w:rFonts w:ascii="仿宋_GB2312" w:hAnsi="仿宋_GB2312"/>
          <w:color w:val="auto"/>
          <w:sz w:val="24"/>
        </w:rPr>
        <w:t xml:space="preserve">4.9 </w:t>
      </w:r>
      <w:r>
        <w:rPr>
          <w:rFonts w:hint="eastAsia" w:ascii="宋体" w:hAnsi="宋体"/>
          <w:color w:val="auto"/>
          <w:sz w:val="24"/>
        </w:rPr>
        <w:t>采购人在图书到达之日起</w:t>
      </w:r>
      <w:r>
        <w:rPr>
          <w:rFonts w:ascii="仿宋_GB2312" w:hAnsi="仿宋_GB2312"/>
          <w:color w:val="auto"/>
          <w:sz w:val="24"/>
        </w:rPr>
        <w:t>1</w:t>
      </w:r>
      <w:r>
        <w:rPr>
          <w:rFonts w:hint="eastAsia" w:ascii="仿宋_GB2312" w:hAnsi="仿宋_GB2312"/>
          <w:color w:val="auto"/>
          <w:sz w:val="24"/>
        </w:rPr>
        <w:t>5</w:t>
      </w:r>
      <w:r>
        <w:rPr>
          <w:rFonts w:hint="eastAsia" w:ascii="宋体" w:hAnsi="宋体"/>
          <w:color w:val="auto"/>
          <w:sz w:val="24"/>
        </w:rPr>
        <w:t>个工作日内验收完毕。验收过程中，如发现收到的图书与发货清单不符，或有错装、倒装、污损等质量问题，采购人应及时通知中标人，</w:t>
      </w:r>
      <w:r>
        <w:rPr>
          <w:rFonts w:hint="eastAsia" w:ascii="宋体" w:hAnsi="宋体"/>
          <w:color w:val="auto"/>
          <w:sz w:val="24"/>
        </w:rPr>
        <w:t>中标人应在五日内完成补发、换发，存在问题的图书不作为到书率计算的基数。</w:t>
      </w:r>
    </w:p>
    <w:p>
      <w:pPr>
        <w:adjustRightInd/>
        <w:spacing w:line="360" w:lineRule="auto"/>
        <w:ind w:firstLine="480" w:firstLineChars="200"/>
        <w:rPr>
          <w:rFonts w:ascii="宋体" w:hAnsi="宋体"/>
          <w:color w:val="auto"/>
          <w:sz w:val="24"/>
        </w:rPr>
      </w:pPr>
      <w:r>
        <w:rPr>
          <w:rFonts w:ascii="仿宋_GB2312" w:hAnsi="仿宋_GB2312"/>
          <w:color w:val="auto"/>
          <w:sz w:val="24"/>
        </w:rPr>
        <w:t>5.</w:t>
      </w:r>
      <w:r>
        <w:rPr>
          <w:rFonts w:hint="eastAsia" w:ascii="宋体" w:hAnsi="宋体"/>
          <w:color w:val="auto"/>
          <w:sz w:val="24"/>
        </w:rPr>
        <w:t>中标人必须为采购人提供符合杭州地区公共图书馆要求的线上借书和书店借书服务（信阅和悦借服务）。</w:t>
      </w:r>
      <w:r>
        <w:rPr>
          <w:rFonts w:hint="eastAsia" w:ascii="宋体" w:hAnsi="宋体"/>
          <w:color w:val="auto"/>
          <w:sz w:val="24"/>
        </w:rPr>
        <w:t>否则，视为根本违约，</w:t>
      </w:r>
      <w:r>
        <w:rPr>
          <w:rFonts w:hint="eastAsia" w:ascii="宋体" w:hAnsi="宋体"/>
          <w:color w:val="auto"/>
          <w:sz w:val="24"/>
          <w:lang w:val="en-US" w:eastAsia="zh-CN"/>
        </w:rPr>
        <w:t>采购人</w:t>
      </w:r>
      <w:r>
        <w:rPr>
          <w:rFonts w:hint="eastAsia" w:ascii="宋体" w:hAnsi="宋体"/>
          <w:color w:val="auto"/>
          <w:sz w:val="24"/>
        </w:rPr>
        <w:t>有权解除合同，并要求</w:t>
      </w:r>
      <w:r>
        <w:rPr>
          <w:rFonts w:hint="eastAsia" w:ascii="宋体" w:hAnsi="宋体"/>
          <w:color w:val="auto"/>
          <w:sz w:val="24"/>
          <w:lang w:val="en-US" w:eastAsia="zh-CN"/>
        </w:rPr>
        <w:t>中标人</w:t>
      </w:r>
      <w:r>
        <w:rPr>
          <w:rFonts w:hint="eastAsia" w:ascii="宋体" w:hAnsi="宋体"/>
          <w:color w:val="auto"/>
          <w:sz w:val="24"/>
        </w:rPr>
        <w:t>承担合同价款20%的违约金，造成</w:t>
      </w:r>
      <w:r>
        <w:rPr>
          <w:rFonts w:hint="eastAsia" w:ascii="宋体" w:hAnsi="宋体"/>
          <w:color w:val="auto"/>
          <w:sz w:val="24"/>
          <w:lang w:val="en-US" w:eastAsia="zh-CN"/>
        </w:rPr>
        <w:t>采购人</w:t>
      </w:r>
      <w:r>
        <w:rPr>
          <w:rFonts w:hint="eastAsia" w:ascii="宋体" w:hAnsi="宋体"/>
          <w:color w:val="auto"/>
          <w:sz w:val="24"/>
        </w:rPr>
        <w:t>损失的，</w:t>
      </w:r>
      <w:r>
        <w:rPr>
          <w:rFonts w:hint="eastAsia" w:ascii="宋体" w:hAnsi="宋体"/>
          <w:color w:val="auto"/>
          <w:sz w:val="24"/>
          <w:lang w:val="en-US" w:eastAsia="zh-CN"/>
        </w:rPr>
        <w:t>中标人</w:t>
      </w:r>
      <w:r>
        <w:rPr>
          <w:rFonts w:hint="eastAsia" w:ascii="宋体" w:hAnsi="宋体"/>
          <w:color w:val="auto"/>
          <w:sz w:val="24"/>
        </w:rPr>
        <w:t>承担赔偿责任。</w:t>
      </w:r>
    </w:p>
    <w:p>
      <w:pPr>
        <w:adjustRightInd/>
        <w:spacing w:line="360" w:lineRule="auto"/>
        <w:ind w:firstLine="482"/>
        <w:rPr>
          <w:rFonts w:ascii="仿宋_GB2312" w:hAnsi="宋体"/>
          <w:b/>
          <w:bCs/>
          <w:color w:val="auto"/>
          <w:sz w:val="24"/>
        </w:rPr>
      </w:pPr>
      <w:r>
        <w:rPr>
          <w:rFonts w:hint="eastAsia" w:ascii="宋体" w:hAnsi="宋体"/>
          <w:b/>
          <w:bCs/>
          <w:color w:val="auto"/>
          <w:sz w:val="24"/>
          <w:lang w:val="en-US" w:eastAsia="zh-CN"/>
        </w:rPr>
        <w:t>五</w:t>
      </w:r>
      <w:r>
        <w:rPr>
          <w:rFonts w:hint="eastAsia" w:ascii="宋体" w:hAnsi="宋体"/>
          <w:b/>
          <w:bCs/>
          <w:color w:val="auto"/>
          <w:sz w:val="24"/>
        </w:rPr>
        <w:t>、交货期及付款</w:t>
      </w:r>
    </w:p>
    <w:p>
      <w:pPr>
        <w:adjustRightInd/>
        <w:spacing w:line="360" w:lineRule="auto"/>
        <w:ind w:firstLine="480" w:firstLineChars="200"/>
        <w:rPr>
          <w:rFonts w:ascii="仿宋_GB2312" w:hAnsi="宋体"/>
          <w:color w:val="auto"/>
          <w:sz w:val="24"/>
        </w:rPr>
      </w:pPr>
      <w:r>
        <w:rPr>
          <w:rFonts w:ascii="仿宋_GB2312" w:hAnsi="仿宋_GB2312"/>
          <w:color w:val="auto"/>
          <w:sz w:val="24"/>
        </w:rPr>
        <w:t>1</w:t>
      </w:r>
      <w:r>
        <w:rPr>
          <w:rFonts w:hint="eastAsia" w:ascii="宋体" w:hAnsi="宋体"/>
          <w:color w:val="auto"/>
          <w:sz w:val="24"/>
        </w:rPr>
        <w:t>.自合同签订生效之日起至</w:t>
      </w:r>
      <w:r>
        <w:rPr>
          <w:rFonts w:ascii="仿宋_GB2312" w:hAnsi="仿宋_GB2312"/>
          <w:color w:val="auto"/>
          <w:sz w:val="24"/>
        </w:rPr>
        <w:t>202</w:t>
      </w:r>
      <w:r>
        <w:rPr>
          <w:rFonts w:hint="eastAsia" w:ascii="仿宋_GB2312" w:hAnsi="仿宋_GB2312"/>
          <w:color w:val="auto"/>
          <w:sz w:val="24"/>
        </w:rPr>
        <w:t>4</w:t>
      </w:r>
      <w:r>
        <w:rPr>
          <w:rFonts w:hint="eastAsia" w:ascii="宋体" w:hAnsi="宋体"/>
          <w:color w:val="auto"/>
          <w:sz w:val="24"/>
        </w:rPr>
        <w:t>年</w:t>
      </w:r>
      <w:r>
        <w:rPr>
          <w:rFonts w:ascii="仿宋_GB2312" w:hAnsi="宋体"/>
          <w:color w:val="auto"/>
          <w:sz w:val="24"/>
        </w:rPr>
        <w:t>12</w:t>
      </w:r>
      <w:r>
        <w:rPr>
          <w:rFonts w:hint="eastAsia" w:ascii="宋体" w:hAnsi="宋体"/>
          <w:color w:val="auto"/>
          <w:sz w:val="24"/>
        </w:rPr>
        <w:t>月</w:t>
      </w:r>
      <w:r>
        <w:rPr>
          <w:rFonts w:ascii="仿宋_GB2312" w:hAnsi="仿宋_GB2312"/>
          <w:color w:val="auto"/>
          <w:sz w:val="24"/>
        </w:rPr>
        <w:t>31</w:t>
      </w:r>
      <w:r>
        <w:rPr>
          <w:rFonts w:hint="eastAsia" w:ascii="宋体" w:hAnsi="宋体"/>
          <w:color w:val="auto"/>
          <w:sz w:val="24"/>
        </w:rPr>
        <w:t>日止。合同期满，中标人应根据采购人的要求延续提供</w:t>
      </w:r>
      <w:r>
        <w:rPr>
          <w:rFonts w:ascii="仿宋_GB2312" w:hAnsi="仿宋_GB2312"/>
          <w:color w:val="auto"/>
          <w:sz w:val="24"/>
        </w:rPr>
        <w:t>1-3</w:t>
      </w:r>
      <w:r>
        <w:rPr>
          <w:rFonts w:hint="eastAsia" w:ascii="宋体" w:hAnsi="宋体"/>
          <w:color w:val="auto"/>
          <w:sz w:val="24"/>
        </w:rPr>
        <w:t>个月的服务，图书各项费用总和的折扣率按原合同规定执行。合同期内，中标人能严格履行合同。</w:t>
      </w:r>
    </w:p>
    <w:p>
      <w:pPr>
        <w:adjustRightInd/>
        <w:spacing w:line="360" w:lineRule="auto"/>
        <w:ind w:firstLine="480" w:firstLineChars="200"/>
        <w:rPr>
          <w:rFonts w:ascii="宋体" w:hAnsi="宋体" w:cs="宋体"/>
          <w:bCs/>
          <w:color w:val="auto"/>
          <w:sz w:val="24"/>
        </w:rPr>
      </w:pPr>
      <w:r>
        <w:rPr>
          <w:rFonts w:ascii="仿宋_GB2312" w:hAnsi="仿宋_GB2312"/>
          <w:color w:val="auto"/>
          <w:sz w:val="24"/>
        </w:rPr>
        <w:t>2</w:t>
      </w:r>
      <w:r>
        <w:rPr>
          <w:rFonts w:hint="eastAsia" w:ascii="仿宋_GB2312" w:hAnsi="仿宋_GB2312"/>
          <w:color w:val="auto"/>
          <w:sz w:val="24"/>
        </w:rPr>
        <w:t>.</w:t>
      </w:r>
      <w:r>
        <w:rPr>
          <w:rFonts w:hint="eastAsia" w:ascii="宋体" w:hAnsi="宋体"/>
          <w:color w:val="auto"/>
          <w:sz w:val="24"/>
        </w:rPr>
        <w:t>凡交付西湖区图书馆的图书，以图书定价作为计算书款的依据。经验收发现书款与发货单不符的，采购人将及时通知中标人派相关人员到验收地核算，中标人接到通知之后不能及时派人员核算的，以采购人验收的实际数额计算书款金额。</w:t>
      </w:r>
    </w:p>
    <w:bookmarkEnd w:id="32"/>
    <w:p>
      <w:pPr>
        <w:rPr>
          <w:rFonts w:hint="eastAsia" w:ascii="宋体" w:hAnsi="宋体" w:cs="宋体"/>
          <w:b/>
          <w:color w:val="auto"/>
          <w:sz w:val="36"/>
          <w:szCs w:val="36"/>
        </w:rPr>
      </w:pPr>
      <w:r>
        <w:rPr>
          <w:rFonts w:hint="eastAsia" w:ascii="宋体" w:hAnsi="宋体" w:cs="宋体"/>
          <w:b/>
          <w:color w:val="auto"/>
          <w:sz w:val="36"/>
          <w:szCs w:val="36"/>
        </w:rPr>
        <w:br w:type="page"/>
      </w:r>
    </w:p>
    <w:p>
      <w:pPr>
        <w:spacing w:line="360" w:lineRule="auto"/>
        <w:ind w:firstLine="723"/>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3" w:name="_Toc184312068"/>
      <w:bookmarkEnd w:id="33"/>
      <w:bookmarkStart w:id="34" w:name="_Toc184314455"/>
      <w:bookmarkEnd w:id="34"/>
      <w:bookmarkStart w:id="35" w:name="_Toc184313288"/>
      <w:bookmarkEnd w:id="35"/>
      <w:bookmarkStart w:id="36" w:name="_Toc184312121"/>
      <w:bookmarkEnd w:id="36"/>
      <w:bookmarkStart w:id="37" w:name="_Toc184313294"/>
      <w:bookmarkEnd w:id="37"/>
      <w:bookmarkStart w:id="38" w:name="_Toc184313271"/>
      <w:bookmarkEnd w:id="38"/>
      <w:bookmarkStart w:id="39" w:name="_Toc184312119"/>
      <w:bookmarkEnd w:id="39"/>
      <w:bookmarkStart w:id="40" w:name="_Toc184310327"/>
      <w:bookmarkEnd w:id="40"/>
      <w:bookmarkStart w:id="41" w:name="_Toc184314446"/>
      <w:bookmarkEnd w:id="41"/>
      <w:bookmarkStart w:id="42" w:name="_Toc184313287"/>
      <w:bookmarkEnd w:id="42"/>
      <w:bookmarkStart w:id="43" w:name="_Toc184314465"/>
      <w:bookmarkEnd w:id="43"/>
      <w:bookmarkStart w:id="44" w:name="_Toc184313269"/>
      <w:bookmarkEnd w:id="44"/>
      <w:bookmarkStart w:id="45" w:name="_Toc184314441"/>
      <w:bookmarkEnd w:id="45"/>
      <w:bookmarkStart w:id="46" w:name="_Toc184308102"/>
      <w:bookmarkEnd w:id="46"/>
      <w:bookmarkStart w:id="47" w:name="_Toc184313241"/>
      <w:bookmarkEnd w:id="47"/>
      <w:bookmarkStart w:id="48" w:name="_Toc184310336"/>
      <w:bookmarkEnd w:id="48"/>
      <w:bookmarkStart w:id="49" w:name="_Toc184310332"/>
      <w:bookmarkEnd w:id="49"/>
      <w:bookmarkStart w:id="50" w:name="_Toc184308095"/>
      <w:bookmarkEnd w:id="50"/>
      <w:bookmarkStart w:id="51" w:name="_Toc184308072"/>
      <w:bookmarkEnd w:id="51"/>
      <w:bookmarkStart w:id="52" w:name="_Toc184308084"/>
      <w:bookmarkEnd w:id="52"/>
      <w:bookmarkStart w:id="53" w:name="_Toc184314479"/>
      <w:bookmarkEnd w:id="53"/>
      <w:bookmarkStart w:id="54" w:name="_Toc184310304"/>
      <w:bookmarkEnd w:id="54"/>
      <w:bookmarkStart w:id="55" w:name="_Toc184310310"/>
      <w:bookmarkEnd w:id="55"/>
      <w:bookmarkStart w:id="56" w:name="_Toc184313242"/>
      <w:bookmarkEnd w:id="56"/>
      <w:bookmarkStart w:id="57" w:name="_Toc184310295"/>
      <w:bookmarkEnd w:id="57"/>
      <w:bookmarkStart w:id="58" w:name="_Toc184308079"/>
      <w:bookmarkEnd w:id="58"/>
      <w:bookmarkStart w:id="59" w:name="_Toc184308047"/>
      <w:bookmarkEnd w:id="59"/>
      <w:bookmarkStart w:id="60" w:name="_Toc184310298"/>
      <w:bookmarkEnd w:id="60"/>
      <w:bookmarkStart w:id="61" w:name="_Toc184313251"/>
      <w:bookmarkEnd w:id="61"/>
      <w:bookmarkStart w:id="62" w:name="_Toc184313253"/>
      <w:bookmarkEnd w:id="62"/>
      <w:bookmarkStart w:id="63" w:name="_Toc184310277"/>
      <w:bookmarkEnd w:id="63"/>
      <w:bookmarkStart w:id="64" w:name="_Toc184313249"/>
      <w:bookmarkEnd w:id="64"/>
      <w:bookmarkStart w:id="65" w:name="_Toc184314460"/>
      <w:bookmarkEnd w:id="65"/>
      <w:bookmarkStart w:id="66" w:name="_Toc184313278"/>
      <w:bookmarkEnd w:id="66"/>
      <w:bookmarkStart w:id="67" w:name="_Toc184308074"/>
      <w:bookmarkEnd w:id="67"/>
      <w:bookmarkStart w:id="68" w:name="_Toc184314439"/>
      <w:bookmarkEnd w:id="68"/>
      <w:bookmarkStart w:id="69" w:name="_Toc184312091"/>
      <w:bookmarkEnd w:id="69"/>
      <w:bookmarkStart w:id="70" w:name="_Toc184314470"/>
      <w:bookmarkEnd w:id="70"/>
      <w:bookmarkStart w:id="71" w:name="_Toc184310326"/>
      <w:bookmarkEnd w:id="71"/>
      <w:bookmarkStart w:id="72" w:name="_Toc184312082"/>
      <w:bookmarkEnd w:id="72"/>
      <w:bookmarkStart w:id="73" w:name="_Toc184314463"/>
      <w:bookmarkEnd w:id="73"/>
      <w:bookmarkStart w:id="74" w:name="_Toc184314430"/>
      <w:bookmarkEnd w:id="74"/>
      <w:bookmarkStart w:id="75" w:name="_Toc184308098"/>
      <w:bookmarkEnd w:id="75"/>
      <w:bookmarkStart w:id="76" w:name="_Toc184308073"/>
      <w:bookmarkEnd w:id="76"/>
      <w:bookmarkStart w:id="77" w:name="_Toc184308078"/>
      <w:bookmarkEnd w:id="77"/>
      <w:bookmarkStart w:id="78" w:name="_Toc184308069"/>
      <w:bookmarkEnd w:id="78"/>
      <w:bookmarkStart w:id="79" w:name="_Toc184313296"/>
      <w:bookmarkEnd w:id="79"/>
      <w:bookmarkStart w:id="80" w:name="_Toc184308039"/>
      <w:bookmarkEnd w:id="80"/>
      <w:bookmarkStart w:id="81" w:name="_Toc184313246"/>
      <w:bookmarkEnd w:id="81"/>
      <w:bookmarkStart w:id="82" w:name="_Toc184308107"/>
      <w:bookmarkEnd w:id="82"/>
      <w:bookmarkStart w:id="83" w:name="_Toc184308049"/>
      <w:bookmarkEnd w:id="83"/>
      <w:bookmarkStart w:id="84" w:name="_Toc184313302"/>
      <w:bookmarkEnd w:id="84"/>
      <w:bookmarkStart w:id="85" w:name="_Toc184308085"/>
      <w:bookmarkEnd w:id="85"/>
      <w:bookmarkStart w:id="86" w:name="_Toc184308055"/>
      <w:bookmarkEnd w:id="86"/>
      <w:bookmarkStart w:id="87" w:name="_Toc184312101"/>
      <w:bookmarkEnd w:id="87"/>
      <w:bookmarkStart w:id="88" w:name="_Toc184314466"/>
      <w:bookmarkEnd w:id="88"/>
      <w:bookmarkStart w:id="89" w:name="_Toc184314452"/>
      <w:bookmarkEnd w:id="89"/>
      <w:bookmarkStart w:id="90" w:name="_Toc184310274"/>
      <w:bookmarkEnd w:id="90"/>
      <w:bookmarkStart w:id="91" w:name="_Toc184313260"/>
      <w:bookmarkEnd w:id="91"/>
      <w:bookmarkStart w:id="92" w:name="_Toc184314427"/>
      <w:bookmarkEnd w:id="92"/>
      <w:bookmarkStart w:id="93" w:name="_Toc184313291"/>
      <w:bookmarkEnd w:id="93"/>
      <w:bookmarkStart w:id="94" w:name="_Toc184308083"/>
      <w:bookmarkEnd w:id="94"/>
      <w:bookmarkStart w:id="95" w:name="_Toc184310281"/>
      <w:bookmarkEnd w:id="95"/>
      <w:bookmarkStart w:id="96" w:name="_Toc184313247"/>
      <w:bookmarkEnd w:id="96"/>
      <w:bookmarkStart w:id="97" w:name="_Toc184312096"/>
      <w:bookmarkEnd w:id="97"/>
      <w:bookmarkStart w:id="98" w:name="_Toc184308054"/>
      <w:bookmarkEnd w:id="98"/>
      <w:bookmarkStart w:id="99" w:name="_Toc184310282"/>
      <w:bookmarkEnd w:id="99"/>
      <w:bookmarkStart w:id="100" w:name="_Toc184310302"/>
      <w:bookmarkEnd w:id="100"/>
      <w:bookmarkStart w:id="101" w:name="_Toc184312080"/>
      <w:bookmarkEnd w:id="101"/>
      <w:bookmarkStart w:id="102" w:name="_Toc184314456"/>
      <w:bookmarkEnd w:id="102"/>
      <w:bookmarkStart w:id="103" w:name="_Toc184310276"/>
      <w:bookmarkEnd w:id="103"/>
      <w:bookmarkStart w:id="104" w:name="_Toc184310309"/>
      <w:bookmarkEnd w:id="104"/>
      <w:bookmarkStart w:id="105" w:name="_Toc184308057"/>
      <w:bookmarkEnd w:id="105"/>
      <w:bookmarkStart w:id="106" w:name="_Toc184310292"/>
      <w:bookmarkEnd w:id="106"/>
      <w:bookmarkStart w:id="107" w:name="_Toc184313252"/>
      <w:bookmarkEnd w:id="107"/>
      <w:bookmarkStart w:id="108" w:name="_Toc184310330"/>
      <w:bookmarkEnd w:id="108"/>
      <w:bookmarkStart w:id="109" w:name="_Toc184312130"/>
      <w:bookmarkEnd w:id="109"/>
      <w:bookmarkStart w:id="110" w:name="_Toc184313283"/>
      <w:bookmarkEnd w:id="110"/>
      <w:bookmarkStart w:id="111" w:name="_Toc184310280"/>
      <w:bookmarkEnd w:id="111"/>
      <w:bookmarkStart w:id="112" w:name="_Toc184313290"/>
      <w:bookmarkEnd w:id="112"/>
      <w:bookmarkStart w:id="113" w:name="_Toc184310294"/>
      <w:bookmarkEnd w:id="113"/>
      <w:bookmarkStart w:id="114" w:name="_Toc184313240"/>
      <w:bookmarkEnd w:id="114"/>
      <w:bookmarkStart w:id="115" w:name="_Toc184314423"/>
      <w:bookmarkEnd w:id="115"/>
      <w:bookmarkStart w:id="116" w:name="_Toc184310320"/>
      <w:bookmarkEnd w:id="116"/>
      <w:bookmarkStart w:id="117" w:name="_Toc184308037"/>
      <w:bookmarkEnd w:id="117"/>
      <w:bookmarkStart w:id="118" w:name="_Toc184308050"/>
      <w:bookmarkEnd w:id="118"/>
      <w:bookmarkStart w:id="119" w:name="_Toc184313298"/>
      <w:bookmarkEnd w:id="119"/>
      <w:bookmarkStart w:id="120" w:name="_Toc184314458"/>
      <w:bookmarkEnd w:id="120"/>
      <w:bookmarkStart w:id="121" w:name="_Toc184312133"/>
      <w:bookmarkEnd w:id="121"/>
      <w:bookmarkStart w:id="122" w:name="_Toc184313256"/>
      <w:bookmarkEnd w:id="122"/>
      <w:bookmarkStart w:id="123" w:name="_Toc184314469"/>
      <w:bookmarkEnd w:id="123"/>
      <w:bookmarkStart w:id="124" w:name="_Toc184308099"/>
      <w:bookmarkEnd w:id="124"/>
      <w:bookmarkStart w:id="125" w:name="_Toc184310293"/>
      <w:bookmarkEnd w:id="125"/>
      <w:bookmarkStart w:id="126" w:name="_Toc184308092"/>
      <w:bookmarkEnd w:id="126"/>
      <w:bookmarkStart w:id="127" w:name="_Toc184310325"/>
      <w:bookmarkEnd w:id="127"/>
      <w:bookmarkStart w:id="128" w:name="_Toc184308075"/>
      <w:bookmarkEnd w:id="128"/>
      <w:bookmarkStart w:id="129" w:name="_Toc184314462"/>
      <w:bookmarkEnd w:id="129"/>
      <w:bookmarkStart w:id="130" w:name="_Toc184313297"/>
      <w:bookmarkEnd w:id="130"/>
      <w:bookmarkStart w:id="131" w:name="_Toc184308062"/>
      <w:bookmarkEnd w:id="131"/>
      <w:bookmarkStart w:id="132" w:name="_Toc184312127"/>
      <w:bookmarkEnd w:id="132"/>
      <w:bookmarkStart w:id="133" w:name="_Toc184308066"/>
      <w:bookmarkEnd w:id="133"/>
      <w:bookmarkStart w:id="134" w:name="_Toc184308077"/>
      <w:bookmarkEnd w:id="134"/>
      <w:bookmarkStart w:id="135" w:name="_Toc184314445"/>
      <w:bookmarkEnd w:id="135"/>
      <w:bookmarkStart w:id="136" w:name="_Toc184308061"/>
      <w:bookmarkEnd w:id="136"/>
      <w:bookmarkStart w:id="137" w:name="_Toc184313255"/>
      <w:bookmarkEnd w:id="137"/>
      <w:bookmarkStart w:id="138" w:name="_Toc184313265"/>
      <w:bookmarkEnd w:id="138"/>
      <w:bookmarkStart w:id="139" w:name="_Toc184313261"/>
      <w:bookmarkEnd w:id="139"/>
      <w:bookmarkStart w:id="140" w:name="_Toc184310285"/>
      <w:bookmarkEnd w:id="140"/>
      <w:bookmarkStart w:id="141" w:name="_Toc184310288"/>
      <w:bookmarkEnd w:id="141"/>
      <w:bookmarkStart w:id="142" w:name="_Toc184310328"/>
      <w:bookmarkEnd w:id="142"/>
      <w:bookmarkStart w:id="143" w:name="_Toc184308036"/>
      <w:bookmarkEnd w:id="143"/>
      <w:bookmarkStart w:id="144" w:name="_Toc184310283"/>
      <w:bookmarkEnd w:id="144"/>
      <w:bookmarkStart w:id="145" w:name="_Toc184314440"/>
      <w:bookmarkEnd w:id="145"/>
      <w:bookmarkStart w:id="146" w:name="_Toc184314436"/>
      <w:bookmarkEnd w:id="146"/>
      <w:bookmarkStart w:id="147" w:name="_Toc184312086"/>
      <w:bookmarkEnd w:id="147"/>
      <w:bookmarkStart w:id="148" w:name="_Toc184308041"/>
      <w:bookmarkEnd w:id="148"/>
      <w:bookmarkStart w:id="149" w:name="_Toc184314471"/>
      <w:bookmarkEnd w:id="149"/>
      <w:bookmarkStart w:id="150" w:name="_Toc184310324"/>
      <w:bookmarkEnd w:id="150"/>
      <w:bookmarkStart w:id="151" w:name="_Toc184312079"/>
      <w:bookmarkEnd w:id="151"/>
      <w:bookmarkStart w:id="152" w:name="_Toc184314415"/>
      <w:bookmarkEnd w:id="152"/>
      <w:bookmarkStart w:id="153" w:name="_Toc184313264"/>
      <w:bookmarkEnd w:id="153"/>
      <w:bookmarkStart w:id="154" w:name="_Toc184314431"/>
      <w:bookmarkEnd w:id="154"/>
      <w:bookmarkStart w:id="155" w:name="_Toc184314467"/>
      <w:bookmarkEnd w:id="155"/>
      <w:bookmarkStart w:id="156" w:name="_Toc184310296"/>
      <w:bookmarkEnd w:id="156"/>
      <w:bookmarkStart w:id="157" w:name="_Toc184312123"/>
      <w:bookmarkEnd w:id="157"/>
      <w:bookmarkStart w:id="158" w:name="_Toc184308044"/>
      <w:bookmarkEnd w:id="158"/>
      <w:bookmarkStart w:id="159" w:name="_Toc184312138"/>
      <w:bookmarkEnd w:id="159"/>
      <w:bookmarkStart w:id="160" w:name="_Toc184314474"/>
      <w:bookmarkEnd w:id="160"/>
      <w:bookmarkStart w:id="161" w:name="_Toc184313266"/>
      <w:bookmarkEnd w:id="161"/>
      <w:bookmarkStart w:id="162" w:name="_Toc184310306"/>
      <w:bookmarkEnd w:id="162"/>
      <w:bookmarkStart w:id="163" w:name="_Toc184312102"/>
      <w:bookmarkEnd w:id="163"/>
      <w:bookmarkStart w:id="164" w:name="_Toc184308108"/>
      <w:bookmarkEnd w:id="164"/>
      <w:bookmarkStart w:id="165" w:name="_Toc184314442"/>
      <w:bookmarkEnd w:id="165"/>
      <w:bookmarkStart w:id="166" w:name="_Toc184314433"/>
      <w:bookmarkEnd w:id="166"/>
      <w:bookmarkStart w:id="167" w:name="_Toc184312111"/>
      <w:bookmarkEnd w:id="167"/>
      <w:bookmarkStart w:id="168" w:name="_Toc184313262"/>
      <w:bookmarkEnd w:id="168"/>
      <w:bookmarkStart w:id="169" w:name="_Toc184308100"/>
      <w:bookmarkEnd w:id="169"/>
      <w:bookmarkStart w:id="170" w:name="_Toc184308045"/>
      <w:bookmarkEnd w:id="170"/>
      <w:bookmarkStart w:id="171" w:name="_Toc184310301"/>
      <w:bookmarkEnd w:id="171"/>
      <w:bookmarkStart w:id="172" w:name="_Toc184313272"/>
      <w:bookmarkEnd w:id="172"/>
      <w:bookmarkStart w:id="173" w:name="_Toc184308042"/>
      <w:bookmarkEnd w:id="173"/>
      <w:bookmarkStart w:id="174" w:name="_Toc184308068"/>
      <w:bookmarkEnd w:id="174"/>
      <w:bookmarkStart w:id="175" w:name="_Toc184313239"/>
      <w:bookmarkEnd w:id="175"/>
      <w:bookmarkStart w:id="176" w:name="_Toc184314457"/>
      <w:bookmarkEnd w:id="176"/>
      <w:bookmarkStart w:id="177" w:name="_Toc184313275"/>
      <w:bookmarkEnd w:id="177"/>
      <w:bookmarkStart w:id="178" w:name="_Toc184314428"/>
      <w:bookmarkEnd w:id="178"/>
      <w:bookmarkStart w:id="179" w:name="_Toc184310341"/>
      <w:bookmarkEnd w:id="179"/>
      <w:bookmarkStart w:id="180" w:name="_Toc184313254"/>
      <w:bookmarkEnd w:id="180"/>
      <w:bookmarkStart w:id="181" w:name="_Toc184312093"/>
      <w:bookmarkEnd w:id="181"/>
      <w:bookmarkStart w:id="182" w:name="_Toc184314414"/>
      <w:bookmarkEnd w:id="182"/>
      <w:bookmarkStart w:id="183" w:name="_Toc184310344"/>
      <w:bookmarkEnd w:id="183"/>
      <w:bookmarkStart w:id="184" w:name="_Toc184314444"/>
      <w:bookmarkEnd w:id="184"/>
      <w:bookmarkStart w:id="185" w:name="_Toc184312075"/>
      <w:bookmarkEnd w:id="185"/>
      <w:bookmarkStart w:id="186" w:name="_Toc184308087"/>
      <w:bookmarkEnd w:id="186"/>
      <w:bookmarkStart w:id="187" w:name="_Toc184313277"/>
      <w:bookmarkEnd w:id="187"/>
      <w:bookmarkStart w:id="188" w:name="_Toc184313295"/>
      <w:bookmarkEnd w:id="188"/>
      <w:bookmarkStart w:id="189" w:name="_Toc184308089"/>
      <w:bookmarkEnd w:id="189"/>
      <w:bookmarkStart w:id="190" w:name="_Toc184312097"/>
      <w:bookmarkEnd w:id="190"/>
      <w:bookmarkStart w:id="191" w:name="_Toc184308088"/>
      <w:bookmarkEnd w:id="191"/>
      <w:bookmarkStart w:id="192" w:name="_Toc184308097"/>
      <w:bookmarkEnd w:id="192"/>
      <w:bookmarkStart w:id="193" w:name="_Toc184310317"/>
      <w:bookmarkEnd w:id="193"/>
      <w:bookmarkStart w:id="194" w:name="_Toc184308076"/>
      <w:bookmarkEnd w:id="194"/>
      <w:bookmarkStart w:id="195" w:name="_Toc184310305"/>
      <w:bookmarkEnd w:id="195"/>
      <w:bookmarkStart w:id="196" w:name="_Toc184308063"/>
      <w:bookmarkEnd w:id="196"/>
      <w:bookmarkStart w:id="197" w:name="_Toc184312070"/>
      <w:bookmarkEnd w:id="197"/>
      <w:bookmarkStart w:id="198" w:name="_Toc184314419"/>
      <w:bookmarkEnd w:id="198"/>
      <w:bookmarkStart w:id="199" w:name="_Toc184310286"/>
      <w:bookmarkEnd w:id="199"/>
      <w:bookmarkStart w:id="200" w:name="_Toc184313307"/>
      <w:bookmarkEnd w:id="200"/>
      <w:bookmarkStart w:id="201" w:name="_Toc184308101"/>
      <w:bookmarkEnd w:id="201"/>
      <w:bookmarkStart w:id="202" w:name="_Toc184312103"/>
      <w:bookmarkEnd w:id="202"/>
      <w:bookmarkStart w:id="203" w:name="_Toc184314422"/>
      <w:bookmarkEnd w:id="203"/>
      <w:bookmarkStart w:id="204" w:name="_Toc184308052"/>
      <w:bookmarkEnd w:id="204"/>
      <w:bookmarkStart w:id="205" w:name="_Toc184312128"/>
      <w:bookmarkEnd w:id="205"/>
      <w:bookmarkStart w:id="206" w:name="_Toc184313305"/>
      <w:bookmarkEnd w:id="206"/>
      <w:bookmarkStart w:id="207" w:name="_Toc184313280"/>
      <w:bookmarkEnd w:id="207"/>
      <w:bookmarkStart w:id="208" w:name="_Toc184308043"/>
      <w:bookmarkEnd w:id="208"/>
      <w:bookmarkStart w:id="209" w:name="_Toc184310299"/>
      <w:bookmarkEnd w:id="209"/>
      <w:bookmarkStart w:id="210" w:name="_Toc184314464"/>
      <w:bookmarkEnd w:id="210"/>
      <w:bookmarkStart w:id="211" w:name="_Toc184313293"/>
      <w:bookmarkEnd w:id="211"/>
      <w:bookmarkStart w:id="212" w:name="_Toc184310291"/>
      <w:bookmarkEnd w:id="212"/>
      <w:bookmarkStart w:id="213" w:name="_Toc184312083"/>
      <w:bookmarkEnd w:id="213"/>
      <w:bookmarkStart w:id="214" w:name="_Toc184310340"/>
      <w:bookmarkEnd w:id="214"/>
      <w:bookmarkStart w:id="215" w:name="_Toc184312117"/>
      <w:bookmarkEnd w:id="215"/>
      <w:bookmarkStart w:id="216" w:name="_Toc184312131"/>
      <w:bookmarkEnd w:id="216"/>
      <w:bookmarkStart w:id="217" w:name="_Toc184313300"/>
      <w:bookmarkEnd w:id="217"/>
      <w:bookmarkStart w:id="218" w:name="_Toc184313276"/>
      <w:bookmarkEnd w:id="218"/>
      <w:bookmarkStart w:id="219" w:name="_Toc184314416"/>
      <w:bookmarkEnd w:id="219"/>
      <w:bookmarkStart w:id="220" w:name="_Toc184310331"/>
      <w:bookmarkEnd w:id="220"/>
      <w:bookmarkStart w:id="221" w:name="_Toc184308082"/>
      <w:bookmarkEnd w:id="221"/>
      <w:bookmarkStart w:id="222" w:name="_Toc184314432"/>
      <w:bookmarkEnd w:id="222"/>
      <w:bookmarkStart w:id="223" w:name="_Toc184312105"/>
      <w:bookmarkEnd w:id="223"/>
      <w:bookmarkStart w:id="224" w:name="_Toc184312118"/>
      <w:bookmarkEnd w:id="224"/>
      <w:bookmarkStart w:id="225" w:name="_Toc184310272"/>
      <w:bookmarkEnd w:id="225"/>
      <w:bookmarkStart w:id="226" w:name="_Toc184312067"/>
      <w:bookmarkEnd w:id="226"/>
      <w:bookmarkStart w:id="227" w:name="_Toc184312137"/>
      <w:bookmarkEnd w:id="227"/>
      <w:bookmarkStart w:id="228" w:name="_Toc184313259"/>
      <w:bookmarkEnd w:id="228"/>
      <w:bookmarkStart w:id="229" w:name="_Toc184312073"/>
      <w:bookmarkEnd w:id="229"/>
      <w:bookmarkStart w:id="230" w:name="_Toc184312129"/>
      <w:bookmarkEnd w:id="230"/>
      <w:bookmarkStart w:id="231" w:name="_Toc184312092"/>
      <w:bookmarkEnd w:id="231"/>
      <w:bookmarkStart w:id="232" w:name="_Toc184308058"/>
      <w:bookmarkEnd w:id="232"/>
      <w:bookmarkStart w:id="233" w:name="_Toc184313244"/>
      <w:bookmarkEnd w:id="233"/>
      <w:bookmarkStart w:id="234" w:name="_Toc184314481"/>
      <w:bookmarkEnd w:id="234"/>
      <w:bookmarkStart w:id="235" w:name="_Toc184314411"/>
      <w:bookmarkEnd w:id="235"/>
      <w:bookmarkStart w:id="236" w:name="_Toc184308096"/>
      <w:bookmarkEnd w:id="236"/>
      <w:bookmarkStart w:id="237" w:name="_Toc184312112"/>
      <w:bookmarkEnd w:id="237"/>
      <w:bookmarkStart w:id="238" w:name="_Toc184310314"/>
      <w:bookmarkEnd w:id="238"/>
      <w:bookmarkStart w:id="239" w:name="_Toc184310279"/>
      <w:bookmarkEnd w:id="239"/>
      <w:bookmarkStart w:id="240" w:name="_Toc184310338"/>
      <w:bookmarkEnd w:id="240"/>
      <w:bookmarkStart w:id="241" w:name="_Toc184314424"/>
      <w:bookmarkEnd w:id="241"/>
      <w:bookmarkStart w:id="242" w:name="_Toc184308106"/>
      <w:bookmarkEnd w:id="242"/>
      <w:bookmarkStart w:id="243" w:name="_Toc184312099"/>
      <w:bookmarkEnd w:id="243"/>
      <w:bookmarkStart w:id="244" w:name="_Toc184310323"/>
      <w:bookmarkEnd w:id="244"/>
      <w:bookmarkStart w:id="245" w:name="_Toc184314449"/>
      <w:bookmarkEnd w:id="245"/>
      <w:bookmarkStart w:id="246" w:name="_Toc184313301"/>
      <w:bookmarkEnd w:id="246"/>
      <w:bookmarkStart w:id="247" w:name="_Toc184308051"/>
      <w:bookmarkEnd w:id="247"/>
      <w:bookmarkStart w:id="248" w:name="_Toc184310303"/>
      <w:bookmarkEnd w:id="248"/>
      <w:bookmarkStart w:id="249" w:name="_Toc184314461"/>
      <w:bookmarkEnd w:id="249"/>
      <w:bookmarkStart w:id="250" w:name="_Toc184312139"/>
      <w:bookmarkEnd w:id="250"/>
      <w:bookmarkStart w:id="251" w:name="_Toc184314447"/>
      <w:bookmarkEnd w:id="251"/>
      <w:bookmarkStart w:id="252" w:name="_Toc184314473"/>
      <w:bookmarkEnd w:id="252"/>
      <w:bookmarkStart w:id="253" w:name="_Toc184308094"/>
      <w:bookmarkEnd w:id="253"/>
      <w:bookmarkStart w:id="254" w:name="_Toc184314443"/>
      <w:bookmarkEnd w:id="254"/>
      <w:bookmarkStart w:id="255" w:name="_Toc184313299"/>
      <w:bookmarkEnd w:id="255"/>
      <w:bookmarkStart w:id="256" w:name="_Toc184313282"/>
      <w:bookmarkEnd w:id="256"/>
      <w:bookmarkStart w:id="257" w:name="_Toc184310333"/>
      <w:bookmarkEnd w:id="257"/>
      <w:bookmarkStart w:id="258" w:name="_Toc184313238"/>
      <w:bookmarkEnd w:id="258"/>
      <w:bookmarkStart w:id="259" w:name="_Toc184312126"/>
      <w:bookmarkEnd w:id="259"/>
      <w:bookmarkStart w:id="260" w:name="_Toc184312125"/>
      <w:bookmarkEnd w:id="260"/>
      <w:bookmarkStart w:id="261" w:name="_Toc184308056"/>
      <w:bookmarkEnd w:id="261"/>
      <w:bookmarkStart w:id="262" w:name="_Toc184312094"/>
      <w:bookmarkEnd w:id="262"/>
      <w:bookmarkStart w:id="263" w:name="_Toc184308080"/>
      <w:bookmarkEnd w:id="263"/>
      <w:bookmarkStart w:id="264" w:name="_Toc184310343"/>
      <w:bookmarkEnd w:id="264"/>
      <w:bookmarkStart w:id="265" w:name="_Toc184310289"/>
      <w:bookmarkEnd w:id="265"/>
      <w:bookmarkStart w:id="266" w:name="_Toc184312109"/>
      <w:bookmarkEnd w:id="266"/>
      <w:bookmarkStart w:id="267" w:name="_Toc184313273"/>
      <w:bookmarkEnd w:id="267"/>
      <w:bookmarkStart w:id="268" w:name="_Toc184313309"/>
      <w:bookmarkEnd w:id="268"/>
      <w:bookmarkStart w:id="269" w:name="_Toc184314459"/>
      <w:bookmarkEnd w:id="269"/>
      <w:bookmarkStart w:id="270" w:name="_Toc184310311"/>
      <w:bookmarkEnd w:id="270"/>
      <w:bookmarkStart w:id="271" w:name="_Toc184314448"/>
      <w:bookmarkEnd w:id="271"/>
      <w:bookmarkStart w:id="272" w:name="_Toc184312098"/>
      <w:bookmarkEnd w:id="272"/>
      <w:bookmarkStart w:id="273" w:name="_Toc184314450"/>
      <w:bookmarkEnd w:id="273"/>
      <w:bookmarkStart w:id="274" w:name="_Toc184308065"/>
      <w:bookmarkEnd w:id="274"/>
      <w:bookmarkStart w:id="275" w:name="_Toc184313267"/>
      <w:bookmarkEnd w:id="275"/>
      <w:bookmarkStart w:id="276" w:name="_Toc184314468"/>
      <w:bookmarkEnd w:id="276"/>
      <w:bookmarkStart w:id="277" w:name="_Toc184314476"/>
      <w:bookmarkEnd w:id="277"/>
      <w:bookmarkStart w:id="278" w:name="_Toc184313306"/>
      <w:bookmarkEnd w:id="278"/>
      <w:bookmarkStart w:id="279" w:name="_Toc184308086"/>
      <w:bookmarkEnd w:id="279"/>
      <w:bookmarkStart w:id="280" w:name="_Toc184308048"/>
      <w:bookmarkEnd w:id="280"/>
      <w:bookmarkStart w:id="281" w:name="_Toc184310342"/>
      <w:bookmarkEnd w:id="281"/>
      <w:bookmarkStart w:id="282" w:name="_Toc184313310"/>
      <w:bookmarkEnd w:id="282"/>
      <w:bookmarkStart w:id="283" w:name="_Toc184312136"/>
      <w:bookmarkEnd w:id="283"/>
      <w:bookmarkStart w:id="284" w:name="_Toc184312071"/>
      <w:bookmarkEnd w:id="284"/>
      <w:bookmarkStart w:id="285" w:name="_Toc184314472"/>
      <w:bookmarkEnd w:id="285"/>
      <w:bookmarkStart w:id="286" w:name="_Toc184312132"/>
      <w:bookmarkEnd w:id="286"/>
      <w:bookmarkStart w:id="287" w:name="_Toc184312106"/>
      <w:bookmarkEnd w:id="287"/>
      <w:bookmarkStart w:id="288" w:name="_Toc184308091"/>
      <w:bookmarkEnd w:id="288"/>
      <w:bookmarkStart w:id="289" w:name="_Toc184312076"/>
      <w:bookmarkEnd w:id="289"/>
      <w:bookmarkStart w:id="290" w:name="_Toc184314421"/>
      <w:bookmarkEnd w:id="290"/>
      <w:bookmarkStart w:id="291" w:name="_Toc184314480"/>
      <w:bookmarkEnd w:id="291"/>
      <w:bookmarkStart w:id="292" w:name="_Toc184312114"/>
      <w:bookmarkEnd w:id="292"/>
      <w:bookmarkStart w:id="293" w:name="_Toc184312115"/>
      <w:bookmarkEnd w:id="293"/>
      <w:bookmarkStart w:id="294" w:name="_Toc184312074"/>
      <w:bookmarkEnd w:id="294"/>
      <w:bookmarkStart w:id="295" w:name="_Toc184310319"/>
      <w:bookmarkEnd w:id="295"/>
      <w:bookmarkStart w:id="296" w:name="_Toc184312088"/>
      <w:bookmarkEnd w:id="296"/>
      <w:bookmarkStart w:id="297" w:name="_Toc184314435"/>
      <w:bookmarkEnd w:id="297"/>
      <w:bookmarkStart w:id="298" w:name="_Toc184313308"/>
      <w:bookmarkEnd w:id="298"/>
      <w:bookmarkStart w:id="299" w:name="_Toc184313243"/>
      <w:bookmarkEnd w:id="299"/>
      <w:bookmarkStart w:id="300" w:name="_Toc184312089"/>
      <w:bookmarkEnd w:id="300"/>
      <w:bookmarkStart w:id="301" w:name="_Toc184314438"/>
      <w:bookmarkEnd w:id="301"/>
      <w:bookmarkStart w:id="302" w:name="_Toc184308040"/>
      <w:bookmarkEnd w:id="302"/>
      <w:bookmarkStart w:id="303" w:name="_Toc184312110"/>
      <w:bookmarkEnd w:id="303"/>
      <w:bookmarkStart w:id="304" w:name="_Toc184313245"/>
      <w:bookmarkEnd w:id="304"/>
      <w:bookmarkStart w:id="305" w:name="_Toc184314412"/>
      <w:bookmarkEnd w:id="305"/>
      <w:bookmarkStart w:id="306" w:name="_Toc184310329"/>
      <w:bookmarkEnd w:id="306"/>
      <w:bookmarkStart w:id="307" w:name="_Toc184308046"/>
      <w:bookmarkEnd w:id="307"/>
      <w:bookmarkStart w:id="308" w:name="_Toc184310339"/>
      <w:bookmarkEnd w:id="308"/>
      <w:bookmarkStart w:id="309" w:name="_Toc184310284"/>
      <w:bookmarkEnd w:id="309"/>
      <w:bookmarkStart w:id="310" w:name="_Toc184313270"/>
      <w:bookmarkEnd w:id="310"/>
      <w:bookmarkStart w:id="311" w:name="_Toc184308070"/>
      <w:bookmarkEnd w:id="311"/>
      <w:bookmarkStart w:id="312" w:name="_Toc184312124"/>
      <w:bookmarkEnd w:id="312"/>
      <w:bookmarkStart w:id="313" w:name="_Toc184312084"/>
      <w:bookmarkEnd w:id="313"/>
      <w:bookmarkStart w:id="314" w:name="_Toc184314418"/>
      <w:bookmarkEnd w:id="314"/>
      <w:bookmarkStart w:id="315" w:name="_Toc184313289"/>
      <w:bookmarkEnd w:id="315"/>
      <w:bookmarkStart w:id="316" w:name="_Toc184310297"/>
      <w:bookmarkEnd w:id="316"/>
      <w:bookmarkStart w:id="317" w:name="_Toc184308067"/>
      <w:bookmarkEnd w:id="317"/>
      <w:bookmarkStart w:id="318" w:name="_Toc184314475"/>
      <w:bookmarkEnd w:id="318"/>
      <w:bookmarkStart w:id="319" w:name="_Toc184314425"/>
      <w:bookmarkEnd w:id="319"/>
      <w:bookmarkStart w:id="320" w:name="_Toc184312122"/>
      <w:bookmarkEnd w:id="320"/>
      <w:bookmarkStart w:id="321" w:name="_Toc184313284"/>
      <w:bookmarkEnd w:id="321"/>
      <w:bookmarkStart w:id="322" w:name="_Toc184314413"/>
      <w:bookmarkEnd w:id="322"/>
      <w:bookmarkStart w:id="323" w:name="_Toc184310318"/>
      <w:bookmarkEnd w:id="323"/>
      <w:bookmarkStart w:id="324" w:name="_Toc184314420"/>
      <w:bookmarkEnd w:id="324"/>
      <w:bookmarkStart w:id="325" w:name="_Toc184310300"/>
      <w:bookmarkEnd w:id="325"/>
      <w:bookmarkStart w:id="326" w:name="_Toc184312134"/>
      <w:bookmarkEnd w:id="326"/>
      <w:bookmarkStart w:id="327" w:name="_Toc184313292"/>
      <w:bookmarkEnd w:id="327"/>
      <w:bookmarkStart w:id="328" w:name="_Toc184314434"/>
      <w:bookmarkEnd w:id="328"/>
      <w:bookmarkStart w:id="329" w:name="_Toc184308053"/>
      <w:bookmarkEnd w:id="329"/>
      <w:bookmarkStart w:id="330" w:name="_Toc184310334"/>
      <w:bookmarkEnd w:id="330"/>
      <w:bookmarkStart w:id="331" w:name="_Toc184314426"/>
      <w:bookmarkEnd w:id="331"/>
      <w:bookmarkStart w:id="332" w:name="_Toc184308059"/>
      <w:bookmarkEnd w:id="332"/>
      <w:bookmarkStart w:id="333" w:name="_Toc184313279"/>
      <w:bookmarkEnd w:id="333"/>
      <w:bookmarkStart w:id="334" w:name="_Toc184312108"/>
      <w:bookmarkEnd w:id="334"/>
      <w:bookmarkStart w:id="335" w:name="_Toc184313304"/>
      <w:bookmarkEnd w:id="335"/>
      <w:bookmarkStart w:id="336" w:name="_Toc184313250"/>
      <w:bookmarkEnd w:id="336"/>
      <w:bookmarkStart w:id="337" w:name="_Toc184312095"/>
      <w:bookmarkEnd w:id="337"/>
      <w:bookmarkStart w:id="338" w:name="_Toc184310315"/>
      <w:bookmarkEnd w:id="338"/>
      <w:bookmarkStart w:id="339" w:name="_Toc184312081"/>
      <w:bookmarkEnd w:id="339"/>
      <w:bookmarkStart w:id="340" w:name="_Toc184312069"/>
      <w:bookmarkEnd w:id="340"/>
      <w:bookmarkStart w:id="341" w:name="_Toc184314478"/>
      <w:bookmarkEnd w:id="341"/>
      <w:bookmarkStart w:id="342" w:name="_Toc184308105"/>
      <w:bookmarkEnd w:id="342"/>
      <w:bookmarkStart w:id="343" w:name="_Toc184313258"/>
      <w:bookmarkEnd w:id="343"/>
      <w:bookmarkStart w:id="344" w:name="_Toc184308064"/>
      <w:bookmarkEnd w:id="344"/>
      <w:bookmarkStart w:id="345" w:name="_Toc184312078"/>
      <w:bookmarkEnd w:id="345"/>
      <w:bookmarkStart w:id="346" w:name="_Toc184308093"/>
      <w:bookmarkEnd w:id="346"/>
      <w:bookmarkStart w:id="347" w:name="_Toc184313303"/>
      <w:bookmarkEnd w:id="347"/>
      <w:bookmarkStart w:id="348" w:name="_Toc184312090"/>
      <w:bookmarkEnd w:id="348"/>
      <w:bookmarkStart w:id="349" w:name="_Toc184310278"/>
      <w:bookmarkEnd w:id="349"/>
      <w:bookmarkStart w:id="350" w:name="_Toc184310273"/>
      <w:bookmarkEnd w:id="350"/>
      <w:bookmarkStart w:id="351" w:name="_Toc184314417"/>
      <w:bookmarkEnd w:id="351"/>
      <w:bookmarkStart w:id="352" w:name="_Toc184312113"/>
      <w:bookmarkEnd w:id="352"/>
      <w:bookmarkStart w:id="353" w:name="_Toc184310275"/>
      <w:bookmarkEnd w:id="353"/>
      <w:bookmarkStart w:id="354" w:name="_Toc184312087"/>
      <w:bookmarkEnd w:id="354"/>
      <w:bookmarkStart w:id="355" w:name="_Toc184313263"/>
      <w:bookmarkEnd w:id="355"/>
      <w:bookmarkStart w:id="356" w:name="_Toc184310313"/>
      <w:bookmarkEnd w:id="356"/>
      <w:bookmarkStart w:id="357" w:name="_Toc184312116"/>
      <w:bookmarkEnd w:id="357"/>
      <w:bookmarkStart w:id="358" w:name="_Toc184313257"/>
      <w:bookmarkEnd w:id="358"/>
      <w:bookmarkStart w:id="359" w:name="_Toc184308090"/>
      <w:bookmarkEnd w:id="359"/>
      <w:bookmarkStart w:id="360" w:name="_Toc184313281"/>
      <w:bookmarkEnd w:id="360"/>
      <w:bookmarkStart w:id="361" w:name="_Toc184312104"/>
      <w:bookmarkEnd w:id="361"/>
      <w:bookmarkStart w:id="362" w:name="_Toc184308060"/>
      <w:bookmarkEnd w:id="362"/>
      <w:bookmarkStart w:id="363" w:name="_Toc184310312"/>
      <w:bookmarkEnd w:id="363"/>
      <w:bookmarkStart w:id="364" w:name="_Toc184312100"/>
      <w:bookmarkEnd w:id="364"/>
      <w:bookmarkStart w:id="365" w:name="_Toc184312072"/>
      <w:bookmarkEnd w:id="365"/>
      <w:bookmarkStart w:id="366" w:name="_Toc184308038"/>
      <w:bookmarkEnd w:id="366"/>
      <w:bookmarkStart w:id="367" w:name="_Toc184308104"/>
      <w:bookmarkEnd w:id="367"/>
      <w:bookmarkStart w:id="368" w:name="_Toc184314453"/>
      <w:bookmarkEnd w:id="368"/>
      <w:bookmarkStart w:id="369" w:name="_Toc184310290"/>
      <w:bookmarkEnd w:id="369"/>
      <w:bookmarkStart w:id="370" w:name="_Toc184314451"/>
      <w:bookmarkEnd w:id="370"/>
      <w:bookmarkStart w:id="371" w:name="_Toc184313285"/>
      <w:bookmarkEnd w:id="371"/>
      <w:bookmarkStart w:id="372" w:name="_Toc184312085"/>
      <w:bookmarkEnd w:id="372"/>
      <w:bookmarkStart w:id="373" w:name="_Toc184314454"/>
      <w:bookmarkEnd w:id="373"/>
      <w:bookmarkStart w:id="374" w:name="_Toc184312077"/>
      <w:bookmarkEnd w:id="374"/>
      <w:bookmarkStart w:id="375" w:name="_Toc184310308"/>
      <w:bookmarkEnd w:id="375"/>
      <w:bookmarkStart w:id="376" w:name="_Toc184314410"/>
      <w:bookmarkEnd w:id="376"/>
      <w:bookmarkStart w:id="377" w:name="_Toc184310335"/>
      <w:bookmarkEnd w:id="377"/>
      <w:bookmarkStart w:id="378" w:name="_Toc184308081"/>
      <w:bookmarkEnd w:id="378"/>
      <w:bookmarkStart w:id="379" w:name="_Toc184310322"/>
      <w:bookmarkEnd w:id="379"/>
      <w:bookmarkStart w:id="380" w:name="_Toc184310321"/>
      <w:bookmarkEnd w:id="380"/>
      <w:bookmarkStart w:id="381" w:name="_Toc184313268"/>
      <w:bookmarkEnd w:id="381"/>
      <w:bookmarkStart w:id="382" w:name="_Toc184310316"/>
      <w:bookmarkEnd w:id="382"/>
      <w:bookmarkStart w:id="383" w:name="_Toc184312135"/>
      <w:bookmarkEnd w:id="383"/>
      <w:bookmarkStart w:id="384" w:name="_Toc184310307"/>
      <w:bookmarkEnd w:id="384"/>
      <w:bookmarkStart w:id="385" w:name="_Toc184314482"/>
      <w:bookmarkEnd w:id="385"/>
      <w:bookmarkStart w:id="386" w:name="_Toc184314437"/>
      <w:bookmarkEnd w:id="386"/>
      <w:bookmarkStart w:id="387" w:name="_Toc184313274"/>
      <w:bookmarkEnd w:id="387"/>
      <w:bookmarkStart w:id="388" w:name="_Toc184308071"/>
      <w:bookmarkEnd w:id="388"/>
      <w:bookmarkStart w:id="389" w:name="_Toc184312120"/>
      <w:bookmarkEnd w:id="389"/>
      <w:bookmarkStart w:id="390" w:name="_Toc184308103"/>
      <w:bookmarkEnd w:id="390"/>
      <w:bookmarkStart w:id="391" w:name="_Toc184310337"/>
      <w:bookmarkEnd w:id="391"/>
      <w:bookmarkStart w:id="392" w:name="_Toc184313248"/>
      <w:bookmarkEnd w:id="392"/>
      <w:bookmarkStart w:id="393" w:name="_Toc184312107"/>
      <w:bookmarkEnd w:id="393"/>
      <w:bookmarkStart w:id="394" w:name="_Toc184310287"/>
      <w:bookmarkEnd w:id="394"/>
      <w:bookmarkStart w:id="395" w:name="_Toc184313286"/>
      <w:bookmarkEnd w:id="395"/>
      <w:bookmarkStart w:id="396" w:name="_Toc184314477"/>
      <w:bookmarkEnd w:id="396"/>
      <w:bookmarkStart w:id="397" w:name="_Toc184314429"/>
      <w:bookmarkEnd w:id="397"/>
      <w:r>
        <w:rPr>
          <w:rFonts w:hint="eastAsia" w:ascii="宋体" w:hAnsi="宋体" w:cs="宋体"/>
          <w:b/>
          <w:color w:val="auto"/>
          <w:sz w:val="36"/>
          <w:szCs w:val="36"/>
        </w:rPr>
        <w:t>评标办法</w:t>
      </w:r>
    </w:p>
    <w:p>
      <w:pPr>
        <w:snapToGrid w:val="0"/>
        <w:spacing w:line="360" w:lineRule="auto"/>
        <w:ind w:firstLine="643"/>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序号</w:t>
            </w:r>
          </w:p>
        </w:tc>
        <w:tc>
          <w:tcPr>
            <w:tcW w:w="354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评标标准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权重</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Cs/>
                <w:color w:val="auto"/>
                <w:kern w:val="0"/>
                <w:sz w:val="24"/>
                <w:szCs w:val="20"/>
              </w:rPr>
            </w:pPr>
            <w:r>
              <w:rPr>
                <w:rFonts w:hint="eastAsia" w:ascii="宋体" w:hAnsi="宋体" w:cs="宋体"/>
                <w:bCs/>
                <w:color w:val="auto"/>
                <w:kern w:val="0"/>
                <w:sz w:val="24"/>
                <w:szCs w:val="20"/>
              </w:rPr>
              <w:t>主观分/客观分属性</w:t>
            </w:r>
          </w:p>
        </w:tc>
        <w:tc>
          <w:tcPr>
            <w:tcW w:w="21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kern w:val="0"/>
                <w:sz w:val="24"/>
                <w:szCs w:val="20"/>
              </w:rPr>
            </w:pPr>
            <w:r>
              <w:rPr>
                <w:rFonts w:hint="eastAsia" w:ascii="宋体" w:hAnsi="宋体" w:cs="宋体"/>
                <w:bCs/>
                <w:color w:val="auto"/>
                <w:kern w:val="0"/>
                <w:sz w:val="24"/>
                <w:szCs w:val="20"/>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ascii="宋体" w:hAnsi="宋体" w:cs="宋体"/>
                <w:color w:val="auto"/>
                <w:kern w:val="0"/>
                <w:sz w:val="24"/>
                <w:szCs w:val="20"/>
              </w:rPr>
            </w:pPr>
            <w:r>
              <w:rPr>
                <w:rFonts w:hint="eastAsia" w:ascii="宋体" w:hAnsi="宋体" w:cs="宋体"/>
                <w:bCs/>
                <w:color w:val="auto"/>
                <w:kern w:val="0"/>
                <w:sz w:val="24"/>
                <w:szCs w:val="20"/>
              </w:rPr>
              <w:t>1</w:t>
            </w:r>
          </w:p>
        </w:tc>
        <w:tc>
          <w:tcPr>
            <w:tcW w:w="3545" w:type="dxa"/>
            <w:vAlign w:val="center"/>
          </w:tcPr>
          <w:p>
            <w:pPr>
              <w:ind w:firstLine="480"/>
              <w:contextualSpacing/>
              <w:outlineLvl w:val="0"/>
              <w:rPr>
                <w:rFonts w:ascii="宋体" w:hAnsi="宋体" w:cs="宋体"/>
                <w:color w:val="auto"/>
                <w:kern w:val="0"/>
                <w:sz w:val="24"/>
                <w:szCs w:val="20"/>
              </w:rPr>
            </w:pPr>
            <w:r>
              <w:rPr>
                <w:rFonts w:hint="eastAsia" w:ascii="宋体" w:hAnsi="宋体" w:cs="宋体"/>
                <w:color w:val="auto"/>
                <w:kern w:val="0"/>
                <w:sz w:val="24"/>
                <w:szCs w:val="20"/>
              </w:rPr>
              <w:t>图书质量：全新正版出版物；无破损；附件齐全。（以投标文件提供的质量承诺打分，未提供的不得分）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outlineLvl w:val="0"/>
              <w:rPr>
                <w:rFonts w:ascii="宋体" w:hAnsi="宋体" w:cs="宋体"/>
                <w:color w:val="auto"/>
                <w:kern w:val="0"/>
                <w:sz w:val="24"/>
                <w:szCs w:val="20"/>
              </w:rPr>
            </w:pPr>
            <w:r>
              <w:rPr>
                <w:rFonts w:hint="eastAsia" w:ascii="宋体" w:hAnsi="宋体" w:cs="宋体"/>
                <w:bCs/>
                <w:color w:val="auto"/>
                <w:kern w:val="0"/>
                <w:sz w:val="24"/>
                <w:szCs w:val="20"/>
              </w:rPr>
              <w:t>2</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hint="eastAsia" w:ascii="宋体" w:hAnsi="宋体" w:cs="宋体"/>
                <w:color w:val="auto"/>
                <w:kern w:val="0"/>
                <w:sz w:val="24"/>
                <w:szCs w:val="20"/>
              </w:rPr>
            </w:pPr>
            <w:r>
              <w:rPr>
                <w:rFonts w:hint="eastAsia" w:ascii="宋体" w:hAnsi="宋体" w:cs="宋体"/>
                <w:color w:val="auto"/>
                <w:kern w:val="0"/>
                <w:sz w:val="24"/>
                <w:szCs w:val="20"/>
              </w:rPr>
              <w:t>服务承诺保证</w:t>
            </w:r>
          </w:p>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ascii="宋体" w:hAnsi="宋体" w:cs="宋体"/>
                <w:color w:val="auto"/>
                <w:kern w:val="0"/>
                <w:sz w:val="24"/>
                <w:szCs w:val="20"/>
              </w:rPr>
            </w:pPr>
            <w:r>
              <w:rPr>
                <w:rFonts w:hint="eastAsia" w:ascii="宋体" w:hAnsi="宋体" w:cs="宋体"/>
                <w:bCs/>
                <w:color w:val="auto"/>
                <w:kern w:val="0"/>
                <w:sz w:val="24"/>
                <w:szCs w:val="20"/>
              </w:rPr>
              <w:t>2</w:t>
            </w:r>
          </w:p>
        </w:tc>
        <w:tc>
          <w:tcPr>
            <w:tcW w:w="3545" w:type="dxa"/>
            <w:vAlign w:val="center"/>
          </w:tcPr>
          <w:p>
            <w:pPr>
              <w:ind w:firstLine="480"/>
              <w:contextualSpacing/>
              <w:outlineLvl w:val="0"/>
              <w:rPr>
                <w:rFonts w:ascii="宋体" w:hAnsi="宋体" w:cs="宋体"/>
                <w:color w:val="auto"/>
                <w:kern w:val="0"/>
                <w:sz w:val="24"/>
                <w:szCs w:val="20"/>
              </w:rPr>
            </w:pPr>
            <w:r>
              <w:rPr>
                <w:rFonts w:hint="eastAsia" w:ascii="宋体" w:hAnsi="宋体" w:cs="宋体"/>
                <w:color w:val="auto"/>
                <w:kern w:val="0"/>
                <w:sz w:val="24"/>
                <w:szCs w:val="20"/>
              </w:rPr>
              <w:t>采访书目信息的覆盖程度和时效性</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bCs/>
                <w:color w:val="auto"/>
                <w:kern w:val="0"/>
                <w:sz w:val="24"/>
                <w:szCs w:val="20"/>
              </w:rPr>
              <w:t>/</w:t>
            </w:r>
          </w:p>
        </w:tc>
        <w:tc>
          <w:tcPr>
            <w:tcW w:w="1147" w:type="dxa"/>
            <w:vAlign w:val="center"/>
          </w:tcPr>
          <w:p>
            <w:pPr>
              <w:snapToGrid w:val="0"/>
              <w:spacing w:line="360" w:lineRule="auto"/>
              <w:ind w:firstLine="480"/>
              <w:jc w:val="center"/>
              <w:rPr>
                <w:rFonts w:ascii="宋体" w:hAnsi="宋体" w:cs="宋体"/>
                <w:color w:val="auto"/>
                <w:kern w:val="0"/>
                <w:sz w:val="24"/>
                <w:szCs w:val="20"/>
              </w:rPr>
            </w:pPr>
          </w:p>
        </w:tc>
        <w:tc>
          <w:tcPr>
            <w:tcW w:w="2150" w:type="dxa"/>
            <w:vAlign w:val="center"/>
          </w:tcPr>
          <w:p>
            <w:pPr>
              <w:snapToGrid w:val="0"/>
              <w:spacing w:line="360" w:lineRule="auto"/>
              <w:ind w:firstLine="480"/>
              <w:jc w:val="center"/>
              <w:rPr>
                <w:rFonts w:ascii="宋体" w:hAnsi="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ascii="宋体" w:hAnsi="宋体" w:cs="宋体"/>
                <w:color w:val="auto"/>
                <w:kern w:val="0"/>
                <w:sz w:val="24"/>
                <w:szCs w:val="20"/>
              </w:rPr>
            </w:pPr>
            <w:r>
              <w:rPr>
                <w:rFonts w:hint="eastAsia" w:ascii="宋体" w:hAnsi="宋体" w:cs="宋体"/>
                <w:bCs/>
                <w:color w:val="auto"/>
                <w:kern w:val="0"/>
                <w:sz w:val="24"/>
                <w:szCs w:val="20"/>
              </w:rPr>
              <w:t>2.1</w:t>
            </w:r>
          </w:p>
        </w:tc>
        <w:tc>
          <w:tcPr>
            <w:tcW w:w="3545" w:type="dxa"/>
            <w:vAlign w:val="center"/>
          </w:tcPr>
          <w:p>
            <w:pPr>
              <w:widowControl/>
              <w:ind w:firstLine="480"/>
              <w:contextualSpacing/>
              <w:rPr>
                <w:rFonts w:ascii="宋体" w:hAnsi="宋体" w:cs="宋体"/>
                <w:color w:val="auto"/>
                <w:kern w:val="0"/>
                <w:sz w:val="24"/>
                <w:szCs w:val="20"/>
              </w:rPr>
            </w:pPr>
            <w:r>
              <w:rPr>
                <w:rFonts w:hint="eastAsia" w:ascii="宋体" w:hAnsi="宋体" w:cs="宋体"/>
                <w:color w:val="auto"/>
                <w:kern w:val="0"/>
                <w:sz w:val="24"/>
                <w:szCs w:val="20"/>
              </w:rPr>
              <w:t>采访书目齐全、</w:t>
            </w:r>
            <w:r>
              <w:rPr>
                <w:rFonts w:hint="eastAsia" w:ascii="宋体" w:hAnsi="宋体" w:cs="宋体"/>
                <w:bCs/>
                <w:color w:val="auto"/>
                <w:kern w:val="0"/>
                <w:sz w:val="24"/>
                <w:szCs w:val="32"/>
                <w:lang w:val="zh-CN"/>
              </w:rPr>
              <w:t>信息覆盖面达90%（含）以上</w:t>
            </w:r>
            <w:r>
              <w:rPr>
                <w:rFonts w:hint="eastAsia" w:ascii="宋体" w:hAnsi="宋体" w:cs="宋体"/>
                <w:color w:val="auto"/>
                <w:kern w:val="0"/>
                <w:sz w:val="24"/>
                <w:szCs w:val="20"/>
              </w:rPr>
              <w:t>，覆盖全面。（根据投标文件提供的服务承诺保证措施的明确性及可行性打分）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bCs/>
                <w:color w:val="auto"/>
                <w:kern w:val="0"/>
                <w:sz w:val="24"/>
                <w:szCs w:val="20"/>
              </w:rPr>
              <w:t>2</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hint="eastAsia" w:ascii="宋体" w:hAnsi="宋体" w:cs="宋体"/>
                <w:color w:val="auto"/>
                <w:kern w:val="0"/>
                <w:sz w:val="24"/>
                <w:szCs w:val="20"/>
              </w:rPr>
            </w:pPr>
            <w:r>
              <w:rPr>
                <w:rFonts w:hint="eastAsia" w:ascii="宋体" w:hAnsi="宋体" w:cs="宋体"/>
                <w:color w:val="auto"/>
                <w:kern w:val="0"/>
                <w:sz w:val="24"/>
                <w:szCs w:val="20"/>
              </w:rPr>
              <w:t>服务承诺保证</w:t>
            </w:r>
          </w:p>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ascii="宋体" w:hAnsi="宋体" w:cs="宋体"/>
                <w:color w:val="auto"/>
                <w:kern w:val="0"/>
                <w:sz w:val="24"/>
                <w:szCs w:val="20"/>
              </w:rPr>
            </w:pPr>
            <w:r>
              <w:rPr>
                <w:rFonts w:hint="eastAsia" w:ascii="宋体" w:hAnsi="宋体" w:cs="宋体"/>
                <w:bCs/>
                <w:color w:val="auto"/>
                <w:kern w:val="0"/>
                <w:sz w:val="24"/>
                <w:szCs w:val="20"/>
              </w:rPr>
              <w:t>2.2</w:t>
            </w:r>
          </w:p>
        </w:tc>
        <w:tc>
          <w:tcPr>
            <w:tcW w:w="3545" w:type="dxa"/>
            <w:vAlign w:val="center"/>
          </w:tcPr>
          <w:p>
            <w:pPr>
              <w:widowControl/>
              <w:ind w:firstLine="480"/>
              <w:contextualSpacing/>
              <w:rPr>
                <w:rFonts w:ascii="宋体" w:hAnsi="宋体" w:cs="宋体"/>
                <w:color w:val="auto"/>
                <w:kern w:val="0"/>
                <w:sz w:val="24"/>
                <w:szCs w:val="20"/>
              </w:rPr>
            </w:pPr>
            <w:r>
              <w:rPr>
                <w:rFonts w:hint="eastAsia" w:ascii="宋体" w:hAnsi="宋体" w:cs="宋体"/>
                <w:color w:val="auto"/>
                <w:kern w:val="0"/>
                <w:sz w:val="24"/>
                <w:szCs w:val="20"/>
              </w:rPr>
              <w:t>采访书目信息的提供频率和品种数量。（根据投标文件提供的服务承诺保证措施的明确性及可行性打分）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bCs/>
                <w:color w:val="auto"/>
                <w:kern w:val="0"/>
                <w:sz w:val="24"/>
                <w:szCs w:val="20"/>
              </w:rPr>
              <w:t>2</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服务承诺保证措施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ascii="宋体" w:hAnsi="宋体" w:cs="宋体"/>
                <w:color w:val="auto"/>
                <w:kern w:val="0"/>
                <w:sz w:val="24"/>
                <w:szCs w:val="20"/>
              </w:rPr>
            </w:pPr>
            <w:r>
              <w:rPr>
                <w:rFonts w:hint="eastAsia" w:ascii="宋体" w:hAnsi="宋体" w:cs="宋体"/>
                <w:bCs/>
                <w:color w:val="auto"/>
                <w:kern w:val="0"/>
                <w:sz w:val="24"/>
                <w:szCs w:val="20"/>
              </w:rPr>
              <w:t>3</w:t>
            </w:r>
          </w:p>
        </w:tc>
        <w:tc>
          <w:tcPr>
            <w:tcW w:w="3545" w:type="dxa"/>
            <w:vAlign w:val="center"/>
          </w:tcPr>
          <w:p>
            <w:pPr>
              <w:widowControl/>
              <w:ind w:firstLine="480"/>
              <w:contextualSpacing/>
              <w:rPr>
                <w:rFonts w:ascii="宋体" w:hAnsi="宋体" w:cs="宋体"/>
                <w:color w:val="auto"/>
                <w:kern w:val="0"/>
                <w:sz w:val="24"/>
                <w:szCs w:val="20"/>
              </w:rPr>
            </w:pPr>
            <w:r>
              <w:rPr>
                <w:rFonts w:hint="eastAsia" w:ascii="宋体" w:hAnsi="宋体" w:cs="宋体"/>
                <w:color w:val="auto"/>
                <w:kern w:val="0"/>
                <w:sz w:val="24"/>
                <w:szCs w:val="20"/>
              </w:rPr>
              <w:t>图书采访数据质量，标明数据总条数，另要求：</w:t>
            </w:r>
          </w:p>
          <w:p>
            <w:pPr>
              <w:widowControl/>
              <w:ind w:firstLine="480"/>
              <w:contextualSpacing/>
              <w:rPr>
                <w:rFonts w:ascii="宋体" w:hAnsi="宋体" w:cs="宋体"/>
                <w:bCs/>
                <w:color w:val="auto"/>
                <w:kern w:val="0"/>
                <w:sz w:val="24"/>
                <w:szCs w:val="32"/>
                <w:lang w:val="zh-CN"/>
              </w:rPr>
            </w:pPr>
            <w:r>
              <w:rPr>
                <w:rFonts w:hint="eastAsia" w:ascii="宋体" w:hAnsi="宋体" w:cs="宋体"/>
                <w:bCs/>
                <w:color w:val="auto"/>
                <w:kern w:val="0"/>
                <w:sz w:val="24"/>
                <w:szCs w:val="32"/>
                <w:lang w:val="zh-CN"/>
              </w:rPr>
              <w:t>（1）出版时间精确到月份；</w:t>
            </w:r>
          </w:p>
          <w:p>
            <w:pPr>
              <w:widowControl/>
              <w:ind w:firstLine="480"/>
              <w:contextualSpacing/>
              <w:rPr>
                <w:rFonts w:ascii="宋体" w:hAnsi="宋体" w:cs="宋体"/>
                <w:bCs/>
                <w:color w:val="auto"/>
                <w:kern w:val="0"/>
                <w:sz w:val="24"/>
                <w:szCs w:val="32"/>
                <w:lang w:val="zh-CN"/>
              </w:rPr>
            </w:pPr>
            <w:r>
              <w:rPr>
                <w:rFonts w:hint="eastAsia" w:ascii="宋体" w:hAnsi="宋体" w:cs="宋体"/>
                <w:bCs/>
                <w:color w:val="auto"/>
                <w:kern w:val="0"/>
                <w:sz w:val="24"/>
                <w:szCs w:val="32"/>
                <w:lang w:val="zh-CN"/>
              </w:rPr>
              <w:t>（2）一条数据里只要一个书号，一个价格；价格与题名等数据对应；</w:t>
            </w:r>
          </w:p>
          <w:p>
            <w:pPr>
              <w:widowControl/>
              <w:ind w:firstLine="480"/>
              <w:contextualSpacing/>
              <w:rPr>
                <w:rFonts w:ascii="宋体" w:hAnsi="宋体" w:cs="宋体"/>
                <w:bCs/>
                <w:color w:val="auto"/>
                <w:kern w:val="0"/>
                <w:sz w:val="24"/>
                <w:szCs w:val="32"/>
                <w:lang w:val="zh-CN"/>
              </w:rPr>
            </w:pPr>
            <w:r>
              <w:rPr>
                <w:rFonts w:hint="eastAsia" w:ascii="宋体" w:hAnsi="宋体" w:cs="宋体"/>
                <w:bCs/>
                <w:color w:val="auto"/>
                <w:kern w:val="0"/>
                <w:sz w:val="24"/>
                <w:szCs w:val="32"/>
                <w:lang w:val="zh-CN"/>
              </w:rPr>
              <w:t>（3）对于影印版之类的外文书在题名里注明；</w:t>
            </w:r>
          </w:p>
          <w:p>
            <w:pPr>
              <w:widowControl/>
              <w:ind w:firstLine="480"/>
              <w:contextualSpacing/>
              <w:rPr>
                <w:rFonts w:ascii="宋体" w:hAnsi="宋体" w:cs="宋体"/>
                <w:bCs/>
                <w:color w:val="auto"/>
                <w:kern w:val="0"/>
                <w:sz w:val="24"/>
                <w:szCs w:val="32"/>
              </w:rPr>
            </w:pPr>
            <w:r>
              <w:rPr>
                <w:rFonts w:hint="eastAsia" w:ascii="宋体" w:hAnsi="宋体" w:cs="宋体"/>
                <w:bCs/>
                <w:color w:val="auto"/>
                <w:kern w:val="0"/>
                <w:sz w:val="24"/>
                <w:szCs w:val="32"/>
                <w:lang w:val="zh-CN"/>
              </w:rPr>
              <w:t>（4）不夹杂市场书和特价书。</w:t>
            </w:r>
          </w:p>
          <w:p>
            <w:pPr>
              <w:ind w:firstLine="480"/>
              <w:contextualSpacing/>
              <w:outlineLvl w:val="0"/>
              <w:rPr>
                <w:rFonts w:ascii="宋体" w:hAnsi="宋体" w:cs="宋体"/>
                <w:color w:val="auto"/>
                <w:kern w:val="0"/>
                <w:sz w:val="24"/>
                <w:szCs w:val="20"/>
              </w:rPr>
            </w:pPr>
            <w:r>
              <w:rPr>
                <w:rFonts w:hint="eastAsia" w:ascii="宋体" w:hAnsi="宋体" w:cs="宋体"/>
                <w:color w:val="auto"/>
                <w:kern w:val="0"/>
                <w:sz w:val="24"/>
                <w:szCs w:val="20"/>
              </w:rPr>
              <w:t>（根据投标文件提供的服务承诺保证措施的明确性及可行性打分）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bCs/>
                <w:color w:val="auto"/>
                <w:kern w:val="0"/>
                <w:sz w:val="24"/>
                <w:szCs w:val="20"/>
              </w:rPr>
              <w:t>3</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hint="eastAsia" w:ascii="宋体" w:hAnsi="宋体" w:cs="宋体"/>
                <w:color w:val="auto"/>
                <w:kern w:val="0"/>
                <w:sz w:val="24"/>
                <w:szCs w:val="20"/>
              </w:rPr>
            </w:pPr>
            <w:r>
              <w:rPr>
                <w:rFonts w:hint="eastAsia" w:ascii="宋体" w:hAnsi="宋体" w:cs="宋体"/>
                <w:color w:val="auto"/>
                <w:kern w:val="0"/>
                <w:sz w:val="24"/>
                <w:szCs w:val="20"/>
              </w:rPr>
              <w:t>服务承诺保证</w:t>
            </w:r>
          </w:p>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ascii="宋体" w:hAnsi="宋体" w:cs="宋体"/>
                <w:color w:val="auto"/>
                <w:kern w:val="0"/>
                <w:sz w:val="24"/>
                <w:szCs w:val="20"/>
              </w:rPr>
            </w:pPr>
            <w:r>
              <w:rPr>
                <w:rFonts w:hint="eastAsia" w:ascii="宋体" w:hAnsi="宋体" w:cs="宋体"/>
                <w:bCs/>
                <w:color w:val="auto"/>
                <w:kern w:val="0"/>
                <w:sz w:val="24"/>
                <w:szCs w:val="20"/>
              </w:rPr>
              <w:t>4</w:t>
            </w:r>
          </w:p>
        </w:tc>
        <w:tc>
          <w:tcPr>
            <w:tcW w:w="3545" w:type="dxa"/>
            <w:vAlign w:val="center"/>
          </w:tcPr>
          <w:p>
            <w:pPr>
              <w:ind w:firstLine="480"/>
              <w:contextualSpacing/>
              <w:outlineLvl w:val="0"/>
              <w:rPr>
                <w:rFonts w:ascii="宋体" w:hAnsi="宋体" w:cs="宋体"/>
                <w:color w:val="auto"/>
                <w:kern w:val="0"/>
                <w:sz w:val="24"/>
                <w:szCs w:val="20"/>
              </w:rPr>
            </w:pPr>
            <w:r>
              <w:rPr>
                <w:rFonts w:hint="eastAsia" w:ascii="宋体" w:hAnsi="宋体" w:cs="宋体"/>
                <w:color w:val="auto"/>
                <w:kern w:val="0"/>
                <w:sz w:val="24"/>
                <w:szCs w:val="20"/>
              </w:rPr>
              <w:t>编目数据的质量、覆盖率、及时性符合程度。（根据投标文件提供的服务承诺及保证措施的明确性及可行性打分）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bCs/>
                <w:color w:val="auto"/>
                <w:kern w:val="0"/>
                <w:sz w:val="24"/>
                <w:szCs w:val="20"/>
              </w:rPr>
              <w:t>2</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hint="eastAsia" w:ascii="宋体" w:hAnsi="宋体" w:cs="宋体"/>
                <w:color w:val="auto"/>
                <w:kern w:val="0"/>
                <w:sz w:val="24"/>
                <w:szCs w:val="20"/>
              </w:rPr>
            </w:pPr>
            <w:r>
              <w:rPr>
                <w:rFonts w:hint="eastAsia" w:ascii="宋体" w:hAnsi="宋体" w:cs="宋体"/>
                <w:color w:val="auto"/>
                <w:kern w:val="0"/>
                <w:sz w:val="24"/>
                <w:szCs w:val="20"/>
              </w:rPr>
              <w:t>服务承诺保证</w:t>
            </w:r>
          </w:p>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ascii="宋体" w:hAnsi="宋体" w:cs="宋体"/>
                <w:color w:val="auto"/>
                <w:kern w:val="0"/>
                <w:sz w:val="24"/>
                <w:szCs w:val="20"/>
              </w:rPr>
            </w:pPr>
            <w:r>
              <w:rPr>
                <w:rFonts w:hint="eastAsia" w:ascii="宋体" w:hAnsi="宋体" w:cs="宋体"/>
                <w:bCs/>
                <w:color w:val="auto"/>
                <w:kern w:val="0"/>
                <w:sz w:val="24"/>
                <w:szCs w:val="20"/>
              </w:rPr>
              <w:t>5</w:t>
            </w:r>
          </w:p>
        </w:tc>
        <w:tc>
          <w:tcPr>
            <w:tcW w:w="3545" w:type="dxa"/>
            <w:vAlign w:val="center"/>
          </w:tcPr>
          <w:p>
            <w:pPr>
              <w:ind w:firstLine="480"/>
              <w:contextualSpacing/>
              <w:outlineLvl w:val="0"/>
              <w:rPr>
                <w:rFonts w:ascii="宋体" w:hAnsi="宋体" w:cs="宋体"/>
                <w:color w:val="auto"/>
                <w:kern w:val="0"/>
                <w:sz w:val="24"/>
                <w:szCs w:val="20"/>
              </w:rPr>
            </w:pPr>
            <w:r>
              <w:rPr>
                <w:rFonts w:hint="eastAsia" w:ascii="宋体" w:hAnsi="宋体" w:cs="宋体"/>
                <w:color w:val="auto"/>
                <w:kern w:val="0"/>
                <w:sz w:val="24"/>
                <w:szCs w:val="20"/>
              </w:rPr>
              <w:t>到书率：</w:t>
            </w:r>
          </w:p>
          <w:p>
            <w:pPr>
              <w:pStyle w:val="3"/>
              <w:keepNext w:val="0"/>
              <w:keepLines w:val="0"/>
              <w:spacing w:line="240" w:lineRule="auto"/>
              <w:ind w:left="0" w:firstLine="480" w:firstLineChars="200"/>
              <w:rPr>
                <w:rFonts w:ascii="宋体" w:hAnsi="宋体" w:eastAsia="宋体" w:cs="宋体"/>
                <w:color w:val="auto"/>
                <w:kern w:val="0"/>
                <w:sz w:val="24"/>
              </w:rPr>
            </w:pPr>
            <w:r>
              <w:rPr>
                <w:rFonts w:hint="eastAsia" w:ascii="宋体" w:hAnsi="宋体" w:eastAsia="宋体" w:cs="宋体"/>
                <w:b w:val="0"/>
                <w:color w:val="auto"/>
                <w:kern w:val="0"/>
                <w:sz w:val="24"/>
              </w:rPr>
              <w:t>现货采购的到书时间与到书率：7天内95%以上，15天内98%以上；现货目录采购的到书时间与到书率：10天内80%以上，30天内90%以上。</w:t>
            </w:r>
            <w:r>
              <w:rPr>
                <w:rFonts w:hint="eastAsia" w:ascii="宋体" w:hAnsi="宋体" w:eastAsia="宋体" w:cs="宋体"/>
                <w:b w:val="0"/>
                <w:color w:val="auto"/>
                <w:kern w:val="0"/>
                <w:sz w:val="24"/>
              </w:rPr>
              <w:t>根据供应商提供的到书率证明打分。提供大于等于20家同类图书馆到书率证明的得5分，大于等于15家小于20家同类图书馆到书率证明的得3分，大于等于10家小于15家同类图书馆到书率证明的得2分，小于10家得1分，同一单位只算一次。</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bCs/>
                <w:color w:val="auto"/>
                <w:kern w:val="0"/>
                <w:sz w:val="24"/>
                <w:szCs w:val="20"/>
              </w:rPr>
              <w:t>5</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客观分</w:t>
            </w:r>
          </w:p>
        </w:tc>
        <w:tc>
          <w:tcPr>
            <w:tcW w:w="2150" w:type="dxa"/>
            <w:vAlign w:val="center"/>
          </w:tcPr>
          <w:p>
            <w:pPr>
              <w:snapToGrid w:val="0"/>
              <w:spacing w:line="360" w:lineRule="auto"/>
              <w:jc w:val="center"/>
              <w:rPr>
                <w:rFonts w:hint="eastAsia" w:ascii="宋体" w:hAnsi="宋体" w:cs="宋体"/>
                <w:color w:val="auto"/>
                <w:kern w:val="0"/>
                <w:sz w:val="24"/>
                <w:szCs w:val="20"/>
              </w:rPr>
            </w:pPr>
            <w:r>
              <w:rPr>
                <w:rFonts w:hint="eastAsia" w:ascii="宋体" w:hAnsi="宋体" w:cs="宋体"/>
                <w:color w:val="auto"/>
                <w:kern w:val="0"/>
                <w:sz w:val="24"/>
                <w:szCs w:val="20"/>
              </w:rPr>
              <w:t>服务承诺保证</w:t>
            </w:r>
          </w:p>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ascii="宋体" w:hAnsi="宋体" w:cs="宋体"/>
                <w:color w:val="auto"/>
                <w:kern w:val="0"/>
                <w:sz w:val="24"/>
                <w:szCs w:val="20"/>
              </w:rPr>
            </w:pPr>
            <w:r>
              <w:rPr>
                <w:rFonts w:hint="eastAsia" w:ascii="宋体" w:hAnsi="宋体" w:cs="宋体"/>
                <w:bCs/>
                <w:color w:val="auto"/>
                <w:kern w:val="0"/>
                <w:sz w:val="24"/>
                <w:szCs w:val="20"/>
              </w:rPr>
              <w:t>6</w:t>
            </w:r>
          </w:p>
        </w:tc>
        <w:tc>
          <w:tcPr>
            <w:tcW w:w="3545" w:type="dxa"/>
            <w:vAlign w:val="center"/>
          </w:tcPr>
          <w:p>
            <w:pPr>
              <w:ind w:firstLine="480"/>
              <w:contextualSpacing/>
              <w:outlineLvl w:val="0"/>
              <w:rPr>
                <w:rFonts w:ascii="宋体" w:hAnsi="宋体" w:cs="宋体"/>
                <w:color w:val="auto"/>
                <w:kern w:val="0"/>
                <w:sz w:val="24"/>
                <w:szCs w:val="20"/>
              </w:rPr>
            </w:pPr>
            <w:r>
              <w:rPr>
                <w:rFonts w:hint="eastAsia" w:ascii="宋体" w:hAnsi="宋体" w:cs="宋体"/>
                <w:color w:val="auto"/>
                <w:kern w:val="0"/>
                <w:sz w:val="24"/>
                <w:szCs w:val="20"/>
              </w:rPr>
              <w:t>对图书自备目录、自定较窄主题采购的响应速度：对图书馆自备书目录的采购能力；自定较窄主题采购的快速响应能力。（根据投标文件提供的服务承诺保证措施的明确性及可行性打分）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bCs/>
                <w:color w:val="auto"/>
                <w:kern w:val="0"/>
                <w:sz w:val="24"/>
                <w:szCs w:val="20"/>
              </w:rPr>
              <w:t>2</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hint="eastAsia" w:ascii="宋体" w:hAnsi="宋体" w:cs="宋体"/>
                <w:color w:val="auto"/>
                <w:kern w:val="0"/>
                <w:sz w:val="24"/>
                <w:szCs w:val="20"/>
              </w:rPr>
            </w:pPr>
            <w:r>
              <w:rPr>
                <w:rFonts w:hint="eastAsia" w:ascii="宋体" w:hAnsi="宋体" w:cs="宋体"/>
                <w:color w:val="auto"/>
                <w:kern w:val="0"/>
                <w:sz w:val="24"/>
                <w:szCs w:val="20"/>
              </w:rPr>
              <w:t>服务承诺保证</w:t>
            </w:r>
          </w:p>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ascii="宋体" w:hAnsi="宋体" w:cs="宋体"/>
                <w:color w:val="auto"/>
                <w:kern w:val="0"/>
                <w:sz w:val="24"/>
                <w:szCs w:val="20"/>
              </w:rPr>
            </w:pPr>
            <w:r>
              <w:rPr>
                <w:rFonts w:hint="eastAsia" w:ascii="宋体" w:hAnsi="宋体" w:cs="宋体"/>
                <w:bCs/>
                <w:color w:val="auto"/>
                <w:kern w:val="0"/>
                <w:sz w:val="24"/>
                <w:szCs w:val="20"/>
              </w:rPr>
              <w:t>7</w:t>
            </w:r>
          </w:p>
        </w:tc>
        <w:tc>
          <w:tcPr>
            <w:tcW w:w="3545" w:type="dxa"/>
            <w:vAlign w:val="center"/>
          </w:tcPr>
          <w:p>
            <w:pPr>
              <w:ind w:firstLine="480"/>
              <w:contextualSpacing/>
              <w:outlineLvl w:val="0"/>
              <w:rPr>
                <w:rFonts w:ascii="宋体" w:hAnsi="宋体" w:cs="宋体"/>
                <w:color w:val="auto"/>
                <w:kern w:val="0"/>
                <w:sz w:val="24"/>
                <w:szCs w:val="20"/>
              </w:rPr>
            </w:pPr>
            <w:r>
              <w:rPr>
                <w:rFonts w:hint="eastAsia" w:ascii="宋体" w:hAnsi="宋体" w:cs="宋体"/>
                <w:color w:val="auto"/>
                <w:kern w:val="0"/>
                <w:sz w:val="24"/>
                <w:szCs w:val="20"/>
              </w:rPr>
              <w:t>对订单调整要求的反应能力：对已订图书订单因情况变化，图书馆要求减少或取消订单的反应能力。（根据投标文件提供的服务承诺保证措施的明确性及可行性打分）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bCs/>
                <w:color w:val="auto"/>
                <w:kern w:val="0"/>
                <w:sz w:val="24"/>
                <w:szCs w:val="20"/>
              </w:rPr>
              <w:t>2</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hint="eastAsia" w:ascii="宋体" w:hAnsi="宋体" w:cs="宋体"/>
                <w:color w:val="auto"/>
                <w:kern w:val="0"/>
                <w:sz w:val="24"/>
                <w:szCs w:val="20"/>
              </w:rPr>
            </w:pPr>
            <w:r>
              <w:rPr>
                <w:rFonts w:hint="eastAsia" w:ascii="宋体" w:hAnsi="宋体" w:cs="宋体"/>
                <w:color w:val="auto"/>
                <w:kern w:val="0"/>
                <w:sz w:val="24"/>
                <w:szCs w:val="20"/>
              </w:rPr>
              <w:t>服务承诺保证</w:t>
            </w:r>
          </w:p>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ascii="宋体" w:hAnsi="宋体" w:cs="宋体"/>
                <w:color w:val="auto"/>
                <w:kern w:val="0"/>
                <w:sz w:val="24"/>
                <w:szCs w:val="20"/>
              </w:rPr>
            </w:pPr>
            <w:r>
              <w:rPr>
                <w:rFonts w:hint="eastAsia" w:ascii="宋体" w:hAnsi="宋体" w:cs="宋体"/>
                <w:bCs/>
                <w:color w:val="auto"/>
                <w:kern w:val="0"/>
                <w:sz w:val="24"/>
                <w:szCs w:val="20"/>
              </w:rPr>
              <w:t>8</w:t>
            </w:r>
          </w:p>
        </w:tc>
        <w:tc>
          <w:tcPr>
            <w:tcW w:w="3545" w:type="dxa"/>
            <w:vAlign w:val="center"/>
          </w:tcPr>
          <w:p>
            <w:pPr>
              <w:ind w:firstLine="480"/>
              <w:contextualSpacing/>
              <w:outlineLvl w:val="0"/>
              <w:rPr>
                <w:rFonts w:ascii="宋体" w:hAnsi="宋体" w:cs="宋体"/>
                <w:color w:val="auto"/>
                <w:kern w:val="0"/>
                <w:sz w:val="24"/>
                <w:szCs w:val="20"/>
              </w:rPr>
            </w:pPr>
            <w:r>
              <w:rPr>
                <w:rFonts w:hint="eastAsia" w:ascii="宋体" w:hAnsi="宋体" w:cs="宋体"/>
                <w:color w:val="auto"/>
                <w:kern w:val="0"/>
                <w:sz w:val="24"/>
                <w:szCs w:val="20"/>
              </w:rPr>
              <w:t>对未能采购图书订单的处理：对图书馆已预订，但因到货、出版推迟、停止出版等不能及时到馆的图书，或取消出版的图书信息反馈能力、服务方案（供应商能否以清单、邮件、电话等形式通知采购人员）、处理方案等。（根据投标文件提供的服务承诺保证措施的明确性及可行性打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outlineLvl w:val="0"/>
              <w:rPr>
                <w:rFonts w:ascii="宋体" w:hAnsi="宋体" w:cs="宋体"/>
                <w:color w:val="auto"/>
                <w:kern w:val="0"/>
                <w:sz w:val="24"/>
                <w:szCs w:val="20"/>
              </w:rPr>
            </w:pPr>
            <w:r>
              <w:rPr>
                <w:rFonts w:hint="eastAsia" w:ascii="宋体" w:hAnsi="宋体" w:cs="宋体"/>
                <w:bCs/>
                <w:color w:val="auto"/>
                <w:kern w:val="0"/>
                <w:sz w:val="24"/>
                <w:szCs w:val="20"/>
              </w:rPr>
              <w:t>2</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hint="eastAsia" w:ascii="宋体" w:hAnsi="宋体" w:cs="宋体"/>
                <w:color w:val="auto"/>
                <w:kern w:val="0"/>
                <w:sz w:val="24"/>
                <w:szCs w:val="20"/>
              </w:rPr>
            </w:pPr>
            <w:r>
              <w:rPr>
                <w:rFonts w:hint="eastAsia" w:ascii="宋体" w:hAnsi="宋体" w:cs="宋体"/>
                <w:color w:val="auto"/>
                <w:kern w:val="0"/>
                <w:sz w:val="24"/>
                <w:szCs w:val="20"/>
              </w:rPr>
              <w:t>服务承诺保证</w:t>
            </w:r>
          </w:p>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ascii="宋体" w:hAnsi="宋体" w:cs="宋体"/>
                <w:color w:val="auto"/>
                <w:kern w:val="0"/>
                <w:sz w:val="24"/>
                <w:szCs w:val="20"/>
              </w:rPr>
            </w:pPr>
            <w:r>
              <w:rPr>
                <w:rFonts w:hint="eastAsia" w:ascii="宋体" w:hAnsi="宋体" w:cs="宋体"/>
                <w:color w:val="auto"/>
                <w:kern w:val="0"/>
                <w:sz w:val="24"/>
                <w:szCs w:val="20"/>
              </w:rPr>
              <w:t>9</w:t>
            </w:r>
          </w:p>
        </w:tc>
        <w:tc>
          <w:tcPr>
            <w:tcW w:w="3545" w:type="dxa"/>
            <w:vAlign w:val="center"/>
          </w:tcPr>
          <w:p>
            <w:pPr>
              <w:ind w:firstLine="480"/>
              <w:contextualSpacing/>
              <w:outlineLvl w:val="0"/>
              <w:rPr>
                <w:rFonts w:ascii="宋体" w:hAnsi="宋体" w:cs="宋体"/>
                <w:color w:val="auto"/>
                <w:kern w:val="0"/>
                <w:sz w:val="24"/>
                <w:szCs w:val="20"/>
              </w:rPr>
            </w:pPr>
            <w:r>
              <w:rPr>
                <w:rFonts w:hint="eastAsia" w:ascii="宋体" w:hAnsi="宋体" w:cs="宋体"/>
                <w:color w:val="auto"/>
                <w:kern w:val="0"/>
                <w:sz w:val="24"/>
                <w:szCs w:val="20"/>
              </w:rPr>
              <w:t>退书的处理：对图书质量问题、与馆藏要求不符、与预订不符等原因退书的处理方案及处理速度。（根据投标文件提供的服务承诺保证措施的明确性及可行性打分）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2</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hint="eastAsia" w:ascii="宋体" w:hAnsi="宋体" w:cs="宋体"/>
                <w:color w:val="auto"/>
                <w:kern w:val="0"/>
                <w:sz w:val="24"/>
                <w:szCs w:val="20"/>
              </w:rPr>
            </w:pPr>
            <w:r>
              <w:rPr>
                <w:rFonts w:hint="eastAsia" w:ascii="宋体" w:hAnsi="宋体" w:cs="宋体"/>
                <w:color w:val="auto"/>
                <w:kern w:val="0"/>
                <w:sz w:val="24"/>
                <w:szCs w:val="20"/>
              </w:rPr>
              <w:t>服务承诺保证</w:t>
            </w:r>
          </w:p>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10</w:t>
            </w:r>
          </w:p>
        </w:tc>
        <w:tc>
          <w:tcPr>
            <w:tcW w:w="3545" w:type="dxa"/>
            <w:vAlign w:val="center"/>
          </w:tcPr>
          <w:p>
            <w:pPr>
              <w:ind w:firstLine="480"/>
              <w:contextualSpacing/>
              <w:rPr>
                <w:rFonts w:ascii="宋体" w:hAnsi="宋体" w:cs="宋体"/>
                <w:color w:val="auto"/>
                <w:kern w:val="0"/>
                <w:sz w:val="24"/>
                <w:szCs w:val="20"/>
              </w:rPr>
            </w:pPr>
            <w:r>
              <w:rPr>
                <w:rFonts w:hint="eastAsia" w:ascii="宋体" w:hAnsi="宋体" w:cs="宋体"/>
                <w:color w:val="auto"/>
                <w:kern w:val="0"/>
                <w:sz w:val="24"/>
                <w:szCs w:val="20"/>
              </w:rPr>
              <w:t>图书包装质量、搬运到位程度</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w:t>
            </w:r>
          </w:p>
        </w:tc>
        <w:tc>
          <w:tcPr>
            <w:tcW w:w="1147" w:type="dxa"/>
            <w:vAlign w:val="center"/>
          </w:tcPr>
          <w:p>
            <w:pPr>
              <w:snapToGrid w:val="0"/>
              <w:spacing w:line="360" w:lineRule="auto"/>
              <w:ind w:firstLine="480"/>
              <w:jc w:val="center"/>
              <w:rPr>
                <w:rFonts w:ascii="宋体" w:hAnsi="宋体" w:cs="宋体"/>
                <w:color w:val="auto"/>
                <w:kern w:val="0"/>
                <w:sz w:val="24"/>
                <w:szCs w:val="20"/>
              </w:rPr>
            </w:pPr>
          </w:p>
        </w:tc>
        <w:tc>
          <w:tcPr>
            <w:tcW w:w="2150" w:type="dxa"/>
            <w:vAlign w:val="center"/>
          </w:tcPr>
          <w:p>
            <w:pPr>
              <w:snapToGrid w:val="0"/>
              <w:spacing w:line="360" w:lineRule="auto"/>
              <w:ind w:firstLine="480"/>
              <w:jc w:val="center"/>
              <w:rPr>
                <w:rFonts w:ascii="宋体" w:hAnsi="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10.1</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到馆图书运输和装卸方案是否科学合理。（根据投标文件提供的服务承诺保证措施的明确性及可行性打分）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1</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hint="eastAsia" w:ascii="宋体" w:hAnsi="宋体" w:cs="宋体"/>
                <w:color w:val="auto"/>
                <w:kern w:val="0"/>
                <w:sz w:val="24"/>
                <w:szCs w:val="20"/>
              </w:rPr>
            </w:pPr>
            <w:r>
              <w:rPr>
                <w:rFonts w:hint="eastAsia" w:ascii="宋体" w:hAnsi="宋体" w:cs="宋体"/>
                <w:color w:val="auto"/>
                <w:kern w:val="0"/>
                <w:sz w:val="24"/>
                <w:szCs w:val="20"/>
              </w:rPr>
              <w:t>服务承诺保证</w:t>
            </w:r>
          </w:p>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10.2</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图书运送能力，搬运准确无误；拥有自有配送车辆一辆、专职驾驶员一人的得1分，两辆配送车辆配两名专职驾驶员的得2分，三辆配送车辆配三名专职驾驶员的得3分，租用车辆与非专职驾驶员不得分。（以投标文件提供的证明为准，未提供的不得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3</w:t>
            </w:r>
          </w:p>
        </w:tc>
        <w:tc>
          <w:tcPr>
            <w:tcW w:w="1147" w:type="dxa"/>
            <w:vAlign w:val="center"/>
          </w:tcPr>
          <w:p>
            <w:pPr>
              <w:snapToGrid w:val="0"/>
              <w:jc w:val="center"/>
              <w:rPr>
                <w:rFonts w:ascii="宋体" w:hAnsi="宋体" w:cs="宋体"/>
                <w:color w:val="auto"/>
                <w:kern w:val="0"/>
                <w:sz w:val="24"/>
                <w:szCs w:val="20"/>
              </w:rPr>
            </w:pPr>
            <w:r>
              <w:rPr>
                <w:rFonts w:hint="eastAsia" w:ascii="宋体" w:hAnsi="宋体" w:cs="宋体"/>
                <w:bCs/>
                <w:color w:val="auto"/>
                <w:kern w:val="0"/>
                <w:sz w:val="24"/>
                <w:szCs w:val="20"/>
              </w:rPr>
              <w:t>客观分</w:t>
            </w:r>
          </w:p>
        </w:tc>
        <w:tc>
          <w:tcPr>
            <w:tcW w:w="2150" w:type="dxa"/>
            <w:vAlign w:val="center"/>
          </w:tcPr>
          <w:p>
            <w:pPr>
              <w:snapToGrid w:val="0"/>
              <w:jc w:val="center"/>
              <w:rPr>
                <w:rFonts w:hint="eastAsia" w:ascii="宋体" w:hAnsi="宋体" w:cs="宋体"/>
                <w:color w:val="auto"/>
                <w:kern w:val="0"/>
                <w:sz w:val="24"/>
                <w:szCs w:val="20"/>
              </w:rPr>
            </w:pPr>
            <w:r>
              <w:rPr>
                <w:rFonts w:hint="eastAsia" w:ascii="宋体" w:hAnsi="宋体" w:cs="宋体"/>
                <w:color w:val="auto"/>
                <w:kern w:val="0"/>
                <w:sz w:val="24"/>
                <w:szCs w:val="20"/>
              </w:rPr>
              <w:t>服务承诺保证</w:t>
            </w:r>
          </w:p>
          <w:p>
            <w:pPr>
              <w:snapToGrid w:val="0"/>
              <w:jc w:val="center"/>
              <w:rPr>
                <w:rFonts w:ascii="宋体" w:hAnsi="宋体" w:cs="宋体"/>
                <w:color w:val="auto"/>
                <w:kern w:val="0"/>
                <w:sz w:val="24"/>
                <w:szCs w:val="20"/>
              </w:rPr>
            </w:pPr>
            <w:r>
              <w:rPr>
                <w:rFonts w:hint="eastAsia" w:ascii="宋体" w:hAnsi="宋体" w:cs="宋体"/>
                <w:color w:val="auto"/>
                <w:kern w:val="0"/>
                <w:sz w:val="24"/>
                <w:szCs w:val="2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11</w:t>
            </w:r>
          </w:p>
        </w:tc>
        <w:tc>
          <w:tcPr>
            <w:tcW w:w="3545" w:type="dxa"/>
            <w:vAlign w:val="center"/>
          </w:tcPr>
          <w:p>
            <w:pPr>
              <w:ind w:firstLine="480"/>
              <w:contextualSpacing/>
              <w:rPr>
                <w:rFonts w:ascii="宋体" w:hAnsi="宋体" w:cs="宋体"/>
                <w:color w:val="auto"/>
                <w:kern w:val="0"/>
                <w:sz w:val="24"/>
                <w:szCs w:val="20"/>
              </w:rPr>
            </w:pPr>
            <w:r>
              <w:rPr>
                <w:rFonts w:hint="eastAsia" w:ascii="宋体" w:hAnsi="宋体" w:cs="宋体"/>
                <w:color w:val="auto"/>
                <w:kern w:val="0"/>
                <w:sz w:val="24"/>
                <w:szCs w:val="20"/>
              </w:rPr>
              <w:t>图书到馆加工服务</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w:t>
            </w:r>
          </w:p>
        </w:tc>
        <w:tc>
          <w:tcPr>
            <w:tcW w:w="1147" w:type="dxa"/>
            <w:vAlign w:val="center"/>
          </w:tcPr>
          <w:p>
            <w:pPr>
              <w:snapToGrid w:val="0"/>
              <w:spacing w:line="360" w:lineRule="auto"/>
              <w:ind w:firstLine="480"/>
              <w:jc w:val="center"/>
              <w:rPr>
                <w:rFonts w:ascii="宋体" w:hAnsi="宋体" w:cs="宋体"/>
                <w:color w:val="auto"/>
                <w:kern w:val="0"/>
                <w:sz w:val="24"/>
                <w:szCs w:val="20"/>
              </w:rPr>
            </w:pPr>
          </w:p>
        </w:tc>
        <w:tc>
          <w:tcPr>
            <w:tcW w:w="2150" w:type="dxa"/>
            <w:vAlign w:val="center"/>
          </w:tcPr>
          <w:p>
            <w:pPr>
              <w:snapToGrid w:val="0"/>
              <w:spacing w:line="360" w:lineRule="auto"/>
              <w:ind w:firstLine="480"/>
              <w:jc w:val="center"/>
              <w:rPr>
                <w:rFonts w:ascii="宋体" w:hAnsi="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11.1</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到馆全加工服务响应时间快，图书送达后15天内完成所有加工程序，要求差错率低，出现错误及时改正。（以投标文件提供的服务承诺保证措施的明确性及可行性打分，未提供的不得分）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2</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hint="eastAsia" w:ascii="宋体" w:hAnsi="宋体" w:cs="宋体"/>
                <w:color w:val="auto"/>
                <w:kern w:val="0"/>
                <w:sz w:val="24"/>
                <w:szCs w:val="20"/>
              </w:rPr>
            </w:pPr>
            <w:r>
              <w:rPr>
                <w:rFonts w:hint="eastAsia" w:ascii="宋体" w:hAnsi="宋体" w:cs="宋体"/>
                <w:color w:val="auto"/>
                <w:kern w:val="0"/>
                <w:sz w:val="24"/>
                <w:szCs w:val="20"/>
              </w:rPr>
              <w:t>服务承诺保证</w:t>
            </w:r>
          </w:p>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11.2</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拟派本项目全加工人员每具有一位全国图书馆联合编目中心上传资格证书的得0.5分，最多得3分。（全加工人员不得外包，如中标后不能提供以上数量全加工人员，视为实质性不响应招标文件，将被取消中标资格，以投标文件提供的证明文件为准，不提供不得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3</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客观分</w:t>
            </w:r>
          </w:p>
        </w:tc>
        <w:tc>
          <w:tcPr>
            <w:tcW w:w="2150" w:type="dxa"/>
            <w:vAlign w:val="center"/>
          </w:tcPr>
          <w:p>
            <w:pPr>
              <w:snapToGrid w:val="0"/>
              <w:spacing w:line="360" w:lineRule="auto"/>
              <w:jc w:val="center"/>
              <w:rPr>
                <w:rFonts w:hint="eastAsia" w:ascii="宋体" w:hAnsi="宋体" w:cs="宋体"/>
                <w:color w:val="auto"/>
                <w:kern w:val="0"/>
                <w:sz w:val="24"/>
                <w:szCs w:val="20"/>
              </w:rPr>
            </w:pPr>
            <w:r>
              <w:rPr>
                <w:rFonts w:hint="eastAsia" w:ascii="宋体" w:hAnsi="宋体" w:cs="宋体"/>
                <w:color w:val="auto"/>
                <w:kern w:val="0"/>
                <w:sz w:val="24"/>
                <w:szCs w:val="20"/>
              </w:rPr>
              <w:t>服务承诺保证</w:t>
            </w:r>
          </w:p>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12</w:t>
            </w:r>
          </w:p>
        </w:tc>
        <w:tc>
          <w:tcPr>
            <w:tcW w:w="3545" w:type="dxa"/>
            <w:vAlign w:val="center"/>
          </w:tcPr>
          <w:p>
            <w:pPr>
              <w:ind w:firstLine="480"/>
              <w:contextualSpacing/>
              <w:rPr>
                <w:rFonts w:ascii="宋体" w:hAnsi="宋体" w:cs="宋体"/>
                <w:color w:val="auto"/>
                <w:kern w:val="0"/>
                <w:sz w:val="24"/>
                <w:szCs w:val="20"/>
              </w:rPr>
            </w:pPr>
            <w:r>
              <w:rPr>
                <w:rFonts w:ascii="宋体" w:hAnsi="宋体" w:cs="宋体"/>
                <w:color w:val="auto"/>
                <w:sz w:val="24"/>
              </w:rPr>
              <w:t>信息化服务</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w:t>
            </w:r>
          </w:p>
        </w:tc>
        <w:tc>
          <w:tcPr>
            <w:tcW w:w="1147" w:type="dxa"/>
            <w:vAlign w:val="center"/>
          </w:tcPr>
          <w:p>
            <w:pPr>
              <w:snapToGrid w:val="0"/>
              <w:spacing w:line="360" w:lineRule="auto"/>
              <w:ind w:firstLine="480"/>
              <w:jc w:val="center"/>
              <w:rPr>
                <w:rFonts w:ascii="宋体" w:hAnsi="宋体" w:cs="宋体"/>
                <w:color w:val="auto"/>
                <w:kern w:val="0"/>
                <w:sz w:val="24"/>
                <w:szCs w:val="20"/>
              </w:rPr>
            </w:pPr>
          </w:p>
        </w:tc>
        <w:tc>
          <w:tcPr>
            <w:tcW w:w="2150" w:type="dxa"/>
            <w:vAlign w:val="center"/>
          </w:tcPr>
          <w:p>
            <w:pPr>
              <w:snapToGrid w:val="0"/>
              <w:spacing w:line="360" w:lineRule="auto"/>
              <w:ind w:firstLine="480"/>
              <w:jc w:val="center"/>
              <w:rPr>
                <w:rFonts w:ascii="宋体" w:hAnsi="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12.1</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投标人拥有</w:t>
            </w:r>
            <w:r>
              <w:rPr>
                <w:rFonts w:ascii="宋体" w:hAnsi="宋体" w:cs="宋体"/>
                <w:color w:val="auto"/>
                <w:sz w:val="24"/>
              </w:rPr>
              <w:t>自建</w:t>
            </w:r>
            <w:r>
              <w:rPr>
                <w:rFonts w:hint="eastAsia" w:ascii="宋体" w:hAnsi="宋体" w:cs="宋体"/>
                <w:color w:val="auto"/>
                <w:sz w:val="24"/>
              </w:rPr>
              <w:t>的</w:t>
            </w:r>
            <w:r>
              <w:rPr>
                <w:rFonts w:hint="eastAsia" w:ascii="宋体" w:hAnsi="宋体" w:cs="宋体"/>
                <w:color w:val="auto"/>
                <w:kern w:val="0"/>
                <w:sz w:val="24"/>
                <w:szCs w:val="20"/>
              </w:rPr>
              <w:t>电子商务网站，方便图书馆从网站上传和下载数据，提供网址和主页截图得1分，未提供的不得分。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1</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客观分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技术服务方案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12.2</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能提供完善的线上图书荐购服务，能做到读者当天下午12点前荐购，次日送达图书馆指定地点的，并在公共图书馆有合作案例。（需提供相关证明材料）</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2</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技术服务方案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13</w:t>
            </w:r>
          </w:p>
        </w:tc>
        <w:tc>
          <w:tcPr>
            <w:tcW w:w="3545" w:type="dxa"/>
            <w:vAlign w:val="center"/>
          </w:tcPr>
          <w:p>
            <w:pPr>
              <w:ind w:firstLine="480"/>
              <w:contextualSpacing/>
              <w:rPr>
                <w:rFonts w:ascii="宋体" w:hAnsi="宋体" w:cs="宋体"/>
                <w:color w:val="auto"/>
                <w:kern w:val="0"/>
                <w:sz w:val="24"/>
                <w:szCs w:val="20"/>
              </w:rPr>
            </w:pPr>
            <w:r>
              <w:rPr>
                <w:rFonts w:hint="eastAsia" w:ascii="宋体" w:hAnsi="宋体" w:cs="宋体"/>
                <w:color w:val="auto"/>
                <w:kern w:val="0"/>
                <w:sz w:val="24"/>
                <w:szCs w:val="20"/>
              </w:rPr>
              <w:t>其他服务</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w:t>
            </w:r>
          </w:p>
        </w:tc>
        <w:tc>
          <w:tcPr>
            <w:tcW w:w="1147" w:type="dxa"/>
            <w:vAlign w:val="center"/>
          </w:tcPr>
          <w:p>
            <w:pPr>
              <w:snapToGrid w:val="0"/>
              <w:spacing w:line="360" w:lineRule="auto"/>
              <w:ind w:firstLine="480"/>
              <w:jc w:val="center"/>
              <w:rPr>
                <w:rFonts w:ascii="宋体" w:hAnsi="宋体" w:cs="宋体"/>
                <w:color w:val="auto"/>
                <w:kern w:val="0"/>
                <w:sz w:val="24"/>
                <w:szCs w:val="20"/>
              </w:rPr>
            </w:pPr>
          </w:p>
        </w:tc>
        <w:tc>
          <w:tcPr>
            <w:tcW w:w="2150" w:type="dxa"/>
            <w:vAlign w:val="center"/>
          </w:tcPr>
          <w:p>
            <w:pPr>
              <w:snapToGrid w:val="0"/>
              <w:spacing w:line="360" w:lineRule="auto"/>
              <w:ind w:firstLine="480"/>
              <w:jc w:val="center"/>
              <w:rPr>
                <w:rFonts w:ascii="宋体" w:hAnsi="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bCs/>
                <w:color w:val="auto"/>
                <w:kern w:val="0"/>
                <w:sz w:val="24"/>
                <w:szCs w:val="20"/>
              </w:rPr>
              <w:t>13.1</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投标人为用户的馆藏建设提供其它特色服务，符合图书馆要求，且有实际意义、可操作性。内容完整、措施有效且合理可行、符合采购人实际、完全满足且合理可行的得3分；部分内容及措施有欠缺但基本合理可行的得</w:t>
            </w:r>
            <w:r>
              <w:rPr>
                <w:rFonts w:hint="eastAsia" w:ascii="宋体" w:hAnsi="宋体" w:cs="宋体"/>
                <w:color w:val="auto"/>
                <w:kern w:val="0"/>
                <w:sz w:val="24"/>
                <w:szCs w:val="20"/>
                <w:lang w:val="en-US" w:eastAsia="zh-CN"/>
              </w:rPr>
              <w:t>2</w:t>
            </w:r>
            <w:r>
              <w:rPr>
                <w:rFonts w:hint="eastAsia" w:ascii="宋体" w:hAnsi="宋体" w:cs="宋体"/>
                <w:color w:val="auto"/>
                <w:kern w:val="0"/>
                <w:sz w:val="24"/>
                <w:szCs w:val="20"/>
              </w:rPr>
              <w:t>分；内容及措施不全面或合理可行性有欠缺的得1分；不满足或未提供的，得0分。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3</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技术服务方案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13.2</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投标人具有丰富的图书配送服务经验，随书配备符合国家图书馆联合编目中心著录规则的编目数据的能力，承诺具有将本馆图书著录数据并入公共图书馆联网系统的能力。（提供相关证明资料）</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2</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技术服务方案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13.3</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olor w:val="auto"/>
                <w:sz w:val="24"/>
              </w:rPr>
              <w:t>投标人</w:t>
            </w:r>
            <w:r>
              <w:rPr>
                <w:rFonts w:hint="eastAsia" w:ascii="宋体" w:hAnsi="宋体" w:cs="宋体"/>
                <w:color w:val="auto"/>
                <w:kern w:val="0"/>
                <w:sz w:val="24"/>
                <w:szCs w:val="20"/>
              </w:rPr>
              <w:t>承诺供给的国内中文图书（含国内出版的外文图书）的出版时间为2024年出版或发行的，大于等于90%得3分，小于90%大于等于80%得2分，小于80%大于等于60%得1分，其余不得分。（以投标文件提供的承诺打分，未提供的不得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3</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客观分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技术服务方案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14</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图书采购的便利性、及时性、多样性</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w:t>
            </w:r>
          </w:p>
        </w:tc>
        <w:tc>
          <w:tcPr>
            <w:tcW w:w="1147" w:type="dxa"/>
            <w:vAlign w:val="center"/>
          </w:tcPr>
          <w:p>
            <w:pPr>
              <w:snapToGrid w:val="0"/>
              <w:spacing w:line="360" w:lineRule="auto"/>
              <w:ind w:firstLine="480"/>
              <w:jc w:val="center"/>
              <w:rPr>
                <w:rFonts w:ascii="宋体" w:hAnsi="宋体" w:cs="宋体"/>
                <w:color w:val="auto"/>
                <w:kern w:val="0"/>
                <w:sz w:val="24"/>
                <w:szCs w:val="20"/>
              </w:rPr>
            </w:pPr>
          </w:p>
        </w:tc>
        <w:tc>
          <w:tcPr>
            <w:tcW w:w="2150" w:type="dxa"/>
            <w:vAlign w:val="center"/>
          </w:tcPr>
          <w:p>
            <w:pPr>
              <w:snapToGrid w:val="0"/>
              <w:spacing w:line="360" w:lineRule="auto"/>
              <w:ind w:firstLine="480"/>
              <w:jc w:val="center"/>
              <w:rPr>
                <w:rFonts w:ascii="宋体" w:hAnsi="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14.1</w:t>
            </w:r>
          </w:p>
        </w:tc>
        <w:tc>
          <w:tcPr>
            <w:tcW w:w="3545" w:type="dxa"/>
            <w:vAlign w:val="center"/>
          </w:tcPr>
          <w:p>
            <w:pPr>
              <w:keepNext w:val="0"/>
              <w:keepLines w:val="0"/>
              <w:pageBreakBefore w:val="0"/>
              <w:widowControl/>
              <w:kinsoku/>
              <w:wordWrap/>
              <w:overflowPunct/>
              <w:topLinePunct w:val="0"/>
              <w:autoSpaceDE/>
              <w:autoSpaceDN/>
              <w:bidi w:val="0"/>
              <w:adjustRightInd w:val="0"/>
              <w:snapToGrid/>
              <w:ind w:firstLine="480" w:firstLineChars="200"/>
              <w:contextualSpacing/>
              <w:jc w:val="left"/>
              <w:textAlignment w:val="auto"/>
              <w:rPr>
                <w:rFonts w:ascii="宋体" w:hAnsi="宋体" w:cs="宋体"/>
                <w:color w:val="auto"/>
                <w:kern w:val="0"/>
                <w:sz w:val="24"/>
                <w:szCs w:val="20"/>
              </w:rPr>
            </w:pPr>
            <w:r>
              <w:rPr>
                <w:rFonts w:hint="eastAsia" w:ascii="宋体" w:hAnsi="宋体" w:cs="宋体"/>
                <w:color w:val="auto"/>
                <w:kern w:val="0"/>
                <w:sz w:val="24"/>
                <w:szCs w:val="20"/>
              </w:rPr>
              <w:t>投标人积极响应上级政策，能较好的开展“实体书店你选书我买单”服务，有相应方案，且方案科学合理可行。方案科学合理可行的得4分；方案略有欠缺的得3分；方案基本合理可行的得2分；缺乏详细内容，描述简单的得1分；不科学不合理的得0分。（以投标文件提供的服务方案打分，未提供的不得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4</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技术服务方案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14.2</w:t>
            </w:r>
          </w:p>
        </w:tc>
        <w:tc>
          <w:tcPr>
            <w:tcW w:w="3545" w:type="dxa"/>
            <w:vAlign w:val="center"/>
          </w:tcPr>
          <w:p>
            <w:pPr>
              <w:keepNext w:val="0"/>
              <w:keepLines w:val="0"/>
              <w:pageBreakBefore w:val="0"/>
              <w:widowControl/>
              <w:kinsoku/>
              <w:wordWrap/>
              <w:overflowPunct/>
              <w:topLinePunct w:val="0"/>
              <w:autoSpaceDE/>
              <w:autoSpaceDN/>
              <w:bidi w:val="0"/>
              <w:adjustRightInd w:val="0"/>
              <w:snapToGrid/>
              <w:ind w:firstLine="480" w:firstLineChars="200"/>
              <w:contextualSpacing/>
              <w:jc w:val="left"/>
              <w:textAlignment w:val="auto"/>
              <w:rPr>
                <w:rFonts w:ascii="宋体" w:hAnsi="宋体" w:cs="宋体"/>
                <w:color w:val="auto"/>
                <w:kern w:val="0"/>
                <w:sz w:val="24"/>
                <w:szCs w:val="20"/>
              </w:rPr>
            </w:pPr>
            <w:r>
              <w:rPr>
                <w:rFonts w:hint="eastAsia" w:ascii="宋体" w:hAnsi="宋体" w:cs="宋体"/>
                <w:color w:val="auto"/>
                <w:kern w:val="0"/>
                <w:sz w:val="24"/>
                <w:szCs w:val="20"/>
              </w:rPr>
              <w:t>投标人积极响应上级政策，能较好的开展网上“悦借”服务，有相应方案，且方案科学合理可行。方案科学合理可行的得4分；方案略有欠缺的得3分；方案基本合理可行的得2分；缺乏详细内容，描述简单的得1分；不科学不合理的得0分。（以投标文件提供的服务方案打分，未提供的不得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4</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技术服务方案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14.3</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承诺在采购人完成批次采购后，将图书完成数据加工于5天内运送到图书馆得1分，不能承诺达到的不得分（承诺函格式自拟）。</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1</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客观分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技术服务方案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15</w:t>
            </w:r>
          </w:p>
        </w:tc>
        <w:tc>
          <w:tcPr>
            <w:tcW w:w="3545" w:type="dxa"/>
            <w:vAlign w:val="center"/>
          </w:tcPr>
          <w:p>
            <w:pPr>
              <w:ind w:firstLine="480"/>
              <w:contextualSpacing/>
              <w:rPr>
                <w:rFonts w:ascii="宋体" w:hAnsi="宋体" w:cs="宋体"/>
                <w:color w:val="auto"/>
                <w:kern w:val="0"/>
                <w:sz w:val="24"/>
                <w:szCs w:val="20"/>
              </w:rPr>
            </w:pPr>
            <w:r>
              <w:rPr>
                <w:rFonts w:hint="eastAsia" w:ascii="宋体" w:hAnsi="宋体" w:cs="宋体"/>
                <w:color w:val="auto"/>
                <w:kern w:val="0"/>
                <w:sz w:val="24"/>
                <w:szCs w:val="20"/>
              </w:rPr>
              <w:t>售后服务</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w:t>
            </w:r>
          </w:p>
        </w:tc>
        <w:tc>
          <w:tcPr>
            <w:tcW w:w="1147" w:type="dxa"/>
            <w:vAlign w:val="center"/>
          </w:tcPr>
          <w:p>
            <w:pPr>
              <w:snapToGrid w:val="0"/>
              <w:spacing w:line="360" w:lineRule="auto"/>
              <w:ind w:firstLine="480"/>
              <w:jc w:val="center"/>
              <w:rPr>
                <w:rFonts w:ascii="宋体" w:hAnsi="宋体" w:cs="宋体"/>
                <w:color w:val="auto"/>
                <w:kern w:val="0"/>
                <w:sz w:val="24"/>
                <w:szCs w:val="20"/>
              </w:rPr>
            </w:pPr>
          </w:p>
        </w:tc>
        <w:tc>
          <w:tcPr>
            <w:tcW w:w="2150" w:type="dxa"/>
            <w:vAlign w:val="center"/>
          </w:tcPr>
          <w:p>
            <w:pPr>
              <w:snapToGrid w:val="0"/>
              <w:spacing w:line="360" w:lineRule="auto"/>
              <w:ind w:firstLine="480"/>
              <w:jc w:val="center"/>
              <w:rPr>
                <w:rFonts w:ascii="宋体" w:hAnsi="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15.1</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人员配置充足合理、响应时间快速有效，维护方案全面、合理、可行。（以投标文件提供的售后服务方案打分，未提供的不得分）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3</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lang w:val="zh-CN"/>
              </w:rPr>
              <w:t>售后服务</w:t>
            </w:r>
            <w:r>
              <w:rPr>
                <w:rFonts w:hint="eastAsia" w:ascii="宋体" w:hAnsi="宋体" w:cs="宋体"/>
                <w:color w:val="auto"/>
                <w:kern w:val="0"/>
                <w:sz w:val="24"/>
                <w:szCs w:val="20"/>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15.2</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服务承诺的可行性、完整性及服务承诺落实的保障措施。（以投标文件提供的售后服务方案打分，未提供的不得分）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3</w:t>
            </w:r>
          </w:p>
        </w:tc>
        <w:tc>
          <w:tcPr>
            <w:tcW w:w="1147"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lang w:val="zh-CN"/>
              </w:rPr>
              <w:t>售后服务</w:t>
            </w:r>
            <w:r>
              <w:rPr>
                <w:rFonts w:hint="eastAsia" w:ascii="宋体" w:hAnsi="宋体" w:cs="宋体"/>
                <w:color w:val="auto"/>
                <w:kern w:val="0"/>
                <w:sz w:val="24"/>
                <w:szCs w:val="20"/>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15.3</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有完整售后服务体系，能随时响应采购人的各项要求。（以投标文件提供的售后服务方案打分，未提供的不得分）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2</w:t>
            </w:r>
          </w:p>
        </w:tc>
        <w:tc>
          <w:tcPr>
            <w:tcW w:w="1147" w:type="dxa"/>
            <w:vAlign w:val="center"/>
          </w:tcPr>
          <w:p>
            <w:pPr>
              <w:snapToGrid w:val="0"/>
              <w:spacing w:line="360" w:lineRule="auto"/>
              <w:jc w:val="center"/>
              <w:rPr>
                <w:rFonts w:ascii="宋体" w:hAnsi="宋体" w:cs="宋体"/>
                <w:bCs/>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lang w:val="zh-CN"/>
              </w:rPr>
              <w:t>售后服务</w:t>
            </w:r>
            <w:r>
              <w:rPr>
                <w:rFonts w:hint="eastAsia" w:ascii="宋体" w:hAnsi="宋体" w:cs="宋体"/>
                <w:color w:val="auto"/>
                <w:kern w:val="0"/>
                <w:sz w:val="24"/>
                <w:szCs w:val="20"/>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16</w:t>
            </w:r>
          </w:p>
        </w:tc>
        <w:tc>
          <w:tcPr>
            <w:tcW w:w="3545" w:type="dxa"/>
            <w:vAlign w:val="center"/>
          </w:tcPr>
          <w:p>
            <w:pPr>
              <w:widowControl/>
              <w:ind w:firstLine="480"/>
              <w:contextualSpacing/>
              <w:rPr>
                <w:rFonts w:ascii="宋体" w:hAnsi="宋体" w:cs="宋体"/>
                <w:color w:val="auto"/>
                <w:kern w:val="0"/>
                <w:sz w:val="24"/>
                <w:szCs w:val="20"/>
              </w:rPr>
            </w:pPr>
            <w:r>
              <w:rPr>
                <w:rFonts w:hint="eastAsia" w:ascii="宋体" w:hAnsi="宋体" w:cs="宋体"/>
                <w:color w:val="auto"/>
                <w:kern w:val="0"/>
                <w:sz w:val="24"/>
                <w:szCs w:val="20"/>
              </w:rPr>
              <w:t>团队人员</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w:t>
            </w:r>
          </w:p>
        </w:tc>
        <w:tc>
          <w:tcPr>
            <w:tcW w:w="1147" w:type="dxa"/>
            <w:vAlign w:val="center"/>
          </w:tcPr>
          <w:p>
            <w:pPr>
              <w:snapToGrid w:val="0"/>
              <w:spacing w:line="360" w:lineRule="auto"/>
              <w:ind w:firstLine="480"/>
              <w:jc w:val="center"/>
              <w:rPr>
                <w:rFonts w:ascii="宋体" w:hAnsi="宋体" w:cs="宋体"/>
                <w:bCs/>
                <w:color w:val="auto"/>
                <w:kern w:val="0"/>
                <w:sz w:val="24"/>
                <w:szCs w:val="20"/>
              </w:rPr>
            </w:pPr>
          </w:p>
        </w:tc>
        <w:tc>
          <w:tcPr>
            <w:tcW w:w="2150" w:type="dxa"/>
            <w:vAlign w:val="center"/>
          </w:tcPr>
          <w:p>
            <w:pPr>
              <w:snapToGrid w:val="0"/>
              <w:spacing w:line="360" w:lineRule="auto"/>
              <w:ind w:firstLine="480"/>
              <w:jc w:val="center"/>
              <w:rPr>
                <w:rFonts w:ascii="宋体" w:hAnsi="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16.1</w:t>
            </w:r>
          </w:p>
        </w:tc>
        <w:tc>
          <w:tcPr>
            <w:tcW w:w="3545" w:type="dxa"/>
            <w:vAlign w:val="center"/>
          </w:tcPr>
          <w:p>
            <w:pPr>
              <w:ind w:firstLine="480"/>
              <w:contextualSpacing/>
              <w:rPr>
                <w:rFonts w:ascii="宋体" w:hAnsi="宋体" w:cs="宋体"/>
                <w:color w:val="auto"/>
                <w:kern w:val="0"/>
                <w:sz w:val="24"/>
                <w:szCs w:val="20"/>
              </w:rPr>
            </w:pPr>
            <w:r>
              <w:rPr>
                <w:rFonts w:hint="eastAsia" w:ascii="宋体" w:hAnsi="宋体" w:cs="宋体"/>
                <w:color w:val="auto"/>
                <w:kern w:val="0"/>
                <w:sz w:val="24"/>
                <w:szCs w:val="20"/>
              </w:rPr>
              <w:t>拟投入本项目组,负责人专业素质、技术能力、服务经验满足采购需求情况。（根据投标文件提供的相关证明材料为准）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3</w:t>
            </w:r>
          </w:p>
        </w:tc>
        <w:tc>
          <w:tcPr>
            <w:tcW w:w="1147" w:type="dxa"/>
            <w:vAlign w:val="center"/>
          </w:tcPr>
          <w:p>
            <w:pPr>
              <w:snapToGrid w:val="0"/>
              <w:spacing w:line="360" w:lineRule="auto"/>
              <w:jc w:val="center"/>
              <w:rPr>
                <w:rFonts w:ascii="宋体" w:hAnsi="宋体" w:cs="宋体"/>
                <w:bCs/>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项目人员情况表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16.2</w:t>
            </w:r>
          </w:p>
        </w:tc>
        <w:tc>
          <w:tcPr>
            <w:tcW w:w="3545" w:type="dxa"/>
            <w:vAlign w:val="center"/>
          </w:tcPr>
          <w:p>
            <w:pPr>
              <w:ind w:firstLine="480"/>
              <w:contextualSpacing/>
              <w:rPr>
                <w:rFonts w:ascii="宋体" w:hAnsi="宋体" w:cs="宋体"/>
                <w:color w:val="auto"/>
                <w:kern w:val="0"/>
                <w:sz w:val="24"/>
                <w:szCs w:val="20"/>
              </w:rPr>
            </w:pPr>
            <w:r>
              <w:rPr>
                <w:rFonts w:hint="eastAsia" w:ascii="宋体" w:hAnsi="宋体" w:cs="宋体"/>
                <w:color w:val="auto"/>
                <w:kern w:val="0"/>
                <w:sz w:val="24"/>
                <w:szCs w:val="20"/>
              </w:rPr>
              <w:t>项目组人员组成、数量、责任分工情况。（根据投标文件的提供相关证明材料为准）。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3</w:t>
            </w:r>
          </w:p>
        </w:tc>
        <w:tc>
          <w:tcPr>
            <w:tcW w:w="1147" w:type="dxa"/>
            <w:vAlign w:val="center"/>
          </w:tcPr>
          <w:p>
            <w:pPr>
              <w:snapToGrid w:val="0"/>
              <w:spacing w:line="360" w:lineRule="auto"/>
              <w:jc w:val="center"/>
              <w:rPr>
                <w:rFonts w:ascii="宋体" w:hAnsi="宋体" w:cs="宋体"/>
                <w:bCs/>
                <w:color w:val="auto"/>
                <w:kern w:val="0"/>
                <w:sz w:val="24"/>
                <w:szCs w:val="20"/>
              </w:rPr>
            </w:pPr>
            <w:r>
              <w:rPr>
                <w:rFonts w:hint="eastAsia" w:ascii="宋体" w:hAnsi="宋体" w:cs="宋体"/>
                <w:bCs/>
                <w:color w:val="auto"/>
                <w:kern w:val="0"/>
                <w:sz w:val="24"/>
                <w:szCs w:val="20"/>
              </w:rPr>
              <w:t>主观分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项目人员情况表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17</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2021年1月1日以来类似公共图书馆中文纸质图书供货项目业绩情况。（以合同签订时间为准，提供合同复印件，每提供一个得0.5分，最高得1分）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1</w:t>
            </w:r>
          </w:p>
        </w:tc>
        <w:tc>
          <w:tcPr>
            <w:tcW w:w="1147" w:type="dxa"/>
            <w:vAlign w:val="center"/>
          </w:tcPr>
          <w:p>
            <w:pPr>
              <w:snapToGrid w:val="0"/>
              <w:spacing w:line="360" w:lineRule="auto"/>
              <w:jc w:val="center"/>
              <w:rPr>
                <w:rFonts w:ascii="宋体" w:hAnsi="宋体" w:cs="宋体"/>
                <w:bCs/>
                <w:color w:val="auto"/>
                <w:kern w:val="0"/>
                <w:sz w:val="24"/>
                <w:szCs w:val="20"/>
              </w:rPr>
            </w:pPr>
            <w:r>
              <w:rPr>
                <w:rFonts w:hint="eastAsia" w:ascii="宋体" w:hAnsi="宋体" w:cs="宋体"/>
                <w:bCs/>
                <w:color w:val="auto"/>
                <w:kern w:val="0"/>
                <w:sz w:val="24"/>
                <w:szCs w:val="20"/>
              </w:rPr>
              <w:t>客观分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18</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2021年1月1日以来线下类似 “实体书店你选书我买单”项目业绩情况。（以合同签订时间为准，提供合同复印件，每提供一个得0.5分，最高得1分）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1</w:t>
            </w:r>
          </w:p>
        </w:tc>
        <w:tc>
          <w:tcPr>
            <w:tcW w:w="1147" w:type="dxa"/>
            <w:vAlign w:val="center"/>
          </w:tcPr>
          <w:p>
            <w:pPr>
              <w:snapToGrid w:val="0"/>
              <w:spacing w:line="360" w:lineRule="auto"/>
              <w:jc w:val="center"/>
              <w:rPr>
                <w:rFonts w:ascii="宋体" w:hAnsi="宋体" w:cs="宋体"/>
                <w:bCs/>
                <w:color w:val="auto"/>
                <w:kern w:val="0"/>
                <w:sz w:val="24"/>
                <w:szCs w:val="20"/>
              </w:rPr>
            </w:pPr>
            <w:r>
              <w:rPr>
                <w:rFonts w:hint="eastAsia" w:ascii="宋体" w:hAnsi="宋体" w:cs="宋体"/>
                <w:bCs/>
                <w:color w:val="auto"/>
                <w:kern w:val="0"/>
                <w:sz w:val="24"/>
                <w:szCs w:val="20"/>
              </w:rPr>
              <w:t>客观分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19</w:t>
            </w:r>
          </w:p>
        </w:tc>
        <w:tc>
          <w:tcPr>
            <w:tcW w:w="3545" w:type="dxa"/>
            <w:vAlign w:val="center"/>
          </w:tcPr>
          <w:p>
            <w:pPr>
              <w:widowControl/>
              <w:ind w:firstLine="480"/>
              <w:contextualSpacing/>
              <w:jc w:val="left"/>
              <w:rPr>
                <w:rFonts w:ascii="宋体" w:hAnsi="宋体" w:cs="宋体"/>
                <w:color w:val="auto"/>
                <w:kern w:val="0"/>
                <w:sz w:val="24"/>
                <w:szCs w:val="20"/>
              </w:rPr>
            </w:pPr>
            <w:r>
              <w:rPr>
                <w:rFonts w:hint="eastAsia" w:ascii="宋体" w:hAnsi="宋体" w:cs="宋体"/>
                <w:color w:val="auto"/>
                <w:kern w:val="0"/>
                <w:sz w:val="24"/>
                <w:szCs w:val="20"/>
              </w:rPr>
              <w:t>2021年1月1日以来网上借书“悦借”服务项目业绩情况。（以合同签订时间为准，提供合同复印件，每提供一个得0.5分，最高得1分）</w:t>
            </w:r>
          </w:p>
        </w:tc>
        <w:tc>
          <w:tcPr>
            <w:tcW w:w="764"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宋体" w:hAnsi="宋体" w:cs="宋体"/>
                <w:color w:val="auto"/>
                <w:kern w:val="0"/>
                <w:sz w:val="24"/>
                <w:szCs w:val="20"/>
              </w:rPr>
            </w:pPr>
            <w:r>
              <w:rPr>
                <w:rFonts w:hint="eastAsia" w:ascii="宋体" w:hAnsi="宋体" w:cs="宋体"/>
                <w:color w:val="auto"/>
                <w:kern w:val="0"/>
                <w:sz w:val="24"/>
                <w:szCs w:val="20"/>
              </w:rPr>
              <w:t>1</w:t>
            </w:r>
          </w:p>
        </w:tc>
        <w:tc>
          <w:tcPr>
            <w:tcW w:w="1147" w:type="dxa"/>
            <w:vAlign w:val="center"/>
          </w:tcPr>
          <w:p>
            <w:pPr>
              <w:snapToGrid w:val="0"/>
              <w:spacing w:line="360" w:lineRule="auto"/>
              <w:jc w:val="center"/>
              <w:rPr>
                <w:rFonts w:ascii="宋体" w:hAnsi="宋体" w:cs="宋体"/>
                <w:bCs/>
                <w:color w:val="auto"/>
                <w:kern w:val="0"/>
                <w:sz w:val="24"/>
                <w:szCs w:val="20"/>
              </w:rPr>
            </w:pPr>
            <w:r>
              <w:rPr>
                <w:rFonts w:hint="eastAsia" w:ascii="宋体" w:hAnsi="宋体" w:cs="宋体"/>
                <w:bCs/>
                <w:color w:val="auto"/>
                <w:kern w:val="0"/>
                <w:sz w:val="24"/>
                <w:szCs w:val="20"/>
              </w:rPr>
              <w:t>客观分</w:t>
            </w:r>
          </w:p>
        </w:tc>
        <w:tc>
          <w:tcPr>
            <w:tcW w:w="2150" w:type="dxa"/>
            <w:vAlign w:val="center"/>
          </w:tcPr>
          <w:p>
            <w:pPr>
              <w:snapToGrid w:val="0"/>
              <w:spacing w:line="360" w:lineRule="auto"/>
              <w:jc w:val="center"/>
              <w:rPr>
                <w:rFonts w:ascii="宋体" w:hAnsi="宋体" w:cs="宋体"/>
                <w:color w:val="auto"/>
                <w:kern w:val="0"/>
                <w:sz w:val="24"/>
                <w:szCs w:val="20"/>
              </w:rPr>
            </w:pPr>
            <w:r>
              <w:rPr>
                <w:rFonts w:hint="eastAsia" w:ascii="宋体" w:hAnsi="宋体" w:cs="宋体"/>
                <w:color w:val="auto"/>
                <w:kern w:val="0"/>
                <w:sz w:val="24"/>
                <w:szCs w:val="20"/>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 w:val="24"/>
                <w:szCs w:val="20"/>
              </w:rPr>
            </w:pPr>
            <w:r>
              <w:rPr>
                <w:rFonts w:hint="eastAsia" w:ascii="宋体" w:hAnsi="宋体" w:cs="宋体"/>
                <w:color w:val="auto"/>
                <w:kern w:val="0"/>
                <w:sz w:val="24"/>
                <w:szCs w:val="20"/>
              </w:rPr>
              <w:t>20</w:t>
            </w:r>
          </w:p>
        </w:tc>
        <w:tc>
          <w:tcPr>
            <w:tcW w:w="3545" w:type="dxa"/>
          </w:tcPr>
          <w:p>
            <w:pPr>
              <w:ind w:firstLine="480"/>
              <w:outlineLvl w:val="0"/>
              <w:rPr>
                <w:rFonts w:ascii="宋体" w:hAnsi="宋体" w:cs="宋体"/>
                <w:color w:val="auto"/>
                <w:kern w:val="0"/>
                <w:sz w:val="24"/>
                <w:szCs w:val="20"/>
              </w:rPr>
            </w:pPr>
            <w:r>
              <w:rPr>
                <w:rFonts w:hint="eastAsia" w:ascii="宋体" w:hAnsi="宋体" w:cs="宋体"/>
                <w:color w:val="auto"/>
                <w:kern w:val="0"/>
                <w:sz w:val="24"/>
                <w:szCs w:val="20"/>
              </w:rPr>
              <w:t>有效投标报价的最低价作为评标基准价，其最低报价为满分；按［投标报价得分=（评标基准价/投标报价）*30］的计算公式计算。</w:t>
            </w:r>
          </w:p>
          <w:p>
            <w:pPr>
              <w:widowControl/>
              <w:shd w:val="clear" w:color="auto" w:fill="FFFFFF"/>
              <w:ind w:firstLine="480"/>
              <w:jc w:val="left"/>
              <w:rPr>
                <w:rFonts w:ascii="宋体" w:hAnsi="宋体" w:cs="宋体"/>
                <w:color w:val="auto"/>
                <w:kern w:val="0"/>
                <w:sz w:val="24"/>
                <w:szCs w:val="20"/>
              </w:rPr>
            </w:pPr>
            <w:r>
              <w:rPr>
                <w:rFonts w:hint="eastAsia" w:ascii="宋体" w:hAnsi="宋体" w:cs="宋体"/>
                <w:color w:val="auto"/>
                <w:kern w:val="0"/>
                <w:sz w:val="24"/>
                <w:szCs w:val="20"/>
              </w:rPr>
              <w:t>评标过程中，不得去掉报价中的最高报价和最低报价。</w:t>
            </w:r>
          </w:p>
          <w:p>
            <w:pPr>
              <w:widowControl/>
              <w:shd w:val="clear" w:color="auto" w:fill="FFFFFF"/>
              <w:ind w:firstLine="480"/>
              <w:jc w:val="left"/>
              <w:rPr>
                <w:rFonts w:ascii="宋体" w:hAnsi="宋体" w:cs="宋体"/>
                <w:color w:val="auto"/>
                <w:kern w:val="0"/>
                <w:sz w:val="24"/>
                <w:szCs w:val="20"/>
              </w:rPr>
            </w:pPr>
            <w:r>
              <w:rPr>
                <w:rFonts w:hint="eastAsia" w:ascii="宋体" w:hAnsi="宋体" w:cs="宋体"/>
                <w:color w:val="auto"/>
                <w:kern w:val="0"/>
                <w:sz w:val="24"/>
                <w:szCs w:val="20"/>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0"/>
              <w:rPr>
                <w:rFonts w:ascii="宋体" w:hAnsi="宋体" w:cs="宋体"/>
                <w:color w:val="auto"/>
                <w:kern w:val="0"/>
                <w:sz w:val="24"/>
                <w:szCs w:val="20"/>
              </w:rPr>
            </w:pPr>
            <w:r>
              <w:rPr>
                <w:rFonts w:hint="eastAsia" w:ascii="宋体" w:hAnsi="宋体" w:cs="宋体"/>
                <w:color w:val="auto"/>
                <w:kern w:val="0"/>
                <w:sz w:val="24"/>
                <w:szCs w:val="20"/>
              </w:rPr>
              <w:t>30</w:t>
            </w:r>
          </w:p>
        </w:tc>
        <w:tc>
          <w:tcPr>
            <w:tcW w:w="1147" w:type="dxa"/>
            <w:vAlign w:val="center"/>
          </w:tcPr>
          <w:p>
            <w:pPr>
              <w:spacing w:line="360" w:lineRule="auto"/>
              <w:jc w:val="center"/>
              <w:outlineLvl w:val="0"/>
              <w:rPr>
                <w:rFonts w:ascii="宋体" w:hAnsi="宋体" w:cs="宋体"/>
                <w:color w:val="auto"/>
                <w:kern w:val="0"/>
                <w:sz w:val="24"/>
                <w:szCs w:val="20"/>
              </w:rPr>
            </w:pPr>
            <w:r>
              <w:rPr>
                <w:rFonts w:hint="eastAsia" w:ascii="宋体" w:hAnsi="宋体" w:cs="宋体"/>
                <w:bCs/>
                <w:color w:val="auto"/>
                <w:kern w:val="0"/>
                <w:sz w:val="24"/>
                <w:szCs w:val="20"/>
              </w:rPr>
              <w:t>客观分</w:t>
            </w:r>
          </w:p>
        </w:tc>
        <w:tc>
          <w:tcPr>
            <w:tcW w:w="2150" w:type="dxa"/>
            <w:vAlign w:val="center"/>
          </w:tcPr>
          <w:p>
            <w:pPr>
              <w:spacing w:line="360" w:lineRule="auto"/>
              <w:ind w:firstLine="480"/>
              <w:jc w:val="center"/>
              <w:outlineLvl w:val="0"/>
              <w:rPr>
                <w:rFonts w:ascii="宋体" w:hAnsi="宋体" w:cs="宋体"/>
                <w:color w:val="auto"/>
                <w:kern w:val="0"/>
                <w:sz w:val="24"/>
                <w:szCs w:val="20"/>
              </w:rPr>
            </w:pPr>
            <w:r>
              <w:rPr>
                <w:rFonts w:hint="eastAsia" w:ascii="宋体" w:hAnsi="宋体" w:cs="宋体"/>
                <w:color w:val="auto"/>
                <w:kern w:val="0"/>
                <w:sz w:val="24"/>
                <w:szCs w:val="20"/>
              </w:rPr>
              <w:t>/</w:t>
            </w:r>
          </w:p>
        </w:tc>
      </w:tr>
    </w:tbl>
    <w:p>
      <w:pPr>
        <w:ind w:firstLine="480"/>
        <w:rPr>
          <w:color w:val="auto"/>
        </w:rPr>
      </w:pPr>
    </w:p>
    <w:p>
      <w:pPr>
        <w:snapToGrid w:val="0"/>
        <w:spacing w:line="360" w:lineRule="auto"/>
        <w:ind w:firstLine="400"/>
        <w:rPr>
          <w:rFonts w:hint="eastAsia" w:ascii="宋体" w:hAnsi="宋体" w:cs="宋体"/>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color w:val="auto"/>
          <w:sz w:val="32"/>
        </w:rPr>
      </w:pPr>
      <w:r>
        <w:rPr>
          <w:rFonts w:hint="eastAsia" w:ascii="宋体" w:hAnsi="宋体" w:eastAsia="宋体" w:cs="宋体"/>
          <w:b/>
          <w:color w:val="auto"/>
          <w:sz w:val="32"/>
        </w:rPr>
        <w:t>一、评标方法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宋体" w:hAnsi="宋体" w:cs="宋体"/>
          <w:color w:val="auto"/>
          <w:kern w:val="0"/>
          <w:sz w:val="24"/>
        </w:rPr>
      </w:pPr>
      <w:r>
        <w:rPr>
          <w:rFonts w:hint="eastAsia" w:ascii="宋体" w:hAnsi="宋体" w:cs="宋体"/>
          <w:b/>
          <w:color w:val="auto"/>
          <w:sz w:val="32"/>
        </w:rPr>
        <w:t>二、评标标准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kern w:val="0"/>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color w:val="auto"/>
          <w:sz w:val="32"/>
        </w:rPr>
      </w:pPr>
      <w:r>
        <w:rPr>
          <w:rFonts w:hint="eastAsia" w:ascii="宋体" w:hAnsi="宋体" w:eastAsia="宋体" w:cs="宋体"/>
          <w:b/>
          <w:color w:val="auto"/>
          <w:sz w:val="32"/>
        </w:rPr>
        <w:t>三、评标程序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firstLine="643"/>
        <w:jc w:val="left"/>
        <w:rPr>
          <w:rFonts w:ascii="宋体" w:hAnsi="宋体" w:cs="宋体"/>
          <w:b/>
          <w:color w:val="auto"/>
          <w:sz w:val="32"/>
        </w:rPr>
      </w:pPr>
      <w:r>
        <w:rPr>
          <w:rFonts w:hint="eastAsia" w:ascii="宋体" w:hAnsi="宋体" w:cs="宋体"/>
          <w:b/>
          <w:color w:val="auto"/>
          <w:sz w:val="32"/>
        </w:rPr>
        <w:t>四、评标中的其他事项</w:t>
      </w:r>
    </w:p>
    <w:p>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3"/>
        <w:ind w:left="430" w:leftChars="205" w:firstLine="48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4"/>
        <w:snapToGrid w:val="0"/>
        <w:spacing w:line="360" w:lineRule="auto"/>
        <w:rPr>
          <w:rFonts w:cs="宋体"/>
          <w:color w:val="auto"/>
        </w:rPr>
      </w:pPr>
      <w:r>
        <w:rPr>
          <w:rFonts w:hint="eastAsia" w:cs="宋体"/>
          <w:color w:val="auto"/>
        </w:rPr>
        <w:t>5.2出现影响采购公正的违法、违规行为的；</w:t>
      </w:r>
    </w:p>
    <w:p>
      <w:pPr>
        <w:pStyle w:val="24"/>
        <w:snapToGrid w:val="0"/>
        <w:spacing w:line="360" w:lineRule="auto"/>
        <w:rPr>
          <w:rFonts w:cs="宋体"/>
          <w:color w:val="auto"/>
        </w:rPr>
      </w:pPr>
      <w:r>
        <w:rPr>
          <w:rFonts w:hint="eastAsia" w:cs="宋体"/>
          <w:color w:val="auto"/>
        </w:rPr>
        <w:t>5.3投标人的报价均超过了采购预算，采购人不能支付的；</w:t>
      </w:r>
    </w:p>
    <w:p>
      <w:pPr>
        <w:pStyle w:val="24"/>
        <w:snapToGrid w:val="0"/>
        <w:spacing w:line="360" w:lineRule="auto"/>
        <w:rPr>
          <w:rFonts w:cs="宋体"/>
          <w:color w:val="auto"/>
        </w:rPr>
      </w:pPr>
      <w:r>
        <w:rPr>
          <w:rFonts w:hint="eastAsia" w:cs="宋体"/>
          <w:color w:val="auto"/>
        </w:rPr>
        <w:t>5.4因重大变故，采购任务取消的。</w:t>
      </w:r>
    </w:p>
    <w:p>
      <w:pPr>
        <w:pStyle w:val="24"/>
        <w:snapToGrid w:val="0"/>
        <w:spacing w:line="360" w:lineRule="auto"/>
        <w:rPr>
          <w:rFonts w:cs="宋体"/>
          <w:color w:val="auto"/>
        </w:rPr>
      </w:pPr>
      <w:r>
        <w:rPr>
          <w:rFonts w:hint="eastAsia" w:cs="宋体"/>
          <w:color w:val="auto"/>
        </w:rPr>
        <w:t>废标后，采购代理机构应当将废标理由通知所有投标人。</w:t>
      </w:r>
    </w:p>
    <w:p>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rPr>
      </w:pPr>
    </w:p>
    <w:bookmarkEnd w:id="31"/>
    <w:p>
      <w:pPr>
        <w:spacing w:line="360" w:lineRule="auto"/>
        <w:ind w:left="720" w:leftChars="343" w:firstLine="1084" w:firstLineChars="300"/>
        <w:outlineLvl w:val="0"/>
        <w:rPr>
          <w:rFonts w:ascii="宋体" w:hAnsi="宋体" w:cs="宋体"/>
          <w:b/>
          <w:color w:val="auto"/>
          <w:sz w:val="36"/>
          <w:szCs w:val="36"/>
        </w:rPr>
      </w:pPr>
      <w:bookmarkStart w:id="398" w:name="第五部分"/>
      <w:bookmarkStart w:id="399"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ind w:firstLine="723"/>
        <w:rPr>
          <w:rFonts w:ascii="宋体" w:hAnsi="宋体" w:cs="宋体"/>
          <w:b/>
          <w:color w:val="auto"/>
          <w:sz w:val="36"/>
          <w:szCs w:val="36"/>
        </w:rPr>
      </w:pPr>
      <w:r>
        <w:rPr>
          <w:rFonts w:hint="eastAsia"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ind w:firstLine="480"/>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ind w:firstLine="562"/>
        <w:jc w:val="center"/>
        <w:rPr>
          <w:rFonts w:ascii="宋体" w:hAnsi="宋体" w:cs="宋体"/>
          <w:b/>
          <w:color w:val="auto"/>
          <w:sz w:val="28"/>
          <w:szCs w:val="28"/>
        </w:rPr>
      </w:pPr>
    </w:p>
    <w:p>
      <w:pPr>
        <w:spacing w:line="480" w:lineRule="auto"/>
        <w:ind w:firstLine="482"/>
        <w:jc w:val="center"/>
        <w:rPr>
          <w:rFonts w:ascii="宋体" w:hAnsi="宋体" w:cs="宋体"/>
          <w:b/>
          <w:color w:val="auto"/>
          <w:sz w:val="24"/>
        </w:rPr>
      </w:pPr>
    </w:p>
    <w:p>
      <w:pPr>
        <w:spacing w:line="480" w:lineRule="auto"/>
        <w:ind w:firstLine="482"/>
        <w:jc w:val="center"/>
        <w:rPr>
          <w:rFonts w:ascii="宋体" w:hAnsi="宋体" w:cs="宋体"/>
          <w:b/>
          <w:color w:val="auto"/>
          <w:sz w:val="24"/>
        </w:rPr>
      </w:pPr>
    </w:p>
    <w:p>
      <w:pPr>
        <w:spacing w:line="480" w:lineRule="auto"/>
        <w:ind w:firstLine="723"/>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ind w:firstLine="723"/>
        <w:jc w:val="center"/>
        <w:rPr>
          <w:rFonts w:ascii="宋体" w:hAnsi="宋体" w:cs="宋体"/>
          <w:b/>
          <w:color w:val="auto"/>
          <w:sz w:val="36"/>
          <w:szCs w:val="36"/>
        </w:rPr>
      </w:pPr>
      <w:r>
        <w:rPr>
          <w:rFonts w:hint="eastAsia" w:ascii="宋体" w:hAnsi="宋体" w:cs="宋体"/>
          <w:b/>
          <w:color w:val="auto"/>
          <w:sz w:val="36"/>
          <w:szCs w:val="36"/>
        </w:rPr>
        <w:t>（货物类）</w:t>
      </w:r>
    </w:p>
    <w:p>
      <w:pPr>
        <w:pStyle w:val="701"/>
        <w:rPr>
          <w:rFonts w:ascii="宋体" w:hAnsi="宋体" w:cs="宋体"/>
          <w:color w:val="auto"/>
          <w:szCs w:val="24"/>
        </w:rPr>
      </w:pPr>
    </w:p>
    <w:p>
      <w:pPr>
        <w:pStyle w:val="701"/>
        <w:rPr>
          <w:rFonts w:ascii="宋体" w:hAnsi="宋体" w:cs="宋体"/>
          <w:color w:val="auto"/>
          <w:szCs w:val="24"/>
        </w:rPr>
      </w:pPr>
    </w:p>
    <w:p>
      <w:pPr>
        <w:pStyle w:val="701"/>
        <w:jc w:val="center"/>
        <w:rPr>
          <w:rFonts w:ascii="宋体" w:hAnsi="宋体" w:cs="宋体"/>
          <w:color w:val="auto"/>
          <w:szCs w:val="24"/>
        </w:rPr>
      </w:pPr>
    </w:p>
    <w:p>
      <w:pPr>
        <w:pStyle w:val="701"/>
        <w:ind w:firstLine="2843" w:firstLineChars="1180"/>
        <w:rPr>
          <w:rFonts w:ascii="宋体" w:hAnsi="宋体" w:cs="宋体"/>
          <w:b/>
          <w:color w:val="auto"/>
          <w:szCs w:val="24"/>
        </w:rPr>
      </w:pPr>
      <w:r>
        <w:rPr>
          <w:rFonts w:hint="eastAsia" w:ascii="宋体" w:hAnsi="宋体" w:cs="宋体"/>
          <w:b/>
          <w:color w:val="auto"/>
          <w:szCs w:val="24"/>
        </w:rPr>
        <w:t>第一部分 合同书</w:t>
      </w:r>
    </w:p>
    <w:p>
      <w:pPr>
        <w:pStyle w:val="701"/>
        <w:rPr>
          <w:rFonts w:ascii="宋体" w:hAnsi="宋体" w:cs="宋体"/>
          <w:color w:val="auto"/>
          <w:szCs w:val="24"/>
        </w:rPr>
      </w:pPr>
    </w:p>
    <w:p>
      <w:pPr>
        <w:pStyle w:val="701"/>
        <w:rPr>
          <w:rFonts w:ascii="宋体" w:hAnsi="宋体" w:cs="宋体"/>
          <w:color w:val="auto"/>
          <w:szCs w:val="24"/>
        </w:rPr>
      </w:pPr>
    </w:p>
    <w:p>
      <w:pPr>
        <w:spacing w:before="120" w:line="22" w:lineRule="atLeast"/>
        <w:ind w:firstLine="480"/>
        <w:rPr>
          <w:rFonts w:ascii="宋体" w:hAnsi="宋体" w:cs="宋体"/>
          <w:color w:val="auto"/>
          <w:sz w:val="24"/>
        </w:rPr>
      </w:pPr>
    </w:p>
    <w:p>
      <w:pPr>
        <w:spacing w:before="120" w:line="22" w:lineRule="atLeast"/>
        <w:ind w:left="960" w:firstLine="48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8"/>
        <w:spacing w:before="120" w:line="22" w:lineRule="atLeast"/>
        <w:ind w:firstLine="480"/>
        <w:rPr>
          <w:rFonts w:ascii="宋体" w:hAnsi="宋体" w:eastAsia="宋体" w:cs="宋体"/>
          <w:color w:val="auto"/>
          <w:szCs w:val="24"/>
        </w:rPr>
      </w:pPr>
    </w:p>
    <w:p>
      <w:pPr>
        <w:pStyle w:val="598"/>
        <w:spacing w:before="120" w:line="22" w:lineRule="atLeast"/>
        <w:ind w:firstLine="480"/>
        <w:rPr>
          <w:rFonts w:ascii="宋体" w:hAnsi="宋体" w:eastAsia="宋体" w:cs="宋体"/>
          <w:color w:val="auto"/>
          <w:szCs w:val="24"/>
        </w:rPr>
      </w:pPr>
    </w:p>
    <w:p>
      <w:pPr>
        <w:ind w:firstLine="480"/>
        <w:rPr>
          <w:rFonts w:ascii="宋体" w:hAnsi="宋体" w:cs="宋体"/>
          <w:color w:val="auto"/>
          <w:sz w:val="24"/>
        </w:rPr>
      </w:pPr>
    </w:p>
    <w:p>
      <w:pPr>
        <w:spacing w:before="120" w:line="22" w:lineRule="atLeast"/>
        <w:ind w:left="960" w:firstLine="48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ind w:firstLine="480"/>
        <w:rPr>
          <w:rFonts w:ascii="宋体" w:hAnsi="宋体" w:cs="宋体"/>
          <w:color w:val="auto"/>
          <w:sz w:val="24"/>
        </w:rPr>
      </w:pPr>
    </w:p>
    <w:p>
      <w:pPr>
        <w:spacing w:before="120" w:line="22" w:lineRule="atLeast"/>
        <w:ind w:left="960" w:firstLine="48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ind w:firstLine="480"/>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ind w:firstLine="480"/>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ind w:firstLine="480"/>
        <w:jc w:val="left"/>
        <w:rPr>
          <w:rFonts w:ascii="宋体" w:hAnsi="宋体" w:cs="宋体"/>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pPr>
        <w:spacing w:line="560" w:lineRule="exact"/>
        <w:ind w:firstLine="482" w:firstLineChars="200"/>
        <w:outlineLvl w:val="0"/>
        <w:rPr>
          <w:rFonts w:ascii="宋体" w:hAnsi="宋体" w:cs="宋体"/>
          <w:b/>
          <w:color w:val="auto"/>
          <w:sz w:val="24"/>
        </w:rPr>
      </w:pPr>
      <w:bookmarkStart w:id="400" w:name="_Toc2232"/>
      <w:bookmarkStart w:id="401" w:name="_Toc3029"/>
      <w:bookmarkStart w:id="402" w:name="_Toc24059"/>
      <w:r>
        <w:rPr>
          <w:rFonts w:hint="eastAsia" w:ascii="宋体" w:hAnsi="宋体" w:cs="宋体"/>
          <w:b/>
          <w:color w:val="auto"/>
          <w:sz w:val="24"/>
        </w:rPr>
        <w:t>1.1 合同组成部分</w:t>
      </w:r>
      <w:bookmarkEnd w:id="400"/>
      <w:bookmarkEnd w:id="401"/>
      <w:bookmarkEnd w:id="402"/>
    </w:p>
    <w:p>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r>
        <w:rPr>
          <w:rFonts w:hint="eastAsia" w:ascii="宋体" w:hAnsi="宋体" w:cs="宋体"/>
          <w:color w:val="auto"/>
          <w:sz w:val="24"/>
        </w:rPr>
        <w:t>（如各文件内容之间存在不一致之处的，以最新签署的为准）</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pPr>
        <w:pStyle w:val="57"/>
        <w:adjustRightInd/>
        <w:spacing w:before="0" w:beforeAutospacing="0" w:after="0" w:afterAutospacing="0" w:line="360" w:lineRule="auto"/>
        <w:ind w:firstLine="482" w:firstLineChars="200"/>
        <w:rPr>
          <w:rFonts w:hint="eastAsia" w:ascii="宋体" w:hAnsi="宋体" w:cs="宋体"/>
          <w:b/>
          <w:color w:val="auto"/>
          <w:sz w:val="24"/>
        </w:rPr>
      </w:pPr>
      <w:bookmarkStart w:id="403" w:name="_Toc27126"/>
      <w:bookmarkStart w:id="404" w:name="_Toc21295"/>
      <w:bookmarkStart w:id="405" w:name="_Toc24300"/>
      <w:r>
        <w:rPr>
          <w:rFonts w:hint="eastAsia" w:ascii="宋体" w:hAnsi="宋体" w:cs="宋体"/>
          <w:b/>
          <w:color w:val="auto"/>
          <w:sz w:val="24"/>
        </w:rPr>
        <w:t>1.2 货物</w:t>
      </w:r>
      <w:bookmarkEnd w:id="403"/>
      <w:bookmarkEnd w:id="404"/>
      <w:bookmarkEnd w:id="405"/>
      <w:bookmarkStart w:id="406" w:name="_Toc21551"/>
      <w:bookmarkStart w:id="407" w:name="_Toc21631"/>
      <w:bookmarkStart w:id="408" w:name="_Toc23292"/>
    </w:p>
    <w:p>
      <w:pPr>
        <w:pStyle w:val="57"/>
        <w:adjustRightInd/>
        <w:spacing w:before="0" w:beforeAutospacing="0" w:after="0" w:afterAutospacing="0" w:line="360" w:lineRule="auto"/>
        <w:ind w:firstLine="480" w:firstLineChars="200"/>
        <w:rPr>
          <w:rFonts w:ascii="仿宋_GB2312"/>
          <w:color w:val="auto"/>
        </w:rPr>
      </w:pPr>
      <w:r>
        <w:rPr>
          <w:rFonts w:hint="eastAsia" w:ascii="仿宋_GB2312"/>
          <w:color w:val="auto"/>
        </w:rPr>
        <w:t>乙方为甲方提供2024年图书（电子书）采购及图书加工服务，具体服务要求如下：</w:t>
      </w:r>
    </w:p>
    <w:p>
      <w:pPr>
        <w:pStyle w:val="57"/>
        <w:adjustRightInd/>
        <w:spacing w:before="0" w:beforeAutospacing="0" w:after="0" w:afterAutospacing="0" w:line="360" w:lineRule="auto"/>
        <w:ind w:firstLine="480" w:firstLineChars="200"/>
        <w:rPr>
          <w:color w:val="auto"/>
        </w:rPr>
      </w:pPr>
      <w:r>
        <w:rPr>
          <w:rFonts w:hint="eastAsia" w:ascii="仿宋_GB2312"/>
          <w:color w:val="auto"/>
        </w:rPr>
        <w:t>1.2.1乙方应</w:t>
      </w:r>
      <w:r>
        <w:rPr>
          <w:rFonts w:hint="eastAsia"/>
          <w:color w:val="auto"/>
        </w:rPr>
        <w:t>具有提供全国、地方及各大院校出版社的图书供货能力。要求图书品种多、质量好、性价比高。</w:t>
      </w:r>
    </w:p>
    <w:p>
      <w:pPr>
        <w:pStyle w:val="57"/>
        <w:adjustRightInd/>
        <w:spacing w:before="0" w:beforeAutospacing="0" w:after="0" w:afterAutospacing="0" w:line="360" w:lineRule="auto"/>
        <w:ind w:firstLine="480" w:firstLineChars="200"/>
        <w:rPr>
          <w:rFonts w:ascii="仿宋_GB2312"/>
          <w:color w:val="auto"/>
        </w:rPr>
      </w:pPr>
      <w:r>
        <w:rPr>
          <w:rFonts w:hint="eastAsia" w:ascii="仿宋_GB2312"/>
          <w:color w:val="auto"/>
        </w:rPr>
        <w:t>1.2.2乙方应</w:t>
      </w:r>
      <w:r>
        <w:rPr>
          <w:rFonts w:hint="eastAsia"/>
          <w:color w:val="auto"/>
        </w:rPr>
        <w:t>具备图书网络信息检索和电子目录征订的条件。图书征订要求每年提供</w:t>
      </w:r>
      <w:r>
        <w:rPr>
          <w:rFonts w:ascii="仿宋_GB2312" w:hAnsi="仿宋_GB2312"/>
          <w:color w:val="auto"/>
        </w:rPr>
        <w:t>10</w:t>
      </w:r>
      <w:r>
        <w:rPr>
          <w:rFonts w:hint="eastAsia"/>
          <w:color w:val="auto"/>
        </w:rPr>
        <w:t>期以上的新书目录（要求近两月出版的新书）；根据图书馆的各项活动提供相应的专题图书目录，配合图书馆做好政府服务项目的专项采购需求，并能满足图书馆对于重点时效性图书和临时性采购任务的选购。</w:t>
      </w:r>
    </w:p>
    <w:p>
      <w:pPr>
        <w:pStyle w:val="57"/>
        <w:adjustRightInd/>
        <w:spacing w:before="0" w:beforeAutospacing="0" w:after="0" w:afterAutospacing="0" w:line="360" w:lineRule="auto"/>
        <w:ind w:firstLine="480" w:firstLineChars="200"/>
        <w:rPr>
          <w:rFonts w:ascii="仿宋_GB2312"/>
          <w:color w:val="auto"/>
          <w:highlight w:val="yellow"/>
        </w:rPr>
      </w:pPr>
      <w:r>
        <w:rPr>
          <w:rFonts w:hint="eastAsia" w:ascii="仿宋_GB2312"/>
          <w:color w:val="auto"/>
        </w:rPr>
        <w:t>1.2.3</w:t>
      </w:r>
      <w:r>
        <w:rPr>
          <w:rFonts w:hint="eastAsia"/>
          <w:color w:val="auto"/>
        </w:rPr>
        <w:t>乙方在收到图书订单后应及时进行订购处理，并将处理情况及时反馈给甲方，并根据订单及时组织供货；现场采购，要求方便快捷。图书不少于</w:t>
      </w:r>
      <w:r>
        <w:rPr>
          <w:rFonts w:hint="eastAsia" w:ascii="仿宋_GB2312" w:hAnsi="仿宋_GB2312"/>
          <w:color w:val="auto"/>
        </w:rPr>
        <w:t>4</w:t>
      </w:r>
      <w:r>
        <w:rPr>
          <w:rFonts w:hint="eastAsia"/>
          <w:color w:val="auto"/>
        </w:rPr>
        <w:t>万册，电子书</w:t>
      </w:r>
      <w:r>
        <w:rPr>
          <w:rFonts w:hint="eastAsia" w:ascii="仿宋_GB2312" w:hAnsi="仿宋_GB2312"/>
          <w:color w:val="auto"/>
        </w:rPr>
        <w:t>3</w:t>
      </w:r>
      <w:r>
        <w:rPr>
          <w:rFonts w:ascii="仿宋_GB2312"/>
          <w:color w:val="auto"/>
        </w:rPr>
        <w:t>0000</w:t>
      </w:r>
      <w:r>
        <w:rPr>
          <w:rFonts w:hint="eastAsia"/>
          <w:color w:val="auto"/>
        </w:rPr>
        <w:t>册（版权使用期限不少于一年）。</w:t>
      </w:r>
    </w:p>
    <w:p>
      <w:pPr>
        <w:pStyle w:val="57"/>
        <w:adjustRightInd/>
        <w:spacing w:before="0" w:beforeAutospacing="0" w:after="0" w:afterAutospacing="0" w:line="360" w:lineRule="auto"/>
        <w:ind w:firstLine="480" w:firstLineChars="200"/>
        <w:rPr>
          <w:rFonts w:ascii="仿宋_GB2312"/>
          <w:color w:val="auto"/>
        </w:rPr>
      </w:pPr>
      <w:r>
        <w:rPr>
          <w:rFonts w:hint="eastAsia" w:ascii="仿宋_GB2312"/>
          <w:color w:val="auto"/>
        </w:rPr>
        <w:t>1.2.4</w:t>
      </w:r>
      <w:r>
        <w:rPr>
          <w:rFonts w:hint="eastAsia"/>
          <w:color w:val="auto"/>
        </w:rPr>
        <w:t>乙方应按甲方提供的订购单批次进行图书配送，在</w:t>
      </w:r>
      <w:r>
        <w:rPr>
          <w:rFonts w:ascii="仿宋_GB2312" w:hAnsi="仿宋_GB2312"/>
          <w:color w:val="auto"/>
        </w:rPr>
        <w:t>15</w:t>
      </w:r>
      <w:r>
        <w:rPr>
          <w:rFonts w:hint="eastAsia"/>
          <w:color w:val="auto"/>
        </w:rPr>
        <w:t>个工作日内，将同一批次未能配送的部分报甲方，并且说明原因，同时告知该批次图书能配送的确切时间；配送时间原则上不能多于</w:t>
      </w:r>
      <w:r>
        <w:rPr>
          <w:rFonts w:ascii="仿宋_GB2312" w:hAnsi="仿宋_GB2312"/>
          <w:color w:val="auto"/>
        </w:rPr>
        <w:t>15</w:t>
      </w:r>
      <w:r>
        <w:rPr>
          <w:rFonts w:hint="eastAsia"/>
          <w:color w:val="auto"/>
        </w:rPr>
        <w:t>个工作日；以确保甲方已订购文献的到馆率及文献资源的完整性。除推迟出版或发生影响协议履行的不可抗力事情外，若不能按时供货的图书种数或册数超过订单订购数的</w:t>
      </w:r>
      <w:r>
        <w:rPr>
          <w:rFonts w:ascii="仿宋_GB2312" w:hAnsi="仿宋_GB2312"/>
          <w:color w:val="auto"/>
        </w:rPr>
        <w:t>20%</w:t>
      </w:r>
      <w:r>
        <w:rPr>
          <w:rFonts w:hint="eastAsia"/>
          <w:color w:val="auto"/>
        </w:rPr>
        <w:t>即可认定乙方不具备供货条件，甲方可以无条件</w:t>
      </w:r>
      <w:r>
        <w:rPr>
          <w:rFonts w:hint="eastAsia"/>
          <w:color w:val="auto"/>
        </w:rPr>
        <w:t>解除</w:t>
      </w:r>
      <w:r>
        <w:rPr>
          <w:rFonts w:hint="eastAsia"/>
          <w:color w:val="auto"/>
        </w:rPr>
        <w:t>合同，</w:t>
      </w:r>
      <w:r>
        <w:rPr>
          <w:rFonts w:hint="eastAsia"/>
          <w:color w:val="auto"/>
        </w:rPr>
        <w:t>解除</w:t>
      </w:r>
      <w:r>
        <w:rPr>
          <w:rFonts w:hint="eastAsia"/>
          <w:color w:val="auto"/>
        </w:rPr>
        <w:t>所造成的损失由乙方承担</w:t>
      </w:r>
      <w:r>
        <w:rPr>
          <w:rFonts w:hint="eastAsia"/>
          <w:color w:val="auto"/>
        </w:rPr>
        <w:t>，且乙方应向甲方支付合同总金额20%的违约金</w:t>
      </w:r>
      <w:r>
        <w:rPr>
          <w:rFonts w:hint="eastAsia"/>
          <w:color w:val="auto"/>
        </w:rPr>
        <w:t>。为尽可能消除因乙方不能按协议规定要求供货所造成的影响，甲方有权采取相应的补救措施（如直接向出版商邮购图书或向其他供货商补订图书），由此给甲方造成的各项损失或增加的各项费用（如折扣损失、邮费、数据费、加工费）等均由违约的乙方承担。</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rPr>
        <w:t>1.2.5</w:t>
      </w:r>
      <w:r>
        <w:rPr>
          <w:rFonts w:hint="eastAsia" w:ascii="宋体" w:hAnsi="宋体"/>
          <w:color w:val="auto"/>
          <w:sz w:val="24"/>
        </w:rPr>
        <w:t>乙方应承诺供给的国内中文图书（含国内出版的外文图书）的出版时间为</w:t>
      </w:r>
      <w:r>
        <w:rPr>
          <w:rFonts w:ascii="仿宋_GB2312" w:hAnsi="仿宋_GB2312"/>
          <w:b/>
          <w:bCs/>
          <w:color w:val="auto"/>
          <w:spacing w:val="-2"/>
          <w:sz w:val="24"/>
        </w:rPr>
        <w:t>202</w:t>
      </w:r>
      <w:r>
        <w:rPr>
          <w:rFonts w:hint="eastAsia" w:ascii="仿宋_GB2312" w:hAnsi="仿宋_GB2312"/>
          <w:b/>
          <w:bCs/>
          <w:color w:val="auto"/>
          <w:spacing w:val="-2"/>
          <w:sz w:val="24"/>
        </w:rPr>
        <w:t>4</w:t>
      </w:r>
      <w:r>
        <w:rPr>
          <w:rFonts w:hint="eastAsia" w:ascii="宋体" w:hAnsi="宋体"/>
          <w:b/>
          <w:bCs/>
          <w:color w:val="auto"/>
          <w:spacing w:val="-2"/>
          <w:sz w:val="24"/>
        </w:rPr>
        <w:t>年</w:t>
      </w:r>
      <w:r>
        <w:rPr>
          <w:rFonts w:hint="eastAsia" w:ascii="宋体" w:hAnsi="宋体"/>
          <w:color w:val="auto"/>
          <w:sz w:val="24"/>
        </w:rPr>
        <w:t>出版或发行，原则上不得少于</w:t>
      </w:r>
      <w:r>
        <w:rPr>
          <w:rFonts w:ascii="仿宋_GB2312" w:hAnsi="宋体"/>
          <w:color w:val="auto"/>
          <w:sz w:val="24"/>
        </w:rPr>
        <w:t>90%</w:t>
      </w:r>
      <w:r>
        <w:rPr>
          <w:rFonts w:hint="eastAsia" w:ascii="宋体" w:hAnsi="宋体"/>
          <w:color w:val="auto"/>
          <w:sz w:val="24"/>
        </w:rPr>
        <w:t>；承诺有发货运送能力、售后服务等方面的专业实力；电子书使用版权不少于一年</w:t>
      </w:r>
      <w:r>
        <w:rPr>
          <w:rFonts w:hint="eastAsia" w:ascii="宋体" w:hAnsi="宋体"/>
          <w:color w:val="auto"/>
          <w:sz w:val="24"/>
        </w:rPr>
        <w:t>，如因版权问题导致甲方被第三方追责的，甲方有权就全部损失向乙方追偿</w:t>
      </w:r>
      <w:r>
        <w:rPr>
          <w:rFonts w:hint="eastAsia" w:ascii="宋体" w:hAnsi="宋体"/>
          <w:color w:val="auto"/>
          <w:sz w:val="24"/>
        </w:rPr>
        <w:t>。</w:t>
      </w:r>
    </w:p>
    <w:p>
      <w:pPr>
        <w:pStyle w:val="57"/>
        <w:widowControl w:val="0"/>
        <w:adjustRightInd/>
        <w:spacing w:before="0" w:beforeAutospacing="0" w:after="0" w:afterAutospacing="0" w:line="360" w:lineRule="auto"/>
        <w:ind w:firstLine="480" w:firstLineChars="200"/>
        <w:rPr>
          <w:rFonts w:ascii="仿宋_GB2312"/>
          <w:color w:val="auto"/>
        </w:rPr>
      </w:pPr>
      <w:r>
        <w:rPr>
          <w:rFonts w:hint="eastAsia" w:ascii="仿宋_GB2312"/>
          <w:color w:val="auto"/>
        </w:rPr>
        <w:t>1.2.6</w:t>
      </w:r>
      <w:r>
        <w:rPr>
          <w:rFonts w:hint="eastAsia"/>
          <w:color w:val="auto"/>
        </w:rPr>
        <w:t>乙方应熟悉图书编目业务，应能免费提供加盖馆藏章</w:t>
      </w:r>
      <w:r>
        <w:rPr>
          <w:rFonts w:ascii="仿宋_GB2312"/>
          <w:color w:val="auto"/>
        </w:rPr>
        <w:t>(3</w:t>
      </w:r>
      <w:r>
        <w:rPr>
          <w:rFonts w:hint="eastAsia"/>
          <w:color w:val="auto"/>
        </w:rPr>
        <w:t>次</w:t>
      </w:r>
      <w:r>
        <w:rPr>
          <w:rFonts w:ascii="仿宋_GB2312" w:hAnsi="仿宋_GB2312"/>
          <w:color w:val="auto"/>
        </w:rPr>
        <w:t>)</w:t>
      </w:r>
      <w:r>
        <w:rPr>
          <w:rFonts w:hint="eastAsia"/>
          <w:color w:val="auto"/>
        </w:rPr>
        <w:t>、贴防盗磁条、贴符合要求</w:t>
      </w:r>
      <w:r>
        <w:rPr>
          <w:rFonts w:ascii="仿宋_GB2312" w:hAnsi="仿宋_GB2312"/>
          <w:color w:val="auto"/>
        </w:rPr>
        <w:t>FRID</w:t>
      </w:r>
      <w:r>
        <w:rPr>
          <w:rFonts w:hint="eastAsia"/>
          <w:color w:val="auto"/>
        </w:rPr>
        <w:t>芯片、书标</w:t>
      </w:r>
      <w:r>
        <w:rPr>
          <w:rFonts w:ascii="仿宋_GB2312"/>
          <w:color w:val="auto"/>
        </w:rPr>
        <w:t>(2</w:t>
      </w:r>
      <w:r>
        <w:rPr>
          <w:rFonts w:hint="eastAsia"/>
          <w:color w:val="auto"/>
        </w:rPr>
        <w:t>张，贴膜</w:t>
      </w:r>
      <w:r>
        <w:rPr>
          <w:rFonts w:ascii="仿宋_GB2312" w:hAnsi="仿宋_GB2312"/>
          <w:color w:val="auto"/>
        </w:rPr>
        <w:t>)</w:t>
      </w:r>
      <w:r>
        <w:rPr>
          <w:rFonts w:hint="eastAsia"/>
          <w:color w:val="auto"/>
        </w:rPr>
        <w:t>、数据录入（乙方提供的征订数据必须能以</w:t>
      </w:r>
      <w:r>
        <w:rPr>
          <w:rFonts w:ascii="仿宋_GB2312" w:hAnsi="仿宋_GB2312"/>
          <w:color w:val="auto"/>
        </w:rPr>
        <w:t>Marc</w:t>
      </w:r>
      <w:r>
        <w:rPr>
          <w:rFonts w:hint="eastAsia"/>
          <w:color w:val="auto"/>
        </w:rPr>
        <w:t>格式文件提供。</w:t>
      </w:r>
      <w:r>
        <w:rPr>
          <w:rFonts w:ascii="仿宋_GB2312" w:hAnsi="仿宋_GB2312"/>
          <w:color w:val="auto"/>
        </w:rPr>
        <w:t>Marc</w:t>
      </w:r>
      <w:r>
        <w:rPr>
          <w:rFonts w:hint="eastAsia"/>
          <w:color w:val="auto"/>
        </w:rPr>
        <w:t>格式的采访数据应包括如下项目：订购号（征订号）、</w:t>
      </w:r>
      <w:r>
        <w:rPr>
          <w:rFonts w:ascii="仿宋_GB2312" w:hAnsi="仿宋_GB2312"/>
          <w:color w:val="auto"/>
        </w:rPr>
        <w:t>ISBN</w:t>
      </w:r>
      <w:r>
        <w:rPr>
          <w:rFonts w:hint="eastAsia"/>
          <w:color w:val="auto"/>
        </w:rPr>
        <w:t>号、书名、著者、出版社、出版时间、丛书名、单价、页码、尺寸、读者对象、内容提要和一级分类号等信息；提供的到馆图书编目数据必须以</w:t>
      </w:r>
      <w:r>
        <w:rPr>
          <w:rFonts w:ascii="仿宋_GB2312" w:hAnsi="仿宋_GB2312"/>
          <w:color w:val="auto"/>
        </w:rPr>
        <w:t>Marc</w:t>
      </w:r>
      <w:r>
        <w:rPr>
          <w:rFonts w:hint="eastAsia"/>
          <w:color w:val="auto"/>
        </w:rPr>
        <w:t>格式文件提供。</w:t>
      </w:r>
      <w:r>
        <w:rPr>
          <w:rFonts w:ascii="仿宋_GB2312" w:hAnsi="仿宋_GB2312"/>
          <w:color w:val="auto"/>
        </w:rPr>
        <w:t>Marc</w:t>
      </w:r>
      <w:r>
        <w:rPr>
          <w:rFonts w:hint="eastAsia"/>
          <w:color w:val="auto"/>
        </w:rPr>
        <w:t>格式的编目数据应规范、完整，包括如下项目：完整的头标区、</w:t>
      </w:r>
      <w:r>
        <w:rPr>
          <w:rFonts w:ascii="仿宋_GB2312" w:hAnsi="仿宋_GB2312"/>
          <w:color w:val="auto"/>
        </w:rPr>
        <w:t>010</w:t>
      </w:r>
      <w:r>
        <w:rPr>
          <w:rFonts w:hint="eastAsia"/>
          <w:color w:val="auto"/>
        </w:rPr>
        <w:t>、</w:t>
      </w:r>
      <w:r>
        <w:rPr>
          <w:rFonts w:ascii="仿宋_GB2312" w:hAnsi="仿宋_GB2312"/>
          <w:color w:val="auto"/>
        </w:rPr>
        <w:t>016</w:t>
      </w:r>
      <w:r>
        <w:rPr>
          <w:rFonts w:hint="eastAsia"/>
          <w:color w:val="auto"/>
        </w:rPr>
        <w:t>、</w:t>
      </w:r>
      <w:r>
        <w:rPr>
          <w:rFonts w:ascii="仿宋_GB2312" w:hAnsi="仿宋_GB2312"/>
          <w:color w:val="auto"/>
        </w:rPr>
        <w:t>100</w:t>
      </w:r>
      <w:r>
        <w:rPr>
          <w:rFonts w:hint="eastAsia"/>
          <w:color w:val="auto"/>
        </w:rPr>
        <w:t>、</w:t>
      </w:r>
      <w:r>
        <w:rPr>
          <w:rFonts w:ascii="仿宋_GB2312" w:hAnsi="仿宋_GB2312"/>
          <w:color w:val="auto"/>
        </w:rPr>
        <w:t>101</w:t>
      </w:r>
      <w:r>
        <w:rPr>
          <w:rFonts w:hint="eastAsia"/>
          <w:color w:val="auto"/>
        </w:rPr>
        <w:t>、</w:t>
      </w:r>
      <w:r>
        <w:rPr>
          <w:rFonts w:ascii="仿宋_GB2312" w:hAnsi="仿宋_GB2312"/>
          <w:color w:val="auto"/>
        </w:rPr>
        <w:t>102</w:t>
      </w:r>
      <w:r>
        <w:rPr>
          <w:rFonts w:hint="eastAsia"/>
          <w:color w:val="auto"/>
        </w:rPr>
        <w:t>、</w:t>
      </w:r>
      <w:r>
        <w:rPr>
          <w:rFonts w:ascii="仿宋_GB2312" w:hAnsi="仿宋_GB2312"/>
          <w:color w:val="auto"/>
        </w:rPr>
        <w:t>105</w:t>
      </w:r>
      <w:r>
        <w:rPr>
          <w:rFonts w:hint="eastAsia"/>
          <w:color w:val="auto"/>
        </w:rPr>
        <w:t>、</w:t>
      </w:r>
      <w:r>
        <w:rPr>
          <w:rFonts w:ascii="仿宋_GB2312" w:hAnsi="仿宋_GB2312"/>
          <w:color w:val="auto"/>
        </w:rPr>
        <w:t>106</w:t>
      </w:r>
      <w:r>
        <w:rPr>
          <w:rFonts w:hint="eastAsia"/>
          <w:color w:val="auto"/>
        </w:rPr>
        <w:t>、</w:t>
      </w:r>
      <w:r>
        <w:rPr>
          <w:rFonts w:ascii="仿宋_GB2312" w:hAnsi="仿宋_GB2312"/>
          <w:color w:val="auto"/>
        </w:rPr>
        <w:t>200</w:t>
      </w:r>
      <w:r>
        <w:rPr>
          <w:rFonts w:hint="eastAsia"/>
          <w:color w:val="auto"/>
        </w:rPr>
        <w:t>、</w:t>
      </w:r>
      <w:r>
        <w:rPr>
          <w:rFonts w:ascii="仿宋_GB2312" w:hAnsi="仿宋_GB2312"/>
          <w:color w:val="auto"/>
        </w:rPr>
        <w:t>210</w:t>
      </w:r>
      <w:r>
        <w:rPr>
          <w:rFonts w:hint="eastAsia"/>
          <w:color w:val="auto"/>
        </w:rPr>
        <w:t>、</w:t>
      </w:r>
      <w:r>
        <w:rPr>
          <w:rFonts w:ascii="仿宋_GB2312" w:hAnsi="仿宋_GB2312"/>
          <w:color w:val="auto"/>
        </w:rPr>
        <w:t>215</w:t>
      </w:r>
      <w:r>
        <w:rPr>
          <w:rFonts w:hint="eastAsia"/>
          <w:color w:val="auto"/>
        </w:rPr>
        <w:t>、</w:t>
      </w:r>
      <w:r>
        <w:rPr>
          <w:rFonts w:ascii="仿宋_GB2312" w:hAnsi="仿宋_GB2312"/>
          <w:color w:val="auto"/>
        </w:rPr>
        <w:t>225</w:t>
      </w:r>
      <w:r>
        <w:rPr>
          <w:rFonts w:hint="eastAsia"/>
          <w:color w:val="auto"/>
        </w:rPr>
        <w:t>、</w:t>
      </w:r>
      <w:r>
        <w:rPr>
          <w:rFonts w:ascii="仿宋_GB2312" w:hAnsi="仿宋_GB2312"/>
          <w:color w:val="auto"/>
        </w:rPr>
        <w:t>300</w:t>
      </w:r>
      <w:r>
        <w:rPr>
          <w:rFonts w:hint="eastAsia"/>
          <w:color w:val="auto"/>
        </w:rPr>
        <w:t>、</w:t>
      </w:r>
      <w:r>
        <w:rPr>
          <w:rFonts w:ascii="仿宋_GB2312" w:hAnsi="仿宋_GB2312"/>
          <w:color w:val="auto"/>
        </w:rPr>
        <w:t>330</w:t>
      </w:r>
      <w:r>
        <w:rPr>
          <w:rFonts w:hint="eastAsia"/>
          <w:color w:val="auto"/>
        </w:rPr>
        <w:t>、</w:t>
      </w:r>
      <w:r>
        <w:rPr>
          <w:rFonts w:ascii="仿宋_GB2312" w:hAnsi="仿宋_GB2312"/>
          <w:color w:val="auto"/>
        </w:rPr>
        <w:t>461</w:t>
      </w:r>
      <w:r>
        <w:rPr>
          <w:rFonts w:hint="eastAsia"/>
          <w:color w:val="auto"/>
        </w:rPr>
        <w:t>、</w:t>
      </w:r>
      <w:r>
        <w:rPr>
          <w:rFonts w:ascii="仿宋_GB2312" w:hAnsi="仿宋_GB2312"/>
          <w:color w:val="auto"/>
        </w:rPr>
        <w:t>462</w:t>
      </w:r>
      <w:r>
        <w:rPr>
          <w:rFonts w:hint="eastAsia"/>
          <w:color w:val="auto"/>
        </w:rPr>
        <w:t>、</w:t>
      </w:r>
      <w:r>
        <w:rPr>
          <w:rFonts w:ascii="仿宋_GB2312" w:hAnsi="仿宋_GB2312"/>
          <w:color w:val="auto"/>
        </w:rPr>
        <w:t>6--</w:t>
      </w:r>
      <w:r>
        <w:rPr>
          <w:rFonts w:hint="eastAsia"/>
          <w:color w:val="auto"/>
        </w:rPr>
        <w:t>、</w:t>
      </w:r>
      <w:r>
        <w:rPr>
          <w:rFonts w:ascii="仿宋_GB2312" w:hAnsi="仿宋_GB2312"/>
          <w:color w:val="auto"/>
        </w:rPr>
        <w:t>7--</w:t>
      </w:r>
      <w:r>
        <w:rPr>
          <w:rFonts w:hint="eastAsia"/>
          <w:color w:val="auto"/>
        </w:rPr>
        <w:t>等字段。</w:t>
      </w:r>
      <w:r>
        <w:rPr>
          <w:rFonts w:ascii="仿宋_GB2312" w:hAnsi="仿宋_GB2312"/>
          <w:color w:val="auto"/>
        </w:rPr>
        <w:t>6</w:t>
      </w:r>
      <w:r>
        <w:rPr>
          <w:rFonts w:hint="eastAsia"/>
          <w:color w:val="auto"/>
        </w:rPr>
        <w:t>字段的分类、主题标引都应按中图法（最新版本）和分类主题词表（</w:t>
      </w:r>
      <w:r>
        <w:rPr>
          <w:rFonts w:ascii="仿宋_GB2312" w:hAnsi="仿宋_GB2312"/>
          <w:color w:val="auto"/>
        </w:rPr>
        <w:t>2</w:t>
      </w:r>
      <w:r>
        <w:rPr>
          <w:rFonts w:hint="eastAsia"/>
          <w:color w:val="auto"/>
        </w:rPr>
        <w:t>版）详尽著录。）等图书加工服务，具有杭州图书馆颁发编目著录证书，将本馆图书著录数据并入杭州地区图书馆联网系统的能力。</w:t>
      </w:r>
    </w:p>
    <w:p>
      <w:pPr>
        <w:pStyle w:val="57"/>
        <w:widowControl w:val="0"/>
        <w:adjustRightInd/>
        <w:spacing w:before="0" w:beforeAutospacing="0" w:after="0" w:afterAutospacing="0" w:line="360" w:lineRule="auto"/>
        <w:ind w:firstLine="480" w:firstLineChars="200"/>
        <w:rPr>
          <w:rFonts w:ascii="仿宋_GB2312"/>
          <w:color w:val="auto"/>
        </w:rPr>
      </w:pPr>
      <w:r>
        <w:rPr>
          <w:rFonts w:hint="eastAsia"/>
          <w:color w:val="auto"/>
        </w:rPr>
        <w:t>1.2.7上述加工服务图书指国内中文图书（含国内出版的外文图书）等电子读物。</w:t>
      </w:r>
    </w:p>
    <w:p>
      <w:pPr>
        <w:pStyle w:val="57"/>
        <w:widowControl w:val="0"/>
        <w:adjustRightInd/>
        <w:spacing w:before="0" w:beforeAutospacing="0" w:after="0" w:afterAutospacing="0" w:line="360" w:lineRule="auto"/>
        <w:ind w:firstLine="480" w:firstLineChars="200"/>
        <w:rPr>
          <w:rFonts w:ascii="仿宋_GB2312"/>
          <w:color w:val="auto"/>
        </w:rPr>
      </w:pPr>
      <w:r>
        <w:rPr>
          <w:rFonts w:hint="eastAsia" w:ascii="仿宋_GB2312"/>
          <w:color w:val="auto"/>
        </w:rPr>
        <w:t>1.2.8</w:t>
      </w:r>
      <w:r>
        <w:rPr>
          <w:rFonts w:hint="eastAsia"/>
          <w:color w:val="auto"/>
        </w:rPr>
        <w:t>乙方应在杭州地区公共图书馆具有丰富的图书配送服务经验，随书配备符合国家图书馆联合编目中心著录规则的编目数据的能力和具有杭州地区公共图书馆数据著录能力。</w:t>
      </w:r>
    </w:p>
    <w:p>
      <w:pPr>
        <w:adjustRightInd/>
        <w:spacing w:line="360" w:lineRule="auto"/>
        <w:ind w:firstLine="480" w:firstLineChars="200"/>
        <w:rPr>
          <w:rFonts w:ascii="仿宋_GB2312" w:hAnsi="宋体"/>
          <w:color w:val="auto"/>
          <w:kern w:val="0"/>
          <w:sz w:val="24"/>
        </w:rPr>
      </w:pPr>
      <w:r>
        <w:rPr>
          <w:rFonts w:hint="eastAsia" w:ascii="宋体" w:hAnsi="宋体"/>
          <w:color w:val="auto"/>
          <w:kern w:val="0"/>
          <w:sz w:val="24"/>
        </w:rPr>
        <w:t>1.2.9乙方应严格按照图书馆的要求进行全加工服务，加工图书所需的书标、磁条、条形码、</w:t>
      </w:r>
      <w:r>
        <w:rPr>
          <w:rFonts w:ascii="仿宋_GB2312" w:hAnsi="宋体" w:cs="宋体"/>
          <w:color w:val="auto"/>
          <w:kern w:val="0"/>
          <w:sz w:val="24"/>
        </w:rPr>
        <w:t>FRID</w:t>
      </w:r>
      <w:r>
        <w:rPr>
          <w:rFonts w:hint="eastAsia" w:ascii="宋体" w:hAnsi="宋体"/>
          <w:color w:val="auto"/>
          <w:kern w:val="0"/>
          <w:sz w:val="24"/>
        </w:rPr>
        <w:t>芯片等费用均应包含在投标报价范围内。</w:t>
      </w:r>
    </w:p>
    <w:p>
      <w:pPr>
        <w:adjustRightInd/>
        <w:spacing w:line="360" w:lineRule="auto"/>
        <w:ind w:firstLine="480" w:firstLineChars="200"/>
        <w:rPr>
          <w:rFonts w:ascii="宋体" w:hAnsi="宋体"/>
          <w:color w:val="auto"/>
          <w:kern w:val="0"/>
          <w:sz w:val="24"/>
        </w:rPr>
      </w:pPr>
      <w:r>
        <w:rPr>
          <w:rFonts w:hint="eastAsia" w:ascii="宋体" w:hAnsi="宋体"/>
          <w:color w:val="auto"/>
          <w:kern w:val="0"/>
          <w:sz w:val="24"/>
        </w:rPr>
        <w:t>1.2.10乙方应在本市有实体书店，能够提供线下书店借书服务。</w:t>
      </w:r>
    </w:p>
    <w:p>
      <w:pPr>
        <w:adjustRightInd/>
        <w:spacing w:line="360" w:lineRule="auto"/>
        <w:ind w:firstLine="480" w:firstLineChars="200"/>
        <w:rPr>
          <w:rFonts w:ascii="宋体" w:hAnsi="宋体"/>
          <w:color w:val="auto"/>
          <w:sz w:val="24"/>
        </w:rPr>
      </w:pPr>
      <w:r>
        <w:rPr>
          <w:rFonts w:hint="eastAsia" w:ascii="宋体" w:hAnsi="宋体"/>
          <w:color w:val="auto"/>
          <w:kern w:val="0"/>
          <w:sz w:val="24"/>
        </w:rPr>
        <w:t>1.2.11乙方应满足甲方</w:t>
      </w:r>
      <w:r>
        <w:rPr>
          <w:rFonts w:hint="eastAsia" w:ascii="宋体" w:hAnsi="宋体"/>
          <w:color w:val="auto"/>
          <w:sz w:val="24"/>
        </w:rPr>
        <w:t>提供符合杭州地区公共图书馆要求的线上借书和书店借书服务（信阅和悦借服务）。</w:t>
      </w:r>
    </w:p>
    <w:p>
      <w:pPr>
        <w:adjustRightInd/>
        <w:spacing w:line="360" w:lineRule="auto"/>
        <w:ind w:firstLine="482" w:firstLineChars="200"/>
        <w:rPr>
          <w:rFonts w:ascii="仿宋_GB2312" w:hAnsi="宋体"/>
          <w:b/>
          <w:bCs/>
          <w:color w:val="auto"/>
          <w:sz w:val="24"/>
        </w:rPr>
      </w:pPr>
      <w:r>
        <w:rPr>
          <w:rFonts w:hint="eastAsia" w:ascii="宋体" w:hAnsi="宋体"/>
          <w:b/>
          <w:bCs/>
          <w:color w:val="auto"/>
          <w:sz w:val="24"/>
        </w:rPr>
        <w:t>1.2.12</w:t>
      </w:r>
      <w:r>
        <w:rPr>
          <w:rFonts w:hint="eastAsia" w:ascii="宋体" w:hAnsi="宋体"/>
          <w:b/>
          <w:bCs/>
          <w:color w:val="auto"/>
          <w:sz w:val="24"/>
        </w:rPr>
        <w:t>中文图书（电子书）采购和图书加工服务要求</w:t>
      </w:r>
    </w:p>
    <w:p>
      <w:pPr>
        <w:adjustRightInd/>
        <w:spacing w:line="360" w:lineRule="auto"/>
        <w:ind w:firstLine="480" w:firstLineChars="200"/>
        <w:rPr>
          <w:rFonts w:ascii="仿宋_GB2312" w:hAnsi="宋体"/>
          <w:color w:val="auto"/>
          <w:sz w:val="24"/>
        </w:rPr>
      </w:pPr>
      <w:r>
        <w:rPr>
          <w:rFonts w:ascii="仿宋_GB2312" w:hAnsi="仿宋_GB2312"/>
          <w:color w:val="auto"/>
          <w:sz w:val="24"/>
        </w:rPr>
        <w:t>1.</w:t>
      </w:r>
      <w:r>
        <w:rPr>
          <w:rFonts w:hint="eastAsia" w:ascii="仿宋_GB2312" w:hAnsi="仿宋_GB2312"/>
          <w:color w:val="auto"/>
          <w:sz w:val="24"/>
          <w:lang w:val="en-US" w:eastAsia="zh-CN"/>
        </w:rPr>
        <w:t>2.12.1.</w:t>
      </w:r>
      <w:r>
        <w:rPr>
          <w:rFonts w:hint="eastAsia" w:ascii="宋体" w:hAnsi="宋体"/>
          <w:color w:val="auto"/>
          <w:sz w:val="24"/>
        </w:rPr>
        <w:t>书目预订部分：乙方通过自有供货渠道组织预订书目，预订书目至少应包含社科新书目、科技新书目、当期征订书目（其品种数量与原始订单相符）。电子版书目格式按</w:t>
      </w:r>
      <w:r>
        <w:rPr>
          <w:rFonts w:ascii="仿宋_GB2312" w:hAnsi="仿宋_GB2312"/>
          <w:color w:val="auto"/>
          <w:sz w:val="24"/>
        </w:rPr>
        <w:t>Marc</w:t>
      </w:r>
      <w:r>
        <w:rPr>
          <w:rFonts w:hint="eastAsia" w:ascii="宋体" w:hAnsi="宋体"/>
          <w:color w:val="auto"/>
          <w:sz w:val="24"/>
        </w:rPr>
        <w:t>（或</w:t>
      </w:r>
      <w:r>
        <w:rPr>
          <w:rFonts w:ascii="仿宋_GB2312" w:hAnsi="仿宋_GB2312"/>
          <w:color w:val="auto"/>
          <w:sz w:val="24"/>
        </w:rPr>
        <w:t>iso</w:t>
      </w:r>
      <w:r>
        <w:rPr>
          <w:rFonts w:hint="eastAsia" w:ascii="宋体" w:hAnsi="宋体"/>
          <w:color w:val="auto"/>
          <w:sz w:val="24"/>
        </w:rPr>
        <w:t>）格式编排，内容至少应包括征订号、书名、丛书名、著者、出版时间、出版社、单价、</w:t>
      </w:r>
      <w:r>
        <w:rPr>
          <w:rFonts w:ascii="仿宋_GB2312" w:hAnsi="仿宋_GB2312"/>
          <w:color w:val="auto"/>
          <w:sz w:val="24"/>
        </w:rPr>
        <w:t>ISBN</w:t>
      </w:r>
      <w:r>
        <w:rPr>
          <w:rFonts w:hint="eastAsia" w:ascii="宋体" w:hAnsi="宋体"/>
          <w:color w:val="auto"/>
          <w:sz w:val="24"/>
        </w:rPr>
        <w:t>号。定期通过因特网将预订书目传送给甲方。</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1.2.12.</w:t>
      </w:r>
      <w:r>
        <w:rPr>
          <w:rFonts w:hint="eastAsia" w:ascii="仿宋_GB2312" w:hAnsi="仿宋_GB2312"/>
          <w:color w:val="auto"/>
          <w:sz w:val="24"/>
        </w:rPr>
        <w:t>2</w:t>
      </w:r>
      <w:r>
        <w:rPr>
          <w:rFonts w:hint="eastAsia" w:ascii="仿宋_GB2312" w:hAnsi="仿宋_GB2312"/>
          <w:color w:val="auto"/>
          <w:sz w:val="24"/>
          <w:lang w:val="en-US" w:eastAsia="zh-CN"/>
        </w:rPr>
        <w:t>.</w:t>
      </w:r>
      <w:r>
        <w:rPr>
          <w:rFonts w:hint="eastAsia" w:ascii="宋体" w:hAnsi="宋体"/>
          <w:color w:val="auto"/>
          <w:sz w:val="24"/>
        </w:rPr>
        <w:t>现书订购部分：乙方已到货图书通过编制现书目录（电子版书目格式、内容要求和递交办法同上）或提供样书供甲方选购，并保证现货地点的采购，包括全国或地区性书市、国内著名出版社等。</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1.2.12.</w:t>
      </w:r>
      <w:r>
        <w:rPr>
          <w:rFonts w:ascii="仿宋_GB2312" w:hAnsi="仿宋_GB2312"/>
          <w:color w:val="auto"/>
          <w:sz w:val="24"/>
        </w:rPr>
        <w:t>3.</w:t>
      </w:r>
      <w:r>
        <w:rPr>
          <w:rFonts w:hint="eastAsia" w:ascii="宋体" w:hAnsi="宋体"/>
          <w:color w:val="auto"/>
          <w:sz w:val="24"/>
        </w:rPr>
        <w:t>甲方自选订购部分：甲方根据读者需求提供给乙方书单，乙方应有能力及时按甲方书单提供图书。</w:t>
      </w:r>
    </w:p>
    <w:p>
      <w:pPr>
        <w:adjustRightInd/>
        <w:spacing w:line="360" w:lineRule="auto"/>
        <w:ind w:firstLine="480" w:firstLineChars="200"/>
        <w:jc w:val="left"/>
        <w:rPr>
          <w:rFonts w:ascii="仿宋_GB2312" w:hAnsi="宋体"/>
          <w:color w:val="auto"/>
          <w:sz w:val="24"/>
        </w:rPr>
      </w:pPr>
      <w:r>
        <w:rPr>
          <w:rFonts w:hint="eastAsia" w:ascii="仿宋_GB2312" w:hAnsi="仿宋_GB2312"/>
          <w:color w:val="auto"/>
          <w:sz w:val="24"/>
          <w:lang w:val="en-US" w:eastAsia="zh-CN"/>
        </w:rPr>
        <w:t>1.2.12.</w:t>
      </w:r>
      <w:r>
        <w:rPr>
          <w:rFonts w:ascii="仿宋_GB2312" w:hAnsi="仿宋_GB2312"/>
          <w:color w:val="auto"/>
          <w:sz w:val="24"/>
        </w:rPr>
        <w:t>4.</w:t>
      </w:r>
      <w:r>
        <w:rPr>
          <w:rFonts w:hint="eastAsia" w:ascii="宋体" w:hAnsi="宋体"/>
          <w:color w:val="auto"/>
          <w:sz w:val="24"/>
        </w:rPr>
        <w:t>对于连续出版、多卷（集）的图书，乙方应负责为甲方提供后续出版的资料。</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1.2.12.</w:t>
      </w:r>
      <w:r>
        <w:rPr>
          <w:rFonts w:ascii="仿宋_GB2312" w:hAnsi="仿宋_GB2312"/>
          <w:color w:val="auto"/>
          <w:sz w:val="24"/>
        </w:rPr>
        <w:t>5.</w:t>
      </w:r>
      <w:r>
        <w:rPr>
          <w:rFonts w:hint="eastAsia" w:ascii="宋体" w:hAnsi="宋体"/>
          <w:color w:val="auto"/>
          <w:sz w:val="24"/>
        </w:rPr>
        <w:t>乙方接收订单及提供图书：甲方选定所需图书汇成订单后，通过因特网传送给乙方，乙方应及时回复确认。乙方严格按甲方订单配送图书，非甲方订购的图书不得配送，一旦发现一律退回（此类情况如果达到</w:t>
      </w:r>
      <w:r>
        <w:rPr>
          <w:rFonts w:ascii="仿宋_GB2312" w:hAnsi="仿宋_GB2312"/>
          <w:color w:val="auto"/>
          <w:sz w:val="24"/>
        </w:rPr>
        <w:t>1‰</w:t>
      </w:r>
      <w:r>
        <w:rPr>
          <w:rFonts w:hint="eastAsia" w:ascii="宋体" w:hAnsi="宋体"/>
          <w:color w:val="auto"/>
          <w:sz w:val="24"/>
        </w:rPr>
        <w:t>种以上者，将取消供货资格）。乙方同时保证不能提供盗版图书，一经发现立即取消供货资格，并承担所有法律责任。</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1.2.12.</w:t>
      </w:r>
      <w:r>
        <w:rPr>
          <w:rFonts w:ascii="仿宋_GB2312" w:hAnsi="仿宋_GB2312"/>
          <w:color w:val="auto"/>
          <w:sz w:val="24"/>
        </w:rPr>
        <w:t>6</w:t>
      </w:r>
      <w:r>
        <w:rPr>
          <w:rFonts w:hint="eastAsia" w:ascii="宋体" w:hAnsi="宋体"/>
          <w:color w:val="auto"/>
          <w:sz w:val="24"/>
        </w:rPr>
        <w:t>.乙方为甲方提供的图书中，严禁带有内容有色情、暴力、恐怖等不适招标方读者或装祯形式为小开本、活页等不适合甲方流通管理的图书。</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1.2.12.</w:t>
      </w:r>
      <w:r>
        <w:rPr>
          <w:rFonts w:ascii="仿宋_GB2312" w:hAnsi="仿宋_GB2312"/>
          <w:color w:val="auto"/>
          <w:sz w:val="24"/>
        </w:rPr>
        <w:t>7</w:t>
      </w:r>
      <w:r>
        <w:rPr>
          <w:rFonts w:hint="eastAsia" w:ascii="宋体" w:hAnsi="宋体"/>
          <w:color w:val="auto"/>
          <w:sz w:val="24"/>
        </w:rPr>
        <w:t>.甲方不承担所购图书资料的运管费。</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1.2.12.</w:t>
      </w:r>
      <w:r>
        <w:rPr>
          <w:rFonts w:ascii="仿宋_GB2312" w:hAnsi="仿宋_GB2312"/>
          <w:color w:val="auto"/>
          <w:sz w:val="24"/>
        </w:rPr>
        <w:t>8</w:t>
      </w:r>
      <w:r>
        <w:rPr>
          <w:rFonts w:hint="eastAsia" w:ascii="宋体" w:hAnsi="宋体"/>
          <w:color w:val="auto"/>
          <w:sz w:val="24"/>
        </w:rPr>
        <w:t>.清点验收：送交甲方的图书，每包应附有清单，清单一式两份，清单内容包括包号、征订号、书名、单价、册数及小计。每批图书应有汇总清单，清单内容包括此批图书的种数、册数和总金额，汇总清单上应盖有与付款发票上相同的财务章。甲方收到图书后经清点验收，如发现有错装、倒装、缺页和污损等情况，乙方应在</w:t>
      </w:r>
      <w:r>
        <w:rPr>
          <w:rFonts w:ascii="仿宋_GB2312" w:hAnsi="仿宋_GB2312"/>
          <w:color w:val="auto"/>
          <w:sz w:val="24"/>
        </w:rPr>
        <w:t>5</w:t>
      </w:r>
      <w:r>
        <w:rPr>
          <w:rFonts w:hint="eastAsia" w:ascii="宋体" w:hAnsi="宋体"/>
          <w:color w:val="auto"/>
          <w:sz w:val="24"/>
        </w:rPr>
        <w:t>个工作日无条件予以调换。</w:t>
      </w:r>
      <w:r>
        <w:rPr>
          <w:rFonts w:hint="eastAsia" w:ascii="宋体" w:hAnsi="宋体"/>
          <w:color w:val="auto"/>
          <w:sz w:val="24"/>
        </w:rPr>
        <w:t>否则视为乙方逾期供货，造成甲方损失的，乙方承担赔偿责任。</w:t>
      </w:r>
    </w:p>
    <w:p>
      <w:pPr>
        <w:pStyle w:val="5"/>
        <w:widowControl w:val="0"/>
        <w:adjustRightInd/>
        <w:snapToGrid/>
        <w:spacing w:line="360" w:lineRule="auto"/>
        <w:ind w:firstLine="480" w:firstLineChars="200"/>
        <w:rPr>
          <w:rFonts w:ascii="仿宋_GB2312" w:hAnsi="宋体"/>
          <w:color w:val="auto"/>
          <w:kern w:val="2"/>
          <w:sz w:val="24"/>
          <w:szCs w:val="24"/>
        </w:rPr>
      </w:pPr>
      <w:r>
        <w:rPr>
          <w:rFonts w:hint="eastAsia" w:ascii="仿宋_GB2312" w:hAnsi="仿宋_GB2312"/>
          <w:color w:val="auto"/>
          <w:kern w:val="2"/>
          <w:sz w:val="24"/>
          <w:szCs w:val="24"/>
          <w:lang w:val="en-US" w:eastAsia="zh-CN"/>
        </w:rPr>
        <w:t>1.2.12.</w:t>
      </w:r>
      <w:r>
        <w:rPr>
          <w:rFonts w:ascii="仿宋_GB2312" w:hAnsi="仿宋_GB2312"/>
          <w:color w:val="auto"/>
          <w:kern w:val="2"/>
          <w:sz w:val="24"/>
          <w:szCs w:val="24"/>
        </w:rPr>
        <w:t>9</w:t>
      </w:r>
      <w:r>
        <w:rPr>
          <w:rFonts w:hint="eastAsia" w:hAnsi="宋体"/>
          <w:color w:val="auto"/>
          <w:kern w:val="2"/>
          <w:sz w:val="24"/>
          <w:szCs w:val="24"/>
        </w:rPr>
        <w:t>．编目数据：</w:t>
      </w:r>
      <w:r>
        <w:rPr>
          <w:rFonts w:hint="eastAsia" w:hAnsi="宋体"/>
          <w:color w:val="auto"/>
          <w:sz w:val="24"/>
          <w:szCs w:val="24"/>
        </w:rPr>
        <w:t>乙方</w:t>
      </w:r>
      <w:r>
        <w:rPr>
          <w:rFonts w:hint="eastAsia" w:hAnsi="宋体"/>
          <w:color w:val="auto"/>
          <w:kern w:val="2"/>
          <w:sz w:val="24"/>
          <w:szCs w:val="24"/>
        </w:rPr>
        <w:t>所提供的每种图书均应有完整的标准</w:t>
      </w:r>
      <w:r>
        <w:rPr>
          <w:rFonts w:ascii="仿宋_GB2312" w:hAnsi="宋体"/>
          <w:color w:val="auto"/>
          <w:kern w:val="2"/>
          <w:sz w:val="24"/>
          <w:szCs w:val="24"/>
        </w:rPr>
        <w:t>Marc</w:t>
      </w:r>
      <w:r>
        <w:rPr>
          <w:rFonts w:hint="eastAsia" w:hAnsi="宋体"/>
          <w:color w:val="auto"/>
          <w:kern w:val="2"/>
          <w:sz w:val="24"/>
          <w:szCs w:val="24"/>
        </w:rPr>
        <w:t>编目数据，如发现有缺少应及时补发（说明</w:t>
      </w:r>
      <w:r>
        <w:rPr>
          <w:rFonts w:ascii="仿宋_GB2312" w:hAnsi="仿宋_GB2312"/>
          <w:color w:val="auto"/>
          <w:kern w:val="2"/>
          <w:sz w:val="24"/>
          <w:szCs w:val="24"/>
        </w:rPr>
        <w:t>Marc</w:t>
      </w:r>
      <w:r>
        <w:rPr>
          <w:rFonts w:hint="eastAsia" w:hAnsi="宋体"/>
          <w:color w:val="auto"/>
          <w:kern w:val="2"/>
          <w:sz w:val="24"/>
          <w:szCs w:val="24"/>
        </w:rPr>
        <w:t>编目数据的来源）。</w:t>
      </w:r>
    </w:p>
    <w:p>
      <w:pPr>
        <w:pStyle w:val="5"/>
        <w:widowControl w:val="0"/>
        <w:adjustRightInd/>
        <w:snapToGrid/>
        <w:spacing w:line="360" w:lineRule="auto"/>
        <w:ind w:firstLine="480" w:firstLineChars="200"/>
        <w:rPr>
          <w:rFonts w:ascii="仿宋_GB2312"/>
          <w:color w:val="auto"/>
          <w:sz w:val="24"/>
          <w:szCs w:val="24"/>
        </w:rPr>
      </w:pPr>
      <w:r>
        <w:rPr>
          <w:rFonts w:hint="eastAsia" w:ascii="仿宋_GB2312" w:hAnsi="仿宋_GB2312"/>
          <w:color w:val="auto"/>
          <w:kern w:val="2"/>
          <w:sz w:val="24"/>
          <w:szCs w:val="24"/>
          <w:lang w:val="en-US" w:eastAsia="zh-CN"/>
        </w:rPr>
        <w:t>1.2.12.</w:t>
      </w:r>
      <w:r>
        <w:rPr>
          <w:rFonts w:ascii="仿宋_GB2312" w:hAnsi="仿宋_GB2312"/>
          <w:color w:val="auto"/>
          <w:kern w:val="2"/>
          <w:sz w:val="24"/>
          <w:szCs w:val="24"/>
        </w:rPr>
        <w:t>10.</w:t>
      </w:r>
      <w:r>
        <w:rPr>
          <w:rFonts w:hint="eastAsia" w:hAnsi="宋体"/>
          <w:color w:val="auto"/>
          <w:sz w:val="24"/>
          <w:szCs w:val="24"/>
        </w:rPr>
        <w:t>电子书数量为</w:t>
      </w:r>
      <w:r>
        <w:rPr>
          <w:rFonts w:hint="eastAsia" w:ascii="仿宋_GB2312" w:hAnsi="仿宋_GB2312"/>
          <w:color w:val="auto"/>
          <w:sz w:val="24"/>
          <w:szCs w:val="24"/>
        </w:rPr>
        <w:t>3</w:t>
      </w:r>
      <w:r>
        <w:rPr>
          <w:rFonts w:ascii="仿宋_GB2312" w:hAnsi="仿宋_GB2312"/>
          <w:color w:val="auto"/>
          <w:sz w:val="24"/>
          <w:szCs w:val="24"/>
        </w:rPr>
        <w:t>0000</w:t>
      </w:r>
      <w:r>
        <w:rPr>
          <w:rFonts w:hint="eastAsia" w:hAnsi="宋体"/>
          <w:color w:val="auto"/>
          <w:sz w:val="24"/>
          <w:szCs w:val="24"/>
        </w:rPr>
        <w:t>册（版权使用期限不少于一年）。</w:t>
      </w:r>
    </w:p>
    <w:p>
      <w:pPr>
        <w:pStyle w:val="5"/>
        <w:widowControl w:val="0"/>
        <w:adjustRightInd/>
        <w:snapToGrid/>
        <w:spacing w:line="360" w:lineRule="auto"/>
        <w:ind w:firstLine="480" w:firstLineChars="200"/>
        <w:rPr>
          <w:rFonts w:hAnsi="宋体"/>
          <w:color w:val="auto"/>
          <w:sz w:val="24"/>
          <w:szCs w:val="24"/>
        </w:rPr>
      </w:pPr>
      <w:r>
        <w:rPr>
          <w:rFonts w:hint="eastAsia" w:ascii="仿宋_GB2312" w:hAnsi="仿宋_GB2312"/>
          <w:color w:val="auto"/>
          <w:sz w:val="24"/>
          <w:szCs w:val="24"/>
          <w:lang w:val="en-US" w:eastAsia="zh-CN"/>
        </w:rPr>
        <w:t>1.2.12.</w:t>
      </w:r>
      <w:r>
        <w:rPr>
          <w:rFonts w:ascii="仿宋_GB2312" w:hAnsi="仿宋_GB2312"/>
          <w:color w:val="auto"/>
          <w:sz w:val="24"/>
          <w:szCs w:val="24"/>
        </w:rPr>
        <w:t>11</w:t>
      </w:r>
      <w:r>
        <w:rPr>
          <w:rFonts w:hint="eastAsia" w:hAnsi="宋体"/>
          <w:color w:val="auto"/>
          <w:sz w:val="24"/>
          <w:szCs w:val="24"/>
        </w:rPr>
        <w:t>.能够提供符合杭州地区公共图书馆要求的线上借书和书店借书服务（信阅和悦借服务）。</w:t>
      </w:r>
    </w:p>
    <w:p>
      <w:pPr>
        <w:pStyle w:val="5"/>
        <w:widowControl w:val="0"/>
        <w:adjustRightInd/>
        <w:snapToGrid/>
        <w:spacing w:line="360" w:lineRule="auto"/>
        <w:ind w:firstLine="480" w:firstLineChars="200"/>
        <w:rPr>
          <w:rFonts w:hAnsi="宋体"/>
          <w:color w:val="auto"/>
          <w:sz w:val="24"/>
          <w:szCs w:val="24"/>
        </w:rPr>
      </w:pPr>
      <w:r>
        <w:rPr>
          <w:rFonts w:hint="eastAsia" w:hAnsi="宋体"/>
          <w:color w:val="auto"/>
          <w:sz w:val="24"/>
          <w:szCs w:val="24"/>
          <w:lang w:val="en-US" w:eastAsia="zh-CN"/>
        </w:rPr>
        <w:t>1.2.12.</w:t>
      </w:r>
      <w:r>
        <w:rPr>
          <w:rFonts w:hint="eastAsia" w:hAnsi="宋体"/>
          <w:color w:val="auto"/>
          <w:sz w:val="24"/>
          <w:szCs w:val="24"/>
        </w:rPr>
        <w:t>12.乙方需满足甲方图书零星加工的服务需求。</w:t>
      </w:r>
    </w:p>
    <w:p>
      <w:pPr>
        <w:adjustRightInd/>
        <w:spacing w:line="360" w:lineRule="auto"/>
        <w:ind w:firstLine="482" w:firstLineChars="200"/>
        <w:rPr>
          <w:rFonts w:ascii="仿宋_GB2312" w:hAnsi="宋体"/>
          <w:color w:val="auto"/>
          <w:sz w:val="24"/>
        </w:rPr>
      </w:pPr>
      <w:r>
        <w:rPr>
          <w:rFonts w:hint="eastAsia" w:ascii="宋体" w:hAnsi="宋体"/>
          <w:b/>
          <w:bCs/>
          <w:color w:val="auto"/>
          <w:sz w:val="24"/>
        </w:rPr>
        <w:t>1.2.13</w:t>
      </w:r>
      <w:r>
        <w:rPr>
          <w:rFonts w:hint="eastAsia" w:ascii="宋体" w:hAnsi="宋体"/>
          <w:b/>
          <w:bCs/>
          <w:color w:val="auto"/>
          <w:sz w:val="24"/>
        </w:rPr>
        <w:t>服务承诺与其他要求</w:t>
      </w:r>
    </w:p>
    <w:p>
      <w:pPr>
        <w:pStyle w:val="5"/>
        <w:adjustRightInd/>
        <w:snapToGrid/>
        <w:spacing w:line="360" w:lineRule="auto"/>
        <w:ind w:firstLine="480" w:firstLineChars="200"/>
        <w:rPr>
          <w:rFonts w:ascii="仿宋_GB2312" w:hAnsi="宋体"/>
          <w:color w:val="auto"/>
          <w:kern w:val="2"/>
          <w:sz w:val="24"/>
          <w:szCs w:val="24"/>
        </w:rPr>
      </w:pPr>
      <w:r>
        <w:rPr>
          <w:rFonts w:hint="eastAsia" w:ascii="仿宋_GB2312" w:hAnsi="仿宋_GB2312"/>
          <w:color w:val="auto"/>
          <w:kern w:val="2"/>
          <w:sz w:val="24"/>
          <w:szCs w:val="24"/>
        </w:rPr>
        <w:t>1</w:t>
      </w:r>
      <w:r>
        <w:rPr>
          <w:rFonts w:ascii="仿宋_GB2312" w:hAnsi="仿宋_GB2312"/>
          <w:color w:val="auto"/>
          <w:kern w:val="2"/>
          <w:sz w:val="24"/>
          <w:szCs w:val="24"/>
        </w:rPr>
        <w:t>.</w:t>
      </w:r>
      <w:r>
        <w:rPr>
          <w:rFonts w:hint="eastAsia" w:ascii="仿宋_GB2312" w:hAnsi="仿宋_GB2312"/>
          <w:color w:val="auto"/>
          <w:kern w:val="2"/>
          <w:sz w:val="24"/>
          <w:szCs w:val="24"/>
          <w:lang w:val="en-US" w:eastAsia="zh-CN"/>
        </w:rPr>
        <w:t>2.13.1</w:t>
      </w:r>
      <w:r>
        <w:rPr>
          <w:rFonts w:hint="eastAsia" w:hAnsi="宋体"/>
          <w:color w:val="auto"/>
          <w:kern w:val="2"/>
          <w:sz w:val="24"/>
          <w:szCs w:val="24"/>
        </w:rPr>
        <w:t>到书时间与到书率。</w:t>
      </w:r>
    </w:p>
    <w:p>
      <w:pPr>
        <w:pStyle w:val="5"/>
        <w:adjustRightInd/>
        <w:snapToGrid/>
        <w:spacing w:line="360" w:lineRule="auto"/>
        <w:ind w:firstLine="480" w:firstLineChars="200"/>
        <w:rPr>
          <w:rFonts w:ascii="仿宋_GB2312" w:hAnsi="宋体"/>
          <w:color w:val="auto"/>
          <w:kern w:val="2"/>
          <w:sz w:val="24"/>
          <w:szCs w:val="24"/>
        </w:rPr>
      </w:pPr>
      <w:r>
        <w:rPr>
          <w:rFonts w:hint="eastAsia" w:hAnsi="宋体"/>
          <w:color w:val="auto"/>
          <w:sz w:val="24"/>
          <w:szCs w:val="24"/>
        </w:rPr>
        <w:t>国内中文图书（含国内出版的外文图书）</w:t>
      </w:r>
      <w:r>
        <w:rPr>
          <w:rFonts w:hint="eastAsia" w:hAnsi="宋体"/>
          <w:color w:val="auto"/>
          <w:kern w:val="2"/>
          <w:sz w:val="24"/>
          <w:szCs w:val="24"/>
        </w:rPr>
        <w:t>：</w:t>
      </w:r>
      <w:r>
        <w:rPr>
          <w:rFonts w:hint="eastAsia" w:hAnsi="宋体"/>
          <w:color w:val="auto"/>
          <w:sz w:val="24"/>
          <w:szCs w:val="24"/>
        </w:rPr>
        <w:t>现货采购的到书时间与到书率：</w:t>
      </w:r>
      <w:r>
        <w:rPr>
          <w:rFonts w:ascii="仿宋_GB2312" w:hAnsi="宋体"/>
          <w:color w:val="auto"/>
          <w:sz w:val="24"/>
          <w:szCs w:val="24"/>
        </w:rPr>
        <w:t>7</w:t>
      </w:r>
      <w:r>
        <w:rPr>
          <w:rFonts w:hint="eastAsia" w:hAnsi="宋体"/>
          <w:color w:val="auto"/>
          <w:sz w:val="24"/>
          <w:szCs w:val="24"/>
        </w:rPr>
        <w:t>天内</w:t>
      </w:r>
      <w:r>
        <w:rPr>
          <w:rFonts w:ascii="仿宋_GB2312" w:hAnsi="仿宋_GB2312"/>
          <w:color w:val="auto"/>
          <w:sz w:val="24"/>
          <w:szCs w:val="24"/>
        </w:rPr>
        <w:t>95%</w:t>
      </w:r>
      <w:r>
        <w:rPr>
          <w:rFonts w:hint="eastAsia" w:hAnsi="宋体"/>
          <w:color w:val="auto"/>
          <w:sz w:val="24"/>
          <w:szCs w:val="24"/>
        </w:rPr>
        <w:t>以上，</w:t>
      </w:r>
      <w:r>
        <w:rPr>
          <w:rFonts w:ascii="仿宋_GB2312" w:hAnsi="仿宋_GB2312"/>
          <w:color w:val="auto"/>
          <w:sz w:val="24"/>
          <w:szCs w:val="24"/>
        </w:rPr>
        <w:t>15</w:t>
      </w:r>
      <w:r>
        <w:rPr>
          <w:rFonts w:hint="eastAsia" w:hAnsi="宋体"/>
          <w:color w:val="auto"/>
          <w:sz w:val="24"/>
          <w:szCs w:val="24"/>
        </w:rPr>
        <w:t>天内</w:t>
      </w:r>
      <w:r>
        <w:rPr>
          <w:rFonts w:ascii="仿宋_GB2312" w:hAnsi="仿宋_GB2312"/>
          <w:color w:val="auto"/>
          <w:sz w:val="24"/>
          <w:szCs w:val="24"/>
        </w:rPr>
        <w:t>98%</w:t>
      </w:r>
      <w:r>
        <w:rPr>
          <w:rFonts w:hint="eastAsia" w:hAnsi="宋体"/>
          <w:color w:val="auto"/>
          <w:sz w:val="24"/>
          <w:szCs w:val="24"/>
        </w:rPr>
        <w:t>以上；现货目录采购的到书时间与到书率：</w:t>
      </w:r>
      <w:r>
        <w:rPr>
          <w:rFonts w:ascii="仿宋_GB2312" w:hAnsi="宋体"/>
          <w:color w:val="auto"/>
          <w:sz w:val="24"/>
          <w:szCs w:val="24"/>
        </w:rPr>
        <w:t>10</w:t>
      </w:r>
      <w:r>
        <w:rPr>
          <w:rFonts w:hint="eastAsia" w:hAnsi="宋体"/>
          <w:color w:val="auto"/>
          <w:sz w:val="24"/>
          <w:szCs w:val="24"/>
        </w:rPr>
        <w:t>天内</w:t>
      </w:r>
      <w:r>
        <w:rPr>
          <w:rFonts w:ascii="仿宋_GB2312" w:hAnsi="仿宋_GB2312"/>
          <w:color w:val="auto"/>
          <w:sz w:val="24"/>
          <w:szCs w:val="24"/>
        </w:rPr>
        <w:t>80%</w:t>
      </w:r>
      <w:r>
        <w:rPr>
          <w:rFonts w:hint="eastAsia" w:hAnsi="宋体"/>
          <w:color w:val="auto"/>
          <w:sz w:val="24"/>
          <w:szCs w:val="24"/>
        </w:rPr>
        <w:t>以上，</w:t>
      </w:r>
      <w:r>
        <w:rPr>
          <w:rFonts w:ascii="仿宋_GB2312" w:hAnsi="仿宋_GB2312"/>
          <w:color w:val="auto"/>
          <w:sz w:val="24"/>
          <w:szCs w:val="24"/>
        </w:rPr>
        <w:t>30</w:t>
      </w:r>
      <w:r>
        <w:rPr>
          <w:rFonts w:hint="eastAsia" w:hAnsi="宋体"/>
          <w:color w:val="auto"/>
          <w:sz w:val="24"/>
          <w:szCs w:val="24"/>
        </w:rPr>
        <w:t>天内</w:t>
      </w:r>
      <w:r>
        <w:rPr>
          <w:rFonts w:ascii="仿宋_GB2312" w:hAnsi="仿宋_GB2312"/>
          <w:color w:val="auto"/>
          <w:sz w:val="24"/>
          <w:szCs w:val="24"/>
        </w:rPr>
        <w:t>90%</w:t>
      </w:r>
      <w:r>
        <w:rPr>
          <w:rFonts w:hint="eastAsia" w:hAnsi="宋体"/>
          <w:color w:val="auto"/>
          <w:sz w:val="24"/>
          <w:szCs w:val="24"/>
        </w:rPr>
        <w:t>以上。</w:t>
      </w:r>
      <w:r>
        <w:rPr>
          <w:rFonts w:hint="eastAsia" w:ascii="仿宋_GB2312" w:hAnsi="宋体"/>
          <w:color w:val="auto"/>
          <w:kern w:val="2"/>
          <w:sz w:val="24"/>
          <w:szCs w:val="24"/>
        </w:rPr>
        <w:t>乙方违反上述约定的，每发生一次，甲方有权要求乙方支付违约金1万元，若不能按时供货的图书种数或册数超过订单订购数的20%，按1.2.4条的约定执行。</w:t>
      </w:r>
    </w:p>
    <w:p>
      <w:pPr>
        <w:pStyle w:val="5"/>
        <w:adjustRightInd/>
        <w:snapToGrid/>
        <w:spacing w:line="360" w:lineRule="auto"/>
        <w:ind w:firstLine="480" w:firstLineChars="200"/>
        <w:rPr>
          <w:rFonts w:ascii="仿宋_GB2312" w:hAnsi="宋体"/>
          <w:color w:val="auto"/>
          <w:kern w:val="2"/>
          <w:sz w:val="24"/>
          <w:szCs w:val="24"/>
        </w:rPr>
      </w:pPr>
      <w:r>
        <w:rPr>
          <w:rFonts w:hint="eastAsia" w:ascii="仿宋_GB2312" w:hAnsi="仿宋_GB2312"/>
          <w:color w:val="auto"/>
          <w:kern w:val="2"/>
          <w:sz w:val="24"/>
          <w:szCs w:val="24"/>
          <w:lang w:val="en-US" w:eastAsia="zh-CN"/>
        </w:rPr>
        <w:t>1.2.13.</w:t>
      </w:r>
      <w:r>
        <w:rPr>
          <w:rFonts w:hint="eastAsia" w:ascii="仿宋_GB2312" w:hAnsi="仿宋_GB2312"/>
          <w:color w:val="auto"/>
          <w:kern w:val="2"/>
          <w:sz w:val="24"/>
          <w:szCs w:val="24"/>
        </w:rPr>
        <w:t>2</w:t>
      </w:r>
      <w:r>
        <w:rPr>
          <w:rFonts w:ascii="仿宋_GB2312" w:hAnsi="仿宋_GB2312"/>
          <w:color w:val="auto"/>
          <w:kern w:val="2"/>
          <w:sz w:val="24"/>
          <w:szCs w:val="24"/>
        </w:rPr>
        <w:t>.</w:t>
      </w:r>
      <w:r>
        <w:rPr>
          <w:rFonts w:hint="eastAsia" w:hAnsi="宋体"/>
          <w:color w:val="auto"/>
          <w:kern w:val="2"/>
          <w:sz w:val="24"/>
          <w:szCs w:val="24"/>
        </w:rPr>
        <w:t>标准</w:t>
      </w:r>
      <w:r>
        <w:rPr>
          <w:rFonts w:ascii="仿宋_GB2312" w:hAnsi="仿宋_GB2312"/>
          <w:color w:val="auto"/>
          <w:kern w:val="2"/>
          <w:sz w:val="24"/>
          <w:szCs w:val="24"/>
        </w:rPr>
        <w:t>Marc</w:t>
      </w:r>
      <w:r>
        <w:rPr>
          <w:rFonts w:hint="eastAsia" w:hAnsi="宋体"/>
          <w:color w:val="auto"/>
          <w:kern w:val="2"/>
          <w:sz w:val="24"/>
          <w:szCs w:val="24"/>
        </w:rPr>
        <w:t>编目数据随书配送服务。</w:t>
      </w:r>
    </w:p>
    <w:p>
      <w:pPr>
        <w:adjustRightInd/>
        <w:spacing w:line="360" w:lineRule="auto"/>
        <w:ind w:firstLine="482" w:firstLineChars="200"/>
        <w:rPr>
          <w:rFonts w:ascii="仿宋_GB2312" w:hAnsi="宋体"/>
          <w:b/>
          <w:bCs/>
          <w:color w:val="auto"/>
          <w:sz w:val="24"/>
        </w:rPr>
      </w:pPr>
      <w:r>
        <w:rPr>
          <w:rFonts w:hint="eastAsia" w:ascii="宋体" w:hAnsi="宋体"/>
          <w:b/>
          <w:bCs/>
          <w:color w:val="auto"/>
          <w:sz w:val="24"/>
          <w:lang w:val="en-US" w:eastAsia="zh-CN"/>
        </w:rPr>
        <w:t>1.</w:t>
      </w:r>
      <w:r>
        <w:rPr>
          <w:rFonts w:hint="eastAsia" w:ascii="宋体" w:hAnsi="宋体"/>
          <w:b/>
          <w:bCs/>
          <w:color w:val="auto"/>
          <w:sz w:val="24"/>
        </w:rPr>
        <w:t>2.14</w:t>
      </w:r>
      <w:r>
        <w:rPr>
          <w:rFonts w:hint="eastAsia" w:ascii="宋体" w:hAnsi="宋体"/>
          <w:b/>
          <w:bCs/>
          <w:color w:val="auto"/>
          <w:sz w:val="24"/>
        </w:rPr>
        <w:t>图书运送及验收</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1.2.14.1.</w:t>
      </w:r>
      <w:r>
        <w:rPr>
          <w:rFonts w:ascii="仿宋_GB2312" w:hAnsi="仿宋_GB2312"/>
          <w:color w:val="auto"/>
          <w:sz w:val="24"/>
        </w:rPr>
        <w:t xml:space="preserve"> </w:t>
      </w:r>
      <w:r>
        <w:rPr>
          <w:rFonts w:hint="eastAsia" w:ascii="宋体" w:hAnsi="宋体"/>
          <w:color w:val="auto"/>
          <w:sz w:val="24"/>
        </w:rPr>
        <w:t>乙方应对发送的图书进行防湿和防破装卸要求的包装，保证图书安全运输到达甲方指定地点。</w:t>
      </w:r>
      <w:r>
        <w:rPr>
          <w:rFonts w:hint="eastAsia" w:ascii="宋体" w:hAnsi="宋体"/>
          <w:color w:val="auto"/>
          <w:sz w:val="24"/>
        </w:rPr>
        <w:t>上述图书未经甲方验收通过前，毁损灭失的责任由乙方自行承担。</w:t>
      </w:r>
    </w:p>
    <w:p>
      <w:pPr>
        <w:adjustRightInd/>
        <w:spacing w:line="360" w:lineRule="auto"/>
        <w:ind w:firstLine="480" w:firstLineChars="200"/>
        <w:rPr>
          <w:rFonts w:ascii="仿宋_GB2312" w:hAnsi="宋体"/>
          <w:color w:val="auto"/>
          <w:sz w:val="24"/>
        </w:rPr>
      </w:pPr>
      <w:r>
        <w:rPr>
          <w:rFonts w:hint="eastAsia" w:ascii="仿宋_GB2312" w:hAnsi="仿宋_GB2312"/>
          <w:b w:val="0"/>
          <w:bCs w:val="0"/>
          <w:color w:val="auto"/>
          <w:sz w:val="24"/>
          <w:lang w:val="en-US" w:eastAsia="zh-CN"/>
        </w:rPr>
        <w:t>1.2.14.2</w:t>
      </w:r>
      <w:r>
        <w:rPr>
          <w:rFonts w:hint="eastAsia" w:ascii="仿宋_GB2312" w:hAnsi="仿宋_GB2312"/>
          <w:b/>
          <w:bCs/>
          <w:color w:val="auto"/>
          <w:sz w:val="24"/>
          <w:lang w:val="en-US" w:eastAsia="zh-CN"/>
        </w:rPr>
        <w:t>.</w:t>
      </w:r>
      <w:r>
        <w:rPr>
          <w:rFonts w:hint="eastAsia" w:ascii="宋体" w:hAnsi="宋体"/>
          <w:color w:val="auto"/>
          <w:sz w:val="24"/>
        </w:rPr>
        <w:t>乙方负责按甲方要求提供指定地点的免费送书上门服务（包含西湖区所有街道、社区图书馆及甲方指定的其他地址）；并随书提供与货物数量、品种、价格相符的该批图书总清单和分包清单。</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1.2.14.3.</w:t>
      </w:r>
      <w:r>
        <w:rPr>
          <w:rFonts w:ascii="仿宋_GB2312" w:hAnsi="仿宋_GB2312"/>
          <w:color w:val="auto"/>
          <w:sz w:val="24"/>
        </w:rPr>
        <w:t xml:space="preserve"> </w:t>
      </w:r>
      <w:r>
        <w:rPr>
          <w:rFonts w:hint="eastAsia" w:ascii="宋体" w:hAnsi="宋体"/>
          <w:color w:val="auto"/>
          <w:sz w:val="24"/>
        </w:rPr>
        <w:t>在发送图书之前，乙方应提前一天用电话、书面（或传真）通知甲方，以便甲方准备接货。</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1.2.14.4.</w:t>
      </w:r>
      <w:r>
        <w:rPr>
          <w:rFonts w:ascii="仿宋_GB2312" w:hAnsi="仿宋_GB2312"/>
          <w:color w:val="auto"/>
          <w:sz w:val="24"/>
        </w:rPr>
        <w:t xml:space="preserve"> </w:t>
      </w:r>
      <w:r>
        <w:rPr>
          <w:rFonts w:hint="eastAsia" w:ascii="宋体" w:hAnsi="宋体"/>
          <w:color w:val="auto"/>
          <w:sz w:val="24"/>
        </w:rPr>
        <w:t>图书在甲方接收前发生的不可预见的风险均由乙方负责。</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1.2.14.5.</w:t>
      </w:r>
      <w:r>
        <w:rPr>
          <w:rFonts w:ascii="仿宋_GB2312" w:hAnsi="仿宋_GB2312"/>
          <w:color w:val="auto"/>
          <w:sz w:val="24"/>
        </w:rPr>
        <w:t xml:space="preserve"> </w:t>
      </w:r>
      <w:r>
        <w:rPr>
          <w:rFonts w:hint="eastAsia" w:ascii="宋体" w:hAnsi="宋体"/>
          <w:color w:val="auto"/>
          <w:sz w:val="24"/>
        </w:rPr>
        <w:t>所有图书的品种和复本数量均由甲方决定，乙方不得自行搭配和追加非甲方确认订购的品种或复本。图书品种、复本数量和随书光盘</w:t>
      </w:r>
      <w:r>
        <w:rPr>
          <w:rFonts w:ascii="仿宋_GB2312" w:hAnsi="仿宋_GB2312"/>
          <w:color w:val="auto"/>
          <w:sz w:val="24"/>
        </w:rPr>
        <w:t>/</w:t>
      </w:r>
      <w:r>
        <w:rPr>
          <w:rFonts w:hint="eastAsia" w:ascii="宋体" w:hAnsi="宋体"/>
          <w:color w:val="auto"/>
          <w:sz w:val="24"/>
        </w:rPr>
        <w:t>磁盘</w:t>
      </w:r>
      <w:r>
        <w:rPr>
          <w:rFonts w:ascii="仿宋_GB2312" w:hAnsi="仿宋_GB2312"/>
          <w:color w:val="auto"/>
          <w:sz w:val="24"/>
        </w:rPr>
        <w:t>/</w:t>
      </w:r>
      <w:r>
        <w:rPr>
          <w:rFonts w:hint="eastAsia" w:ascii="宋体" w:hAnsi="宋体"/>
          <w:color w:val="auto"/>
          <w:sz w:val="24"/>
        </w:rPr>
        <w:t>磁带等与订单不符时，无论是否已作前期加工，乙方必须无条件负责退换，</w:t>
      </w:r>
      <w:r>
        <w:rPr>
          <w:rFonts w:hint="eastAsia" w:ascii="宋体" w:hAnsi="宋体"/>
          <w:color w:val="auto"/>
          <w:sz w:val="24"/>
        </w:rPr>
        <w:t>相关期限及费用由乙方自行承担</w:t>
      </w:r>
      <w:r>
        <w:rPr>
          <w:rFonts w:hint="eastAsia" w:ascii="宋体" w:hAnsi="宋体"/>
          <w:color w:val="auto"/>
          <w:sz w:val="24"/>
        </w:rPr>
        <w:t>。</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1.2.14.6.</w:t>
      </w:r>
      <w:r>
        <w:rPr>
          <w:rFonts w:hint="eastAsia" w:ascii="宋体" w:hAnsi="宋体"/>
          <w:color w:val="auto"/>
          <w:sz w:val="24"/>
        </w:rPr>
        <w:t>乙方必须保证销售正版图书，保证所供应图书的版本与进书来源合法，并对所供应的图书版本、知识产权、进货来源承担相应的法律责任。乙方如提供盗版图书无论是否已作前期加工，乙方必须无条件负责退货，并承担由此导致的一切后果，</w:t>
      </w:r>
      <w:r>
        <w:rPr>
          <w:rFonts w:hint="eastAsia" w:ascii="宋体" w:hAnsi="宋体"/>
          <w:color w:val="auto"/>
          <w:sz w:val="24"/>
        </w:rPr>
        <w:t>导致甲方先行垫付的，乙方应全额赔偿。</w:t>
      </w:r>
    </w:p>
    <w:p>
      <w:pPr>
        <w:adjustRightInd/>
        <w:spacing w:line="360" w:lineRule="auto"/>
        <w:ind w:firstLine="480" w:firstLineChars="200"/>
        <w:rPr>
          <w:rFonts w:ascii="宋体" w:hAnsi="宋体"/>
          <w:color w:val="auto"/>
          <w:sz w:val="24"/>
        </w:rPr>
      </w:pPr>
      <w:r>
        <w:rPr>
          <w:rFonts w:hint="eastAsia" w:ascii="仿宋_GB2312" w:hAnsi="仿宋_GB2312"/>
          <w:color w:val="auto"/>
          <w:sz w:val="24"/>
          <w:lang w:val="en-US" w:eastAsia="zh-CN"/>
        </w:rPr>
        <w:t>1.2.14.7.</w:t>
      </w:r>
      <w:r>
        <w:rPr>
          <w:rFonts w:ascii="仿宋_GB2312" w:hAnsi="仿宋_GB2312"/>
          <w:color w:val="auto"/>
          <w:sz w:val="24"/>
        </w:rPr>
        <w:t xml:space="preserve"> </w:t>
      </w:r>
      <w:r>
        <w:rPr>
          <w:rFonts w:hint="eastAsia" w:ascii="宋体" w:hAnsi="宋体"/>
          <w:color w:val="auto"/>
          <w:sz w:val="24"/>
        </w:rPr>
        <w:t>图书出现装订、印刷质量问题和损坏，乙方必须无条件负责退换。</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1.2.14.8.</w:t>
      </w:r>
      <w:r>
        <w:rPr>
          <w:rFonts w:hint="eastAsia" w:ascii="宋体" w:hAnsi="宋体"/>
          <w:color w:val="auto"/>
          <w:sz w:val="24"/>
        </w:rPr>
        <w:t>甲方对乙方供应的图书经检验并认为达到技术质量要求的，给予签收。</w:t>
      </w:r>
    </w:p>
    <w:p>
      <w:pPr>
        <w:adjustRightInd/>
        <w:spacing w:line="360" w:lineRule="auto"/>
        <w:ind w:firstLine="480" w:firstLineChars="200"/>
        <w:rPr>
          <w:rFonts w:ascii="仿宋_GB2312" w:hAnsi="宋体"/>
          <w:color w:val="auto"/>
          <w:sz w:val="24"/>
        </w:rPr>
      </w:pPr>
      <w:r>
        <w:rPr>
          <w:rFonts w:hint="eastAsia" w:ascii="仿宋_GB2312" w:hAnsi="仿宋_GB2312"/>
          <w:color w:val="auto"/>
          <w:sz w:val="24"/>
          <w:lang w:val="en-US" w:eastAsia="zh-CN"/>
        </w:rPr>
        <w:t>1.2.14.9.</w:t>
      </w:r>
      <w:r>
        <w:rPr>
          <w:rFonts w:hint="eastAsia" w:ascii="宋体" w:hAnsi="宋体"/>
          <w:color w:val="auto"/>
          <w:sz w:val="24"/>
        </w:rPr>
        <w:t>甲方在图书到达之日起</w:t>
      </w:r>
      <w:r>
        <w:rPr>
          <w:rFonts w:ascii="仿宋_GB2312" w:hAnsi="仿宋_GB2312"/>
          <w:color w:val="auto"/>
          <w:sz w:val="24"/>
        </w:rPr>
        <w:t>1</w:t>
      </w:r>
      <w:r>
        <w:rPr>
          <w:rFonts w:hint="eastAsia" w:ascii="仿宋_GB2312" w:hAnsi="仿宋_GB2312"/>
          <w:color w:val="auto"/>
          <w:sz w:val="24"/>
        </w:rPr>
        <w:t>5</w:t>
      </w:r>
      <w:r>
        <w:rPr>
          <w:rFonts w:hint="eastAsia" w:ascii="宋体" w:hAnsi="宋体"/>
          <w:color w:val="auto"/>
          <w:sz w:val="24"/>
        </w:rPr>
        <w:t>个工作日内验收完毕。验收过程中，如发现收到的图书与发货清单不符，或有错装、倒装、污损等质量问题，甲方应及时通知乙方，乙方应</w:t>
      </w:r>
      <w:r>
        <w:rPr>
          <w:rFonts w:hint="eastAsia" w:ascii="宋体" w:hAnsi="宋体"/>
          <w:color w:val="auto"/>
          <w:sz w:val="24"/>
        </w:rPr>
        <w:t>在五日内完成补发、换发，存在问题的图书不作为到书率计算的基数</w:t>
      </w:r>
      <w:r>
        <w:rPr>
          <w:rFonts w:hint="eastAsia" w:ascii="宋体" w:hAnsi="宋体"/>
          <w:color w:val="auto"/>
          <w:sz w:val="24"/>
        </w:rPr>
        <w:t>。</w:t>
      </w:r>
    </w:p>
    <w:p>
      <w:pPr>
        <w:adjustRightInd/>
        <w:spacing w:line="360" w:lineRule="auto"/>
        <w:ind w:firstLine="480" w:firstLineChars="200"/>
        <w:rPr>
          <w:rFonts w:ascii="宋体" w:hAnsi="宋体"/>
          <w:color w:val="auto"/>
          <w:sz w:val="24"/>
        </w:rPr>
      </w:pPr>
      <w:r>
        <w:rPr>
          <w:rFonts w:hint="eastAsia" w:ascii="仿宋_GB2312" w:hAnsi="仿宋_GB2312"/>
          <w:color w:val="auto"/>
          <w:sz w:val="24"/>
          <w:lang w:val="en-US" w:eastAsia="zh-CN"/>
        </w:rPr>
        <w:t>1.2.15</w:t>
      </w:r>
      <w:r>
        <w:rPr>
          <w:rFonts w:hint="eastAsia" w:ascii="宋体" w:hAnsi="宋体"/>
          <w:color w:val="auto"/>
          <w:sz w:val="24"/>
        </w:rPr>
        <w:t>乙方必须为甲方提供符合杭州地区公共图书馆要求的线上借书和书店借书服务（信阅和悦借服务）。</w:t>
      </w:r>
      <w:r>
        <w:rPr>
          <w:rFonts w:hint="eastAsia" w:ascii="宋体" w:hAnsi="宋体"/>
          <w:color w:val="auto"/>
          <w:sz w:val="24"/>
        </w:rPr>
        <w:t>否则，视为根本违约，甲方有权解除合同，并要求乙方承担合同价款20%的违约金，造成甲方损失的，乙方承担赔偿责任。</w:t>
      </w:r>
    </w:p>
    <w:p>
      <w:pPr>
        <w:adjustRightInd/>
        <w:spacing w:line="360" w:lineRule="auto"/>
        <w:ind w:firstLine="480" w:firstLineChars="200"/>
        <w:rPr>
          <w:rFonts w:hint="eastAsia" w:ascii="宋体" w:hAnsi="宋体"/>
          <w:color w:val="auto"/>
          <w:sz w:val="24"/>
        </w:rPr>
      </w:pPr>
      <w:r>
        <w:rPr>
          <w:rFonts w:hint="eastAsia"/>
          <w:color w:val="auto"/>
          <w:sz w:val="24"/>
          <w:lang w:val="en-US" w:eastAsia="zh-CN"/>
        </w:rPr>
        <w:t>招标</w:t>
      </w:r>
      <w:r>
        <w:rPr>
          <w:rFonts w:hint="eastAsia"/>
          <w:color w:val="auto"/>
          <w:sz w:val="24"/>
        </w:rPr>
        <w:t>文件采购需求部分亦作为本合同内容，乙方应严格遵守。</w:t>
      </w:r>
    </w:p>
    <w:p>
      <w:pPr>
        <w:adjustRightInd/>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1.3 价款</w:t>
      </w:r>
      <w:bookmarkEnd w:id="406"/>
      <w:bookmarkEnd w:id="407"/>
      <w:bookmarkEnd w:id="408"/>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pPr>
        <w:adjustRightInd/>
        <w:spacing w:line="360" w:lineRule="auto"/>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r>
              <w:rPr>
                <w:rFonts w:hint="eastAsia" w:hAnsi="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80"/>
              <w:jc w:val="center"/>
              <w:rPr>
                <w:rFonts w:hAnsi="宋体" w:cs="宋体"/>
                <w:color w:val="auto"/>
                <w:sz w:val="24"/>
                <w:szCs w:val="24"/>
              </w:rPr>
            </w:pPr>
          </w:p>
        </w:tc>
      </w:tr>
    </w:tbl>
    <w:p>
      <w:pPr>
        <w:pStyle w:val="959"/>
        <w:spacing w:before="0" w:beforeAutospacing="0" w:after="0" w:afterAutospacing="0" w:line="360" w:lineRule="auto"/>
        <w:ind w:firstLine="482" w:firstLineChars="200"/>
        <w:rPr>
          <w:b/>
          <w:color w:val="auto"/>
        </w:rPr>
      </w:pPr>
      <w:bookmarkStart w:id="409" w:name="_Toc22618"/>
      <w:bookmarkStart w:id="410" w:name="_Toc10340"/>
      <w:bookmarkStart w:id="411" w:name="_Toc1814"/>
      <w:r>
        <w:rPr>
          <w:rFonts w:hint="eastAsia"/>
          <w:b/>
          <w:color w:val="auto"/>
        </w:rPr>
        <w:t>1.4履约保证金</w:t>
      </w:r>
    </w:p>
    <w:p>
      <w:pPr>
        <w:pStyle w:val="959"/>
        <w:spacing w:before="0" w:beforeAutospacing="0" w:after="0" w:afterAutospacing="0" w:line="360" w:lineRule="auto"/>
        <w:ind w:firstLine="480" w:firstLineChars="20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adjustRightInd/>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3"/>
        <w:tabs>
          <w:tab w:val="left" w:pos="0"/>
          <w:tab w:val="clear" w:pos="432"/>
        </w:tabs>
        <w:ind w:left="0" w:firstLine="480" w:firstLineChars="200"/>
        <w:rPr>
          <w:rFonts w:eastAsia="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adjustRightInd/>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1.5</w:t>
      </w:r>
      <w:bookmarkEnd w:id="409"/>
      <w:bookmarkEnd w:id="410"/>
      <w:bookmarkEnd w:id="411"/>
      <w:r>
        <w:rPr>
          <w:rFonts w:hint="eastAsia" w:ascii="宋体" w:hAnsi="宋体" w:cs="宋体"/>
          <w:b/>
          <w:color w:val="auto"/>
          <w:sz w:val="24"/>
        </w:rPr>
        <w:t>预付款</w:t>
      </w:r>
    </w:p>
    <w:p>
      <w:pPr>
        <w:pStyle w:val="959"/>
        <w:spacing w:before="0" w:beforeAutospacing="0" w:after="0" w:afterAutospacing="0" w:line="360" w:lineRule="auto"/>
        <w:ind w:firstLine="480" w:firstLineChars="200"/>
        <w:rPr>
          <w:color w:val="auto"/>
        </w:rPr>
      </w:pPr>
      <w:r>
        <w:rPr>
          <w:rFonts w:hint="eastAsia"/>
          <w:color w:val="auto"/>
        </w:rPr>
        <w:t>甲方</w:t>
      </w:r>
      <w:r>
        <w:rPr>
          <w:rFonts w:hint="eastAsia"/>
          <w:color w:val="auto"/>
          <w:u w:val="single"/>
        </w:rPr>
        <w:t xml:space="preserve">  </w:t>
      </w:r>
      <w:r>
        <w:rPr>
          <w:rFonts w:hint="eastAsia"/>
          <w:color w:val="auto"/>
          <w:u w:val="single"/>
        </w:rPr>
        <w:t xml:space="preserve">是 </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adjustRightInd/>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59"/>
        <w:spacing w:before="0" w:beforeAutospacing="0" w:after="0" w:afterAutospacing="0" w:line="360" w:lineRule="auto"/>
        <w:ind w:firstLine="480" w:firstLineChars="20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9"/>
        <w:spacing w:before="0" w:beforeAutospacing="0" w:after="0" w:afterAutospacing="0" w:line="360" w:lineRule="auto"/>
        <w:ind w:firstLine="480" w:firstLineChars="20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9"/>
        <w:spacing w:before="0" w:beforeAutospacing="0" w:after="0" w:afterAutospacing="0" w:line="360" w:lineRule="auto"/>
        <w:ind w:firstLine="482" w:firstLineChars="200"/>
        <w:rPr>
          <w:b/>
          <w:bCs/>
          <w:color w:val="auto"/>
        </w:rPr>
      </w:pPr>
      <w:r>
        <w:rPr>
          <w:rFonts w:hint="eastAsia"/>
          <w:b/>
          <w:bCs/>
          <w:color w:val="auto"/>
        </w:rPr>
        <w:t>1.6资金支付</w:t>
      </w:r>
    </w:p>
    <w:p>
      <w:pPr>
        <w:pStyle w:val="959"/>
        <w:spacing w:before="0" w:beforeAutospacing="0" w:after="0" w:afterAutospacing="0" w:line="360" w:lineRule="auto"/>
        <w:ind w:firstLine="480" w:firstLineChars="20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adjustRightInd/>
        <w:spacing w:line="360" w:lineRule="auto"/>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adjustRightInd/>
        <w:spacing w:line="360" w:lineRule="auto"/>
        <w:ind w:firstLine="482" w:firstLineChars="200"/>
        <w:outlineLvl w:val="0"/>
        <w:rPr>
          <w:rFonts w:ascii="宋体" w:hAnsi="宋体" w:cs="宋体"/>
          <w:b/>
          <w:color w:val="auto"/>
          <w:sz w:val="24"/>
        </w:rPr>
      </w:pPr>
      <w:bookmarkStart w:id="412" w:name="_Toc32071"/>
      <w:bookmarkStart w:id="413" w:name="_Toc19304"/>
      <w:bookmarkStart w:id="414" w:name="_Toc2846"/>
      <w:r>
        <w:rPr>
          <w:rFonts w:hint="eastAsia" w:ascii="宋体" w:hAnsi="宋体" w:cs="宋体"/>
          <w:b/>
          <w:color w:val="auto"/>
          <w:sz w:val="24"/>
        </w:rPr>
        <w:t>1.7货物交付期限、地点和方式</w:t>
      </w:r>
      <w:bookmarkEnd w:id="412"/>
      <w:bookmarkEnd w:id="413"/>
      <w:bookmarkEnd w:id="414"/>
    </w:p>
    <w:p>
      <w:pPr>
        <w:adjustRightInd/>
        <w:spacing w:line="360" w:lineRule="auto"/>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adjustRightInd/>
        <w:spacing w:line="360" w:lineRule="auto"/>
        <w:ind w:firstLine="482" w:firstLineChars="200"/>
        <w:outlineLvl w:val="0"/>
        <w:rPr>
          <w:rFonts w:ascii="宋体" w:hAnsi="宋体" w:cs="宋体"/>
          <w:b/>
          <w:color w:val="auto"/>
          <w:sz w:val="24"/>
        </w:rPr>
      </w:pPr>
      <w:bookmarkStart w:id="415" w:name="_Toc21423"/>
      <w:bookmarkStart w:id="416" w:name="_Toc27250"/>
      <w:bookmarkStart w:id="417" w:name="_Toc19554"/>
      <w:r>
        <w:rPr>
          <w:rFonts w:hint="eastAsia" w:ascii="宋体" w:hAnsi="宋体" w:cs="宋体"/>
          <w:b/>
          <w:color w:val="auto"/>
          <w:sz w:val="24"/>
        </w:rPr>
        <w:t>1.8违约责任</w:t>
      </w:r>
      <w:bookmarkEnd w:id="415"/>
      <w:bookmarkEnd w:id="416"/>
      <w:bookmarkEnd w:id="417"/>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w:t>
      </w:r>
      <w:r>
        <w:rPr>
          <w:rFonts w:hint="eastAsia" w:ascii="宋体" w:hAnsi="宋体" w:cs="宋体"/>
          <w:color w:val="auto"/>
          <w:sz w:val="24"/>
        </w:rPr>
        <w:t>逾期超过20日的，</w:t>
      </w:r>
      <w:r>
        <w:rPr>
          <w:rFonts w:hint="eastAsia" w:ascii="宋体" w:hAnsi="宋体" w:cs="宋体"/>
          <w:color w:val="auto"/>
          <w:sz w:val="24"/>
        </w:rPr>
        <w:t>甲方有权</w:t>
      </w:r>
      <w:r>
        <w:rPr>
          <w:rFonts w:hint="eastAsia" w:ascii="宋体" w:hAnsi="宋体" w:cs="宋体"/>
          <w:color w:val="auto"/>
          <w:sz w:val="24"/>
        </w:rPr>
        <w:t>要求乙方支付合同价款20%的违约金并在</w:t>
      </w:r>
      <w:r>
        <w:rPr>
          <w:rFonts w:hint="eastAsia" w:ascii="宋体" w:hAnsi="宋体" w:cs="宋体"/>
          <w:color w:val="auto"/>
          <w:sz w:val="24"/>
        </w:rPr>
        <w:t>要求乙方支付违约金的同时，书面通知乙方解除本合同，</w:t>
      </w:r>
      <w:r>
        <w:rPr>
          <w:rFonts w:hint="eastAsia" w:ascii="宋体" w:hAnsi="宋体" w:cs="宋体"/>
          <w:color w:val="auto"/>
          <w:sz w:val="24"/>
        </w:rPr>
        <w:t>造成甲方损失的，由乙方承担赔偿责任</w:t>
      </w:r>
      <w:r>
        <w:rPr>
          <w:rFonts w:hint="eastAsia" w:ascii="宋体" w:hAnsi="宋体" w:cs="宋体"/>
          <w:color w:val="auto"/>
          <w:sz w:val="24"/>
        </w:rPr>
        <w:t>；</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 xml:space="preserve">1.8.2 </w:t>
      </w:r>
      <w:r>
        <w:rPr>
          <w:rFonts w:hint="eastAsia" w:ascii="宋体" w:hAnsi="宋体" w:cs="宋体"/>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 xml:space="preserve">1.8.3 </w:t>
      </w:r>
      <w:r>
        <w:rPr>
          <w:rFonts w:hint="eastAsia" w:ascii="宋体" w:hAnsi="宋体" w:cs="宋体"/>
          <w:color w:val="auto"/>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1.8.4</w:t>
      </w:r>
      <w:r>
        <w:rPr>
          <w:rFonts w:hint="eastAsia" w:ascii="宋体" w:hAnsi="宋体" w:cs="宋体"/>
          <w:color w:val="auto"/>
          <w:sz w:val="24"/>
        </w:rPr>
        <w:t>如果出现政府采购监督管理部门在处理投诉事项期间，书面通知甲方暂停采购活动的情形，或者询问或质疑事项可能影响中标或者成交结果的，导致甲方中止履行合同的情形，均不视为甲方违约。</w:t>
      </w:r>
    </w:p>
    <w:p>
      <w:pPr>
        <w:adjustRightInd/>
        <w:spacing w:line="360" w:lineRule="auto"/>
        <w:ind w:firstLine="480" w:firstLineChars="200"/>
        <w:rPr>
          <w:rFonts w:ascii="宋体" w:hAnsi="宋体" w:cs="宋体"/>
          <w:color w:val="auto"/>
        </w:rPr>
      </w:pPr>
      <w:r>
        <w:rPr>
          <w:rFonts w:hint="eastAsia" w:ascii="宋体" w:hAnsi="宋体" w:cs="宋体"/>
          <w:color w:val="auto"/>
          <w:sz w:val="24"/>
        </w:rPr>
        <w:t>1.8.5</w:t>
      </w:r>
      <w:r>
        <w:rPr>
          <w:rFonts w:hint="eastAsia" w:ascii="宋体" w:hAnsi="宋体" w:cs="宋体"/>
          <w:color w:val="auto"/>
          <w:sz w:val="24"/>
        </w:rPr>
        <w:t>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pPr>
        <w:adjustRightInd/>
        <w:spacing w:line="360" w:lineRule="auto"/>
        <w:ind w:firstLine="482" w:firstLineChars="200"/>
        <w:outlineLvl w:val="0"/>
        <w:rPr>
          <w:rFonts w:ascii="宋体" w:hAnsi="宋体" w:cs="宋体"/>
          <w:b/>
          <w:color w:val="auto"/>
          <w:sz w:val="24"/>
        </w:rPr>
      </w:pPr>
      <w:bookmarkStart w:id="418" w:name="_Toc28375"/>
      <w:bookmarkStart w:id="419" w:name="_Toc16021"/>
      <w:bookmarkStart w:id="420" w:name="_Toc15583"/>
      <w:r>
        <w:rPr>
          <w:rFonts w:hint="eastAsia" w:ascii="宋体" w:hAnsi="宋体" w:cs="宋体"/>
          <w:b/>
          <w:color w:val="auto"/>
          <w:sz w:val="24"/>
        </w:rPr>
        <w:t>1.9合同争议的解决</w:t>
      </w:r>
      <w:bookmarkEnd w:id="418"/>
      <w:bookmarkEnd w:id="419"/>
      <w:bookmarkEnd w:id="420"/>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1.9.2    </w:t>
      </w:r>
      <w:r>
        <w:rPr>
          <w:rFonts w:hint="eastAsia" w:ascii="宋体" w:hAnsi="宋体" w:cs="宋体"/>
          <w:color w:val="auto"/>
          <w:sz w:val="24"/>
        </w:rPr>
        <w:t>条款规定的方式解决：</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adjustRightInd/>
        <w:spacing w:line="360" w:lineRule="auto"/>
        <w:ind w:firstLine="482" w:firstLineChars="200"/>
        <w:outlineLvl w:val="0"/>
        <w:rPr>
          <w:rFonts w:ascii="宋体" w:hAnsi="宋体" w:cs="宋体"/>
          <w:b/>
          <w:color w:val="auto"/>
          <w:sz w:val="24"/>
        </w:rPr>
      </w:pPr>
      <w:bookmarkStart w:id="421" w:name="_Toc7245"/>
      <w:bookmarkStart w:id="422" w:name="_Toc11173"/>
      <w:bookmarkStart w:id="423" w:name="_Toc15322"/>
      <w:r>
        <w:rPr>
          <w:rFonts w:hint="eastAsia" w:ascii="宋体" w:hAnsi="宋体" w:cs="宋体"/>
          <w:b/>
          <w:color w:val="auto"/>
          <w:sz w:val="24"/>
        </w:rPr>
        <w:t>2.0 合同生效</w:t>
      </w:r>
      <w:bookmarkEnd w:id="421"/>
      <w:bookmarkEnd w:id="422"/>
      <w:bookmarkEnd w:id="423"/>
    </w:p>
    <w:p>
      <w:pPr>
        <w:adjustRightInd/>
        <w:spacing w:line="360" w:lineRule="auto"/>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ind w:firstLine="480"/>
        <w:rPr>
          <w:rFonts w:ascii="宋体" w:hAnsi="宋体" w:cs="宋体"/>
          <w:color w:val="auto"/>
          <w:sz w:val="24"/>
          <w:lang w:val="zh-CN"/>
        </w:rPr>
      </w:pPr>
    </w:p>
    <w:tbl>
      <w:tblPr>
        <w:tblStyle w:val="62"/>
        <w:tblW w:w="9458" w:type="dxa"/>
        <w:tblInd w:w="0" w:type="dxa"/>
        <w:tblLayout w:type="fixed"/>
        <w:tblCellMar>
          <w:top w:w="0" w:type="dxa"/>
          <w:left w:w="0" w:type="dxa"/>
          <w:bottom w:w="0" w:type="dxa"/>
          <w:right w:w="0" w:type="dxa"/>
        </w:tblCellMar>
      </w:tblPr>
      <w:tblGrid>
        <w:gridCol w:w="4729"/>
        <w:gridCol w:w="4729"/>
      </w:tblGrid>
      <w:tr>
        <w:tblPrEx>
          <w:tblCellMar>
            <w:top w:w="0" w:type="dxa"/>
            <w:left w:w="0" w:type="dxa"/>
            <w:bottom w:w="0" w:type="dxa"/>
            <w:right w:w="0" w:type="dxa"/>
          </w:tblCellMar>
        </w:tblPrEx>
        <w:tc>
          <w:tcPr>
            <w:tcW w:w="4729" w:type="dxa"/>
          </w:tcPr>
          <w:p>
            <w:pPr>
              <w:pStyle w:val="964"/>
              <w:snapToGrid w:val="0"/>
              <w:ind w:firstLine="482"/>
              <w:rPr>
                <w:rStyle w:val="965"/>
                <w:rFonts w:hAnsi="宋体" w:cs="宋体"/>
                <w:color w:val="auto"/>
                <w:sz w:val="24"/>
                <w:szCs w:val="24"/>
                <w:lang w:val="en-GB"/>
              </w:rPr>
            </w:pPr>
            <w:r>
              <w:rPr>
                <w:rFonts w:hint="eastAsia" w:hAnsi="宋体" w:cs="宋体"/>
                <w:b/>
                <w:color w:val="auto"/>
                <w:sz w:val="24"/>
                <w:szCs w:val="24"/>
              </w:rPr>
              <w:br w:type="page"/>
            </w:r>
            <w:r>
              <w:rPr>
                <w:rStyle w:val="965"/>
                <w:rFonts w:hint="eastAsia" w:hAnsi="宋体" w:cs="宋体"/>
                <w:color w:val="auto"/>
                <w:sz w:val="24"/>
                <w:szCs w:val="24"/>
              </w:rPr>
              <w:t>甲方：</w:t>
            </w:r>
          </w:p>
        </w:tc>
        <w:tc>
          <w:tcPr>
            <w:tcW w:w="4729" w:type="dxa"/>
          </w:tcPr>
          <w:p>
            <w:pPr>
              <w:pStyle w:val="964"/>
              <w:snapToGrid w:val="0"/>
              <w:ind w:firstLine="480"/>
              <w:rPr>
                <w:rStyle w:val="965"/>
                <w:rFonts w:hAnsi="宋体" w:cs="宋体"/>
                <w:color w:val="auto"/>
                <w:sz w:val="24"/>
                <w:szCs w:val="24"/>
              </w:rPr>
            </w:pPr>
            <w:r>
              <w:rPr>
                <w:rStyle w:val="965"/>
                <w:rFonts w:hint="eastAsia" w:hAnsi="宋体" w:cs="宋体"/>
                <w:color w:val="auto"/>
                <w:sz w:val="24"/>
                <w:szCs w:val="24"/>
              </w:rPr>
              <w:t>乙方：</w:t>
            </w:r>
          </w:p>
        </w:tc>
      </w:tr>
      <w:tr>
        <w:tblPrEx>
          <w:tblCellMar>
            <w:top w:w="0" w:type="dxa"/>
            <w:left w:w="0" w:type="dxa"/>
            <w:bottom w:w="0" w:type="dxa"/>
            <w:right w:w="0" w:type="dxa"/>
          </w:tblCellMar>
        </w:tblPrEx>
        <w:tc>
          <w:tcPr>
            <w:tcW w:w="4729" w:type="dxa"/>
          </w:tcPr>
          <w:p>
            <w:pPr>
              <w:pStyle w:val="964"/>
              <w:snapToGrid w:val="0"/>
              <w:ind w:firstLine="480"/>
              <w:rPr>
                <w:rFonts w:hAnsi="宋体" w:cs="宋体"/>
                <w:b/>
                <w:color w:val="auto"/>
                <w:sz w:val="24"/>
                <w:szCs w:val="24"/>
              </w:rPr>
            </w:pPr>
            <w:r>
              <w:rPr>
                <w:rFonts w:hint="eastAsia" w:hAnsi="宋体" w:cs="宋体"/>
                <w:color w:val="auto"/>
                <w:sz w:val="24"/>
                <w:szCs w:val="24"/>
                <w:lang w:val="zh-CN"/>
              </w:rPr>
              <w:t>统一社会信用代码：</w:t>
            </w:r>
          </w:p>
        </w:tc>
        <w:tc>
          <w:tcPr>
            <w:tcW w:w="4729" w:type="dxa"/>
          </w:tcPr>
          <w:p>
            <w:pPr>
              <w:autoSpaceDE w:val="0"/>
              <w:autoSpaceDN w:val="0"/>
              <w:spacing w:line="360" w:lineRule="auto"/>
              <w:ind w:firstLine="480"/>
              <w:rPr>
                <w:rStyle w:val="965"/>
                <w:rFonts w:ascii="宋体" w:hAnsi="宋体" w:cs="宋体"/>
                <w:color w:val="auto"/>
                <w:sz w:val="24"/>
              </w:rPr>
            </w:pPr>
            <w:r>
              <w:rPr>
                <w:rFonts w:hint="eastAsia" w:ascii="宋体" w:hAnsi="宋体" w:cs="宋体"/>
                <w:color w:val="auto"/>
                <w:sz w:val="24"/>
                <w:lang w:val="zh-CN"/>
              </w:rPr>
              <w:t>统一社会信用代码或身份证号码：</w:t>
            </w:r>
          </w:p>
        </w:tc>
      </w:tr>
      <w:tr>
        <w:tblPrEx>
          <w:tblCellMar>
            <w:top w:w="0" w:type="dxa"/>
            <w:left w:w="0" w:type="dxa"/>
            <w:bottom w:w="0" w:type="dxa"/>
            <w:right w:w="0" w:type="dxa"/>
          </w:tblCellMar>
        </w:tblPrEx>
        <w:tc>
          <w:tcPr>
            <w:tcW w:w="4729" w:type="dxa"/>
          </w:tcPr>
          <w:p>
            <w:pPr>
              <w:autoSpaceDE w:val="0"/>
              <w:autoSpaceDN w:val="0"/>
              <w:spacing w:line="360" w:lineRule="auto"/>
              <w:ind w:firstLine="480"/>
              <w:rPr>
                <w:rFonts w:ascii="宋体" w:hAnsi="宋体" w:cs="宋体"/>
                <w:color w:val="auto"/>
                <w:sz w:val="24"/>
                <w:lang w:val="zh-CN"/>
              </w:rPr>
            </w:pPr>
            <w:r>
              <w:rPr>
                <w:rFonts w:hint="eastAsia" w:ascii="宋体" w:hAnsi="宋体" w:cs="宋体"/>
                <w:color w:val="auto"/>
                <w:sz w:val="24"/>
                <w:lang w:val="zh-CN"/>
              </w:rPr>
              <w:t>住所：</w:t>
            </w:r>
          </w:p>
        </w:tc>
        <w:tc>
          <w:tcPr>
            <w:tcW w:w="4729" w:type="dxa"/>
          </w:tcPr>
          <w:p>
            <w:pPr>
              <w:autoSpaceDE w:val="0"/>
              <w:autoSpaceDN w:val="0"/>
              <w:spacing w:line="360" w:lineRule="auto"/>
              <w:ind w:firstLine="480"/>
              <w:rPr>
                <w:rFonts w:ascii="宋体" w:hAnsi="宋体" w:cs="宋体"/>
                <w:color w:val="auto"/>
                <w:sz w:val="24"/>
                <w:lang w:val="zh-CN"/>
              </w:rPr>
            </w:pPr>
            <w:r>
              <w:rPr>
                <w:rFonts w:hint="eastAsia" w:ascii="宋体" w:hAnsi="宋体" w:cs="宋体"/>
                <w:color w:val="auto"/>
                <w:sz w:val="24"/>
                <w:lang w:val="zh-CN"/>
              </w:rPr>
              <w:t>住所：</w:t>
            </w:r>
          </w:p>
        </w:tc>
      </w:tr>
      <w:tr>
        <w:tblPrEx>
          <w:tblCellMar>
            <w:top w:w="0" w:type="dxa"/>
            <w:left w:w="0" w:type="dxa"/>
            <w:bottom w:w="0" w:type="dxa"/>
            <w:right w:w="0" w:type="dxa"/>
          </w:tblCellMar>
        </w:tblPrEx>
        <w:tc>
          <w:tcPr>
            <w:tcW w:w="4729" w:type="dxa"/>
          </w:tcPr>
          <w:p>
            <w:pPr>
              <w:pStyle w:val="964"/>
              <w:snapToGrid w:val="0"/>
              <w:ind w:firstLine="480"/>
              <w:rPr>
                <w:rStyle w:val="965"/>
                <w:rFonts w:hAnsi="宋体" w:cs="宋体"/>
                <w:color w:val="auto"/>
                <w:sz w:val="24"/>
                <w:szCs w:val="24"/>
              </w:rPr>
            </w:pPr>
            <w:r>
              <w:rPr>
                <w:rStyle w:val="965"/>
                <w:rFonts w:hint="eastAsia" w:hAnsi="宋体" w:cs="宋体"/>
                <w:color w:val="auto"/>
                <w:sz w:val="24"/>
                <w:szCs w:val="24"/>
              </w:rPr>
              <w:t>法定代表人：</w:t>
            </w:r>
          </w:p>
          <w:p>
            <w:pPr>
              <w:pStyle w:val="964"/>
              <w:snapToGrid w:val="0"/>
              <w:ind w:firstLine="480"/>
              <w:rPr>
                <w:rStyle w:val="965"/>
                <w:rFonts w:hAnsi="宋体" w:cs="宋体"/>
                <w:color w:val="auto"/>
                <w:sz w:val="24"/>
                <w:szCs w:val="24"/>
              </w:rPr>
            </w:pPr>
            <w:r>
              <w:rPr>
                <w:rStyle w:val="965"/>
                <w:rFonts w:hint="eastAsia" w:hAnsi="宋体" w:cs="宋体"/>
                <w:color w:val="auto"/>
                <w:sz w:val="24"/>
                <w:szCs w:val="24"/>
              </w:rPr>
              <w:t>或授权代表（签字）：</w:t>
            </w:r>
          </w:p>
        </w:tc>
        <w:tc>
          <w:tcPr>
            <w:tcW w:w="4729" w:type="dxa"/>
          </w:tcPr>
          <w:p>
            <w:pPr>
              <w:pStyle w:val="964"/>
              <w:snapToGrid w:val="0"/>
              <w:ind w:firstLine="480"/>
              <w:rPr>
                <w:rStyle w:val="965"/>
                <w:rFonts w:hAnsi="宋体" w:cs="宋体"/>
                <w:color w:val="auto"/>
                <w:sz w:val="24"/>
                <w:szCs w:val="24"/>
              </w:rPr>
            </w:pPr>
            <w:r>
              <w:rPr>
                <w:rStyle w:val="965"/>
                <w:rFonts w:hint="eastAsia" w:hAnsi="宋体" w:cs="宋体"/>
                <w:color w:val="auto"/>
                <w:sz w:val="24"/>
                <w:szCs w:val="24"/>
              </w:rPr>
              <w:t>法定代表人：</w:t>
            </w:r>
          </w:p>
          <w:p>
            <w:pPr>
              <w:pStyle w:val="964"/>
              <w:snapToGrid w:val="0"/>
              <w:ind w:firstLine="480"/>
              <w:rPr>
                <w:rStyle w:val="965"/>
                <w:rFonts w:hAnsi="宋体" w:cs="宋体"/>
                <w:color w:val="auto"/>
                <w:sz w:val="24"/>
                <w:szCs w:val="24"/>
              </w:rPr>
            </w:pPr>
            <w:r>
              <w:rPr>
                <w:rStyle w:val="965"/>
                <w:rFonts w:hint="eastAsia" w:hAnsi="宋体" w:cs="宋体"/>
                <w:color w:val="auto"/>
                <w:sz w:val="24"/>
                <w:szCs w:val="24"/>
              </w:rPr>
              <w:t>或授权代表（签字）：</w:t>
            </w:r>
          </w:p>
        </w:tc>
      </w:tr>
      <w:tr>
        <w:tblPrEx>
          <w:tblCellMar>
            <w:top w:w="0" w:type="dxa"/>
            <w:left w:w="0" w:type="dxa"/>
            <w:bottom w:w="0" w:type="dxa"/>
            <w:right w:w="0" w:type="dxa"/>
          </w:tblCellMar>
        </w:tblPrEx>
        <w:tc>
          <w:tcPr>
            <w:tcW w:w="4729" w:type="dxa"/>
          </w:tcPr>
          <w:p>
            <w:pPr>
              <w:pStyle w:val="964"/>
              <w:snapToGrid w:val="0"/>
              <w:ind w:firstLine="480"/>
              <w:rPr>
                <w:rStyle w:val="965"/>
                <w:rFonts w:hAnsi="宋体" w:cs="宋体"/>
                <w:color w:val="auto"/>
                <w:sz w:val="24"/>
                <w:szCs w:val="24"/>
              </w:rPr>
            </w:pPr>
            <w:r>
              <w:rPr>
                <w:rStyle w:val="965"/>
                <w:rFonts w:hint="eastAsia" w:hAnsi="宋体" w:cs="宋体"/>
                <w:color w:val="auto"/>
                <w:sz w:val="24"/>
                <w:szCs w:val="24"/>
              </w:rPr>
              <w:t>联系人：</w:t>
            </w:r>
          </w:p>
        </w:tc>
        <w:tc>
          <w:tcPr>
            <w:tcW w:w="4729" w:type="dxa"/>
          </w:tcPr>
          <w:p>
            <w:pPr>
              <w:pStyle w:val="964"/>
              <w:snapToGrid w:val="0"/>
              <w:ind w:firstLine="480"/>
              <w:rPr>
                <w:rStyle w:val="965"/>
                <w:rFonts w:hAnsi="宋体" w:cs="宋体"/>
                <w:color w:val="auto"/>
                <w:sz w:val="24"/>
                <w:szCs w:val="24"/>
              </w:rPr>
            </w:pPr>
            <w:r>
              <w:rPr>
                <w:rStyle w:val="965"/>
                <w:rFonts w:hint="eastAsia" w:hAnsi="宋体" w:cs="宋体"/>
                <w:color w:val="auto"/>
                <w:sz w:val="24"/>
                <w:szCs w:val="24"/>
              </w:rPr>
              <w:t>联系人：</w:t>
            </w:r>
          </w:p>
        </w:tc>
      </w:tr>
      <w:tr>
        <w:tblPrEx>
          <w:tblCellMar>
            <w:top w:w="0" w:type="dxa"/>
            <w:left w:w="0" w:type="dxa"/>
            <w:bottom w:w="0" w:type="dxa"/>
            <w:right w:w="0" w:type="dxa"/>
          </w:tblCellMar>
        </w:tblPrEx>
        <w:tc>
          <w:tcPr>
            <w:tcW w:w="4729" w:type="dxa"/>
          </w:tcPr>
          <w:p>
            <w:pPr>
              <w:pStyle w:val="964"/>
              <w:snapToGrid w:val="0"/>
              <w:ind w:firstLine="480"/>
              <w:rPr>
                <w:rStyle w:val="965"/>
                <w:rFonts w:hAnsi="宋体" w:cs="宋体"/>
                <w:color w:val="auto"/>
                <w:sz w:val="24"/>
                <w:szCs w:val="24"/>
              </w:rPr>
            </w:pPr>
            <w:r>
              <w:rPr>
                <w:rFonts w:hint="eastAsia" w:hAnsi="宋体" w:cs="宋体"/>
                <w:color w:val="auto"/>
                <w:sz w:val="24"/>
                <w:szCs w:val="24"/>
                <w:lang w:val="zh-CN"/>
              </w:rPr>
              <w:t>约定送达地址</w:t>
            </w:r>
            <w:r>
              <w:rPr>
                <w:rStyle w:val="965"/>
                <w:rFonts w:hint="eastAsia" w:hAnsi="宋体" w:cs="宋体"/>
                <w:color w:val="auto"/>
                <w:sz w:val="24"/>
                <w:szCs w:val="24"/>
              </w:rPr>
              <w:t xml:space="preserve">： </w:t>
            </w:r>
          </w:p>
        </w:tc>
        <w:tc>
          <w:tcPr>
            <w:tcW w:w="4729" w:type="dxa"/>
          </w:tcPr>
          <w:p>
            <w:pPr>
              <w:pStyle w:val="964"/>
              <w:snapToGrid w:val="0"/>
              <w:ind w:firstLine="480"/>
              <w:rPr>
                <w:rStyle w:val="965"/>
                <w:rFonts w:hAnsi="宋体" w:cs="宋体"/>
                <w:color w:val="auto"/>
                <w:sz w:val="24"/>
                <w:szCs w:val="24"/>
              </w:rPr>
            </w:pPr>
            <w:r>
              <w:rPr>
                <w:rFonts w:hint="eastAsia" w:hAnsi="宋体" w:cs="宋体"/>
                <w:color w:val="auto"/>
                <w:sz w:val="24"/>
                <w:szCs w:val="24"/>
                <w:lang w:val="zh-CN"/>
              </w:rPr>
              <w:t>约定送达地址</w:t>
            </w:r>
            <w:r>
              <w:rPr>
                <w:rStyle w:val="965"/>
                <w:rFonts w:hint="eastAsia" w:hAnsi="宋体" w:cs="宋体"/>
                <w:color w:val="auto"/>
                <w:sz w:val="24"/>
                <w:szCs w:val="24"/>
              </w:rPr>
              <w:t>：</w:t>
            </w:r>
          </w:p>
        </w:tc>
      </w:tr>
      <w:tr>
        <w:tblPrEx>
          <w:tblCellMar>
            <w:top w:w="0" w:type="dxa"/>
            <w:left w:w="0" w:type="dxa"/>
            <w:bottom w:w="0" w:type="dxa"/>
            <w:right w:w="0" w:type="dxa"/>
          </w:tblCellMar>
        </w:tblPrEx>
        <w:tc>
          <w:tcPr>
            <w:tcW w:w="4729" w:type="dxa"/>
          </w:tcPr>
          <w:p>
            <w:pPr>
              <w:pStyle w:val="964"/>
              <w:snapToGrid w:val="0"/>
              <w:ind w:firstLine="480"/>
              <w:rPr>
                <w:rFonts w:hAnsi="宋体" w:cs="宋体"/>
                <w:color w:val="auto"/>
                <w:sz w:val="24"/>
                <w:szCs w:val="24"/>
                <w:lang w:val="zh-CN"/>
              </w:rPr>
            </w:pPr>
            <w:r>
              <w:rPr>
                <w:rFonts w:hint="eastAsia" w:hAnsi="宋体" w:cs="宋体"/>
                <w:color w:val="auto"/>
                <w:sz w:val="24"/>
                <w:szCs w:val="24"/>
                <w:lang w:val="zh-CN"/>
              </w:rPr>
              <w:t>邮政编码：</w:t>
            </w:r>
          </w:p>
        </w:tc>
        <w:tc>
          <w:tcPr>
            <w:tcW w:w="4729" w:type="dxa"/>
          </w:tcPr>
          <w:p>
            <w:pPr>
              <w:pStyle w:val="964"/>
              <w:snapToGrid w:val="0"/>
              <w:ind w:firstLine="480"/>
              <w:rPr>
                <w:rFonts w:hAnsi="宋体" w:cs="宋体"/>
                <w:color w:val="auto"/>
                <w:sz w:val="24"/>
                <w:szCs w:val="24"/>
                <w:lang w:val="zh-CN"/>
              </w:rPr>
            </w:pPr>
            <w:r>
              <w:rPr>
                <w:rFonts w:hint="eastAsia" w:hAnsi="宋体" w:cs="宋体"/>
                <w:color w:val="auto"/>
                <w:sz w:val="24"/>
                <w:szCs w:val="24"/>
                <w:lang w:val="zh-CN"/>
              </w:rPr>
              <w:t>邮政编码：</w:t>
            </w:r>
          </w:p>
        </w:tc>
      </w:tr>
      <w:tr>
        <w:tblPrEx>
          <w:tblCellMar>
            <w:top w:w="0" w:type="dxa"/>
            <w:left w:w="0" w:type="dxa"/>
            <w:bottom w:w="0" w:type="dxa"/>
            <w:right w:w="0" w:type="dxa"/>
          </w:tblCellMar>
        </w:tblPrEx>
        <w:tc>
          <w:tcPr>
            <w:tcW w:w="4729" w:type="dxa"/>
          </w:tcPr>
          <w:p>
            <w:pPr>
              <w:pStyle w:val="964"/>
              <w:snapToGrid w:val="0"/>
              <w:ind w:firstLine="480"/>
              <w:rPr>
                <w:rStyle w:val="965"/>
                <w:rFonts w:hAnsi="宋体" w:cs="宋体"/>
                <w:color w:val="auto"/>
                <w:sz w:val="24"/>
                <w:szCs w:val="24"/>
              </w:rPr>
            </w:pPr>
            <w:r>
              <w:rPr>
                <w:rStyle w:val="965"/>
                <w:rFonts w:hint="eastAsia" w:hAnsi="宋体" w:cs="宋体"/>
                <w:color w:val="auto"/>
                <w:sz w:val="24"/>
                <w:szCs w:val="24"/>
              </w:rPr>
              <w:t>电话：</w:t>
            </w:r>
          </w:p>
        </w:tc>
        <w:tc>
          <w:tcPr>
            <w:tcW w:w="4729" w:type="dxa"/>
          </w:tcPr>
          <w:p>
            <w:pPr>
              <w:pStyle w:val="964"/>
              <w:snapToGrid w:val="0"/>
              <w:ind w:firstLine="480"/>
              <w:rPr>
                <w:rStyle w:val="965"/>
                <w:rFonts w:hAnsi="宋体" w:cs="宋体"/>
                <w:color w:val="auto"/>
                <w:sz w:val="24"/>
                <w:szCs w:val="24"/>
              </w:rPr>
            </w:pPr>
            <w:r>
              <w:rPr>
                <w:rStyle w:val="965"/>
                <w:rFonts w:hint="eastAsia" w:hAnsi="宋体" w:cs="宋体"/>
                <w:color w:val="auto"/>
                <w:sz w:val="24"/>
                <w:szCs w:val="24"/>
              </w:rPr>
              <w:t>电话：</w:t>
            </w:r>
          </w:p>
        </w:tc>
      </w:tr>
      <w:tr>
        <w:tblPrEx>
          <w:tblCellMar>
            <w:top w:w="0" w:type="dxa"/>
            <w:left w:w="0" w:type="dxa"/>
            <w:bottom w:w="0" w:type="dxa"/>
            <w:right w:w="0" w:type="dxa"/>
          </w:tblCellMar>
        </w:tblPrEx>
        <w:tc>
          <w:tcPr>
            <w:tcW w:w="4729" w:type="dxa"/>
          </w:tcPr>
          <w:p>
            <w:pPr>
              <w:pStyle w:val="964"/>
              <w:snapToGrid w:val="0"/>
              <w:ind w:firstLine="480"/>
              <w:rPr>
                <w:rStyle w:val="965"/>
                <w:rFonts w:hAnsi="宋体" w:cs="宋体"/>
                <w:color w:val="auto"/>
                <w:sz w:val="24"/>
                <w:szCs w:val="24"/>
              </w:rPr>
            </w:pPr>
            <w:r>
              <w:rPr>
                <w:rStyle w:val="965"/>
                <w:rFonts w:hint="eastAsia" w:hAnsi="宋体" w:cs="宋体"/>
                <w:color w:val="auto"/>
                <w:sz w:val="24"/>
                <w:szCs w:val="24"/>
              </w:rPr>
              <w:t>传真：</w:t>
            </w:r>
          </w:p>
        </w:tc>
        <w:tc>
          <w:tcPr>
            <w:tcW w:w="4729" w:type="dxa"/>
          </w:tcPr>
          <w:p>
            <w:pPr>
              <w:pStyle w:val="964"/>
              <w:snapToGrid w:val="0"/>
              <w:ind w:firstLine="480"/>
              <w:rPr>
                <w:rStyle w:val="965"/>
                <w:rFonts w:hAnsi="宋体" w:cs="宋体"/>
                <w:color w:val="auto"/>
                <w:sz w:val="24"/>
                <w:szCs w:val="24"/>
              </w:rPr>
            </w:pPr>
            <w:r>
              <w:rPr>
                <w:rStyle w:val="965"/>
                <w:rFonts w:hint="eastAsia" w:hAnsi="宋体" w:cs="宋体"/>
                <w:color w:val="auto"/>
                <w:sz w:val="24"/>
                <w:szCs w:val="24"/>
              </w:rPr>
              <w:t>传真：</w:t>
            </w:r>
          </w:p>
        </w:tc>
      </w:tr>
      <w:tr>
        <w:tblPrEx>
          <w:tblCellMar>
            <w:top w:w="0" w:type="dxa"/>
            <w:left w:w="0" w:type="dxa"/>
            <w:bottom w:w="0" w:type="dxa"/>
            <w:right w:w="0" w:type="dxa"/>
          </w:tblCellMar>
        </w:tblPrEx>
        <w:tc>
          <w:tcPr>
            <w:tcW w:w="4729" w:type="dxa"/>
          </w:tcPr>
          <w:p>
            <w:pPr>
              <w:pStyle w:val="964"/>
              <w:snapToGrid w:val="0"/>
              <w:ind w:firstLine="480"/>
              <w:rPr>
                <w:rStyle w:val="965"/>
                <w:rFonts w:hAnsi="宋体" w:cs="宋体"/>
                <w:color w:val="auto"/>
                <w:sz w:val="24"/>
                <w:szCs w:val="24"/>
              </w:rPr>
            </w:pPr>
            <w:r>
              <w:rPr>
                <w:rFonts w:hint="eastAsia" w:hAnsi="宋体" w:cs="宋体"/>
                <w:color w:val="auto"/>
                <w:sz w:val="24"/>
                <w:szCs w:val="24"/>
                <w:lang w:val="zh-CN"/>
              </w:rPr>
              <w:t>电子邮箱：</w:t>
            </w:r>
          </w:p>
        </w:tc>
        <w:tc>
          <w:tcPr>
            <w:tcW w:w="4729" w:type="dxa"/>
          </w:tcPr>
          <w:p>
            <w:pPr>
              <w:pStyle w:val="964"/>
              <w:snapToGrid w:val="0"/>
              <w:ind w:firstLine="480"/>
              <w:rPr>
                <w:rStyle w:val="965"/>
                <w:rFonts w:hAnsi="宋体" w:cs="宋体"/>
                <w:color w:val="auto"/>
                <w:sz w:val="24"/>
                <w:szCs w:val="24"/>
              </w:rPr>
            </w:pPr>
            <w:r>
              <w:rPr>
                <w:rFonts w:hint="eastAsia" w:hAnsi="宋体" w:cs="宋体"/>
                <w:color w:val="auto"/>
                <w:sz w:val="24"/>
                <w:szCs w:val="24"/>
                <w:lang w:val="zh-CN"/>
              </w:rPr>
              <w:t>电子邮箱：</w:t>
            </w:r>
          </w:p>
        </w:tc>
      </w:tr>
      <w:tr>
        <w:tblPrEx>
          <w:tblCellMar>
            <w:top w:w="0" w:type="dxa"/>
            <w:left w:w="0" w:type="dxa"/>
            <w:bottom w:w="0" w:type="dxa"/>
            <w:right w:w="0" w:type="dxa"/>
          </w:tblCellMar>
        </w:tblPrEx>
        <w:tc>
          <w:tcPr>
            <w:tcW w:w="4729" w:type="dxa"/>
          </w:tcPr>
          <w:p>
            <w:pPr>
              <w:pStyle w:val="964"/>
              <w:snapToGrid w:val="0"/>
              <w:ind w:firstLine="480"/>
              <w:rPr>
                <w:rStyle w:val="965"/>
                <w:rFonts w:hAnsi="宋体" w:cs="宋体"/>
                <w:color w:val="auto"/>
                <w:sz w:val="24"/>
                <w:szCs w:val="24"/>
              </w:rPr>
            </w:pPr>
            <w:r>
              <w:rPr>
                <w:rStyle w:val="965"/>
                <w:rFonts w:hint="eastAsia" w:hAnsi="宋体" w:cs="宋体"/>
                <w:color w:val="auto"/>
                <w:sz w:val="24"/>
                <w:szCs w:val="24"/>
              </w:rPr>
              <w:t>开户银行：</w:t>
            </w:r>
          </w:p>
        </w:tc>
        <w:tc>
          <w:tcPr>
            <w:tcW w:w="4729" w:type="dxa"/>
          </w:tcPr>
          <w:p>
            <w:pPr>
              <w:pStyle w:val="964"/>
              <w:snapToGrid w:val="0"/>
              <w:ind w:firstLine="480"/>
              <w:rPr>
                <w:rStyle w:val="965"/>
                <w:rFonts w:hAnsi="宋体" w:cs="宋体"/>
                <w:color w:val="auto"/>
                <w:sz w:val="24"/>
                <w:szCs w:val="24"/>
              </w:rPr>
            </w:pPr>
            <w:r>
              <w:rPr>
                <w:rStyle w:val="965"/>
                <w:rFonts w:hint="eastAsia" w:hAnsi="宋体" w:cs="宋体"/>
                <w:color w:val="auto"/>
                <w:sz w:val="24"/>
                <w:szCs w:val="24"/>
              </w:rPr>
              <w:t>开户银行：</w:t>
            </w:r>
          </w:p>
        </w:tc>
      </w:tr>
      <w:tr>
        <w:tblPrEx>
          <w:tblCellMar>
            <w:top w:w="0" w:type="dxa"/>
            <w:left w:w="0" w:type="dxa"/>
            <w:bottom w:w="0" w:type="dxa"/>
            <w:right w:w="0" w:type="dxa"/>
          </w:tblCellMar>
        </w:tblPrEx>
        <w:tc>
          <w:tcPr>
            <w:tcW w:w="4729" w:type="dxa"/>
          </w:tcPr>
          <w:p>
            <w:pPr>
              <w:pStyle w:val="964"/>
              <w:snapToGrid w:val="0"/>
              <w:ind w:firstLine="480"/>
              <w:rPr>
                <w:rStyle w:val="965"/>
                <w:rFonts w:hAnsi="宋体" w:cs="宋体"/>
                <w:color w:val="auto"/>
                <w:sz w:val="24"/>
                <w:szCs w:val="24"/>
              </w:rPr>
            </w:pPr>
            <w:r>
              <w:rPr>
                <w:rFonts w:hint="eastAsia" w:hAnsi="宋体" w:cs="宋体"/>
                <w:color w:val="auto"/>
                <w:sz w:val="24"/>
                <w:szCs w:val="24"/>
              </w:rPr>
              <w:t>开户名称：</w:t>
            </w:r>
          </w:p>
        </w:tc>
        <w:tc>
          <w:tcPr>
            <w:tcW w:w="4729" w:type="dxa"/>
          </w:tcPr>
          <w:p>
            <w:pPr>
              <w:pStyle w:val="964"/>
              <w:snapToGrid w:val="0"/>
              <w:ind w:firstLine="480"/>
              <w:rPr>
                <w:rStyle w:val="965"/>
                <w:rFonts w:hAnsi="宋体" w:cs="宋体"/>
                <w:color w:val="auto"/>
                <w:sz w:val="24"/>
                <w:szCs w:val="24"/>
              </w:rPr>
            </w:pPr>
            <w:r>
              <w:rPr>
                <w:rFonts w:hint="eastAsia" w:hAnsi="宋体" w:cs="宋体"/>
                <w:color w:val="auto"/>
                <w:sz w:val="24"/>
                <w:szCs w:val="24"/>
              </w:rPr>
              <w:t>开户名称：</w:t>
            </w:r>
          </w:p>
        </w:tc>
      </w:tr>
      <w:tr>
        <w:tblPrEx>
          <w:tblCellMar>
            <w:top w:w="0" w:type="dxa"/>
            <w:left w:w="0" w:type="dxa"/>
            <w:bottom w:w="0" w:type="dxa"/>
            <w:right w:w="0" w:type="dxa"/>
          </w:tblCellMar>
        </w:tblPrEx>
        <w:tc>
          <w:tcPr>
            <w:tcW w:w="4729" w:type="dxa"/>
          </w:tcPr>
          <w:p>
            <w:pPr>
              <w:pStyle w:val="964"/>
              <w:snapToGrid w:val="0"/>
              <w:ind w:firstLine="480"/>
              <w:rPr>
                <w:rStyle w:val="965"/>
                <w:rFonts w:hAnsi="宋体" w:cs="宋体"/>
                <w:color w:val="auto"/>
                <w:sz w:val="24"/>
                <w:szCs w:val="24"/>
              </w:rPr>
            </w:pPr>
            <w:r>
              <w:rPr>
                <w:rStyle w:val="965"/>
                <w:rFonts w:hint="eastAsia" w:hAnsi="宋体" w:cs="宋体"/>
                <w:color w:val="auto"/>
                <w:sz w:val="24"/>
                <w:szCs w:val="24"/>
              </w:rPr>
              <w:t>开户账号：</w:t>
            </w:r>
          </w:p>
        </w:tc>
        <w:tc>
          <w:tcPr>
            <w:tcW w:w="4729" w:type="dxa"/>
          </w:tcPr>
          <w:p>
            <w:pPr>
              <w:pStyle w:val="964"/>
              <w:snapToGrid w:val="0"/>
              <w:ind w:firstLine="480"/>
              <w:rPr>
                <w:rStyle w:val="965"/>
                <w:rFonts w:hAnsi="宋体" w:cs="宋体"/>
                <w:color w:val="auto"/>
                <w:sz w:val="24"/>
                <w:szCs w:val="24"/>
              </w:rPr>
            </w:pPr>
            <w:r>
              <w:rPr>
                <w:rStyle w:val="965"/>
                <w:rFonts w:hint="eastAsia" w:hAnsi="宋体" w:cs="宋体"/>
                <w:color w:val="auto"/>
                <w:sz w:val="24"/>
                <w:szCs w:val="24"/>
              </w:rPr>
              <w:t>开户账号：</w:t>
            </w:r>
          </w:p>
        </w:tc>
      </w:tr>
    </w:tbl>
    <w:p>
      <w:pPr>
        <w:pStyle w:val="3"/>
        <w:ind w:firstLine="482"/>
        <w:rPr>
          <w:rFonts w:ascii="宋体" w:hAnsi="宋体" w:cs="宋体"/>
          <w:color w:val="auto"/>
          <w:sz w:val="24"/>
        </w:rPr>
      </w:pPr>
    </w:p>
    <w:p>
      <w:pPr>
        <w:ind w:firstLine="480"/>
        <w:rPr>
          <w:rFonts w:ascii="宋体" w:hAnsi="宋体" w:cs="宋体"/>
          <w:color w:val="auto"/>
          <w:sz w:val="24"/>
        </w:rPr>
      </w:pPr>
    </w:p>
    <w:p>
      <w:pPr>
        <w:pStyle w:val="3"/>
        <w:ind w:firstLine="482"/>
        <w:rPr>
          <w:rFonts w:ascii="宋体" w:hAnsi="宋体" w:cs="宋体"/>
          <w:color w:val="auto"/>
          <w:sz w:val="24"/>
        </w:rPr>
      </w:pPr>
    </w:p>
    <w:p>
      <w:pPr>
        <w:ind w:firstLine="480"/>
        <w:rPr>
          <w:rFonts w:ascii="宋体" w:hAnsi="宋体" w:cs="宋体"/>
          <w:color w:val="auto"/>
          <w:sz w:val="24"/>
        </w:rPr>
      </w:pPr>
    </w:p>
    <w:p>
      <w:pPr>
        <w:pStyle w:val="701"/>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pPr>
        <w:spacing w:line="560" w:lineRule="exact"/>
        <w:ind w:firstLine="482" w:firstLineChars="200"/>
        <w:outlineLvl w:val="0"/>
        <w:rPr>
          <w:rFonts w:ascii="宋体" w:hAnsi="宋体" w:cs="宋体"/>
          <w:b/>
          <w:color w:val="auto"/>
          <w:sz w:val="24"/>
        </w:rPr>
      </w:pPr>
      <w:bookmarkStart w:id="424" w:name="_Ref467378404"/>
      <w:bookmarkStart w:id="425" w:name="_Toc16917"/>
      <w:bookmarkStart w:id="426" w:name="_Ref467379094"/>
      <w:bookmarkStart w:id="427" w:name="_Ref467379205"/>
      <w:bookmarkStart w:id="428" w:name="_Toc19614"/>
      <w:bookmarkStart w:id="429" w:name="_Ref467379109"/>
      <w:bookmarkStart w:id="430" w:name="_Ref467379101"/>
      <w:bookmarkStart w:id="431" w:name="_Ref467378463"/>
      <w:bookmarkStart w:id="432" w:name="_Toc259093669"/>
      <w:bookmarkStart w:id="433" w:name="_Toc487900349"/>
      <w:bookmarkStart w:id="434" w:name="_Toc28763"/>
      <w:bookmarkStart w:id="435" w:name="_Ref467378499"/>
      <w:bookmarkStart w:id="436" w:name="_Ref467379195"/>
      <w:bookmarkStart w:id="437" w:name="_Ref467379225"/>
      <w:bookmarkStart w:id="438" w:name="_Ref467379214"/>
      <w:bookmarkStart w:id="439" w:name="_Toc279701240"/>
      <w:r>
        <w:rPr>
          <w:rFonts w:hint="eastAsia" w:ascii="宋体" w:hAnsi="宋体" w:cs="宋体"/>
          <w:b/>
          <w:color w:val="auto"/>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rPr>
      </w:pPr>
      <w:bookmarkStart w:id="440" w:name="_Ref467378840"/>
      <w:r>
        <w:rPr>
          <w:rFonts w:hint="eastAsia" w:ascii="宋体" w:hAnsi="宋体" w:cs="宋体"/>
          <w:color w:val="auto"/>
          <w:sz w:val="24"/>
        </w:rPr>
        <w:t>2.1.4 “甲方”系指与中标或成交供应商签署合同的采购人</w:t>
      </w:r>
      <w:bookmarkEnd w:id="440"/>
      <w:r>
        <w:rPr>
          <w:rFonts w:hint="eastAsia" w:ascii="宋体" w:hAnsi="宋体" w:cs="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rPr>
      </w:pPr>
      <w:bookmarkStart w:id="441" w:name="_Ref467379400"/>
      <w:r>
        <w:rPr>
          <w:rFonts w:hint="eastAsia" w:ascii="宋体" w:hAnsi="宋体" w:cs="宋体"/>
          <w:color w:val="auto"/>
          <w:sz w:val="24"/>
        </w:rPr>
        <w:t>2.1.5 “乙方”系指根据合同约定交付货物的中标或成交供应商</w:t>
      </w:r>
      <w:bookmarkEnd w:id="441"/>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rPr>
      </w:pPr>
      <w:bookmarkStart w:id="442" w:name="_Ref467379436"/>
      <w:r>
        <w:rPr>
          <w:rFonts w:hint="eastAsia" w:ascii="宋体" w:hAnsi="宋体" w:cs="宋体"/>
          <w:color w:val="auto"/>
          <w:sz w:val="24"/>
        </w:rPr>
        <w:t>2.1.6 “现场”系指合同约定货物将要运至或者安装的地点。</w:t>
      </w:r>
      <w:bookmarkEnd w:id="442"/>
    </w:p>
    <w:p>
      <w:pPr>
        <w:spacing w:line="560" w:lineRule="exact"/>
        <w:ind w:firstLine="482" w:firstLineChars="200"/>
        <w:outlineLvl w:val="0"/>
        <w:rPr>
          <w:rFonts w:ascii="宋体" w:hAnsi="宋体" w:cs="宋体"/>
          <w:b/>
          <w:color w:val="auto"/>
          <w:sz w:val="24"/>
        </w:rPr>
      </w:pPr>
      <w:bookmarkStart w:id="443" w:name="_Toc27635"/>
      <w:bookmarkStart w:id="444" w:name="_Toc32504"/>
      <w:bookmarkStart w:id="445" w:name="_Toc13336"/>
      <w:bookmarkStart w:id="446" w:name="_Toc279701241"/>
      <w:bookmarkStart w:id="447" w:name="_Toc487900350"/>
      <w:bookmarkStart w:id="448" w:name="_Toc259093670"/>
      <w:r>
        <w:rPr>
          <w:rFonts w:hint="eastAsia" w:ascii="宋体" w:hAnsi="宋体" w:cs="宋体"/>
          <w:b/>
          <w:color w:val="auto"/>
          <w:sz w:val="24"/>
        </w:rPr>
        <w:t>2.2 技术规范</w:t>
      </w:r>
      <w:bookmarkEnd w:id="443"/>
      <w:bookmarkEnd w:id="444"/>
      <w:bookmarkEnd w:id="445"/>
      <w:bookmarkEnd w:id="446"/>
      <w:bookmarkEnd w:id="447"/>
      <w:bookmarkEnd w:id="448"/>
    </w:p>
    <w:p>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rPr>
      </w:pPr>
      <w:bookmarkStart w:id="449" w:name="_Toc9829"/>
      <w:bookmarkStart w:id="450" w:name="_Toc31634"/>
      <w:bookmarkStart w:id="451" w:name="_Toc487900351"/>
      <w:bookmarkStart w:id="452" w:name="_Toc259093671"/>
      <w:bookmarkStart w:id="453" w:name="_Toc27853"/>
      <w:bookmarkStart w:id="454" w:name="_Toc279701242"/>
      <w:r>
        <w:rPr>
          <w:rFonts w:hint="eastAsia" w:ascii="宋体" w:hAnsi="宋体" w:cs="宋体"/>
          <w:b/>
          <w:color w:val="auto"/>
          <w:sz w:val="24"/>
        </w:rPr>
        <w:t>2.3 知识产权</w:t>
      </w:r>
      <w:bookmarkEnd w:id="449"/>
      <w:bookmarkEnd w:id="450"/>
      <w:bookmarkEnd w:id="451"/>
      <w:bookmarkEnd w:id="452"/>
      <w:bookmarkEnd w:id="453"/>
      <w:bookmarkEnd w:id="454"/>
    </w:p>
    <w:p>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r>
        <w:rPr>
          <w:rFonts w:hint="eastAsia" w:ascii="宋体" w:hAnsi="宋体" w:cs="宋体"/>
          <w:color w:val="auto"/>
          <w:sz w:val="24"/>
        </w:rPr>
        <w:t>如因此导致甲方无法正常使用货物的，甲方有权解除合同，要求乙方返还已支付的全部费用，并由乙方向甲方支付合同暂定总金额20%的违约金。</w:t>
      </w:r>
    </w:p>
    <w:p>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55" w:name="_Toc29149"/>
      <w:bookmarkStart w:id="456" w:name="_Toc4194"/>
      <w:bookmarkStart w:id="457" w:name="_Toc11932"/>
      <w:r>
        <w:rPr>
          <w:rFonts w:hint="eastAsia" w:ascii="宋体" w:hAnsi="宋体" w:cs="宋体"/>
          <w:b/>
          <w:color w:val="auto"/>
          <w:sz w:val="24"/>
        </w:rPr>
        <w:t>2.4 包装和装运</w:t>
      </w:r>
      <w:bookmarkEnd w:id="455"/>
      <w:bookmarkEnd w:id="456"/>
      <w:bookmarkEnd w:id="457"/>
    </w:p>
    <w:p>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58" w:name="_Toc487900354"/>
      <w:bookmarkStart w:id="459" w:name="_Ref467379542"/>
      <w:bookmarkStart w:id="460" w:name="_Toc259093674"/>
      <w:bookmarkStart w:id="461" w:name="_Toc279701245"/>
      <w:bookmarkStart w:id="462" w:name="_Ref467378591"/>
      <w:bookmarkStart w:id="463" w:name="_Ref467378541"/>
      <w:bookmarkStart w:id="464" w:name="_Ref467379527"/>
      <w:bookmarkStart w:id="465" w:name="_Ref467379536"/>
      <w:bookmarkStart w:id="466" w:name="_Toc30272"/>
      <w:bookmarkStart w:id="467" w:name="_Toc26182"/>
      <w:bookmarkStart w:id="468" w:name="_Toc19074"/>
      <w:r>
        <w:rPr>
          <w:rFonts w:hint="eastAsia" w:ascii="宋体" w:hAnsi="宋体" w:cs="宋体"/>
          <w:b/>
          <w:color w:val="auto"/>
          <w:sz w:val="24"/>
        </w:rPr>
        <w:t>2.</w:t>
      </w:r>
      <w:bookmarkEnd w:id="458"/>
      <w:bookmarkEnd w:id="459"/>
      <w:bookmarkEnd w:id="460"/>
      <w:bookmarkEnd w:id="461"/>
      <w:bookmarkEnd w:id="462"/>
      <w:bookmarkEnd w:id="463"/>
      <w:bookmarkEnd w:id="464"/>
      <w:bookmarkEnd w:id="465"/>
      <w:r>
        <w:rPr>
          <w:rFonts w:hint="eastAsia" w:ascii="宋体" w:hAnsi="宋体" w:cs="宋体"/>
          <w:b/>
          <w:color w:val="auto"/>
          <w:sz w:val="24"/>
        </w:rPr>
        <w:t>5 履约检查和问题反馈</w:t>
      </w:r>
      <w:bookmarkEnd w:id="466"/>
      <w:bookmarkEnd w:id="467"/>
      <w:bookmarkEnd w:id="468"/>
    </w:p>
    <w:p>
      <w:pPr>
        <w:spacing w:line="560" w:lineRule="exact"/>
        <w:ind w:firstLine="480" w:firstLineChars="200"/>
        <w:rPr>
          <w:rFonts w:ascii="宋体" w:hAnsi="宋体" w:cs="宋体"/>
          <w:color w:val="auto"/>
          <w:sz w:val="24"/>
        </w:rPr>
      </w:pPr>
      <w:bookmarkStart w:id="469" w:name="_Ref467379657"/>
      <w:r>
        <w:rPr>
          <w:rFonts w:hint="eastAsia" w:ascii="宋体" w:hAnsi="宋体" w:cs="宋体"/>
          <w:color w:val="auto"/>
          <w:sz w:val="24"/>
        </w:rPr>
        <w:t>2.5.1</w:t>
      </w:r>
      <w:bookmarkEnd w:id="469"/>
      <w:bookmarkStart w:id="470" w:name="_Toc186431854"/>
      <w:bookmarkStart w:id="471" w:name="_Ref467379807"/>
      <w:bookmarkStart w:id="472" w:name="_Toc487900357"/>
      <w:bookmarkStart w:id="473" w:name="_Toc259093676"/>
      <w:bookmarkStart w:id="474" w:name="_Toc279701247"/>
      <w:bookmarkStart w:id="475" w:name="_Ref467379793"/>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auto"/>
          <w:sz w:val="24"/>
        </w:rPr>
        <w:t>。</w:t>
      </w:r>
    </w:p>
    <w:bookmarkEnd w:id="471"/>
    <w:bookmarkEnd w:id="472"/>
    <w:bookmarkEnd w:id="473"/>
    <w:bookmarkEnd w:id="474"/>
    <w:bookmarkEnd w:id="475"/>
    <w:bookmarkEnd w:id="476"/>
    <w:p>
      <w:pPr>
        <w:spacing w:line="560" w:lineRule="exact"/>
        <w:ind w:firstLine="482" w:firstLineChars="200"/>
        <w:outlineLvl w:val="0"/>
        <w:rPr>
          <w:rFonts w:ascii="宋体" w:hAnsi="宋体" w:cs="宋体"/>
          <w:b/>
          <w:color w:val="auto"/>
          <w:sz w:val="24"/>
        </w:rPr>
      </w:pPr>
      <w:bookmarkStart w:id="477" w:name="_Ref467379852"/>
      <w:bookmarkStart w:id="478" w:name="_Ref467379863"/>
      <w:bookmarkStart w:id="479" w:name="_Ref467379923"/>
      <w:bookmarkStart w:id="480" w:name="_Toc259093677"/>
      <w:bookmarkStart w:id="481" w:name="_Toc279701248"/>
      <w:bookmarkStart w:id="482" w:name="_Toc487900358"/>
      <w:bookmarkStart w:id="483" w:name="_Toc3225"/>
      <w:bookmarkStart w:id="484" w:name="_Toc16110"/>
      <w:bookmarkStart w:id="485" w:name="_Toc774"/>
      <w:r>
        <w:rPr>
          <w:rFonts w:hint="eastAsia" w:ascii="宋体" w:hAnsi="宋体" w:cs="宋体"/>
          <w:b/>
          <w:color w:val="auto"/>
          <w:sz w:val="24"/>
        </w:rPr>
        <w:t>2.6 技术资料</w:t>
      </w:r>
      <w:bookmarkEnd w:id="477"/>
      <w:bookmarkEnd w:id="478"/>
      <w:bookmarkEnd w:id="479"/>
      <w:bookmarkEnd w:id="480"/>
      <w:bookmarkEnd w:id="481"/>
      <w:bookmarkEnd w:id="482"/>
      <w:r>
        <w:rPr>
          <w:rFonts w:hint="eastAsia" w:ascii="宋体" w:hAnsi="宋体" w:cs="宋体"/>
          <w:b/>
          <w:color w:val="auto"/>
          <w:sz w:val="24"/>
        </w:rPr>
        <w:t>和保密义务</w:t>
      </w:r>
      <w:bookmarkEnd w:id="483"/>
      <w:bookmarkEnd w:id="484"/>
      <w:bookmarkEnd w:id="485"/>
    </w:p>
    <w:p>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rPr>
      </w:pPr>
      <w:bookmarkStart w:id="486" w:name="_Toc7860"/>
      <w:r>
        <w:rPr>
          <w:rFonts w:hint="eastAsia" w:ascii="宋体" w:hAnsi="宋体" w:cs="宋体"/>
          <w:b/>
          <w:color w:val="auto"/>
          <w:sz w:val="24"/>
        </w:rPr>
        <w:t>2.7 质量保证</w:t>
      </w:r>
      <w:bookmarkEnd w:id="486"/>
    </w:p>
    <w:p>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rPr>
      </w:pPr>
      <w:bookmarkStart w:id="487" w:name="_Toc17244"/>
      <w:bookmarkStart w:id="488" w:name="_Toc279701252"/>
      <w:bookmarkStart w:id="489" w:name="_Toc259093681"/>
      <w:bookmarkStart w:id="490" w:name="_Toc487900362"/>
      <w:r>
        <w:rPr>
          <w:rFonts w:hint="eastAsia" w:ascii="宋体" w:hAnsi="宋体" w:cs="宋体"/>
          <w:b/>
          <w:color w:val="auto"/>
          <w:sz w:val="24"/>
        </w:rPr>
        <w:t>2.8 货物的风险负担</w:t>
      </w:r>
      <w:bookmarkEnd w:id="487"/>
    </w:p>
    <w:p>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91" w:name="_Toc14055"/>
      <w:r>
        <w:rPr>
          <w:rFonts w:hint="eastAsia" w:ascii="宋体" w:hAnsi="宋体" w:cs="宋体"/>
          <w:b/>
          <w:color w:val="auto"/>
          <w:sz w:val="24"/>
        </w:rPr>
        <w:t>2.9 延迟交货</w:t>
      </w:r>
      <w:bookmarkEnd w:id="488"/>
      <w:bookmarkEnd w:id="489"/>
      <w:bookmarkEnd w:id="490"/>
      <w:bookmarkEnd w:id="491"/>
    </w:p>
    <w:p>
      <w:pPr>
        <w:spacing w:line="560" w:lineRule="exact"/>
        <w:ind w:firstLine="480" w:firstLineChars="200"/>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rPr>
      </w:pPr>
      <w:bookmarkStart w:id="492" w:name="_Toc7502"/>
      <w:bookmarkStart w:id="493" w:name="_Toc487900364"/>
      <w:bookmarkStart w:id="494" w:name="_Toc279701254"/>
      <w:bookmarkStart w:id="495" w:name="_Ref467378121"/>
      <w:bookmarkStart w:id="496" w:name="_Toc259093683"/>
      <w:r>
        <w:rPr>
          <w:rFonts w:hint="eastAsia" w:ascii="宋体" w:hAnsi="宋体" w:cs="宋体"/>
          <w:b/>
          <w:color w:val="auto"/>
          <w:sz w:val="24"/>
        </w:rPr>
        <w:t>2.10 合同变更</w:t>
      </w:r>
      <w:bookmarkEnd w:id="492"/>
    </w:p>
    <w:p>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79701259"/>
      <w:bookmarkStart w:id="499" w:name="_Toc259093688"/>
    </w:p>
    <w:p>
      <w:pPr>
        <w:spacing w:line="560" w:lineRule="exact"/>
        <w:ind w:firstLine="482" w:firstLineChars="200"/>
        <w:outlineLvl w:val="0"/>
        <w:rPr>
          <w:rFonts w:ascii="宋体" w:hAnsi="宋体" w:cs="宋体"/>
          <w:b/>
          <w:color w:val="auto"/>
          <w:sz w:val="24"/>
        </w:rPr>
      </w:pPr>
      <w:bookmarkStart w:id="500" w:name="_Toc15237"/>
      <w:bookmarkStart w:id="501" w:name="_Toc22955"/>
      <w:bookmarkStart w:id="502" w:name="_Toc10366"/>
      <w:r>
        <w:rPr>
          <w:rFonts w:hint="eastAsia" w:ascii="宋体" w:hAnsi="宋体" w:cs="宋体"/>
          <w:b/>
          <w:color w:val="auto"/>
          <w:sz w:val="24"/>
        </w:rPr>
        <w:t>2.11 合同转让</w:t>
      </w:r>
      <w:bookmarkEnd w:id="497"/>
      <w:bookmarkEnd w:id="498"/>
      <w:bookmarkEnd w:id="499"/>
      <w:r>
        <w:rPr>
          <w:rFonts w:hint="eastAsia" w:ascii="宋体" w:hAnsi="宋体" w:cs="宋体"/>
          <w:b/>
          <w:color w:val="auto"/>
          <w:sz w:val="24"/>
        </w:rPr>
        <w:t>和分包</w:t>
      </w:r>
      <w:bookmarkEnd w:id="500"/>
      <w:bookmarkEnd w:id="501"/>
      <w:bookmarkEnd w:id="502"/>
    </w:p>
    <w:p>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rPr>
      </w:pPr>
      <w:bookmarkStart w:id="503" w:name="_Toc14066"/>
      <w:bookmarkStart w:id="504" w:name="_Toc16508"/>
      <w:bookmarkStart w:id="505" w:name="_Toc13566"/>
      <w:r>
        <w:rPr>
          <w:rFonts w:hint="eastAsia" w:ascii="宋体" w:hAnsi="宋体" w:cs="宋体"/>
          <w:b/>
          <w:color w:val="auto"/>
          <w:sz w:val="24"/>
        </w:rPr>
        <w:t>2.12 不可抗力</w:t>
      </w:r>
      <w:bookmarkEnd w:id="503"/>
      <w:bookmarkEnd w:id="504"/>
      <w:bookmarkEnd w:id="505"/>
    </w:p>
    <w:p>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pPr>
        <w:spacing w:line="560" w:lineRule="exact"/>
        <w:ind w:firstLine="482" w:firstLineChars="200"/>
        <w:outlineLvl w:val="0"/>
        <w:rPr>
          <w:rFonts w:ascii="宋体" w:hAnsi="宋体" w:cs="宋体"/>
          <w:b/>
          <w:color w:val="auto"/>
          <w:sz w:val="24"/>
        </w:rPr>
      </w:pPr>
      <w:bookmarkStart w:id="506" w:name="_Toc689"/>
      <w:bookmarkStart w:id="507" w:name="_Toc487900365"/>
      <w:bookmarkStart w:id="508" w:name="_Toc259093684"/>
      <w:bookmarkStart w:id="509" w:name="_Toc6969"/>
      <w:bookmarkStart w:id="510" w:name="_Toc279701255"/>
      <w:bookmarkStart w:id="511" w:name="_Toc30676"/>
      <w:r>
        <w:rPr>
          <w:rFonts w:hint="eastAsia" w:ascii="宋体" w:hAnsi="宋体" w:cs="宋体"/>
          <w:b/>
          <w:color w:val="auto"/>
          <w:sz w:val="24"/>
        </w:rPr>
        <w:t>2.13 税费</w:t>
      </w:r>
      <w:bookmarkEnd w:id="506"/>
      <w:bookmarkEnd w:id="507"/>
      <w:bookmarkEnd w:id="508"/>
      <w:bookmarkEnd w:id="509"/>
      <w:bookmarkEnd w:id="510"/>
      <w:bookmarkEnd w:id="511"/>
    </w:p>
    <w:p>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pPr>
        <w:spacing w:line="560" w:lineRule="exact"/>
        <w:ind w:firstLine="482" w:firstLineChars="200"/>
        <w:outlineLvl w:val="0"/>
        <w:rPr>
          <w:rFonts w:ascii="宋体" w:hAnsi="宋体" w:cs="宋体"/>
          <w:b/>
          <w:color w:val="auto"/>
          <w:sz w:val="24"/>
        </w:rPr>
      </w:pPr>
      <w:bookmarkStart w:id="512" w:name="_Toc487900368"/>
      <w:bookmarkStart w:id="513" w:name="_Toc259093687"/>
      <w:bookmarkStart w:id="514" w:name="_Toc279701258"/>
      <w:bookmarkStart w:id="515" w:name="_Toc16959"/>
      <w:bookmarkStart w:id="516" w:name="_Toc7102"/>
      <w:bookmarkStart w:id="517" w:name="_Toc8298"/>
      <w:r>
        <w:rPr>
          <w:rFonts w:hint="eastAsia" w:ascii="宋体" w:hAnsi="宋体" w:cs="宋体"/>
          <w:b/>
          <w:color w:val="auto"/>
          <w:sz w:val="24"/>
        </w:rPr>
        <w:t>2.14乙方破产</w:t>
      </w:r>
      <w:bookmarkEnd w:id="512"/>
      <w:bookmarkEnd w:id="513"/>
      <w:bookmarkEnd w:id="514"/>
      <w:bookmarkEnd w:id="515"/>
      <w:bookmarkEnd w:id="516"/>
      <w:bookmarkEnd w:id="517"/>
    </w:p>
    <w:p>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rPr>
      </w:pPr>
      <w:bookmarkStart w:id="518" w:name="_Toc6134"/>
      <w:bookmarkStart w:id="519" w:name="_Toc15387"/>
      <w:bookmarkStart w:id="520" w:name="_Toc29333"/>
      <w:r>
        <w:rPr>
          <w:rFonts w:hint="eastAsia" w:ascii="宋体" w:hAnsi="宋体" w:cs="宋体"/>
          <w:b/>
          <w:color w:val="auto"/>
          <w:sz w:val="24"/>
        </w:rPr>
        <w:t>2.15 合同中止、终止</w:t>
      </w:r>
      <w:bookmarkEnd w:id="518"/>
      <w:bookmarkEnd w:id="519"/>
      <w:bookmarkEnd w:id="520"/>
    </w:p>
    <w:p>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rPr>
      </w:pPr>
      <w:bookmarkStart w:id="521" w:name="_Toc14563"/>
      <w:bookmarkStart w:id="522" w:name="_Toc1125"/>
      <w:bookmarkStart w:id="523" w:name="_Toc6596"/>
      <w:r>
        <w:rPr>
          <w:rFonts w:hint="eastAsia" w:ascii="宋体" w:hAnsi="宋体" w:cs="宋体"/>
          <w:b/>
          <w:color w:val="auto"/>
          <w:sz w:val="24"/>
        </w:rPr>
        <w:t>2.16检验和验收</w:t>
      </w:r>
      <w:bookmarkEnd w:id="521"/>
      <w:bookmarkEnd w:id="522"/>
      <w:bookmarkEnd w:id="523"/>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93"/>
    <w:bookmarkEnd w:id="494"/>
    <w:bookmarkEnd w:id="495"/>
    <w:bookmarkEnd w:id="496"/>
    <w:p>
      <w:pPr>
        <w:spacing w:line="560" w:lineRule="exact"/>
        <w:ind w:firstLine="482" w:firstLineChars="200"/>
        <w:outlineLvl w:val="0"/>
        <w:rPr>
          <w:rFonts w:ascii="宋体" w:hAnsi="宋体" w:cs="宋体"/>
          <w:b/>
          <w:color w:val="auto"/>
          <w:sz w:val="24"/>
        </w:rPr>
      </w:pPr>
      <w:bookmarkStart w:id="524" w:name="_Toc259093690"/>
      <w:bookmarkStart w:id="525" w:name="_Toc279701261"/>
      <w:bookmarkStart w:id="526" w:name="_Toc487900371"/>
      <w:bookmarkStart w:id="527" w:name="_Toc25182"/>
      <w:bookmarkStart w:id="528" w:name="_Toc19604"/>
      <w:bookmarkStart w:id="529" w:name="_Toc11284"/>
      <w:r>
        <w:rPr>
          <w:rFonts w:hint="eastAsia" w:ascii="宋体" w:hAnsi="宋体" w:cs="宋体"/>
          <w:b/>
          <w:color w:val="auto"/>
          <w:sz w:val="24"/>
        </w:rPr>
        <w:t>2.17 通知</w:t>
      </w:r>
      <w:bookmarkEnd w:id="524"/>
      <w:bookmarkEnd w:id="525"/>
      <w:bookmarkEnd w:id="526"/>
      <w:r>
        <w:rPr>
          <w:rFonts w:hint="eastAsia" w:ascii="宋体" w:hAnsi="宋体" w:cs="宋体"/>
          <w:b/>
          <w:color w:val="auto"/>
          <w:sz w:val="24"/>
        </w:rPr>
        <w:t>和送达</w:t>
      </w:r>
      <w:bookmarkEnd w:id="527"/>
      <w:bookmarkEnd w:id="528"/>
      <w:bookmarkEnd w:id="529"/>
    </w:p>
    <w:p>
      <w:pPr>
        <w:spacing w:line="560" w:lineRule="exact"/>
        <w:ind w:firstLine="480" w:firstLineChars="200"/>
        <w:rPr>
          <w:rFonts w:ascii="宋体" w:hAnsi="宋体" w:cs="宋体"/>
          <w:color w:val="auto"/>
          <w:sz w:val="24"/>
        </w:rPr>
      </w:pPr>
      <w:bookmarkStart w:id="530" w:name="_Toc6698"/>
      <w:bookmarkStart w:id="531" w:name="_Toc3135"/>
      <w:bookmarkStart w:id="532" w:name="_Toc487900372"/>
      <w:bookmarkStart w:id="533" w:name="_Toc279701262"/>
      <w:bookmarkStart w:id="534" w:name="_Toc259093691"/>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30"/>
      <w:bookmarkEnd w:id="531"/>
    </w:p>
    <w:p>
      <w:pPr>
        <w:spacing w:line="560" w:lineRule="exact"/>
        <w:ind w:firstLine="480" w:firstLineChars="200"/>
        <w:rPr>
          <w:rFonts w:ascii="宋体" w:hAnsi="宋体" w:cs="宋体"/>
          <w:color w:val="auto"/>
          <w:sz w:val="24"/>
        </w:rPr>
      </w:pPr>
      <w:bookmarkStart w:id="535" w:name="_Toc23294"/>
      <w:bookmarkStart w:id="536" w:name="_Toc23128"/>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pPr>
        <w:spacing w:line="560" w:lineRule="exact"/>
        <w:ind w:firstLine="480" w:firstLineChars="200"/>
        <w:rPr>
          <w:color w:val="auto"/>
        </w:rPr>
      </w:pPr>
      <w:r>
        <w:rPr>
          <w:rFonts w:hint="eastAsia" w:ascii="宋体" w:hAnsi="宋体"/>
          <w:color w:val="auto"/>
          <w:sz w:val="24"/>
        </w:rPr>
        <w:t>2.17.3 上述地址亦作为双方司法文书的送达地址。</w:t>
      </w:r>
    </w:p>
    <w:p>
      <w:pPr>
        <w:spacing w:line="560" w:lineRule="exact"/>
        <w:ind w:firstLine="482" w:firstLineChars="200"/>
        <w:outlineLvl w:val="0"/>
        <w:rPr>
          <w:rFonts w:ascii="宋体" w:hAnsi="宋体" w:cs="宋体"/>
          <w:b/>
          <w:color w:val="auto"/>
          <w:sz w:val="24"/>
        </w:rPr>
      </w:pPr>
      <w:bookmarkStart w:id="537" w:name="_Toc30599"/>
      <w:bookmarkStart w:id="538" w:name="_Toc4355"/>
      <w:bookmarkStart w:id="539" w:name="_Toc18540"/>
      <w:r>
        <w:rPr>
          <w:rFonts w:hint="eastAsia" w:ascii="宋体" w:hAnsi="宋体" w:cs="宋体"/>
          <w:b/>
          <w:color w:val="auto"/>
          <w:sz w:val="24"/>
        </w:rPr>
        <w:t>2.18 计量单位</w:t>
      </w:r>
      <w:bookmarkEnd w:id="532"/>
      <w:bookmarkEnd w:id="533"/>
      <w:bookmarkEnd w:id="534"/>
      <w:bookmarkEnd w:id="537"/>
      <w:bookmarkEnd w:id="538"/>
      <w:bookmarkEnd w:id="539"/>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rPr>
      </w:pPr>
      <w:bookmarkStart w:id="540" w:name="_Toc487900373"/>
      <w:bookmarkStart w:id="541" w:name="_Toc18567"/>
      <w:bookmarkStart w:id="542" w:name="_Toc12773"/>
      <w:bookmarkStart w:id="543" w:name="_Toc279701263"/>
      <w:bookmarkStart w:id="544" w:name="_Toc259093692"/>
      <w:bookmarkStart w:id="545" w:name="_Toc10330"/>
      <w:r>
        <w:rPr>
          <w:rFonts w:hint="eastAsia" w:ascii="宋体" w:hAnsi="宋体" w:cs="宋体"/>
          <w:b/>
          <w:color w:val="auto"/>
          <w:sz w:val="24"/>
        </w:rPr>
        <w:t>2.19 合同使用的文字和适用的法律</w:t>
      </w:r>
      <w:bookmarkEnd w:id="540"/>
      <w:bookmarkEnd w:id="541"/>
      <w:bookmarkEnd w:id="542"/>
      <w:bookmarkEnd w:id="543"/>
      <w:bookmarkEnd w:id="544"/>
      <w:bookmarkEnd w:id="545"/>
    </w:p>
    <w:p>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pPr>
        <w:spacing w:line="560" w:lineRule="exact"/>
        <w:ind w:firstLine="482" w:firstLineChars="200"/>
        <w:outlineLvl w:val="0"/>
        <w:rPr>
          <w:rFonts w:ascii="宋体" w:hAnsi="宋体" w:cs="宋体"/>
          <w:b/>
          <w:color w:val="auto"/>
          <w:sz w:val="24"/>
        </w:rPr>
      </w:pPr>
      <w:bookmarkStart w:id="546" w:name="_Toc14001"/>
      <w:bookmarkStart w:id="547" w:name="_Toc6885"/>
      <w:bookmarkStart w:id="548" w:name="_Toc19890"/>
      <w:r>
        <w:rPr>
          <w:rFonts w:hint="eastAsia" w:ascii="宋体" w:hAnsi="宋体" w:cs="宋体"/>
          <w:b/>
          <w:color w:val="auto"/>
          <w:sz w:val="24"/>
        </w:rPr>
        <w:t>2.20 合同份数</w:t>
      </w:r>
      <w:bookmarkEnd w:id="546"/>
      <w:bookmarkEnd w:id="547"/>
      <w:bookmarkEnd w:id="548"/>
    </w:p>
    <w:p>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pPr>
        <w:adjustRightInd/>
        <w:spacing w:line="360" w:lineRule="auto"/>
        <w:ind w:firstLine="2513" w:firstLineChars="1197"/>
        <w:outlineLvl w:val="0"/>
        <w:rPr>
          <w:rFonts w:ascii="宋体" w:hAnsi="宋体" w:cs="宋体"/>
          <w:b/>
          <w:color w:val="auto"/>
        </w:rPr>
      </w:pPr>
      <w:r>
        <w:rPr>
          <w:rFonts w:hint="eastAsia" w:ascii="宋体" w:hAnsi="宋体" w:cs="宋体"/>
          <w:color w:val="auto"/>
          <w:kern w:val="0"/>
        </w:rPr>
        <w:br w:type="page"/>
      </w:r>
      <w:r>
        <w:rPr>
          <w:rFonts w:hint="eastAsia" w:ascii="宋体" w:hAnsi="宋体" w:cs="宋体"/>
          <w:b/>
          <w:color w:val="auto"/>
          <w:sz w:val="32"/>
          <w:szCs w:val="20"/>
        </w:rPr>
        <w:t xml:space="preserve"> 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b/>
                <w:color w:val="auto"/>
                <w:sz w:val="24"/>
              </w:rPr>
            </w:pPr>
            <w:r>
              <w:rPr>
                <w:rFonts w:hint="eastAsia" w:ascii="宋体" w:hAnsi="宋体" w:cs="宋体"/>
                <w:b/>
                <w:color w:val="auto"/>
                <w:sz w:val="24"/>
              </w:rPr>
              <w:t>条款号</w:t>
            </w:r>
          </w:p>
        </w:tc>
        <w:tc>
          <w:tcPr>
            <w:tcW w:w="4534" w:type="pct"/>
            <w:vAlign w:val="center"/>
          </w:tcPr>
          <w:p>
            <w:pPr>
              <w:spacing w:line="360" w:lineRule="auto"/>
              <w:ind w:firstLine="482"/>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1.4.2</w:t>
            </w:r>
          </w:p>
        </w:tc>
        <w:tc>
          <w:tcPr>
            <w:tcW w:w="8277" w:type="dxa"/>
            <w:vAlign w:val="center"/>
          </w:tcPr>
          <w:p>
            <w:pPr>
              <w:spacing w:line="360" w:lineRule="auto"/>
              <w:ind w:firstLine="480"/>
              <w:rPr>
                <w:rFonts w:ascii="宋体" w:hAnsi="宋体" w:cs="宋体"/>
                <w:color w:val="auto"/>
                <w:sz w:val="24"/>
              </w:rPr>
            </w:pPr>
            <w:r>
              <w:rPr>
                <w:rFonts w:hint="eastAsia" w:ascii="宋体" w:hAnsi="宋体" w:cs="宋体"/>
                <w:color w:val="auto"/>
                <w:sz w:val="24"/>
              </w:rPr>
              <w:t>否，本项目不收取履约保证金。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1.5.1</w:t>
            </w:r>
          </w:p>
        </w:tc>
        <w:tc>
          <w:tcPr>
            <w:tcW w:w="8277" w:type="dxa"/>
            <w:vAlign w:val="center"/>
          </w:tcPr>
          <w:p>
            <w:pPr>
              <w:spacing w:line="360" w:lineRule="auto"/>
              <w:ind w:firstLine="480"/>
              <w:rPr>
                <w:rFonts w:ascii="宋体" w:hAnsi="宋体" w:cs="宋体"/>
                <w:color w:val="auto"/>
                <w:sz w:val="24"/>
              </w:rPr>
            </w:pPr>
            <w:r>
              <w:rPr>
                <w:rFonts w:hint="eastAsia" w:ascii="宋体" w:hAnsi="宋体" w:cs="宋体"/>
                <w:color w:val="auto"/>
                <w:kern w:val="0"/>
                <w:sz w:val="24"/>
              </w:rPr>
              <w:t>预付款比例、支付方式、时间：</w:t>
            </w:r>
            <w:r>
              <w:rPr>
                <w:rFonts w:hint="eastAsia" w:ascii="宋体" w:hAnsi="宋体" w:cs="宋体"/>
                <w:color w:val="auto"/>
                <w:kern w:val="0"/>
                <w:sz w:val="24"/>
              </w:rPr>
              <w:t>合同签订且乙方提供符合要求的发票后10个工作日内，</w:t>
            </w:r>
            <w:r>
              <w:rPr>
                <w:rFonts w:hint="eastAsia" w:ascii="宋体" w:hAnsi="宋体" w:cs="宋体"/>
                <w:color w:val="auto"/>
                <w:kern w:val="0"/>
                <w:sz w:val="24"/>
              </w:rPr>
              <w:t>甲方支付乙方合同总金额的60%作为预付款。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1.5.2</w:t>
            </w:r>
          </w:p>
        </w:tc>
        <w:tc>
          <w:tcPr>
            <w:tcW w:w="8277" w:type="dxa"/>
            <w:vAlign w:val="center"/>
          </w:tcPr>
          <w:p>
            <w:pPr>
              <w:spacing w:line="360" w:lineRule="auto"/>
              <w:ind w:firstLine="480"/>
              <w:rPr>
                <w:rFonts w:ascii="宋体" w:hAnsi="宋体" w:cs="宋体"/>
                <w:color w:val="auto"/>
                <w:sz w:val="24"/>
              </w:rPr>
            </w:pPr>
            <w:r>
              <w:rPr>
                <w:rFonts w:hint="eastAsia" w:ascii="宋体" w:hAnsi="宋体" w:cs="宋体"/>
                <w:color w:val="auto"/>
                <w:sz w:val="24"/>
              </w:rPr>
              <w:t>预付款的扣回方式：无特殊规定。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1.5.3</w:t>
            </w:r>
          </w:p>
        </w:tc>
        <w:tc>
          <w:tcPr>
            <w:tcW w:w="8277" w:type="dxa"/>
            <w:vAlign w:val="center"/>
          </w:tcPr>
          <w:p>
            <w:pPr>
              <w:spacing w:line="360" w:lineRule="auto"/>
              <w:ind w:firstLine="480"/>
              <w:rPr>
                <w:rFonts w:ascii="宋体" w:hAnsi="宋体" w:cs="宋体"/>
                <w:color w:val="auto"/>
                <w:sz w:val="24"/>
              </w:rPr>
            </w:pPr>
            <w:r>
              <w:rPr>
                <w:rFonts w:hint="eastAsia" w:ascii="宋体" w:hAnsi="宋体" w:cs="宋体"/>
                <w:color w:val="auto"/>
                <w:sz w:val="24"/>
              </w:rPr>
              <w:t>预付款的担保措施：如有必要，乙方可登录政采云前台大厅选择金融服务 - 【保函保险服务】出具预付款保函，具体步骤：选择产品—填写供应商信息—选择中标项目—确认信息—等待保险/保函受理—确认保单—支付保费—成功出单。政采云金融专线400-903-9583。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1.6.2</w:t>
            </w:r>
          </w:p>
        </w:tc>
        <w:tc>
          <w:tcPr>
            <w:tcW w:w="8277" w:type="dxa"/>
            <w:vAlign w:val="center"/>
          </w:tcPr>
          <w:p>
            <w:pPr>
              <w:spacing w:line="360" w:lineRule="auto"/>
              <w:ind w:firstLine="480"/>
              <w:rPr>
                <w:rFonts w:ascii="宋体" w:hAnsi="宋体" w:cs="宋体"/>
                <w:color w:val="auto"/>
                <w:sz w:val="24"/>
              </w:rPr>
            </w:pPr>
            <w:r>
              <w:rPr>
                <w:rFonts w:hint="eastAsia" w:ascii="宋体" w:hAnsi="宋体" w:cs="宋体"/>
                <w:color w:val="auto"/>
                <w:sz w:val="24"/>
              </w:rPr>
              <w:t>资金支付的方式、时间和条件：</w:t>
            </w:r>
          </w:p>
          <w:p>
            <w:pPr>
              <w:spacing w:line="360" w:lineRule="auto"/>
              <w:ind w:firstLine="480"/>
              <w:rPr>
                <w:rFonts w:ascii="宋体" w:hAnsi="宋体" w:cs="宋体"/>
                <w:color w:val="auto"/>
                <w:sz w:val="24"/>
              </w:rPr>
            </w:pPr>
            <w:r>
              <w:rPr>
                <w:rFonts w:hint="eastAsia" w:ascii="宋体" w:hAnsi="宋体" w:cs="宋体"/>
                <w:color w:val="auto"/>
                <w:sz w:val="24"/>
              </w:rPr>
              <w:t>合同签订</w:t>
            </w:r>
            <w:r>
              <w:rPr>
                <w:rFonts w:hint="eastAsia" w:ascii="宋体" w:hAnsi="宋体" w:cs="宋体"/>
                <w:color w:val="auto"/>
                <w:kern w:val="0"/>
                <w:sz w:val="24"/>
              </w:rPr>
              <w:t>且乙方提供符合要求的发票</w:t>
            </w:r>
            <w:r>
              <w:rPr>
                <w:rFonts w:hint="eastAsia" w:ascii="宋体" w:hAnsi="宋体" w:cs="宋体"/>
                <w:color w:val="auto"/>
                <w:sz w:val="24"/>
              </w:rPr>
              <w:t>10个工作日后</w:t>
            </w:r>
            <w:r>
              <w:rPr>
                <w:rFonts w:hint="eastAsia" w:ascii="宋体" w:hAnsi="宋体" w:cs="宋体"/>
                <w:color w:val="auto"/>
                <w:sz w:val="24"/>
              </w:rPr>
              <w:t>，甲方支付乙方合同总金额的60%作为预付款。甲方根据政府采购的相关规定，以图书定价为依据，以甲方确认后的订单及金额为依据付款，按照投标折扣率结算书款。合同款项于2024年12月31日前全部结清（按实结算）。甲方每次付款前，乙方应提供符合要求的发票提示甲方付款，否则甲方有权不付款且不视作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1.7.1</w:t>
            </w:r>
          </w:p>
        </w:tc>
        <w:tc>
          <w:tcPr>
            <w:tcW w:w="8277" w:type="dxa"/>
            <w:vAlign w:val="center"/>
          </w:tcPr>
          <w:p>
            <w:pPr>
              <w:spacing w:line="360" w:lineRule="auto"/>
              <w:ind w:firstLine="480"/>
              <w:rPr>
                <w:rFonts w:ascii="宋体" w:hAnsi="宋体" w:cs="宋体"/>
                <w:color w:val="auto"/>
                <w:sz w:val="24"/>
              </w:rPr>
            </w:pPr>
            <w:r>
              <w:rPr>
                <w:rFonts w:hint="eastAsia" w:ascii="宋体" w:hAnsi="宋体"/>
                <w:color w:val="auto"/>
                <w:sz w:val="24"/>
              </w:rPr>
              <w:t>自合同签订生效之日起至</w:t>
            </w:r>
            <w:r>
              <w:rPr>
                <w:rFonts w:ascii="仿宋_GB2312" w:hAnsi="仿宋_GB2312"/>
                <w:color w:val="auto"/>
                <w:sz w:val="24"/>
              </w:rPr>
              <w:t>202</w:t>
            </w:r>
            <w:r>
              <w:rPr>
                <w:rFonts w:hint="eastAsia" w:ascii="仿宋_GB2312" w:hAnsi="仿宋_GB2312"/>
                <w:color w:val="auto"/>
                <w:sz w:val="24"/>
              </w:rPr>
              <w:t>4</w:t>
            </w:r>
            <w:r>
              <w:rPr>
                <w:rFonts w:hint="eastAsia" w:ascii="宋体" w:hAnsi="宋体"/>
                <w:color w:val="auto"/>
                <w:sz w:val="24"/>
              </w:rPr>
              <w:t>年</w:t>
            </w:r>
            <w:r>
              <w:rPr>
                <w:rFonts w:ascii="仿宋_GB2312" w:hAnsi="宋体"/>
                <w:color w:val="auto"/>
                <w:sz w:val="24"/>
              </w:rPr>
              <w:t>12</w:t>
            </w:r>
            <w:r>
              <w:rPr>
                <w:rFonts w:hint="eastAsia" w:ascii="宋体" w:hAnsi="宋体"/>
                <w:color w:val="auto"/>
                <w:sz w:val="24"/>
              </w:rPr>
              <w:t>月</w:t>
            </w:r>
            <w:r>
              <w:rPr>
                <w:rFonts w:ascii="仿宋_GB2312" w:hAnsi="仿宋_GB2312"/>
                <w:color w:val="auto"/>
                <w:sz w:val="24"/>
              </w:rPr>
              <w:t>31</w:t>
            </w:r>
            <w:r>
              <w:rPr>
                <w:rFonts w:hint="eastAsia" w:ascii="宋体" w:hAnsi="宋体"/>
                <w:color w:val="auto"/>
                <w:sz w:val="24"/>
              </w:rPr>
              <w:t>日止</w:t>
            </w:r>
            <w:r>
              <w:rPr>
                <w:rFonts w:hint="eastAsia" w:ascii="宋体" w:hAnsi="宋体" w:cs="宋体"/>
                <w:color w:val="auto"/>
                <w:sz w:val="24"/>
              </w:rPr>
              <w:t>。</w:t>
            </w:r>
            <w:r>
              <w:rPr>
                <w:rFonts w:hint="eastAsia" w:ascii="宋体" w:hAnsi="宋体" w:cs="宋体"/>
                <w:color w:val="auto"/>
                <w:sz w:val="24"/>
              </w:rPr>
              <w:t>具体每批次图书交付时间以甲方通知为准。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1.7.2</w:t>
            </w:r>
          </w:p>
        </w:tc>
        <w:tc>
          <w:tcPr>
            <w:tcW w:w="8277" w:type="dxa"/>
            <w:vAlign w:val="center"/>
          </w:tcPr>
          <w:p>
            <w:pPr>
              <w:spacing w:line="360" w:lineRule="auto"/>
              <w:ind w:firstLine="480"/>
              <w:rPr>
                <w:rFonts w:ascii="宋体" w:hAnsi="宋体" w:cs="宋体"/>
                <w:color w:val="auto"/>
                <w:sz w:val="24"/>
              </w:rPr>
            </w:pPr>
            <w:r>
              <w:rPr>
                <w:rFonts w:hint="eastAsia" w:ascii="宋体" w:hAnsi="宋体" w:cs="宋体"/>
                <w:color w:val="auto"/>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1.7.3</w:t>
            </w:r>
          </w:p>
        </w:tc>
        <w:tc>
          <w:tcPr>
            <w:tcW w:w="8277" w:type="dxa"/>
            <w:vAlign w:val="center"/>
          </w:tcPr>
          <w:p>
            <w:pPr>
              <w:spacing w:line="360" w:lineRule="auto"/>
              <w:ind w:firstLine="480"/>
              <w:rPr>
                <w:rFonts w:ascii="宋体" w:hAnsi="宋体" w:cs="宋体"/>
                <w:color w:val="auto"/>
                <w:sz w:val="24"/>
              </w:rPr>
            </w:pPr>
            <w:r>
              <w:rPr>
                <w:rFonts w:hint="eastAsia" w:ascii="宋体" w:hAnsi="宋体" w:cs="宋体"/>
                <w:color w:val="auto"/>
                <w:sz w:val="24"/>
              </w:rPr>
              <w:t>甲方指定方式。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1.8.5</w:t>
            </w:r>
          </w:p>
        </w:tc>
        <w:tc>
          <w:tcPr>
            <w:tcW w:w="8277" w:type="dxa"/>
            <w:vAlign w:val="center"/>
          </w:tcPr>
          <w:p>
            <w:pPr>
              <w:numPr>
                <w:ilvl w:val="0"/>
                <w:numId w:val="1"/>
              </w:numPr>
              <w:adjustRightInd/>
              <w:spacing w:line="360" w:lineRule="auto"/>
              <w:ind w:firstLine="480" w:firstLineChars="200"/>
              <w:rPr>
                <w:color w:val="auto"/>
              </w:rPr>
            </w:pPr>
            <w:r>
              <w:rPr>
                <w:rFonts w:hint="eastAsia" w:ascii="宋体" w:hAnsi="宋体" w:cs="宋体"/>
                <w:color w:val="auto"/>
                <w:sz w:val="24"/>
              </w:rPr>
              <w:t>乙方不得将本合同转让、委托、分包或转包给任何第三人，否则视为乙方根本违约，甲方有权解除合同并要求乙方支付合同暂定总金额20%的违约金，如还造成甲方损失的，乙方承担赔偿责任。</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2.乙方擅自终止、变更本合同的，应当向甲方支付合同暂定总金额20%的违约金，如还造成甲方损失的，赔偿损失。</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3.乙方违约，甲方为维护己方权利而支付的诉讼费、律师费、评估费、鉴定费、保全费、保全担保费、调查取证费、证据固定费等费用由乙方承担。</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4.本合同对违约责任其他条款另有约定的，从其约定；但本合同中相关违约事宜作了多处违约责任约定的，甲方可以选择适用其中部分或全部违约责任。</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5.乙方已清晰了解到本合同中违约将给甲方带来的影响与损失，为此，乙方明确，本协议中对其违约责任的约定全部认可，任何时候均放弃违约责任过高的抗辩</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6.乙方向甲方支付的款项不足以清偿合同价款、违约金、赔偿金等全部所欠金额的，按如下顺序履行：</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（1）违约金；（2）赔偿金；（3）合同价款；（4）其他费用。</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en-US" w:eastAsia="zh-CN"/>
              </w:rPr>
              <w:t>.</w:t>
            </w:r>
            <w:r>
              <w:rPr>
                <w:rFonts w:hint="eastAsia" w:ascii="宋体" w:hAnsi="宋体" w:cs="宋体"/>
                <w:color w:val="auto"/>
                <w:sz w:val="24"/>
              </w:rPr>
              <w:t>对于乙方的相关义务条款，本合同中的其他条款中未作违约责任约定的，甲方有权催告或通知乙方改正或履行相关义务，同一事宜累计催告3次（含）以上或催告后10天内未改正或履行相关义务的，甲方有权解除协议。</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val="en-US" w:eastAsia="zh-CN"/>
              </w:rPr>
              <w:t>.</w:t>
            </w:r>
            <w:r>
              <w:rPr>
                <w:rFonts w:hint="eastAsia" w:ascii="宋体" w:hAnsi="宋体" w:cs="宋体"/>
                <w:color w:val="auto"/>
                <w:sz w:val="24"/>
              </w:rPr>
              <w:t>甲方有权对乙方履行本合同的情况随时进行跟踪、监管与综合评定，如出现违反本合同约定及无法达到甲方合同目的的行为，甲方有权解除合同并不承担任何责任</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w:t>
            </w:r>
            <w:r>
              <w:rPr>
                <w:rFonts w:hint="eastAsia" w:ascii="宋体" w:hAnsi="宋体" w:cs="宋体"/>
                <w:color w:val="auto"/>
                <w:sz w:val="24"/>
              </w:rPr>
              <w:t>对于因甲方行使解除权而解除合同时，本合同其他条款有约定的，按约定执行，本合同其他条款无约定的，则在解除协议时，同时可以要求乙方支付合同总额20%的违约金，并赔偿甲方由此造成的损失。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1.9</w:t>
            </w:r>
          </w:p>
        </w:tc>
        <w:tc>
          <w:tcPr>
            <w:tcW w:w="8277" w:type="dxa"/>
            <w:vAlign w:val="center"/>
          </w:tcPr>
          <w:p>
            <w:pPr>
              <w:spacing w:line="360" w:lineRule="auto"/>
              <w:ind w:firstLine="480"/>
              <w:rPr>
                <w:rFonts w:ascii="宋体" w:hAnsi="宋体" w:cs="宋体"/>
                <w:color w:val="auto"/>
                <w:sz w:val="24"/>
              </w:rPr>
            </w:pPr>
            <w:r>
              <w:rPr>
                <w:rFonts w:hint="eastAsia" w:ascii="宋体" w:hAnsi="宋体" w:cs="宋体"/>
                <w:color w:val="auto"/>
                <w:sz w:val="24"/>
              </w:rPr>
              <w:t>1.9.2向</w:t>
            </w:r>
            <w:r>
              <w:rPr>
                <w:rFonts w:hint="eastAsia" w:ascii="宋体" w:hAnsi="宋体" w:cs="宋体"/>
                <w:b/>
                <w:bCs/>
                <w:color w:val="auto"/>
                <w:sz w:val="24"/>
                <w:u w:val="single"/>
              </w:rPr>
              <w:t>甲方所在</w:t>
            </w:r>
            <w:r>
              <w:rPr>
                <w:rFonts w:hint="eastAsia" w:ascii="宋体" w:hAnsi="宋体" w:cs="宋体"/>
                <w:color w:val="auto"/>
                <w:sz w:val="24"/>
              </w:rPr>
              <w:t>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2.3.2</w:t>
            </w:r>
          </w:p>
        </w:tc>
        <w:tc>
          <w:tcPr>
            <w:tcW w:w="8277" w:type="dxa"/>
            <w:vAlign w:val="center"/>
          </w:tcPr>
          <w:p>
            <w:pPr>
              <w:adjustRightInd/>
              <w:spacing w:line="360" w:lineRule="auto"/>
              <w:ind w:firstLine="480"/>
              <w:rPr>
                <w:rFonts w:ascii="宋体" w:hAnsi="宋体" w:cs="宋体"/>
                <w:color w:val="auto"/>
                <w:sz w:val="24"/>
              </w:rPr>
            </w:pPr>
            <w:r>
              <w:rPr>
                <w:rFonts w:hint="eastAsia" w:ascii="宋体" w:hAnsi="宋体" w:cs="宋体"/>
                <w:color w:val="auto"/>
                <w:sz w:val="24"/>
              </w:rPr>
              <w:t>归甲方所有，未经甲方书面同意，乙方不得擅自使用或许可第三人使用；否则，甲方有权责令乙方立即停止侵害、消除影响，并由乙方向甲方支付合同总金额20%的违约金，如还造成甲方损失的，乙方承担赔偿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2.4.1</w:t>
            </w:r>
          </w:p>
        </w:tc>
        <w:tc>
          <w:tcPr>
            <w:tcW w:w="8277" w:type="dxa"/>
            <w:vAlign w:val="center"/>
          </w:tcPr>
          <w:p>
            <w:pPr>
              <w:adjustRightInd/>
              <w:spacing w:line="360" w:lineRule="auto"/>
              <w:ind w:firstLine="480"/>
              <w:rPr>
                <w:rFonts w:ascii="宋体" w:hAnsi="宋体" w:cs="宋体"/>
                <w:color w:val="auto"/>
                <w:sz w:val="24"/>
              </w:rPr>
            </w:pPr>
            <w:r>
              <w:rPr>
                <w:rFonts w:hint="eastAsia" w:ascii="宋体" w:hAnsi="宋体"/>
                <w:color w:val="auto"/>
                <w:sz w:val="24"/>
              </w:rPr>
              <w:t>乙方应对发送的图书进行防湿和防破装卸要求的包装，保证图书安全运输到达甲方指定地点。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2.4.3</w:t>
            </w:r>
          </w:p>
        </w:tc>
        <w:tc>
          <w:tcPr>
            <w:tcW w:w="8277" w:type="dxa"/>
            <w:vAlign w:val="center"/>
          </w:tcPr>
          <w:p>
            <w:pPr>
              <w:spacing w:line="360" w:lineRule="auto"/>
              <w:ind w:firstLine="480"/>
              <w:rPr>
                <w:rFonts w:ascii="宋体" w:hAnsi="宋体" w:cs="宋体"/>
                <w:color w:val="auto"/>
                <w:sz w:val="24"/>
              </w:rPr>
            </w:pPr>
            <w:r>
              <w:rPr>
                <w:rFonts w:hint="eastAsia" w:ascii="宋体" w:hAnsi="宋体" w:cs="宋体"/>
                <w:color w:val="auto"/>
                <w:sz w:val="24"/>
              </w:rPr>
              <w:t>无特殊规定。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2.8</w:t>
            </w:r>
          </w:p>
        </w:tc>
        <w:tc>
          <w:tcPr>
            <w:tcW w:w="8277" w:type="dxa"/>
          </w:tcPr>
          <w:p>
            <w:pPr>
              <w:spacing w:line="360" w:lineRule="auto"/>
              <w:ind w:firstLine="480"/>
              <w:rPr>
                <w:rFonts w:ascii="宋体" w:hAnsi="宋体" w:cs="宋体"/>
                <w:color w:val="auto"/>
                <w:sz w:val="24"/>
              </w:rPr>
            </w:pPr>
            <w:r>
              <w:rPr>
                <w:rFonts w:hint="eastAsia" w:ascii="宋体" w:hAnsi="宋体"/>
                <w:color w:val="auto"/>
                <w:sz w:val="24"/>
              </w:rPr>
              <w:t>图书在甲方接收前发生的不可预见的风险均由乙方负责。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2.12.3</w:t>
            </w:r>
          </w:p>
        </w:tc>
        <w:tc>
          <w:tcPr>
            <w:tcW w:w="8277" w:type="dxa"/>
            <w:vAlign w:val="center"/>
          </w:tcPr>
          <w:p>
            <w:pPr>
              <w:spacing w:line="360" w:lineRule="auto"/>
              <w:ind w:firstLine="480"/>
              <w:rPr>
                <w:rFonts w:ascii="宋体" w:hAnsi="宋体" w:cs="宋体"/>
                <w:color w:val="auto"/>
                <w:sz w:val="24"/>
              </w:rPr>
            </w:pPr>
            <w:r>
              <w:rPr>
                <w:rFonts w:hint="eastAsia" w:ascii="宋体" w:hAnsi="宋体" w:cs="宋体"/>
                <w:color w:val="auto"/>
                <w:sz w:val="24"/>
              </w:rPr>
              <w:t>因不可抗力致使合同有变更必要的，双方当事人应在不可抗力发生后30日内，</w:t>
            </w:r>
            <w:r>
              <w:rPr>
                <w:rFonts w:hint="eastAsia" w:ascii="宋体" w:hAnsi="宋体" w:cs="宋体"/>
                <w:color w:val="auto"/>
                <w:sz w:val="24"/>
              </w:rPr>
              <w:t>协商一致后</w:t>
            </w:r>
            <w:r>
              <w:rPr>
                <w:rFonts w:hint="eastAsia" w:ascii="宋体" w:hAnsi="宋体" w:cs="宋体"/>
                <w:color w:val="auto"/>
                <w:sz w:val="24"/>
              </w:rPr>
              <w:t>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2.12.4</w:t>
            </w:r>
          </w:p>
        </w:tc>
        <w:tc>
          <w:tcPr>
            <w:tcW w:w="8277" w:type="dxa"/>
          </w:tcPr>
          <w:p>
            <w:pPr>
              <w:spacing w:line="360" w:lineRule="auto"/>
              <w:ind w:firstLine="480"/>
              <w:rPr>
                <w:rFonts w:ascii="宋体" w:hAnsi="宋体" w:cs="宋体"/>
                <w:color w:val="auto"/>
                <w:sz w:val="24"/>
              </w:rPr>
            </w:pPr>
            <w:r>
              <w:rPr>
                <w:rFonts w:hint="eastAsia" w:ascii="宋体" w:hAnsi="宋体" w:cs="宋体"/>
                <w:color w:val="auto"/>
                <w:sz w:val="24"/>
              </w:rPr>
              <w:t>受不可抗力影响的一方在不可抗力发生后，应在</w:t>
            </w:r>
            <w:r>
              <w:rPr>
                <w:rFonts w:hint="eastAsia" w:ascii="宋体" w:hAnsi="宋体" w:cs="宋体"/>
                <w:b/>
                <w:iCs/>
                <w:color w:val="auto"/>
                <w:sz w:val="24"/>
                <w:u w:val="single"/>
              </w:rPr>
              <w:t>3个工作日</w:t>
            </w:r>
            <w:r>
              <w:rPr>
                <w:rFonts w:hint="eastAsia" w:ascii="宋体" w:hAnsi="宋体" w:cs="宋体"/>
                <w:color w:val="auto"/>
                <w:sz w:val="24"/>
              </w:rPr>
              <w:t>内以书面形式通知对方当事人，并在</w:t>
            </w:r>
            <w:r>
              <w:rPr>
                <w:rFonts w:hint="eastAsia" w:ascii="宋体" w:hAnsi="宋体" w:cs="宋体"/>
                <w:b/>
                <w:iCs/>
                <w:color w:val="auto"/>
                <w:sz w:val="24"/>
                <w:u w:val="single"/>
              </w:rPr>
              <w:t>14个工作日</w:t>
            </w:r>
            <w:r>
              <w:rPr>
                <w:rFonts w:hint="eastAsia" w:ascii="宋体" w:hAnsi="宋体" w:cs="宋体"/>
                <w:color w:val="auto"/>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2.16.1</w:t>
            </w:r>
          </w:p>
        </w:tc>
        <w:tc>
          <w:tcPr>
            <w:tcW w:w="8277" w:type="dxa"/>
            <w:vAlign w:val="center"/>
          </w:tcPr>
          <w:p>
            <w:pPr>
              <w:spacing w:line="360" w:lineRule="auto"/>
              <w:ind w:firstLine="480"/>
              <w:rPr>
                <w:rFonts w:ascii="宋体" w:hAnsi="宋体" w:cs="宋体"/>
                <w:color w:val="auto"/>
                <w:sz w:val="24"/>
              </w:rPr>
            </w:pPr>
            <w:r>
              <w:rPr>
                <w:rFonts w:hint="eastAsia" w:ascii="宋体" w:hAnsi="宋体" w:cs="宋体"/>
                <w:color w:val="auto"/>
                <w:sz w:val="24"/>
              </w:rPr>
              <w:t>详见2.16.3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 w:val="24"/>
              </w:rPr>
            </w:pPr>
            <w:r>
              <w:rPr>
                <w:rFonts w:hint="eastAsia" w:ascii="宋体" w:hAnsi="宋体" w:cs="宋体"/>
                <w:color w:val="auto"/>
                <w:sz w:val="24"/>
              </w:rPr>
              <w:t>2.16.3</w:t>
            </w:r>
          </w:p>
        </w:tc>
        <w:tc>
          <w:tcPr>
            <w:tcW w:w="8277" w:type="dxa"/>
            <w:vAlign w:val="center"/>
          </w:tcPr>
          <w:p>
            <w:pPr>
              <w:spacing w:line="360" w:lineRule="auto"/>
              <w:ind w:firstLine="480"/>
              <w:rPr>
                <w:rFonts w:ascii="宋体" w:hAnsi="宋体" w:cs="宋体"/>
                <w:color w:val="auto"/>
                <w:sz w:val="24"/>
              </w:rPr>
            </w:pPr>
            <w:r>
              <w:rPr>
                <w:rFonts w:hint="eastAsia" w:ascii="宋体" w:hAnsi="宋体" w:cs="宋体"/>
                <w:color w:val="auto"/>
                <w:sz w:val="24"/>
              </w:rPr>
              <w:t>检验和验收标准、程序等具体内容以及前述验收书的效力：</w:t>
            </w:r>
          </w:p>
          <w:p>
            <w:pPr>
              <w:spacing w:line="360" w:lineRule="auto"/>
              <w:ind w:firstLine="480" w:firstLineChars="200"/>
              <w:rPr>
                <w:rFonts w:ascii="宋体" w:hAnsi="宋体" w:cs="宋体"/>
                <w:color w:val="auto"/>
              </w:rPr>
            </w:pPr>
            <w:r>
              <w:rPr>
                <w:rFonts w:hint="eastAsia" w:ascii="宋体" w:hAnsi="宋体" w:cs="宋体"/>
                <w:color w:val="auto"/>
                <w:sz w:val="24"/>
              </w:rPr>
              <w:t>1.验收方式：本项目按照《杭州市政府采购履约验收暂行办法》（杭财采监〔2019〕10号）等规定组织验收。</w:t>
            </w:r>
          </w:p>
          <w:p>
            <w:pPr>
              <w:spacing w:line="360" w:lineRule="auto"/>
              <w:ind w:firstLine="480" w:firstLineChars="200"/>
              <w:rPr>
                <w:rFonts w:ascii="宋体" w:hAnsi="宋体" w:cs="宋体"/>
                <w:color w:val="auto"/>
                <w:sz w:val="24"/>
              </w:rPr>
            </w:pPr>
            <w:r>
              <w:rPr>
                <w:rFonts w:hint="eastAsia" w:ascii="宋体" w:hAnsi="宋体" w:cs="宋体"/>
                <w:color w:val="auto"/>
                <w:sz w:val="24"/>
              </w:rPr>
              <w:t>2.验收的依据：（1）国家强制标准；（2）合同和招标文件、投标文件（及投标时的相关承诺）；（3）符合杭财采监﹝2019﹞10号文件规定。</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3.清点验收：</w:t>
            </w:r>
            <w:r>
              <w:rPr>
                <w:rFonts w:hint="eastAsia" w:ascii="宋体" w:hAnsi="宋体" w:cs="宋体"/>
                <w:color w:val="auto"/>
                <w:sz w:val="24"/>
              </w:rPr>
              <w:t>乙方送交甲方的图书，每包应附有清单，清单一式两份，清单内容包括包号、征订号、书名、单价、册数及小计。每批图书应有汇总清单，清单内容包括此批图书的种数、册数和总金额，汇总清单上应盖有与付款发票上相同的财务章。甲方收到图书后经清点验收，如发现有错装、倒装、缺页和污损等情况，乙方应在5个工作日无条件予以调换，否则视为乙方逾期交付。</w:t>
            </w:r>
            <w:r>
              <w:rPr>
                <w:rFonts w:hint="eastAsia" w:ascii="宋体" w:hAnsi="宋体"/>
                <w:color w:val="auto"/>
                <w:sz w:val="24"/>
              </w:rPr>
              <w:t>造成甲方损失的，乙方承担赔偿责任。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ascii="宋体" w:hAnsi="宋体" w:cs="宋体"/>
                <w:color w:val="auto"/>
                <w:sz w:val="24"/>
              </w:rPr>
            </w:pPr>
            <w:r>
              <w:rPr>
                <w:rFonts w:hint="eastAsia" w:ascii="宋体" w:hAnsi="宋体" w:cs="宋体"/>
                <w:color w:val="auto"/>
                <w:sz w:val="24"/>
              </w:rPr>
              <w:t>2.20</w:t>
            </w:r>
          </w:p>
        </w:tc>
        <w:tc>
          <w:tcPr>
            <w:tcW w:w="8277" w:type="dxa"/>
            <w:vAlign w:val="center"/>
          </w:tcPr>
          <w:p>
            <w:pPr>
              <w:spacing w:line="360" w:lineRule="auto"/>
              <w:ind w:firstLine="480"/>
              <w:rPr>
                <w:rFonts w:ascii="宋体" w:hAnsi="宋体" w:cs="宋体"/>
                <w:color w:val="auto"/>
                <w:sz w:val="24"/>
              </w:rPr>
            </w:pPr>
            <w:r>
              <w:rPr>
                <w:rFonts w:hint="eastAsia" w:ascii="宋体" w:hAnsi="宋体" w:cs="宋体"/>
                <w:color w:val="auto"/>
                <w:sz w:val="24"/>
              </w:rPr>
              <w:t>本合同一式陆份，甲方执肆份，乙方执贰份，各份具有同等法律效力。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ascii="宋体" w:hAnsi="宋体" w:cs="宋体"/>
                <w:color w:val="auto"/>
                <w:sz w:val="24"/>
              </w:rPr>
            </w:pPr>
            <w:r>
              <w:rPr>
                <w:rFonts w:hint="eastAsia" w:ascii="宋体" w:hAnsi="宋体" w:cs="宋体"/>
                <w:color w:val="auto"/>
                <w:sz w:val="24"/>
              </w:rPr>
              <w:t>2.21补充条款</w:t>
            </w:r>
          </w:p>
        </w:tc>
        <w:tc>
          <w:tcPr>
            <w:tcW w:w="8277" w:type="dxa"/>
            <w:vAlign w:val="center"/>
          </w:tcPr>
          <w:p>
            <w:pPr>
              <w:autoSpaceDE w:val="0"/>
              <w:adjustRightInd/>
              <w:spacing w:line="360" w:lineRule="auto"/>
              <w:ind w:firstLine="480" w:firstLineChars="200"/>
              <w:jc w:val="left"/>
              <w:rPr>
                <w:rFonts w:ascii="宋体" w:hAnsi="宋体" w:cs="宋体"/>
                <w:color w:val="auto"/>
                <w:sz w:val="24"/>
              </w:rPr>
            </w:pPr>
            <w:r>
              <w:rPr>
                <w:rFonts w:hint="eastAsia" w:ascii="宋体" w:hAnsi="宋体" w:cs="宋体"/>
                <w:color w:val="auto"/>
                <w:sz w:val="24"/>
              </w:rPr>
              <w:t>1.涉及现场服务的，乙方自行承担各项安全保障义务，如发生安全事故造成甲方、乙方或第三方人身财产损害的，一切责任及损失均由乙方承担，与甲方无关。</w:t>
            </w:r>
          </w:p>
          <w:p>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2.乙方实施团队人员应具有丰富的图书配送、加工以及相关配套服务的工作经验及能力。本合同签订后三日内，乙方应当将人员名单、资质证明（如有）、背景资料等交甲方处备案，并提交与上述人员签订的劳动合同复印件。一经备案，乙方不得擅自更换人员，否则按每次5000元的标准扣减合同款。如实施人员不符合甲方要求的，甲方有权要求乙方在3日内更换人员，乙方逾期更换或拒不更换的，每发生一次，甲方有权扣减合同款5000元。</w:t>
            </w:r>
          </w:p>
          <w:p>
            <w:pPr>
              <w:adjustRightInd/>
              <w:spacing w:line="360" w:lineRule="auto"/>
              <w:ind w:firstLine="480" w:firstLineChars="200"/>
              <w:rPr>
                <w:rFonts w:ascii="宋体" w:hAnsi="宋体" w:cs="宋体"/>
                <w:color w:val="auto"/>
                <w:sz w:val="24"/>
              </w:rPr>
            </w:pPr>
            <w:r>
              <w:rPr>
                <w:rFonts w:hint="eastAsia" w:ascii="宋体" w:hAnsi="宋体" w:cs="宋体"/>
                <w:color w:val="auto"/>
                <w:sz w:val="24"/>
              </w:rPr>
              <w:t>3.专用条款与一般条款约定不一致的，以专用条款的约定为准。</w:t>
            </w: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rPr>
          <w:rFonts w:ascii="宋体" w:hAnsi="宋体" w:cs="宋体"/>
          <w:color w:val="auto"/>
          <w:sz w:val="24"/>
        </w:rPr>
      </w:pPr>
    </w:p>
    <w:p>
      <w:pPr>
        <w:pStyle w:val="3"/>
        <w:ind w:firstLine="643"/>
        <w:rPr>
          <w:color w:val="auto"/>
        </w:rPr>
      </w:pPr>
    </w:p>
    <w:p>
      <w:pPr>
        <w:ind w:firstLine="480"/>
        <w:rPr>
          <w:color w:val="auto"/>
        </w:rPr>
      </w:pPr>
    </w:p>
    <w:p>
      <w:pPr>
        <w:ind w:firstLine="723"/>
        <w:rPr>
          <w:rFonts w:ascii="宋体" w:hAnsi="宋体" w:cs="宋体"/>
          <w:b/>
          <w:color w:val="auto"/>
          <w:sz w:val="36"/>
          <w:szCs w:val="20"/>
        </w:rPr>
      </w:pPr>
      <w:r>
        <w:rPr>
          <w:rFonts w:hint="eastAsia" w:ascii="宋体" w:hAnsi="宋体" w:cs="宋体"/>
          <w:b/>
          <w:color w:val="auto"/>
          <w:sz w:val="36"/>
          <w:szCs w:val="20"/>
        </w:rPr>
        <w:br w:type="page"/>
      </w:r>
    </w:p>
    <w:p>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pPr>
        <w:spacing w:line="360" w:lineRule="auto"/>
        <w:ind w:firstLine="723"/>
        <w:jc w:val="center"/>
        <w:outlineLvl w:val="0"/>
        <w:rPr>
          <w:rFonts w:ascii="宋体" w:hAnsi="宋体" w:cs="宋体"/>
          <w:b/>
          <w:color w:val="auto"/>
          <w:kern w:val="0"/>
          <w:sz w:val="36"/>
          <w:szCs w:val="36"/>
        </w:rPr>
      </w:pPr>
    </w:p>
    <w:p>
      <w:pPr>
        <w:spacing w:line="360" w:lineRule="auto"/>
        <w:ind w:firstLine="723"/>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ind w:firstLine="723"/>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ind w:firstLine="723"/>
        <w:jc w:val="center"/>
        <w:outlineLvl w:val="0"/>
        <w:rPr>
          <w:rFonts w:ascii="宋体" w:hAnsi="宋体" w:cs="宋体"/>
          <w:b/>
          <w:color w:val="auto"/>
          <w:kern w:val="0"/>
          <w:sz w:val="36"/>
          <w:szCs w:val="36"/>
        </w:rPr>
      </w:pPr>
    </w:p>
    <w:p>
      <w:pPr>
        <w:snapToGrid w:val="0"/>
        <w:spacing w:line="360" w:lineRule="auto"/>
        <w:ind w:firstLine="480"/>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ind w:firstLine="480"/>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ind w:firstLine="48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both"/>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ind w:firstLine="482"/>
        <w:rPr>
          <w:rFonts w:ascii="宋体" w:hAnsi="宋体" w:cs="宋体"/>
          <w:color w:val="auto"/>
          <w:sz w:val="24"/>
        </w:rPr>
      </w:pPr>
      <w:r>
        <w:rPr>
          <w:rFonts w:hint="eastAsia" w:ascii="宋体" w:hAnsi="宋体" w:cs="宋体"/>
          <w:b/>
          <w:bCs/>
          <w:color w:val="auto"/>
          <w:sz w:val="24"/>
        </w:rPr>
        <w:t>杭州市西湖区图书馆、杭州意信招标代理有限公司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2024年图书（电子书）采购及图书加工</w:t>
      </w:r>
      <w:r>
        <w:rPr>
          <w:rFonts w:hint="eastAsia" w:ascii="宋体" w:hAnsi="宋体" w:cs="宋体"/>
          <w:color w:val="auto"/>
          <w:sz w:val="24"/>
        </w:rPr>
        <w:t>【招标编号：</w:t>
      </w:r>
      <w:r>
        <w:rPr>
          <w:rFonts w:hint="eastAsia" w:ascii="宋体" w:hAnsi="宋体" w:cs="宋体"/>
          <w:color w:val="auto"/>
          <w:sz w:val="24"/>
          <w:u w:val="single"/>
        </w:rPr>
        <w:t>HZYX-XTSG-24255GK</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lang w:val="zh-CN"/>
        </w:rPr>
      </w:pP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ind w:firstLine="480"/>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ind w:firstLine="480"/>
        <w:rPr>
          <w:rFonts w:ascii="宋体" w:hAnsi="宋体" w:cs="宋体"/>
          <w:color w:val="auto"/>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w:t>
      </w:r>
      <w:r>
        <w:rPr>
          <w:rFonts w:hint="eastAsia" w:ascii="宋体" w:hAnsi="宋体" w:cs="宋体"/>
          <w:b/>
          <w:color w:val="auto"/>
          <w:kern w:val="0"/>
          <w:sz w:val="32"/>
          <w:szCs w:val="32"/>
        </w:rPr>
        <w:t>（如果有）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（根据招标公告落实政府采购政策需满足的资格要求选择提供相应的材料；未要求的，无需提供）</w:t>
      </w:r>
      <w:r>
        <w:rPr>
          <w:rFonts w:hint="eastAsia" w:ascii="宋体" w:hAnsi="宋体" w:cs="宋体"/>
          <w:b/>
          <w:bCs/>
          <w:color w:val="auto"/>
          <w:sz w:val="24"/>
          <w:lang w:val="en-US" w:eastAsia="zh-CN"/>
        </w:rPr>
        <w:t>无</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ind w:firstLine="482"/>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firstLine="643"/>
        <w:jc w:val="center"/>
        <w:rPr>
          <w:rFonts w:ascii="宋体" w:hAnsi="宋体" w:cs="宋体"/>
          <w:b/>
          <w:color w:val="auto"/>
          <w:kern w:val="0"/>
          <w:sz w:val="32"/>
          <w:szCs w:val="32"/>
        </w:rPr>
      </w:pPr>
    </w:p>
    <w:p>
      <w:pPr>
        <w:widowControl/>
        <w:spacing w:line="360" w:lineRule="auto"/>
        <w:ind w:left="150" w:firstLine="643"/>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ind w:firstLine="480"/>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ind w:firstLine="480"/>
        <w:jc w:val="center"/>
        <w:rPr>
          <w:rFonts w:ascii="宋体" w:hAnsi="宋体" w:cs="宋体"/>
          <w:b/>
          <w:bCs/>
          <w:color w:val="auto"/>
        </w:rPr>
      </w:pPr>
      <w:r>
        <w:rPr>
          <w:rFonts w:hint="eastAsia" w:ascii="宋体" w:hAnsi="宋体" w:cs="宋体"/>
          <w:b/>
          <w:bCs/>
          <w:color w:val="auto"/>
          <w:sz w:val="24"/>
        </w:rPr>
        <w:t>《出版物经营许可证》</w:t>
      </w:r>
    </w:p>
    <w:p>
      <w:pPr>
        <w:widowControl/>
        <w:adjustRightInd/>
        <w:ind w:firstLine="643"/>
        <w:jc w:val="left"/>
        <w:rPr>
          <w:rFonts w:ascii="宋体" w:hAnsi="宋体" w:cs="宋体"/>
          <w:b/>
          <w:color w:val="auto"/>
          <w:kern w:val="0"/>
          <w:sz w:val="32"/>
          <w:szCs w:val="32"/>
        </w:rPr>
      </w:pPr>
      <w:r>
        <w:rPr>
          <w:rFonts w:ascii="宋体" w:hAnsi="宋体" w:cs="宋体"/>
          <w:b/>
          <w:color w:val="auto"/>
          <w:kern w:val="0"/>
          <w:sz w:val="32"/>
          <w:szCs w:val="32"/>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ind w:firstLine="562"/>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numPr>
          <w:ilvl w:val="0"/>
          <w:numId w:val="0"/>
        </w:numPr>
        <w:snapToGrid w:val="0"/>
        <w:spacing w:line="360" w:lineRule="auto"/>
        <w:rPr>
          <w:rFonts w:hint="eastAsia" w:ascii="宋体" w:hAnsi="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szCs w:val="24"/>
        </w:rPr>
        <w:t>投标函……………………………………………………………………………（页码）</w:t>
      </w:r>
    </w:p>
    <w:p>
      <w:pPr>
        <w:numPr>
          <w:ilvl w:val="0"/>
          <w:numId w:val="0"/>
        </w:numPr>
        <w:snapToGrid w:val="0"/>
        <w:spacing w:line="360" w:lineRule="auto"/>
        <w:rPr>
          <w:rFonts w:ascii="宋体" w:hAnsi="宋体" w:cs="宋体"/>
          <w:color w:val="auto"/>
          <w:sz w:val="24"/>
          <w:szCs w:val="24"/>
        </w:rPr>
      </w:pPr>
      <w:r>
        <w:rPr>
          <w:rFonts w:hint="eastAsia" w:ascii="宋体" w:hAnsi="宋体" w:cs="宋体"/>
          <w:color w:val="auto"/>
          <w:sz w:val="24"/>
          <w:szCs w:val="24"/>
        </w:rPr>
        <w:t>（2）授权委托书或法定代表人（单位负责人、自然人本人）身份证明…………（页码）</w:t>
      </w:r>
    </w:p>
    <w:p>
      <w:pPr>
        <w:snapToGrid w:val="0"/>
        <w:spacing w:line="360" w:lineRule="auto"/>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）分包意向协议……………………………………………………………………（页码）</w:t>
      </w:r>
    </w:p>
    <w:p>
      <w:pPr>
        <w:snapToGrid w:val="0"/>
        <w:spacing w:line="360" w:lineRule="auto"/>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）符合性审查资料…………………………………………………………………（页码）</w:t>
      </w:r>
    </w:p>
    <w:p>
      <w:pPr>
        <w:snapToGrid w:val="0"/>
        <w:spacing w:line="360" w:lineRule="auto"/>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）评标标准相应的商务技术资料…………………………………………………（页码）</w:t>
      </w:r>
    </w:p>
    <w:p>
      <w:pPr>
        <w:snapToGrid w:val="0"/>
        <w:spacing w:line="360" w:lineRule="auto"/>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）投标标的清单……………………………………………………………………（页码）</w:t>
      </w:r>
    </w:p>
    <w:p>
      <w:pPr>
        <w:snapToGrid w:val="0"/>
        <w:spacing w:line="360" w:lineRule="auto"/>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）商务技术偏离表…………………………………………………………………（页码）</w:t>
      </w:r>
    </w:p>
    <w:p>
      <w:pPr>
        <w:snapToGrid w:val="0"/>
        <w:spacing w:line="360" w:lineRule="auto"/>
        <w:rPr>
          <w:rFonts w:ascii="宋体" w:hAnsi="宋体" w:cs="宋体"/>
          <w:color w:val="auto"/>
          <w:sz w:val="24"/>
          <w:szCs w:val="24"/>
        </w:rPr>
      </w:pPr>
      <w:r>
        <w:rPr>
          <w:rFonts w:hint="eastAsia" w:ascii="宋体" w:hAnsi="宋体" w:cs="宋体"/>
          <w:color w:val="auto"/>
          <w:sz w:val="24"/>
          <w:szCs w:val="24"/>
          <w:lang w:val="zh-CN"/>
        </w:rPr>
        <w:t>（</w:t>
      </w:r>
      <w:r>
        <w:rPr>
          <w:rFonts w:ascii="宋体" w:hAnsi="宋体" w:cs="宋体"/>
          <w:color w:val="auto"/>
          <w:sz w:val="24"/>
          <w:szCs w:val="24"/>
        </w:rPr>
        <w:t>8</w:t>
      </w:r>
      <w:r>
        <w:rPr>
          <w:rFonts w:hint="eastAsia" w:ascii="宋体" w:hAnsi="宋体" w:cs="宋体"/>
          <w:color w:val="auto"/>
          <w:sz w:val="24"/>
          <w:szCs w:val="24"/>
          <w:lang w:val="zh-CN"/>
        </w:rPr>
        <w:t>）政府采购供应商廉洁自律承诺书</w:t>
      </w:r>
      <w:r>
        <w:rPr>
          <w:rFonts w:hint="eastAsia" w:ascii="宋体" w:hAnsi="宋体" w:cs="宋体"/>
          <w:color w:val="auto"/>
          <w:sz w:val="24"/>
          <w:szCs w:val="24"/>
        </w:rPr>
        <w:t>………………………………………………（页码）</w:t>
      </w:r>
    </w:p>
    <w:p>
      <w:pPr>
        <w:snapToGrid w:val="0"/>
        <w:spacing w:line="360" w:lineRule="auto"/>
        <w:ind w:firstLine="643"/>
        <w:jc w:val="center"/>
        <w:rPr>
          <w:rFonts w:ascii="宋体" w:hAnsi="宋体" w:cs="宋体"/>
          <w:b/>
          <w:color w:val="auto"/>
          <w:kern w:val="0"/>
          <w:sz w:val="32"/>
          <w:szCs w:val="32"/>
          <w:lang w:val="zh-CN"/>
        </w:rPr>
      </w:pPr>
    </w:p>
    <w:p>
      <w:pPr>
        <w:snapToGrid w:val="0"/>
        <w:spacing w:line="360" w:lineRule="auto"/>
        <w:ind w:firstLine="643"/>
        <w:jc w:val="center"/>
        <w:rPr>
          <w:rFonts w:ascii="宋体" w:hAnsi="宋体" w:cs="宋体"/>
          <w:b/>
          <w:color w:val="auto"/>
          <w:kern w:val="0"/>
          <w:sz w:val="32"/>
          <w:szCs w:val="32"/>
          <w:lang w:val="zh-CN"/>
        </w:rPr>
      </w:pPr>
    </w:p>
    <w:p>
      <w:pPr>
        <w:snapToGrid w:val="0"/>
        <w:spacing w:line="360" w:lineRule="auto"/>
        <w:ind w:firstLine="643"/>
        <w:jc w:val="center"/>
        <w:rPr>
          <w:rFonts w:ascii="宋体" w:hAnsi="宋体" w:cs="宋体"/>
          <w:b/>
          <w:color w:val="auto"/>
          <w:kern w:val="0"/>
          <w:sz w:val="32"/>
          <w:szCs w:val="32"/>
          <w:lang w:val="zh-CN"/>
        </w:rPr>
      </w:pPr>
    </w:p>
    <w:p>
      <w:pPr>
        <w:snapToGrid w:val="0"/>
        <w:spacing w:line="360" w:lineRule="auto"/>
        <w:ind w:firstLine="643"/>
        <w:jc w:val="center"/>
        <w:rPr>
          <w:rFonts w:ascii="宋体" w:hAnsi="宋体" w:cs="宋体"/>
          <w:b/>
          <w:color w:val="auto"/>
          <w:kern w:val="0"/>
          <w:sz w:val="32"/>
          <w:szCs w:val="32"/>
          <w:lang w:val="zh-CN"/>
        </w:rPr>
      </w:pPr>
    </w:p>
    <w:p>
      <w:pPr>
        <w:snapToGrid w:val="0"/>
        <w:spacing w:line="360" w:lineRule="auto"/>
        <w:ind w:firstLine="643"/>
        <w:jc w:val="center"/>
        <w:rPr>
          <w:rFonts w:ascii="宋体" w:hAnsi="宋体" w:cs="宋体"/>
          <w:b/>
          <w:color w:val="auto"/>
          <w:kern w:val="0"/>
          <w:sz w:val="32"/>
          <w:szCs w:val="32"/>
          <w:lang w:val="zh-CN"/>
        </w:rPr>
      </w:pPr>
    </w:p>
    <w:p>
      <w:pPr>
        <w:snapToGrid w:val="0"/>
        <w:spacing w:line="360" w:lineRule="auto"/>
        <w:ind w:firstLine="643"/>
        <w:jc w:val="center"/>
        <w:outlineLvl w:val="0"/>
        <w:rPr>
          <w:rFonts w:ascii="宋体" w:hAnsi="宋体" w:cs="宋体"/>
          <w:b/>
          <w:color w:val="auto"/>
          <w:kern w:val="0"/>
          <w:sz w:val="32"/>
          <w:szCs w:val="32"/>
        </w:rPr>
      </w:pPr>
    </w:p>
    <w:p>
      <w:pPr>
        <w:snapToGrid w:val="0"/>
        <w:spacing w:line="360" w:lineRule="auto"/>
        <w:ind w:firstLine="643"/>
        <w:jc w:val="center"/>
        <w:outlineLvl w:val="0"/>
        <w:rPr>
          <w:rFonts w:ascii="宋体" w:hAnsi="宋体" w:cs="宋体"/>
          <w:b/>
          <w:color w:val="auto"/>
          <w:kern w:val="0"/>
          <w:sz w:val="32"/>
          <w:szCs w:val="32"/>
        </w:rPr>
      </w:pPr>
    </w:p>
    <w:p>
      <w:pPr>
        <w:ind w:firstLine="480"/>
        <w:rPr>
          <w:rFonts w:ascii="宋体" w:hAnsi="宋体" w:cs="宋体"/>
          <w:color w:val="auto"/>
        </w:rPr>
      </w:pPr>
    </w:p>
    <w:p>
      <w:pPr>
        <w:snapToGrid w:val="0"/>
        <w:spacing w:line="360" w:lineRule="auto"/>
        <w:ind w:firstLine="643"/>
        <w:jc w:val="center"/>
        <w:outlineLvl w:val="0"/>
        <w:rPr>
          <w:rFonts w:ascii="宋体" w:hAnsi="宋体" w:cs="宋体"/>
          <w:b/>
          <w:color w:val="auto"/>
          <w:kern w:val="0"/>
          <w:sz w:val="32"/>
          <w:szCs w:val="32"/>
        </w:rPr>
      </w:pPr>
    </w:p>
    <w:p>
      <w:pPr>
        <w:snapToGrid w:val="0"/>
        <w:spacing w:line="360" w:lineRule="auto"/>
        <w:ind w:firstLine="643"/>
        <w:jc w:val="center"/>
        <w:outlineLvl w:val="0"/>
        <w:rPr>
          <w:rFonts w:ascii="宋体" w:hAnsi="宋体" w:cs="宋体"/>
          <w:b/>
          <w:color w:val="auto"/>
          <w:kern w:val="0"/>
          <w:sz w:val="32"/>
          <w:szCs w:val="32"/>
        </w:rPr>
      </w:pPr>
    </w:p>
    <w:p>
      <w:pPr>
        <w:pStyle w:val="3"/>
        <w:ind w:firstLine="643"/>
        <w:rPr>
          <w:color w:val="auto"/>
          <w:lang w:val="en-US"/>
        </w:rPr>
      </w:pPr>
    </w:p>
    <w:p>
      <w:pPr>
        <w:ind w:firstLine="480"/>
        <w:rPr>
          <w:color w:val="auto"/>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widowControl/>
        <w:adjustRightInd/>
        <w:ind w:firstLine="643"/>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ind w:firstLine="482"/>
        <w:rPr>
          <w:rFonts w:ascii="宋体" w:hAnsi="宋体" w:cs="宋体"/>
          <w:color w:val="auto"/>
          <w:sz w:val="24"/>
        </w:rPr>
      </w:pPr>
      <w:r>
        <w:rPr>
          <w:rFonts w:hint="eastAsia" w:ascii="宋体" w:hAnsi="宋体" w:cs="宋体"/>
          <w:b/>
          <w:bCs/>
          <w:color w:val="auto"/>
          <w:sz w:val="24"/>
        </w:rPr>
        <w:t>杭州市西湖区图书馆、杭州意信招标代理有限公司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2024年图书（电子书）采购及图书加工</w:t>
      </w:r>
      <w:r>
        <w:rPr>
          <w:rFonts w:hint="eastAsia" w:ascii="宋体" w:hAnsi="宋体" w:cs="宋体"/>
          <w:color w:val="auto"/>
          <w:sz w:val="24"/>
        </w:rPr>
        <w:t>【招标编号：</w:t>
      </w:r>
      <w:r>
        <w:rPr>
          <w:rFonts w:hint="eastAsia" w:ascii="宋体" w:hAnsi="宋体" w:cs="宋体"/>
          <w:color w:val="auto"/>
          <w:sz w:val="24"/>
          <w:u w:val="single"/>
        </w:rPr>
        <w:t>HZYX-XTSG-24255GK</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90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eastAsia="仿宋_GB2312"/>
          <w:color w:val="auto"/>
        </w:rPr>
      </w:pPr>
      <w:r>
        <w:rPr>
          <w:rFonts w:hint="eastAsia" w:ascii="宋体" w:hAnsi="宋体" w:cs="宋体"/>
          <w:color w:val="auto"/>
          <w:sz w:val="24"/>
        </w:rPr>
        <w:t>2.3.2 报价情况说明（如果有）；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2.3.3中小企业声明函（如果有）。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ind w:firstLine="480"/>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firstLine="48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ind w:firstLine="643"/>
        <w:jc w:val="center"/>
        <w:rPr>
          <w:rFonts w:ascii="宋体" w:hAnsi="宋体" w:cs="宋体"/>
          <w:b/>
          <w:color w:val="auto"/>
          <w:kern w:val="0"/>
          <w:sz w:val="32"/>
          <w:szCs w:val="32"/>
        </w:rPr>
      </w:pPr>
    </w:p>
    <w:p>
      <w:pPr>
        <w:snapToGrid w:val="0"/>
        <w:spacing w:line="360" w:lineRule="auto"/>
        <w:ind w:firstLine="480"/>
        <w:rPr>
          <w:rFonts w:ascii="宋体" w:hAnsi="宋体" w:cs="宋体"/>
          <w:color w:val="auto"/>
          <w:sz w:val="24"/>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widowControl/>
        <w:adjustRightInd/>
        <w:ind w:firstLine="643"/>
        <w:jc w:val="left"/>
        <w:rPr>
          <w:rFonts w:ascii="宋体" w:hAnsi="宋体" w:cs="宋体"/>
          <w:b/>
          <w:color w:val="auto"/>
          <w:kern w:val="0"/>
          <w:sz w:val="32"/>
          <w:szCs w:val="32"/>
        </w:rPr>
      </w:pPr>
      <w:r>
        <w:rPr>
          <w:rFonts w:ascii="宋体" w:hAnsi="宋体" w:cs="宋体"/>
          <w:b/>
          <w:color w:val="auto"/>
          <w:kern w:val="0"/>
          <w:sz w:val="32"/>
          <w:szCs w:val="32"/>
        </w:rPr>
        <w:br w:type="page"/>
      </w:r>
    </w:p>
    <w:p>
      <w:pPr>
        <w:ind w:firstLine="643"/>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ind w:firstLine="480"/>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ind w:firstLine="48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0"/>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ind w:firstLine="480"/>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ind w:firstLine="480"/>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ind w:firstLine="480"/>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ind w:firstLine="480"/>
        <w:rPr>
          <w:rFonts w:ascii="宋体" w:hAnsi="宋体" w:cs="宋体"/>
          <w:color w:val="auto"/>
          <w:sz w:val="24"/>
        </w:rPr>
      </w:pPr>
    </w:p>
    <w:p>
      <w:pPr>
        <w:snapToGrid w:val="0"/>
        <w:spacing w:line="360" w:lineRule="auto"/>
        <w:ind w:firstLine="480"/>
        <w:rPr>
          <w:rFonts w:ascii="宋体" w:hAnsi="宋体" w:cs="宋体"/>
          <w:color w:val="auto"/>
          <w:sz w:val="24"/>
        </w:rPr>
      </w:pPr>
    </w:p>
    <w:p>
      <w:pPr>
        <w:snapToGrid w:val="0"/>
        <w:spacing w:line="360" w:lineRule="auto"/>
        <w:ind w:firstLine="480"/>
        <w:rPr>
          <w:rFonts w:ascii="宋体" w:hAnsi="宋体" w:cs="宋体"/>
          <w:color w:val="auto"/>
          <w:sz w:val="24"/>
        </w:rPr>
      </w:pPr>
    </w:p>
    <w:p>
      <w:pPr>
        <w:ind w:firstLine="643"/>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ind w:firstLine="48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0"/>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ind w:firstLine="480"/>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ind w:firstLine="480"/>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480"/>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ind w:firstLine="643"/>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rPr>
            </w:pPr>
            <w:r>
              <w:rPr>
                <w:rFonts w:hint="eastAsia" w:hAnsi="宋体" w:cs="宋体"/>
                <w:bCs/>
                <w:color w:val="auto"/>
                <w:sz w:val="24"/>
              </w:rPr>
              <w:t>正面：                                 反面：</w:t>
            </w:r>
          </w:p>
          <w:p>
            <w:pPr>
              <w:pStyle w:val="148"/>
              <w:adjustRightInd w:val="0"/>
              <w:spacing w:line="360" w:lineRule="auto"/>
              <w:rPr>
                <w:rFonts w:hAnsi="宋体" w:cs="宋体"/>
                <w:bCs/>
                <w:color w:val="auto"/>
                <w:sz w:val="24"/>
              </w:rPr>
            </w:pPr>
          </w:p>
        </w:tc>
      </w:tr>
    </w:tbl>
    <w:p>
      <w:pPr>
        <w:snapToGrid w:val="0"/>
        <w:spacing w:line="360" w:lineRule="auto"/>
        <w:ind w:firstLine="48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480"/>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ind w:firstLine="480"/>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snapToGrid w:val="0"/>
        <w:spacing w:line="360" w:lineRule="auto"/>
        <w:ind w:right="480" w:firstLine="643"/>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643"/>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bookmarkStart w:id="549"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9"/>
    <w:p>
      <w:pPr>
        <w:snapToGrid w:val="0"/>
        <w:spacing w:line="360" w:lineRule="auto"/>
        <w:ind w:firstLine="480"/>
        <w:rPr>
          <w:rFonts w:ascii="宋体" w:hAnsi="宋体" w:cs="宋体"/>
          <w:color w:val="auto"/>
          <w:kern w:val="0"/>
          <w:sz w:val="24"/>
        </w:rPr>
      </w:pPr>
    </w:p>
    <w:p>
      <w:pPr>
        <w:ind w:firstLine="643"/>
        <w:jc w:val="center"/>
        <w:rPr>
          <w:rFonts w:ascii="宋体" w:hAnsi="宋体" w:cs="宋体"/>
          <w:b/>
          <w:color w:val="auto"/>
          <w:kern w:val="0"/>
          <w:sz w:val="32"/>
          <w:szCs w:val="32"/>
        </w:rPr>
      </w:pPr>
    </w:p>
    <w:p>
      <w:pPr>
        <w:pStyle w:val="3"/>
        <w:ind w:firstLine="643"/>
        <w:rPr>
          <w:color w:val="auto"/>
          <w:lang w:val="en-US"/>
        </w:rPr>
      </w:pPr>
    </w:p>
    <w:p>
      <w:pPr>
        <w:ind w:firstLine="480"/>
        <w:rPr>
          <w:color w:val="auto"/>
        </w:rPr>
      </w:pPr>
    </w:p>
    <w:p>
      <w:pPr>
        <w:pStyle w:val="3"/>
        <w:ind w:firstLine="643"/>
        <w:rPr>
          <w:color w:val="auto"/>
          <w:lang w:val="en-US"/>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ind w:firstLine="643"/>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ind w:firstLine="482"/>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both"/>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both"/>
              <w:rPr>
                <w:rFonts w:ascii="宋体" w:hAnsi="宋体" w:cs="宋体"/>
                <w:b/>
                <w:color w:val="auto"/>
                <w:sz w:val="24"/>
              </w:rPr>
            </w:pPr>
            <w:r>
              <w:rPr>
                <w:rFonts w:hint="eastAsia" w:ascii="宋体" w:hAnsi="宋体" w:cs="宋体"/>
                <w:b/>
                <w:color w:val="auto"/>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sz w:val="24"/>
              </w:rPr>
            </w:pPr>
            <w:r>
              <w:rPr>
                <w:rFonts w:hint="eastAsia" w:ascii="宋体" w:hAnsi="宋体" w:cs="宋体"/>
                <w:color w:val="auto"/>
                <w:sz w:val="24"/>
              </w:rPr>
              <w:t>1</w:t>
            </w:r>
          </w:p>
        </w:tc>
        <w:tc>
          <w:tcPr>
            <w:tcW w:w="4991" w:type="dxa"/>
          </w:tcPr>
          <w:p>
            <w:pPr>
              <w:spacing w:line="360" w:lineRule="auto"/>
              <w:ind w:firstLine="480"/>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ind w:firstLine="480"/>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ind w:firstLine="480"/>
              <w:rPr>
                <w:rFonts w:ascii="宋体" w:hAnsi="宋体" w:cs="宋体"/>
                <w:color w:val="auto"/>
                <w:sz w:val="24"/>
              </w:rPr>
            </w:pPr>
          </w:p>
          <w:p>
            <w:pPr>
              <w:ind w:firstLine="480"/>
              <w:rPr>
                <w:rFonts w:ascii="宋体" w:hAnsi="宋体" w:cs="宋体"/>
                <w:color w:val="auto"/>
                <w:sz w:val="24"/>
              </w:rPr>
            </w:pPr>
            <w:r>
              <w:rPr>
                <w:rFonts w:hint="eastAsia" w:ascii="宋体" w:hAnsi="宋体" w:cs="宋体"/>
                <w:color w:val="auto"/>
                <w:sz w:val="24"/>
              </w:rPr>
              <w:t>见投标文件</w:t>
            </w:r>
          </w:p>
          <w:p>
            <w:pPr>
              <w:ind w:firstLine="480"/>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sz w:val="24"/>
              </w:rPr>
            </w:pPr>
            <w:r>
              <w:rPr>
                <w:rFonts w:hint="eastAsia" w:ascii="宋体" w:hAnsi="宋体" w:cs="宋体"/>
                <w:color w:val="auto"/>
                <w:sz w:val="24"/>
              </w:rPr>
              <w:t>2</w:t>
            </w:r>
          </w:p>
        </w:tc>
        <w:tc>
          <w:tcPr>
            <w:tcW w:w="4991" w:type="dxa"/>
          </w:tcPr>
          <w:p>
            <w:pPr>
              <w:spacing w:line="360" w:lineRule="auto"/>
              <w:ind w:firstLine="480"/>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ind w:firstLine="480"/>
              <w:rPr>
                <w:rFonts w:ascii="宋体" w:hAnsi="宋体" w:cs="宋体"/>
                <w:color w:val="auto"/>
                <w:sz w:val="24"/>
              </w:rPr>
            </w:pPr>
            <w:r>
              <w:rPr>
                <w:rFonts w:hint="eastAsia" w:ascii="宋体" w:hAnsi="宋体" w:cs="宋体"/>
                <w:color w:val="auto"/>
                <w:sz w:val="24"/>
              </w:rPr>
              <w:t>投标函</w:t>
            </w:r>
          </w:p>
        </w:tc>
        <w:tc>
          <w:tcPr>
            <w:tcW w:w="1418" w:type="dxa"/>
          </w:tcPr>
          <w:p>
            <w:pPr>
              <w:ind w:firstLine="480"/>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sz w:val="24"/>
              </w:rPr>
            </w:pPr>
            <w:r>
              <w:rPr>
                <w:rFonts w:hint="eastAsia" w:ascii="宋体" w:hAnsi="宋体" w:cs="宋体"/>
                <w:color w:val="auto"/>
                <w:sz w:val="24"/>
              </w:rPr>
              <w:t>3</w:t>
            </w:r>
          </w:p>
        </w:tc>
        <w:tc>
          <w:tcPr>
            <w:tcW w:w="4991" w:type="dxa"/>
          </w:tcPr>
          <w:p>
            <w:pPr>
              <w:spacing w:line="360" w:lineRule="auto"/>
              <w:ind w:firstLine="480"/>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ind w:firstLine="480"/>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ind w:firstLine="480"/>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firstLine="480"/>
        <w:rPr>
          <w:rFonts w:ascii="宋体" w:hAnsi="宋体" w:cs="宋体"/>
          <w:color w:val="auto"/>
          <w:sz w:val="24"/>
        </w:rPr>
      </w:pPr>
      <w:r>
        <w:rPr>
          <w:rFonts w:hint="eastAsia" w:ascii="宋体" w:hAnsi="宋体" w:cs="宋体"/>
          <w:color w:val="auto"/>
          <w:sz w:val="24"/>
        </w:rPr>
        <w:t>注：按本格式和要求提供。</w:t>
      </w: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widowControl/>
        <w:adjustRightInd/>
        <w:ind w:firstLine="643"/>
        <w:jc w:val="left"/>
        <w:rPr>
          <w:rFonts w:ascii="宋体" w:hAnsi="宋体" w:cs="宋体"/>
          <w:b/>
          <w:color w:val="auto"/>
          <w:kern w:val="0"/>
          <w:sz w:val="32"/>
          <w:szCs w:val="32"/>
        </w:rPr>
      </w:pPr>
      <w:r>
        <w:rPr>
          <w:rFonts w:ascii="宋体" w:hAnsi="宋体" w:cs="宋体"/>
          <w:b/>
          <w:color w:val="auto"/>
          <w:kern w:val="0"/>
          <w:sz w:val="32"/>
          <w:szCs w:val="32"/>
        </w:rPr>
        <w:br w:type="page"/>
      </w:r>
    </w:p>
    <w:p>
      <w:pPr>
        <w:ind w:firstLine="643"/>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ind w:firstLine="482"/>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pStyle w:val="23"/>
        <w:ind w:firstLine="562"/>
        <w:rPr>
          <w:rFonts w:hAnsi="宋体" w:cs="宋体"/>
          <w:b/>
          <w:color w:val="auto"/>
          <w:spacing w:val="20"/>
          <w:lang w:val="en-US"/>
        </w:rPr>
      </w:pPr>
    </w:p>
    <w:p>
      <w:pPr>
        <w:pStyle w:val="23"/>
        <w:ind w:firstLine="562"/>
        <w:rPr>
          <w:rFonts w:hAnsi="宋体" w:cs="宋体"/>
          <w:b/>
          <w:color w:val="auto"/>
          <w:spacing w:val="20"/>
          <w:lang w:val="en-US"/>
        </w:rPr>
      </w:pPr>
      <w:r>
        <w:rPr>
          <w:rFonts w:hint="eastAsia" w:hAnsi="宋体" w:cs="宋体"/>
          <w:b/>
          <w:color w:val="auto"/>
          <w:spacing w:val="20"/>
          <w:lang w:val="en-US"/>
        </w:rPr>
        <w:t>1</w:t>
      </w:r>
      <w:r>
        <w:rPr>
          <w:rFonts w:hint="eastAsia" w:hAnsi="宋体" w:cs="宋体"/>
          <w:b/>
          <w:color w:val="auto"/>
          <w:spacing w:val="20"/>
        </w:rPr>
        <w:t>、服务承诺保证措施</w:t>
      </w:r>
      <w:r>
        <w:rPr>
          <w:rFonts w:hint="eastAsia" w:hAnsi="宋体" w:cs="宋体"/>
          <w:b/>
          <w:color w:val="auto"/>
          <w:spacing w:val="20"/>
          <w:lang w:val="en-US"/>
        </w:rPr>
        <w:t>方案</w:t>
      </w:r>
    </w:p>
    <w:p>
      <w:pPr>
        <w:pStyle w:val="23"/>
        <w:ind w:firstLine="480"/>
        <w:rPr>
          <w:rFonts w:hAnsi="宋体" w:cs="宋体"/>
          <w:snapToGrid/>
          <w:color w:val="auto"/>
          <w:szCs w:val="24"/>
          <w:lang w:val="en-US"/>
        </w:rPr>
      </w:pPr>
      <w:r>
        <w:rPr>
          <w:rFonts w:hint="eastAsia" w:hAnsi="宋体" w:cs="宋体"/>
          <w:snapToGrid/>
          <w:color w:val="auto"/>
          <w:szCs w:val="24"/>
          <w:lang w:val="en-US"/>
        </w:rPr>
        <w:t>（由投标人根据采购需求自行编制）</w:t>
      </w:r>
    </w:p>
    <w:p>
      <w:pPr>
        <w:spacing w:line="360" w:lineRule="auto"/>
        <w:ind w:firstLine="4800" w:firstLineChars="2000"/>
        <w:rPr>
          <w:rFonts w:ascii="宋体" w:hAnsi="宋体" w:cs="宋体"/>
          <w:color w:val="auto"/>
          <w:sz w:val="24"/>
        </w:rPr>
      </w:pPr>
    </w:p>
    <w:p>
      <w:pPr>
        <w:spacing w:line="360" w:lineRule="auto"/>
        <w:ind w:firstLine="4800" w:firstLineChars="200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firstLine="480"/>
        <w:jc w:val="right"/>
        <w:rPr>
          <w:rFonts w:ascii="宋体" w:hAnsi="宋体" w:cs="宋体"/>
          <w:color w:val="auto"/>
          <w:sz w:val="24"/>
        </w:rPr>
      </w:pPr>
      <w:r>
        <w:rPr>
          <w:rFonts w:hint="eastAsia" w:ascii="宋体" w:hAnsi="宋体" w:cs="宋体"/>
          <w:color w:val="auto"/>
          <w:sz w:val="24"/>
        </w:rPr>
        <w:t>日期：  年   月   日</w:t>
      </w:r>
    </w:p>
    <w:p>
      <w:pPr>
        <w:ind w:firstLine="562"/>
        <w:rPr>
          <w:rFonts w:ascii="宋体" w:hAnsi="宋体" w:cs="宋体"/>
          <w:b/>
          <w:color w:val="auto"/>
          <w:spacing w:val="20"/>
          <w:sz w:val="24"/>
        </w:rPr>
      </w:pPr>
    </w:p>
    <w:p>
      <w:pPr>
        <w:ind w:firstLine="562"/>
        <w:rPr>
          <w:rFonts w:ascii="宋体" w:hAnsi="宋体" w:cs="宋体"/>
          <w:b/>
          <w:color w:val="auto"/>
          <w:spacing w:val="20"/>
          <w:sz w:val="24"/>
        </w:rPr>
      </w:pPr>
      <w:r>
        <w:rPr>
          <w:rFonts w:hint="eastAsia" w:ascii="宋体" w:hAnsi="宋体" w:cs="宋体"/>
          <w:b/>
          <w:color w:val="auto"/>
          <w:spacing w:val="20"/>
          <w:sz w:val="24"/>
        </w:rPr>
        <w:t>2、针对本项目的技术服务方案</w:t>
      </w:r>
    </w:p>
    <w:p>
      <w:pPr>
        <w:pStyle w:val="23"/>
        <w:ind w:firstLine="480"/>
        <w:rPr>
          <w:rFonts w:hAnsi="宋体" w:cs="宋体"/>
          <w:snapToGrid/>
          <w:color w:val="auto"/>
          <w:szCs w:val="24"/>
          <w:lang w:val="en-US"/>
        </w:rPr>
      </w:pPr>
      <w:r>
        <w:rPr>
          <w:rFonts w:hint="eastAsia" w:hAnsi="宋体" w:cs="宋体"/>
          <w:snapToGrid/>
          <w:color w:val="auto"/>
          <w:szCs w:val="24"/>
          <w:lang w:val="en-US"/>
        </w:rPr>
        <w:t>（由投标人根据采购需求自行编制）</w:t>
      </w:r>
    </w:p>
    <w:p>
      <w:pPr>
        <w:ind w:firstLine="480"/>
        <w:rPr>
          <w:rFonts w:ascii="宋体" w:hAnsi="宋体" w:cs="宋体"/>
          <w:color w:val="auto"/>
        </w:rPr>
      </w:pPr>
    </w:p>
    <w:p>
      <w:pPr>
        <w:ind w:firstLine="480"/>
        <w:rPr>
          <w:rFonts w:ascii="宋体" w:hAnsi="宋体" w:cs="宋体"/>
          <w:color w:val="auto"/>
        </w:rPr>
      </w:pPr>
    </w:p>
    <w:p>
      <w:pPr>
        <w:spacing w:line="360" w:lineRule="auto"/>
        <w:ind w:firstLine="4800" w:firstLineChars="200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firstLine="480"/>
        <w:jc w:val="right"/>
        <w:rPr>
          <w:rFonts w:ascii="宋体" w:hAnsi="宋体" w:cs="宋体"/>
          <w:color w:val="auto"/>
          <w:sz w:val="24"/>
        </w:rPr>
      </w:pPr>
      <w:r>
        <w:rPr>
          <w:rFonts w:hint="eastAsia" w:ascii="宋体" w:hAnsi="宋体" w:cs="宋体"/>
          <w:color w:val="auto"/>
          <w:sz w:val="24"/>
        </w:rPr>
        <w:t>日期：  年   月   日</w:t>
      </w:r>
    </w:p>
    <w:p>
      <w:pPr>
        <w:ind w:firstLine="562"/>
        <w:rPr>
          <w:rFonts w:ascii="宋体" w:hAnsi="宋体" w:cs="宋体"/>
          <w:b/>
          <w:color w:val="auto"/>
          <w:spacing w:val="20"/>
          <w:sz w:val="24"/>
        </w:rPr>
      </w:pPr>
    </w:p>
    <w:p>
      <w:pPr>
        <w:ind w:firstLine="562"/>
        <w:rPr>
          <w:rFonts w:ascii="宋体" w:hAnsi="宋体" w:cs="宋体"/>
          <w:b/>
          <w:color w:val="auto"/>
          <w:spacing w:val="20"/>
          <w:sz w:val="24"/>
        </w:rPr>
      </w:pPr>
      <w:r>
        <w:rPr>
          <w:rFonts w:hint="eastAsia" w:ascii="宋体" w:hAnsi="宋体" w:cs="宋体"/>
          <w:b/>
          <w:color w:val="auto"/>
          <w:spacing w:val="20"/>
          <w:sz w:val="24"/>
        </w:rPr>
        <w:t>3、售后服务方案</w:t>
      </w:r>
    </w:p>
    <w:p>
      <w:pPr>
        <w:pStyle w:val="23"/>
        <w:ind w:firstLine="480"/>
        <w:rPr>
          <w:rFonts w:hAnsi="宋体" w:cs="宋体"/>
          <w:snapToGrid/>
          <w:color w:val="auto"/>
          <w:szCs w:val="24"/>
          <w:lang w:val="en-US"/>
        </w:rPr>
      </w:pPr>
      <w:r>
        <w:rPr>
          <w:rFonts w:hint="eastAsia" w:hAnsi="宋体" w:cs="宋体"/>
          <w:snapToGrid/>
          <w:color w:val="auto"/>
          <w:szCs w:val="24"/>
          <w:lang w:val="en-US"/>
        </w:rPr>
        <w:t>（由投标人根据采购需求自行编制）</w:t>
      </w:r>
    </w:p>
    <w:p>
      <w:pPr>
        <w:ind w:firstLine="480"/>
        <w:rPr>
          <w:rFonts w:ascii="宋体" w:hAnsi="宋体" w:cs="宋体"/>
          <w:color w:val="auto"/>
        </w:rPr>
      </w:pPr>
    </w:p>
    <w:p>
      <w:pPr>
        <w:ind w:firstLine="480"/>
        <w:rPr>
          <w:rFonts w:ascii="宋体" w:hAnsi="宋体" w:cs="宋体"/>
          <w:color w:val="auto"/>
        </w:rPr>
      </w:pPr>
    </w:p>
    <w:p>
      <w:pPr>
        <w:spacing w:line="360" w:lineRule="auto"/>
        <w:ind w:firstLine="4800" w:firstLineChars="200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firstLine="480"/>
        <w:jc w:val="right"/>
        <w:rPr>
          <w:rFonts w:ascii="宋体" w:hAnsi="宋体" w:cs="宋体"/>
          <w:color w:val="auto"/>
          <w:sz w:val="24"/>
        </w:rPr>
      </w:pPr>
      <w:r>
        <w:rPr>
          <w:rFonts w:hint="eastAsia" w:ascii="宋体" w:hAnsi="宋体" w:cs="宋体"/>
          <w:color w:val="auto"/>
          <w:sz w:val="24"/>
        </w:rPr>
        <w:t>日期：  年   月   日</w:t>
      </w:r>
    </w:p>
    <w:p>
      <w:pPr>
        <w:pStyle w:val="23"/>
        <w:ind w:firstLine="480"/>
        <w:rPr>
          <w:rFonts w:hAnsi="宋体" w:cs="宋体"/>
          <w:color w:val="auto"/>
          <w:lang w:val="en-US"/>
        </w:rPr>
      </w:pPr>
    </w:p>
    <w:p>
      <w:pPr>
        <w:widowControl/>
        <w:spacing w:line="360" w:lineRule="auto"/>
        <w:ind w:firstLine="562"/>
        <w:jc w:val="left"/>
        <w:rPr>
          <w:rFonts w:ascii="宋体" w:hAnsi="宋体" w:cs="宋体"/>
          <w:b/>
          <w:color w:val="auto"/>
          <w:spacing w:val="20"/>
          <w:sz w:val="24"/>
        </w:rPr>
      </w:pPr>
      <w:r>
        <w:rPr>
          <w:rFonts w:hint="eastAsia" w:ascii="宋体" w:hAnsi="宋体" w:cs="宋体"/>
          <w:b/>
          <w:color w:val="auto"/>
          <w:spacing w:val="20"/>
          <w:sz w:val="24"/>
        </w:rPr>
        <w:t>4、项目人员情况表</w:t>
      </w:r>
    </w:p>
    <w:p>
      <w:pPr>
        <w:spacing w:line="360" w:lineRule="auto"/>
        <w:ind w:firstLine="562"/>
        <w:jc w:val="left"/>
        <w:outlineLvl w:val="2"/>
        <w:rPr>
          <w:rFonts w:ascii="宋体" w:hAnsi="宋体" w:cs="宋体"/>
          <w:b/>
          <w:color w:val="auto"/>
          <w:spacing w:val="20"/>
          <w:sz w:val="24"/>
        </w:rPr>
      </w:pPr>
      <w:r>
        <w:rPr>
          <w:rFonts w:hint="eastAsia" w:ascii="宋体" w:hAnsi="宋体" w:cs="宋体"/>
          <w:b/>
          <w:color w:val="auto"/>
          <w:spacing w:val="20"/>
          <w:sz w:val="24"/>
        </w:rPr>
        <w:t>附表A:本项目负责人情况表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824"/>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r>
              <w:rPr>
                <w:rFonts w:hint="eastAsia" w:ascii="宋体" w:hAnsi="宋体" w:cs="宋体"/>
                <w:color w:val="auto"/>
                <w:sz w:val="24"/>
                <w:lang w:val="zh-CN"/>
              </w:rPr>
              <w:t>姓名</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c>
          <w:tcPr>
            <w:tcW w:w="50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r>
              <w:rPr>
                <w:rFonts w:hint="eastAsia" w:ascii="宋体" w:hAnsi="宋体" w:cs="宋体"/>
                <w:color w:val="auto"/>
                <w:sz w:val="24"/>
                <w:lang w:val="zh-CN"/>
              </w:rPr>
              <w:t>近3年工作业绩及承担的主要工作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r>
              <w:rPr>
                <w:rFonts w:hint="eastAsia" w:ascii="宋体" w:hAnsi="宋体" w:cs="宋体"/>
                <w:color w:val="auto"/>
                <w:sz w:val="24"/>
                <w:lang w:val="zh-CN"/>
              </w:rPr>
              <w:t>性别</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c>
          <w:tcPr>
            <w:tcW w:w="5031"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r>
              <w:rPr>
                <w:rFonts w:hint="eastAsia" w:ascii="宋体" w:hAnsi="宋体" w:cs="宋体"/>
                <w:color w:val="auto"/>
                <w:sz w:val="24"/>
                <w:lang w:val="zh-CN"/>
              </w:rPr>
              <w:t>年龄</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r>
              <w:rPr>
                <w:rFonts w:hint="eastAsia" w:ascii="宋体" w:hAnsi="宋体" w:cs="宋体"/>
                <w:color w:val="auto"/>
                <w:sz w:val="24"/>
                <w:lang w:val="zh-CN"/>
              </w:rPr>
              <w:t>职称</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r>
              <w:rPr>
                <w:rFonts w:hint="eastAsia" w:ascii="宋体" w:hAnsi="宋体" w:cs="宋体"/>
                <w:color w:val="auto"/>
                <w:sz w:val="24"/>
                <w:lang w:val="zh-CN"/>
              </w:rPr>
              <w:t>毕业时间</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r>
              <w:rPr>
                <w:rFonts w:hint="eastAsia" w:ascii="宋体" w:hAnsi="宋体" w:cs="宋体"/>
                <w:color w:val="auto"/>
                <w:sz w:val="24"/>
                <w:lang w:val="zh-CN"/>
              </w:rPr>
              <w:t>所学专业</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r>
              <w:rPr>
                <w:rFonts w:hint="eastAsia" w:ascii="宋体" w:hAnsi="宋体" w:cs="宋体"/>
                <w:color w:val="auto"/>
                <w:sz w:val="24"/>
                <w:lang w:val="zh-CN"/>
              </w:rPr>
              <w:t>学历</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r>
              <w:rPr>
                <w:rFonts w:hint="eastAsia" w:ascii="宋体" w:hAnsi="宋体" w:cs="宋体"/>
                <w:color w:val="auto"/>
                <w:sz w:val="24"/>
                <w:lang w:val="zh-CN"/>
              </w:rPr>
              <w:t>资质证书编号</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r>
              <w:rPr>
                <w:rFonts w:hint="eastAsia" w:ascii="宋体" w:hAnsi="宋体" w:cs="宋体"/>
                <w:color w:val="auto"/>
                <w:sz w:val="24"/>
                <w:lang w:val="zh-CN"/>
              </w:rPr>
              <w:t>其他专业资质</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21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r>
              <w:rPr>
                <w:rFonts w:hint="eastAsia" w:ascii="宋体" w:hAnsi="宋体" w:cs="宋体"/>
                <w:color w:val="auto"/>
                <w:sz w:val="24"/>
                <w:lang w:val="zh-CN"/>
              </w:rPr>
              <w:t>联系电话</w:t>
            </w:r>
          </w:p>
        </w:tc>
        <w:tc>
          <w:tcPr>
            <w:tcW w:w="18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ind w:firstLine="480"/>
              <w:jc w:val="center"/>
              <w:rPr>
                <w:rFonts w:ascii="宋体" w:hAnsi="宋体" w:cs="宋体"/>
                <w:color w:val="auto"/>
                <w:sz w:val="24"/>
                <w:lang w:val="zh-CN"/>
              </w:rPr>
            </w:pPr>
          </w:p>
        </w:tc>
      </w:tr>
    </w:tbl>
    <w:p>
      <w:pPr>
        <w:pStyle w:val="32"/>
        <w:spacing w:line="360" w:lineRule="auto"/>
        <w:ind w:firstLine="480"/>
        <w:outlineLvl w:val="1"/>
        <w:rPr>
          <w:rFonts w:hAnsi="宋体" w:cs="宋体"/>
          <w:color w:val="auto"/>
          <w:spacing w:val="20"/>
          <w:sz w:val="24"/>
        </w:rPr>
      </w:pPr>
      <w:r>
        <w:rPr>
          <w:rFonts w:hint="eastAsia" w:hAnsi="宋体" w:cs="宋体"/>
          <w:color w:val="auto"/>
          <w:sz w:val="24"/>
          <w:lang w:val="zh-CN"/>
        </w:rPr>
        <w:t>注：</w:t>
      </w:r>
      <w:r>
        <w:rPr>
          <w:rFonts w:hint="eastAsia" w:hAnsi="宋体" w:cs="宋体"/>
          <w:color w:val="auto"/>
          <w:spacing w:val="20"/>
          <w:sz w:val="24"/>
        </w:rPr>
        <w:t>须随表提交相应的履历表、职称证书扫描件、学历证书、劳动合同、用户证明等工作经验相关证明材料。</w:t>
      </w:r>
    </w:p>
    <w:p>
      <w:pPr>
        <w:ind w:firstLine="562"/>
        <w:jc w:val="left"/>
        <w:outlineLvl w:val="2"/>
        <w:rPr>
          <w:rFonts w:ascii="宋体" w:hAnsi="宋体" w:cs="宋体"/>
          <w:b/>
          <w:color w:val="auto"/>
          <w:spacing w:val="20"/>
          <w:sz w:val="24"/>
        </w:rPr>
      </w:pPr>
    </w:p>
    <w:p>
      <w:pPr>
        <w:ind w:firstLine="562"/>
        <w:jc w:val="left"/>
        <w:outlineLvl w:val="2"/>
        <w:rPr>
          <w:rFonts w:ascii="宋体" w:hAnsi="宋体" w:cs="宋体"/>
          <w:b/>
          <w:color w:val="auto"/>
          <w:spacing w:val="20"/>
          <w:sz w:val="24"/>
        </w:rPr>
      </w:pPr>
      <w:r>
        <w:rPr>
          <w:rFonts w:hint="eastAsia" w:ascii="宋体" w:hAnsi="宋体" w:cs="宋体"/>
          <w:b/>
          <w:color w:val="auto"/>
          <w:spacing w:val="20"/>
          <w:sz w:val="24"/>
        </w:rPr>
        <w:t>附表B：本项目的项目小组人员情况表（按此格式自制）</w:t>
      </w:r>
    </w:p>
    <w:tbl>
      <w:tblPr>
        <w:tblStyle w:val="62"/>
        <w:tblW w:w="43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583"/>
        <w:gridCol w:w="583"/>
        <w:gridCol w:w="583"/>
        <w:gridCol w:w="1317"/>
        <w:gridCol w:w="1317"/>
        <w:gridCol w:w="1317"/>
        <w:gridCol w:w="950"/>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vAlign w:val="center"/>
          </w:tcPr>
          <w:p>
            <w:pPr>
              <w:spacing w:line="360" w:lineRule="auto"/>
              <w:jc w:val="both"/>
              <w:rPr>
                <w:rFonts w:ascii="宋体" w:hAnsi="宋体" w:cs="宋体"/>
                <w:color w:val="auto"/>
                <w:spacing w:val="20"/>
                <w:sz w:val="24"/>
              </w:rPr>
            </w:pPr>
            <w:r>
              <w:rPr>
                <w:rFonts w:hint="eastAsia" w:ascii="宋体" w:hAnsi="宋体" w:cs="宋体"/>
                <w:color w:val="auto"/>
                <w:spacing w:val="20"/>
                <w:sz w:val="24"/>
              </w:rPr>
              <w:t>序号</w:t>
            </w:r>
          </w:p>
        </w:tc>
        <w:tc>
          <w:tcPr>
            <w:tcW w:w="425" w:type="pct"/>
            <w:noWrap/>
            <w:vAlign w:val="center"/>
          </w:tcPr>
          <w:p>
            <w:pPr>
              <w:spacing w:line="360" w:lineRule="auto"/>
              <w:jc w:val="both"/>
              <w:rPr>
                <w:rFonts w:ascii="宋体" w:hAnsi="宋体" w:cs="宋体"/>
                <w:color w:val="auto"/>
                <w:spacing w:val="20"/>
                <w:sz w:val="24"/>
              </w:rPr>
            </w:pPr>
            <w:r>
              <w:rPr>
                <w:rFonts w:hint="eastAsia" w:ascii="宋体" w:hAnsi="宋体" w:cs="宋体"/>
                <w:color w:val="auto"/>
                <w:spacing w:val="20"/>
                <w:sz w:val="24"/>
              </w:rPr>
              <w:t>姓名</w:t>
            </w:r>
          </w:p>
        </w:tc>
        <w:tc>
          <w:tcPr>
            <w:tcW w:w="425" w:type="pct"/>
            <w:noWrap/>
            <w:vAlign w:val="center"/>
          </w:tcPr>
          <w:p>
            <w:pPr>
              <w:spacing w:line="360" w:lineRule="auto"/>
              <w:jc w:val="both"/>
              <w:rPr>
                <w:rFonts w:ascii="宋体" w:hAnsi="宋体" w:cs="宋体"/>
                <w:color w:val="auto"/>
                <w:spacing w:val="20"/>
                <w:sz w:val="24"/>
              </w:rPr>
            </w:pPr>
            <w:r>
              <w:rPr>
                <w:rFonts w:hint="eastAsia" w:ascii="宋体" w:hAnsi="宋体" w:cs="宋体"/>
                <w:color w:val="auto"/>
                <w:spacing w:val="20"/>
                <w:sz w:val="24"/>
              </w:rPr>
              <w:t>性别</w:t>
            </w:r>
          </w:p>
        </w:tc>
        <w:tc>
          <w:tcPr>
            <w:tcW w:w="425" w:type="pct"/>
            <w:noWrap/>
            <w:vAlign w:val="center"/>
          </w:tcPr>
          <w:p>
            <w:pPr>
              <w:jc w:val="both"/>
              <w:rPr>
                <w:rFonts w:ascii="宋体" w:hAnsi="宋体" w:cs="宋体"/>
                <w:color w:val="auto"/>
                <w:spacing w:val="20"/>
                <w:sz w:val="24"/>
              </w:rPr>
            </w:pPr>
            <w:r>
              <w:rPr>
                <w:rFonts w:hint="eastAsia" w:ascii="宋体" w:hAnsi="宋体" w:cs="宋体"/>
                <w:color w:val="auto"/>
                <w:spacing w:val="20"/>
                <w:sz w:val="24"/>
              </w:rPr>
              <w:t>年龄</w:t>
            </w:r>
          </w:p>
        </w:tc>
        <w:tc>
          <w:tcPr>
            <w:tcW w:w="571" w:type="pct"/>
            <w:noWrap/>
            <w:vAlign w:val="center"/>
          </w:tcPr>
          <w:p>
            <w:pPr>
              <w:jc w:val="both"/>
              <w:rPr>
                <w:rFonts w:ascii="宋体" w:hAnsi="宋体" w:cs="宋体"/>
                <w:color w:val="auto"/>
                <w:spacing w:val="20"/>
                <w:sz w:val="24"/>
              </w:rPr>
            </w:pPr>
            <w:r>
              <w:rPr>
                <w:rFonts w:hint="eastAsia" w:ascii="宋体" w:hAnsi="宋体" w:cs="宋体"/>
                <w:color w:val="auto"/>
                <w:spacing w:val="20"/>
                <w:sz w:val="24"/>
              </w:rPr>
              <w:t>学历（页码）</w:t>
            </w:r>
          </w:p>
        </w:tc>
        <w:tc>
          <w:tcPr>
            <w:tcW w:w="571" w:type="pct"/>
            <w:noWrap/>
            <w:vAlign w:val="center"/>
          </w:tcPr>
          <w:p>
            <w:pPr>
              <w:jc w:val="both"/>
              <w:rPr>
                <w:rFonts w:ascii="宋体" w:hAnsi="宋体" w:cs="宋体"/>
                <w:color w:val="auto"/>
                <w:spacing w:val="20"/>
                <w:sz w:val="24"/>
              </w:rPr>
            </w:pPr>
            <w:r>
              <w:rPr>
                <w:rFonts w:hint="eastAsia" w:ascii="宋体" w:hAnsi="宋体" w:cs="宋体"/>
                <w:color w:val="auto"/>
                <w:spacing w:val="20"/>
                <w:sz w:val="24"/>
              </w:rPr>
              <w:t>专业（页码）</w:t>
            </w:r>
          </w:p>
        </w:tc>
        <w:tc>
          <w:tcPr>
            <w:tcW w:w="571" w:type="pct"/>
            <w:noWrap/>
            <w:vAlign w:val="center"/>
          </w:tcPr>
          <w:p>
            <w:pPr>
              <w:jc w:val="both"/>
              <w:rPr>
                <w:rFonts w:ascii="宋体" w:hAnsi="宋体" w:cs="宋体"/>
                <w:color w:val="auto"/>
                <w:spacing w:val="20"/>
                <w:sz w:val="24"/>
              </w:rPr>
            </w:pPr>
            <w:r>
              <w:rPr>
                <w:rFonts w:hint="eastAsia" w:ascii="宋体" w:hAnsi="宋体" w:cs="宋体"/>
                <w:color w:val="auto"/>
                <w:spacing w:val="20"/>
                <w:sz w:val="24"/>
              </w:rPr>
              <w:t>职称（页码）</w:t>
            </w:r>
          </w:p>
        </w:tc>
        <w:tc>
          <w:tcPr>
            <w:tcW w:w="571" w:type="pct"/>
            <w:noWrap/>
            <w:vAlign w:val="center"/>
          </w:tcPr>
          <w:p>
            <w:pPr>
              <w:jc w:val="both"/>
              <w:rPr>
                <w:rFonts w:ascii="宋体" w:hAnsi="宋体" w:cs="宋体"/>
                <w:color w:val="auto"/>
                <w:spacing w:val="20"/>
                <w:sz w:val="24"/>
              </w:rPr>
            </w:pPr>
            <w:r>
              <w:rPr>
                <w:rFonts w:hint="eastAsia" w:ascii="宋体" w:hAnsi="宋体" w:cs="宋体"/>
                <w:color w:val="auto"/>
                <w:spacing w:val="20"/>
                <w:sz w:val="24"/>
              </w:rPr>
              <w:t>项目经历</w:t>
            </w:r>
          </w:p>
        </w:tc>
        <w:tc>
          <w:tcPr>
            <w:tcW w:w="1009" w:type="pct"/>
            <w:noWrap/>
            <w:vAlign w:val="center"/>
          </w:tcPr>
          <w:p>
            <w:pPr>
              <w:jc w:val="both"/>
              <w:rPr>
                <w:rFonts w:ascii="宋体" w:hAnsi="宋体" w:cs="宋体"/>
                <w:color w:val="auto"/>
                <w:spacing w:val="20"/>
                <w:sz w:val="24"/>
              </w:rPr>
            </w:pPr>
            <w:r>
              <w:rPr>
                <w:rFonts w:hint="eastAsia" w:ascii="宋体" w:hAnsi="宋体" w:cs="宋体"/>
                <w:color w:val="auto"/>
                <w:spacing w:val="20"/>
                <w:sz w:val="24"/>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pPr>
              <w:spacing w:line="360" w:lineRule="auto"/>
              <w:ind w:firstLine="560"/>
              <w:jc w:val="center"/>
              <w:rPr>
                <w:rFonts w:ascii="宋体" w:hAnsi="宋体" w:cs="宋体"/>
                <w:color w:val="auto"/>
                <w:spacing w:val="20"/>
                <w:sz w:val="24"/>
              </w:rPr>
            </w:pPr>
          </w:p>
        </w:tc>
        <w:tc>
          <w:tcPr>
            <w:tcW w:w="425" w:type="pct"/>
            <w:noWrap/>
          </w:tcPr>
          <w:p>
            <w:pPr>
              <w:spacing w:line="360" w:lineRule="auto"/>
              <w:ind w:firstLine="560"/>
              <w:jc w:val="center"/>
              <w:rPr>
                <w:rFonts w:ascii="宋体" w:hAnsi="宋体" w:cs="宋体"/>
                <w:color w:val="auto"/>
                <w:spacing w:val="20"/>
                <w:sz w:val="24"/>
              </w:rPr>
            </w:pPr>
          </w:p>
        </w:tc>
        <w:tc>
          <w:tcPr>
            <w:tcW w:w="425" w:type="pct"/>
            <w:noWrap/>
          </w:tcPr>
          <w:p>
            <w:pPr>
              <w:spacing w:line="360" w:lineRule="auto"/>
              <w:ind w:firstLine="560"/>
              <w:jc w:val="center"/>
              <w:rPr>
                <w:rFonts w:ascii="宋体" w:hAnsi="宋体" w:cs="宋体"/>
                <w:color w:val="auto"/>
                <w:spacing w:val="20"/>
                <w:sz w:val="24"/>
              </w:rPr>
            </w:pPr>
          </w:p>
        </w:tc>
        <w:tc>
          <w:tcPr>
            <w:tcW w:w="425"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1009" w:type="pct"/>
            <w:noWrap/>
          </w:tcPr>
          <w:p>
            <w:pPr>
              <w:spacing w:line="360" w:lineRule="auto"/>
              <w:ind w:firstLine="560"/>
              <w:jc w:val="center"/>
              <w:rPr>
                <w:rFonts w:ascii="宋体" w:hAnsi="宋体" w:cs="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pPr>
              <w:spacing w:line="360" w:lineRule="auto"/>
              <w:ind w:firstLine="560"/>
              <w:jc w:val="center"/>
              <w:rPr>
                <w:rFonts w:ascii="宋体" w:hAnsi="宋体" w:cs="宋体"/>
                <w:color w:val="auto"/>
                <w:spacing w:val="20"/>
                <w:sz w:val="24"/>
              </w:rPr>
            </w:pPr>
          </w:p>
        </w:tc>
        <w:tc>
          <w:tcPr>
            <w:tcW w:w="425" w:type="pct"/>
            <w:noWrap/>
          </w:tcPr>
          <w:p>
            <w:pPr>
              <w:spacing w:line="360" w:lineRule="auto"/>
              <w:ind w:firstLine="560"/>
              <w:jc w:val="center"/>
              <w:rPr>
                <w:rFonts w:ascii="宋体" w:hAnsi="宋体" w:cs="宋体"/>
                <w:color w:val="auto"/>
                <w:spacing w:val="20"/>
                <w:sz w:val="24"/>
              </w:rPr>
            </w:pPr>
          </w:p>
        </w:tc>
        <w:tc>
          <w:tcPr>
            <w:tcW w:w="425" w:type="pct"/>
            <w:noWrap/>
          </w:tcPr>
          <w:p>
            <w:pPr>
              <w:spacing w:line="360" w:lineRule="auto"/>
              <w:ind w:firstLine="560"/>
              <w:jc w:val="center"/>
              <w:rPr>
                <w:rFonts w:ascii="宋体" w:hAnsi="宋体" w:cs="宋体"/>
                <w:color w:val="auto"/>
                <w:spacing w:val="20"/>
                <w:sz w:val="24"/>
              </w:rPr>
            </w:pPr>
          </w:p>
        </w:tc>
        <w:tc>
          <w:tcPr>
            <w:tcW w:w="425"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1009" w:type="pct"/>
            <w:noWrap/>
          </w:tcPr>
          <w:p>
            <w:pPr>
              <w:spacing w:line="360" w:lineRule="auto"/>
              <w:ind w:firstLine="560"/>
              <w:jc w:val="center"/>
              <w:rPr>
                <w:rFonts w:ascii="宋体" w:hAnsi="宋体" w:cs="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pPr>
              <w:spacing w:line="360" w:lineRule="auto"/>
              <w:ind w:firstLine="560"/>
              <w:jc w:val="center"/>
              <w:rPr>
                <w:rFonts w:ascii="宋体" w:hAnsi="宋体" w:cs="宋体"/>
                <w:color w:val="auto"/>
                <w:spacing w:val="20"/>
                <w:sz w:val="24"/>
              </w:rPr>
            </w:pPr>
          </w:p>
        </w:tc>
        <w:tc>
          <w:tcPr>
            <w:tcW w:w="425" w:type="pct"/>
            <w:noWrap/>
          </w:tcPr>
          <w:p>
            <w:pPr>
              <w:spacing w:line="360" w:lineRule="auto"/>
              <w:ind w:firstLine="560"/>
              <w:jc w:val="center"/>
              <w:rPr>
                <w:rFonts w:ascii="宋体" w:hAnsi="宋体" w:cs="宋体"/>
                <w:color w:val="auto"/>
                <w:spacing w:val="20"/>
                <w:sz w:val="24"/>
              </w:rPr>
            </w:pPr>
          </w:p>
        </w:tc>
        <w:tc>
          <w:tcPr>
            <w:tcW w:w="425" w:type="pct"/>
            <w:noWrap/>
          </w:tcPr>
          <w:p>
            <w:pPr>
              <w:spacing w:line="360" w:lineRule="auto"/>
              <w:ind w:firstLine="560"/>
              <w:jc w:val="center"/>
              <w:rPr>
                <w:rFonts w:ascii="宋体" w:hAnsi="宋体" w:cs="宋体"/>
                <w:color w:val="auto"/>
                <w:spacing w:val="20"/>
                <w:sz w:val="24"/>
              </w:rPr>
            </w:pPr>
          </w:p>
        </w:tc>
        <w:tc>
          <w:tcPr>
            <w:tcW w:w="425"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1009" w:type="pct"/>
            <w:noWrap/>
          </w:tcPr>
          <w:p>
            <w:pPr>
              <w:spacing w:line="360" w:lineRule="auto"/>
              <w:ind w:firstLine="560"/>
              <w:jc w:val="center"/>
              <w:rPr>
                <w:rFonts w:ascii="宋体" w:hAnsi="宋体" w:cs="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pPr>
              <w:spacing w:line="360" w:lineRule="auto"/>
              <w:ind w:firstLine="560"/>
              <w:jc w:val="center"/>
              <w:rPr>
                <w:rFonts w:ascii="宋体" w:hAnsi="宋体" w:cs="宋体"/>
                <w:color w:val="auto"/>
                <w:spacing w:val="20"/>
                <w:sz w:val="24"/>
              </w:rPr>
            </w:pPr>
          </w:p>
        </w:tc>
        <w:tc>
          <w:tcPr>
            <w:tcW w:w="425" w:type="pct"/>
            <w:noWrap/>
          </w:tcPr>
          <w:p>
            <w:pPr>
              <w:spacing w:line="360" w:lineRule="auto"/>
              <w:ind w:firstLine="560"/>
              <w:jc w:val="center"/>
              <w:rPr>
                <w:rFonts w:ascii="宋体" w:hAnsi="宋体" w:cs="宋体"/>
                <w:color w:val="auto"/>
                <w:spacing w:val="20"/>
                <w:sz w:val="24"/>
              </w:rPr>
            </w:pPr>
          </w:p>
        </w:tc>
        <w:tc>
          <w:tcPr>
            <w:tcW w:w="425" w:type="pct"/>
            <w:noWrap/>
          </w:tcPr>
          <w:p>
            <w:pPr>
              <w:spacing w:line="360" w:lineRule="auto"/>
              <w:ind w:firstLine="560"/>
              <w:jc w:val="center"/>
              <w:rPr>
                <w:rFonts w:ascii="宋体" w:hAnsi="宋体" w:cs="宋体"/>
                <w:color w:val="auto"/>
                <w:spacing w:val="20"/>
                <w:sz w:val="24"/>
              </w:rPr>
            </w:pPr>
          </w:p>
        </w:tc>
        <w:tc>
          <w:tcPr>
            <w:tcW w:w="425"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571" w:type="pct"/>
            <w:noWrap/>
          </w:tcPr>
          <w:p>
            <w:pPr>
              <w:spacing w:line="360" w:lineRule="auto"/>
              <w:ind w:firstLine="560"/>
              <w:jc w:val="center"/>
              <w:rPr>
                <w:rFonts w:ascii="宋体" w:hAnsi="宋体" w:cs="宋体"/>
                <w:color w:val="auto"/>
                <w:spacing w:val="20"/>
                <w:sz w:val="24"/>
              </w:rPr>
            </w:pPr>
          </w:p>
        </w:tc>
        <w:tc>
          <w:tcPr>
            <w:tcW w:w="1009" w:type="pct"/>
            <w:noWrap/>
          </w:tcPr>
          <w:p>
            <w:pPr>
              <w:spacing w:line="360" w:lineRule="auto"/>
              <w:ind w:firstLine="560"/>
              <w:jc w:val="center"/>
              <w:rPr>
                <w:rFonts w:ascii="宋体" w:hAnsi="宋体" w:cs="宋体"/>
                <w:color w:val="auto"/>
                <w:spacing w:val="20"/>
                <w:sz w:val="24"/>
              </w:rPr>
            </w:pPr>
          </w:p>
        </w:tc>
      </w:tr>
    </w:tbl>
    <w:p>
      <w:pPr>
        <w:spacing w:line="360" w:lineRule="auto"/>
        <w:ind w:firstLine="560"/>
        <w:rPr>
          <w:rFonts w:ascii="宋体" w:hAnsi="宋体" w:cs="宋体"/>
          <w:snapToGrid w:val="0"/>
          <w:color w:val="auto"/>
          <w:spacing w:val="20"/>
          <w:sz w:val="24"/>
          <w:szCs w:val="21"/>
        </w:rPr>
      </w:pPr>
      <w:r>
        <w:rPr>
          <w:rFonts w:hint="eastAsia" w:ascii="宋体" w:hAnsi="宋体" w:cs="宋体"/>
          <w:snapToGrid w:val="0"/>
          <w:color w:val="auto"/>
          <w:spacing w:val="20"/>
          <w:sz w:val="24"/>
          <w:szCs w:val="21"/>
        </w:rPr>
        <w:t>注：投标人可按上述的格式自行编制，</w:t>
      </w:r>
      <w:r>
        <w:rPr>
          <w:rFonts w:hint="eastAsia" w:ascii="宋体" w:hAnsi="宋体" w:cs="宋体"/>
          <w:color w:val="auto"/>
          <w:spacing w:val="20"/>
          <w:sz w:val="24"/>
        </w:rPr>
        <w:t>须随表提交相应的</w:t>
      </w:r>
      <w:r>
        <w:rPr>
          <w:rFonts w:hint="eastAsia" w:ascii="宋体" w:hAnsi="宋体" w:cs="宋体"/>
          <w:color w:val="auto"/>
          <w:spacing w:val="20"/>
          <w:sz w:val="24"/>
          <w:szCs w:val="21"/>
        </w:rPr>
        <w:t>履历表、</w:t>
      </w:r>
      <w:r>
        <w:rPr>
          <w:rFonts w:hint="eastAsia" w:ascii="宋体" w:hAnsi="宋体" w:cs="宋体"/>
          <w:color w:val="auto"/>
          <w:spacing w:val="20"/>
          <w:sz w:val="24"/>
        </w:rPr>
        <w:t>职称证书扫描件、</w:t>
      </w:r>
      <w:r>
        <w:rPr>
          <w:rFonts w:hint="eastAsia" w:ascii="宋体" w:hAnsi="宋体" w:cs="宋体"/>
          <w:color w:val="auto"/>
          <w:spacing w:val="20"/>
          <w:sz w:val="24"/>
          <w:szCs w:val="21"/>
        </w:rPr>
        <w:t>学历证书、</w:t>
      </w:r>
      <w:r>
        <w:rPr>
          <w:rFonts w:hint="eastAsia" w:ascii="宋体" w:hAnsi="宋体" w:cs="宋体"/>
          <w:color w:val="auto"/>
          <w:spacing w:val="20"/>
          <w:sz w:val="24"/>
        </w:rPr>
        <w:t>劳动合同</w:t>
      </w:r>
      <w:r>
        <w:rPr>
          <w:rFonts w:hint="eastAsia" w:ascii="宋体" w:hAnsi="宋体" w:cs="宋体"/>
          <w:color w:val="auto"/>
          <w:spacing w:val="20"/>
          <w:sz w:val="24"/>
          <w:szCs w:val="21"/>
        </w:rPr>
        <w:t>、用户证明等工作经验相关证明材料</w:t>
      </w:r>
      <w:r>
        <w:rPr>
          <w:rFonts w:hint="eastAsia" w:ascii="宋体" w:hAnsi="宋体" w:cs="宋体"/>
          <w:color w:val="auto"/>
          <w:spacing w:val="20"/>
          <w:sz w:val="24"/>
        </w:rPr>
        <w:t>，并注明所在投标文件页码</w:t>
      </w:r>
      <w:r>
        <w:rPr>
          <w:rFonts w:hint="eastAsia" w:ascii="宋体" w:hAnsi="宋体" w:cs="宋体"/>
          <w:snapToGrid w:val="0"/>
          <w:color w:val="auto"/>
          <w:spacing w:val="20"/>
          <w:sz w:val="24"/>
          <w:szCs w:val="21"/>
        </w:rPr>
        <w:t>。</w:t>
      </w:r>
    </w:p>
    <w:p>
      <w:pPr>
        <w:pStyle w:val="23"/>
        <w:ind w:firstLine="480"/>
        <w:rPr>
          <w:rFonts w:hAnsi="宋体" w:cs="宋体"/>
          <w:color w:val="auto"/>
          <w:lang w:val="en-US"/>
        </w:rPr>
      </w:pPr>
    </w:p>
    <w:p>
      <w:pPr>
        <w:spacing w:line="360" w:lineRule="auto"/>
        <w:ind w:firstLine="4800" w:firstLineChars="200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firstLine="480"/>
        <w:jc w:val="right"/>
        <w:rPr>
          <w:rFonts w:ascii="宋体" w:hAnsi="宋体" w:cs="宋体"/>
          <w:color w:val="auto"/>
          <w:sz w:val="24"/>
        </w:rPr>
      </w:pPr>
      <w:r>
        <w:rPr>
          <w:rFonts w:hint="eastAsia" w:ascii="宋体" w:hAnsi="宋体" w:cs="宋体"/>
          <w:color w:val="auto"/>
          <w:sz w:val="24"/>
        </w:rPr>
        <w:t xml:space="preserve"> 日期：  年   月   日</w:t>
      </w:r>
    </w:p>
    <w:p>
      <w:pPr>
        <w:spacing w:line="360" w:lineRule="auto"/>
        <w:ind w:firstLine="480"/>
        <w:jc w:val="left"/>
        <w:rPr>
          <w:rFonts w:ascii="宋体" w:hAnsi="宋体" w:cs="宋体"/>
          <w:color w:val="auto"/>
          <w:kern w:val="0"/>
          <w:sz w:val="24"/>
        </w:rPr>
      </w:pPr>
    </w:p>
    <w:p>
      <w:pPr>
        <w:ind w:firstLine="562"/>
        <w:rPr>
          <w:rFonts w:ascii="宋体" w:hAnsi="宋体" w:cs="宋体"/>
          <w:b/>
          <w:color w:val="auto"/>
          <w:spacing w:val="20"/>
          <w:sz w:val="24"/>
        </w:rPr>
      </w:pPr>
      <w:r>
        <w:rPr>
          <w:rFonts w:hint="eastAsia" w:ascii="宋体" w:hAnsi="宋体" w:cs="宋体"/>
          <w:b/>
          <w:color w:val="auto"/>
          <w:spacing w:val="20"/>
          <w:sz w:val="24"/>
        </w:rPr>
        <w:t>5、主要业绩证明</w:t>
      </w:r>
    </w:p>
    <w:p>
      <w:pPr>
        <w:ind w:firstLine="562"/>
        <w:rPr>
          <w:rFonts w:ascii="宋体" w:hAnsi="宋体" w:cs="宋体"/>
          <w:b/>
          <w:color w:val="auto"/>
          <w:spacing w:val="20"/>
          <w:sz w:val="24"/>
        </w:rPr>
      </w:pPr>
      <w:r>
        <w:rPr>
          <w:rFonts w:hint="eastAsia" w:ascii="宋体" w:hAnsi="宋体" w:cs="宋体"/>
          <w:b/>
          <w:color w:val="auto"/>
          <w:spacing w:val="20"/>
          <w:sz w:val="24"/>
        </w:rPr>
        <w:t>附表：相关项目业绩一览表</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1"/>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vAlign w:val="center"/>
          </w:tcPr>
          <w:p>
            <w:pPr>
              <w:spacing w:line="360" w:lineRule="auto"/>
              <w:jc w:val="both"/>
              <w:rPr>
                <w:rFonts w:ascii="宋体" w:hAnsi="宋体" w:cs="宋体"/>
                <w:color w:val="auto"/>
                <w:spacing w:val="20"/>
                <w:sz w:val="24"/>
              </w:rPr>
            </w:pPr>
            <w:r>
              <w:rPr>
                <w:rFonts w:hint="eastAsia" w:ascii="宋体" w:hAnsi="宋体" w:cs="宋体"/>
                <w:color w:val="auto"/>
                <w:spacing w:val="20"/>
                <w:sz w:val="24"/>
              </w:rPr>
              <w:t>项目名称</w:t>
            </w:r>
          </w:p>
        </w:tc>
        <w:tc>
          <w:tcPr>
            <w:tcW w:w="1491" w:type="dxa"/>
            <w:noWrap/>
            <w:vAlign w:val="center"/>
          </w:tcPr>
          <w:p>
            <w:pPr>
              <w:spacing w:line="360" w:lineRule="auto"/>
              <w:jc w:val="both"/>
              <w:rPr>
                <w:rFonts w:ascii="宋体" w:hAnsi="宋体" w:cs="宋体"/>
                <w:color w:val="auto"/>
                <w:spacing w:val="20"/>
                <w:sz w:val="24"/>
              </w:rPr>
            </w:pPr>
            <w:r>
              <w:rPr>
                <w:rFonts w:hint="eastAsia" w:ascii="宋体" w:hAnsi="宋体" w:cs="宋体"/>
                <w:color w:val="auto"/>
                <w:spacing w:val="20"/>
                <w:sz w:val="24"/>
              </w:rPr>
              <w:t>项目类型</w:t>
            </w:r>
          </w:p>
        </w:tc>
        <w:tc>
          <w:tcPr>
            <w:tcW w:w="1491" w:type="dxa"/>
            <w:noWrap/>
            <w:vAlign w:val="center"/>
          </w:tcPr>
          <w:p>
            <w:pPr>
              <w:spacing w:line="360" w:lineRule="auto"/>
              <w:jc w:val="both"/>
              <w:rPr>
                <w:rFonts w:ascii="宋体" w:hAnsi="宋体" w:cs="宋体"/>
                <w:color w:val="auto"/>
                <w:spacing w:val="20"/>
                <w:sz w:val="24"/>
              </w:rPr>
            </w:pPr>
            <w:r>
              <w:rPr>
                <w:rFonts w:hint="eastAsia" w:ascii="宋体" w:hAnsi="宋体" w:cs="宋体"/>
                <w:color w:val="auto"/>
                <w:spacing w:val="20"/>
                <w:sz w:val="24"/>
              </w:rPr>
              <w:t>简要描述</w:t>
            </w:r>
          </w:p>
        </w:tc>
        <w:tc>
          <w:tcPr>
            <w:tcW w:w="1491" w:type="dxa"/>
            <w:noWrap/>
            <w:vAlign w:val="center"/>
          </w:tcPr>
          <w:p>
            <w:pPr>
              <w:jc w:val="both"/>
              <w:rPr>
                <w:rFonts w:ascii="宋体" w:hAnsi="宋体" w:cs="宋体"/>
                <w:color w:val="auto"/>
                <w:spacing w:val="20"/>
                <w:sz w:val="24"/>
              </w:rPr>
            </w:pPr>
            <w:r>
              <w:rPr>
                <w:rFonts w:hint="eastAsia" w:ascii="宋体" w:hAnsi="宋体" w:cs="宋体"/>
                <w:color w:val="auto"/>
                <w:spacing w:val="20"/>
                <w:sz w:val="24"/>
              </w:rPr>
              <w:t>项目投资（万元）</w:t>
            </w:r>
          </w:p>
        </w:tc>
        <w:tc>
          <w:tcPr>
            <w:tcW w:w="1491" w:type="dxa"/>
            <w:noWrap/>
            <w:vAlign w:val="center"/>
          </w:tcPr>
          <w:p>
            <w:pPr>
              <w:jc w:val="both"/>
              <w:rPr>
                <w:rFonts w:ascii="宋体" w:hAnsi="宋体" w:cs="宋体"/>
                <w:color w:val="auto"/>
                <w:spacing w:val="20"/>
                <w:sz w:val="24"/>
              </w:rPr>
            </w:pPr>
            <w:r>
              <w:rPr>
                <w:rFonts w:hint="eastAsia" w:ascii="宋体" w:hAnsi="宋体" w:cs="宋体"/>
                <w:color w:val="auto"/>
                <w:spacing w:val="20"/>
                <w:sz w:val="24"/>
              </w:rPr>
              <w:t>用户单位联系人联系电话</w:t>
            </w:r>
          </w:p>
        </w:tc>
        <w:tc>
          <w:tcPr>
            <w:tcW w:w="1492" w:type="dxa"/>
            <w:noWrap/>
            <w:vAlign w:val="center"/>
          </w:tcPr>
          <w:p>
            <w:pPr>
              <w:spacing w:line="360" w:lineRule="auto"/>
              <w:jc w:val="both"/>
              <w:rPr>
                <w:rFonts w:ascii="宋体" w:hAnsi="宋体" w:cs="宋体"/>
                <w:color w:val="auto"/>
                <w:spacing w:val="20"/>
                <w:sz w:val="24"/>
              </w:rPr>
            </w:pPr>
            <w:r>
              <w:rPr>
                <w:rFonts w:hint="eastAsia" w:ascii="宋体" w:hAnsi="宋体" w:cs="宋体"/>
                <w:color w:val="auto"/>
                <w:spacing w:val="20"/>
                <w:sz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pPr>
              <w:spacing w:line="360" w:lineRule="auto"/>
              <w:ind w:firstLine="560"/>
              <w:jc w:val="center"/>
              <w:rPr>
                <w:rFonts w:ascii="宋体" w:hAnsi="宋体" w:cs="宋体"/>
                <w:color w:val="auto"/>
                <w:spacing w:val="20"/>
                <w:sz w:val="24"/>
              </w:rPr>
            </w:pPr>
          </w:p>
        </w:tc>
        <w:tc>
          <w:tcPr>
            <w:tcW w:w="1491" w:type="dxa"/>
            <w:noWrap/>
          </w:tcPr>
          <w:p>
            <w:pPr>
              <w:spacing w:line="360" w:lineRule="auto"/>
              <w:ind w:firstLine="560"/>
              <w:jc w:val="center"/>
              <w:rPr>
                <w:rFonts w:ascii="宋体" w:hAnsi="宋体" w:cs="宋体"/>
                <w:color w:val="auto"/>
                <w:spacing w:val="20"/>
                <w:sz w:val="24"/>
              </w:rPr>
            </w:pPr>
          </w:p>
        </w:tc>
        <w:tc>
          <w:tcPr>
            <w:tcW w:w="1491" w:type="dxa"/>
            <w:noWrap/>
          </w:tcPr>
          <w:p>
            <w:pPr>
              <w:spacing w:line="360" w:lineRule="auto"/>
              <w:ind w:firstLine="560"/>
              <w:jc w:val="center"/>
              <w:rPr>
                <w:rFonts w:ascii="宋体" w:hAnsi="宋体" w:cs="宋体"/>
                <w:color w:val="auto"/>
                <w:spacing w:val="20"/>
                <w:sz w:val="24"/>
              </w:rPr>
            </w:pPr>
          </w:p>
        </w:tc>
        <w:tc>
          <w:tcPr>
            <w:tcW w:w="1491" w:type="dxa"/>
            <w:noWrap/>
          </w:tcPr>
          <w:p>
            <w:pPr>
              <w:spacing w:line="360" w:lineRule="auto"/>
              <w:ind w:firstLine="560"/>
              <w:jc w:val="center"/>
              <w:rPr>
                <w:rFonts w:ascii="宋体" w:hAnsi="宋体" w:cs="宋体"/>
                <w:color w:val="auto"/>
                <w:spacing w:val="20"/>
                <w:sz w:val="24"/>
              </w:rPr>
            </w:pPr>
          </w:p>
        </w:tc>
        <w:tc>
          <w:tcPr>
            <w:tcW w:w="1491" w:type="dxa"/>
            <w:noWrap/>
          </w:tcPr>
          <w:p>
            <w:pPr>
              <w:spacing w:line="360" w:lineRule="auto"/>
              <w:ind w:firstLine="560"/>
              <w:jc w:val="center"/>
              <w:rPr>
                <w:rFonts w:ascii="宋体" w:hAnsi="宋体" w:cs="宋体"/>
                <w:color w:val="auto"/>
                <w:spacing w:val="20"/>
                <w:sz w:val="24"/>
              </w:rPr>
            </w:pPr>
          </w:p>
        </w:tc>
        <w:tc>
          <w:tcPr>
            <w:tcW w:w="1492" w:type="dxa"/>
            <w:noWrap/>
          </w:tcPr>
          <w:p>
            <w:pPr>
              <w:spacing w:line="360" w:lineRule="auto"/>
              <w:ind w:firstLine="560"/>
              <w:jc w:val="center"/>
              <w:rPr>
                <w:rFonts w:ascii="宋体" w:hAnsi="宋体" w:cs="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pPr>
              <w:spacing w:line="360" w:lineRule="auto"/>
              <w:ind w:firstLine="560"/>
              <w:jc w:val="center"/>
              <w:rPr>
                <w:rFonts w:ascii="宋体" w:hAnsi="宋体" w:cs="宋体"/>
                <w:color w:val="auto"/>
                <w:spacing w:val="20"/>
                <w:sz w:val="24"/>
              </w:rPr>
            </w:pPr>
          </w:p>
        </w:tc>
        <w:tc>
          <w:tcPr>
            <w:tcW w:w="1491" w:type="dxa"/>
            <w:noWrap/>
          </w:tcPr>
          <w:p>
            <w:pPr>
              <w:spacing w:line="360" w:lineRule="auto"/>
              <w:ind w:firstLine="560"/>
              <w:jc w:val="center"/>
              <w:rPr>
                <w:rFonts w:ascii="宋体" w:hAnsi="宋体" w:cs="宋体"/>
                <w:color w:val="auto"/>
                <w:spacing w:val="20"/>
                <w:sz w:val="24"/>
              </w:rPr>
            </w:pPr>
          </w:p>
        </w:tc>
        <w:tc>
          <w:tcPr>
            <w:tcW w:w="1491" w:type="dxa"/>
            <w:noWrap/>
          </w:tcPr>
          <w:p>
            <w:pPr>
              <w:spacing w:line="360" w:lineRule="auto"/>
              <w:ind w:firstLine="560"/>
              <w:jc w:val="center"/>
              <w:rPr>
                <w:rFonts w:ascii="宋体" w:hAnsi="宋体" w:cs="宋体"/>
                <w:color w:val="auto"/>
                <w:spacing w:val="20"/>
                <w:sz w:val="24"/>
              </w:rPr>
            </w:pPr>
          </w:p>
        </w:tc>
        <w:tc>
          <w:tcPr>
            <w:tcW w:w="1491" w:type="dxa"/>
            <w:noWrap/>
          </w:tcPr>
          <w:p>
            <w:pPr>
              <w:spacing w:line="360" w:lineRule="auto"/>
              <w:ind w:firstLine="560"/>
              <w:jc w:val="center"/>
              <w:rPr>
                <w:rFonts w:ascii="宋体" w:hAnsi="宋体" w:cs="宋体"/>
                <w:color w:val="auto"/>
                <w:spacing w:val="20"/>
                <w:sz w:val="24"/>
              </w:rPr>
            </w:pPr>
          </w:p>
        </w:tc>
        <w:tc>
          <w:tcPr>
            <w:tcW w:w="1491" w:type="dxa"/>
            <w:noWrap/>
          </w:tcPr>
          <w:p>
            <w:pPr>
              <w:spacing w:line="360" w:lineRule="auto"/>
              <w:ind w:firstLine="560"/>
              <w:jc w:val="center"/>
              <w:rPr>
                <w:rFonts w:ascii="宋体" w:hAnsi="宋体" w:cs="宋体"/>
                <w:color w:val="auto"/>
                <w:spacing w:val="20"/>
                <w:sz w:val="24"/>
              </w:rPr>
            </w:pPr>
          </w:p>
        </w:tc>
        <w:tc>
          <w:tcPr>
            <w:tcW w:w="1492" w:type="dxa"/>
            <w:noWrap/>
          </w:tcPr>
          <w:p>
            <w:pPr>
              <w:spacing w:line="360" w:lineRule="auto"/>
              <w:ind w:firstLine="560"/>
              <w:jc w:val="center"/>
              <w:rPr>
                <w:rFonts w:ascii="宋体" w:hAnsi="宋体" w:cs="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pPr>
              <w:spacing w:line="360" w:lineRule="auto"/>
              <w:ind w:firstLine="560"/>
              <w:jc w:val="center"/>
              <w:rPr>
                <w:rFonts w:ascii="宋体" w:hAnsi="宋体" w:cs="宋体"/>
                <w:color w:val="auto"/>
                <w:spacing w:val="20"/>
                <w:sz w:val="24"/>
              </w:rPr>
            </w:pPr>
          </w:p>
        </w:tc>
        <w:tc>
          <w:tcPr>
            <w:tcW w:w="1491" w:type="dxa"/>
            <w:noWrap/>
          </w:tcPr>
          <w:p>
            <w:pPr>
              <w:spacing w:line="360" w:lineRule="auto"/>
              <w:ind w:firstLine="560"/>
              <w:jc w:val="center"/>
              <w:rPr>
                <w:rFonts w:ascii="宋体" w:hAnsi="宋体" w:cs="宋体"/>
                <w:color w:val="auto"/>
                <w:spacing w:val="20"/>
                <w:sz w:val="24"/>
              </w:rPr>
            </w:pPr>
          </w:p>
        </w:tc>
        <w:tc>
          <w:tcPr>
            <w:tcW w:w="1491" w:type="dxa"/>
            <w:noWrap/>
          </w:tcPr>
          <w:p>
            <w:pPr>
              <w:spacing w:line="360" w:lineRule="auto"/>
              <w:ind w:firstLine="560"/>
              <w:jc w:val="center"/>
              <w:rPr>
                <w:rFonts w:ascii="宋体" w:hAnsi="宋体" w:cs="宋体"/>
                <w:color w:val="auto"/>
                <w:spacing w:val="20"/>
                <w:sz w:val="24"/>
              </w:rPr>
            </w:pPr>
          </w:p>
        </w:tc>
        <w:tc>
          <w:tcPr>
            <w:tcW w:w="1491" w:type="dxa"/>
            <w:noWrap/>
          </w:tcPr>
          <w:p>
            <w:pPr>
              <w:spacing w:line="360" w:lineRule="auto"/>
              <w:ind w:firstLine="560"/>
              <w:jc w:val="center"/>
              <w:rPr>
                <w:rFonts w:ascii="宋体" w:hAnsi="宋体" w:cs="宋体"/>
                <w:color w:val="auto"/>
                <w:spacing w:val="20"/>
                <w:sz w:val="24"/>
              </w:rPr>
            </w:pPr>
          </w:p>
        </w:tc>
        <w:tc>
          <w:tcPr>
            <w:tcW w:w="1491" w:type="dxa"/>
            <w:noWrap/>
          </w:tcPr>
          <w:p>
            <w:pPr>
              <w:spacing w:line="360" w:lineRule="auto"/>
              <w:ind w:firstLine="560"/>
              <w:jc w:val="center"/>
              <w:rPr>
                <w:rFonts w:ascii="宋体" w:hAnsi="宋体" w:cs="宋体"/>
                <w:color w:val="auto"/>
                <w:spacing w:val="20"/>
                <w:sz w:val="24"/>
              </w:rPr>
            </w:pPr>
          </w:p>
        </w:tc>
        <w:tc>
          <w:tcPr>
            <w:tcW w:w="1492" w:type="dxa"/>
            <w:noWrap/>
          </w:tcPr>
          <w:p>
            <w:pPr>
              <w:spacing w:line="360" w:lineRule="auto"/>
              <w:ind w:firstLine="560"/>
              <w:jc w:val="center"/>
              <w:rPr>
                <w:rFonts w:ascii="宋体" w:hAnsi="宋体" w:cs="宋体"/>
                <w:color w:val="auto"/>
                <w:spacing w:val="20"/>
                <w:sz w:val="24"/>
              </w:rPr>
            </w:pPr>
          </w:p>
        </w:tc>
      </w:tr>
    </w:tbl>
    <w:p>
      <w:pPr>
        <w:ind w:firstLine="560"/>
        <w:rPr>
          <w:rFonts w:ascii="宋体" w:hAnsi="宋体" w:cs="宋体"/>
          <w:b/>
          <w:color w:val="auto"/>
          <w:spacing w:val="20"/>
          <w:sz w:val="24"/>
        </w:rPr>
      </w:pPr>
      <w:r>
        <w:rPr>
          <w:rFonts w:hint="eastAsia" w:ascii="宋体" w:hAnsi="宋体" w:cs="宋体"/>
          <w:color w:val="auto"/>
          <w:spacing w:val="20"/>
          <w:sz w:val="24"/>
        </w:rPr>
        <w:t>注：投标人可按上述格式自行编制，须随表提交相应的合同扫描件并注明所在投标文件页码</w:t>
      </w:r>
      <w:r>
        <w:rPr>
          <w:rFonts w:hint="eastAsia" w:ascii="宋体" w:hAnsi="宋体" w:cs="宋体"/>
          <w:b/>
          <w:color w:val="auto"/>
          <w:spacing w:val="20"/>
          <w:sz w:val="24"/>
        </w:rPr>
        <w:t>。</w:t>
      </w:r>
    </w:p>
    <w:p>
      <w:pPr>
        <w:ind w:firstLine="562"/>
        <w:rPr>
          <w:rFonts w:ascii="宋体" w:hAnsi="宋体" w:cs="宋体"/>
          <w:b/>
          <w:color w:val="auto"/>
          <w:spacing w:val="20"/>
          <w:sz w:val="24"/>
        </w:rPr>
      </w:pPr>
    </w:p>
    <w:p>
      <w:pPr>
        <w:spacing w:line="360" w:lineRule="auto"/>
        <w:ind w:firstLine="4800" w:firstLineChars="2000"/>
        <w:jc w:val="right"/>
        <w:rPr>
          <w:rFonts w:ascii="宋体" w:hAnsi="宋体" w:cs="宋体"/>
          <w:color w:val="auto"/>
          <w:sz w:val="24"/>
        </w:rPr>
      </w:pPr>
      <w:r>
        <w:rPr>
          <w:rFonts w:hint="eastAsia" w:ascii="宋体" w:hAnsi="宋体" w:cs="宋体"/>
          <w:color w:val="auto"/>
          <w:sz w:val="24"/>
        </w:rPr>
        <w:t>投标人名称（电子签名）：</w:t>
      </w:r>
    </w:p>
    <w:p>
      <w:pPr>
        <w:ind w:firstLine="480"/>
        <w:jc w:val="right"/>
        <w:rPr>
          <w:rFonts w:ascii="宋体" w:hAnsi="宋体" w:cs="宋体"/>
          <w:color w:val="auto"/>
          <w:sz w:val="24"/>
        </w:rPr>
      </w:pPr>
      <w:r>
        <w:rPr>
          <w:rFonts w:hint="eastAsia" w:ascii="宋体" w:hAnsi="宋体" w:cs="宋体"/>
          <w:color w:val="auto"/>
          <w:sz w:val="24"/>
        </w:rPr>
        <w:t>日期：  年   月   日</w:t>
      </w:r>
    </w:p>
    <w:p>
      <w:pPr>
        <w:spacing w:line="360" w:lineRule="auto"/>
        <w:ind w:firstLine="562"/>
        <w:rPr>
          <w:rFonts w:ascii="宋体" w:hAnsi="宋体" w:cs="宋体"/>
          <w:b/>
          <w:color w:val="auto"/>
          <w:spacing w:val="20"/>
          <w:sz w:val="24"/>
        </w:rPr>
      </w:pPr>
    </w:p>
    <w:p>
      <w:pPr>
        <w:spacing w:line="360" w:lineRule="auto"/>
        <w:ind w:firstLine="562"/>
        <w:rPr>
          <w:rFonts w:ascii="宋体" w:hAnsi="宋体" w:cs="宋体"/>
          <w:b/>
          <w:color w:val="auto"/>
          <w:kern w:val="0"/>
          <w:sz w:val="24"/>
        </w:rPr>
      </w:pPr>
      <w:r>
        <w:rPr>
          <w:rFonts w:hint="eastAsia" w:ascii="宋体" w:hAnsi="宋体" w:cs="宋体"/>
          <w:b/>
          <w:color w:val="auto"/>
          <w:spacing w:val="20"/>
          <w:sz w:val="24"/>
        </w:rPr>
        <w:t>6、</w:t>
      </w:r>
      <w:r>
        <w:rPr>
          <w:rFonts w:hint="eastAsia" w:ascii="宋体" w:hAnsi="宋体" w:cs="宋体"/>
          <w:b/>
          <w:color w:val="auto"/>
          <w:kern w:val="0"/>
          <w:sz w:val="24"/>
        </w:rPr>
        <w:t>投标人认为需要的其他技术文件或说明（自愿提供）</w:t>
      </w:r>
    </w:p>
    <w:p>
      <w:pPr>
        <w:spacing w:line="360" w:lineRule="auto"/>
        <w:ind w:firstLine="480"/>
        <w:jc w:val="left"/>
        <w:rPr>
          <w:rFonts w:ascii="宋体" w:hAnsi="宋体" w:cs="宋体"/>
          <w:color w:val="auto"/>
          <w:kern w:val="0"/>
          <w:sz w:val="24"/>
        </w:rPr>
      </w:pPr>
      <w:r>
        <w:rPr>
          <w:rFonts w:hint="eastAsia" w:ascii="宋体" w:hAnsi="宋体" w:cs="宋体"/>
          <w:color w:val="auto"/>
          <w:kern w:val="0"/>
          <w:sz w:val="24"/>
        </w:rPr>
        <w:t>如公司介绍、营业执照等投标人认为需要的资料，自愿提供。</w:t>
      </w:r>
    </w:p>
    <w:p>
      <w:pPr>
        <w:spacing w:line="360" w:lineRule="auto"/>
        <w:ind w:firstLine="480"/>
        <w:jc w:val="left"/>
        <w:rPr>
          <w:rFonts w:ascii="宋体" w:hAnsi="宋体" w:cs="宋体"/>
          <w:color w:val="auto"/>
          <w:kern w:val="0"/>
          <w:sz w:val="24"/>
        </w:rPr>
      </w:pPr>
    </w:p>
    <w:p>
      <w:pPr>
        <w:pStyle w:val="23"/>
        <w:ind w:firstLine="480"/>
        <w:rPr>
          <w:rFonts w:hAnsi="宋体" w:cs="宋体"/>
          <w:color w:val="auto"/>
        </w:rPr>
      </w:pPr>
    </w:p>
    <w:p>
      <w:pPr>
        <w:spacing w:line="360" w:lineRule="auto"/>
        <w:ind w:firstLine="4800" w:firstLineChars="2000"/>
        <w:jc w:val="right"/>
        <w:rPr>
          <w:rFonts w:ascii="宋体" w:hAnsi="宋体" w:cs="宋体"/>
          <w:color w:val="auto"/>
          <w:sz w:val="24"/>
        </w:rPr>
      </w:pPr>
      <w:r>
        <w:rPr>
          <w:rFonts w:hint="eastAsia" w:ascii="宋体" w:hAnsi="宋体" w:cs="宋体"/>
          <w:color w:val="auto"/>
          <w:sz w:val="24"/>
        </w:rPr>
        <w:t>投标人名称（电子签名）：</w:t>
      </w:r>
    </w:p>
    <w:p>
      <w:pPr>
        <w:ind w:firstLine="480"/>
        <w:jc w:val="right"/>
        <w:rPr>
          <w:rFonts w:ascii="宋体" w:hAnsi="宋体" w:cs="宋体"/>
          <w:b/>
          <w:color w:val="auto"/>
          <w:kern w:val="0"/>
          <w:sz w:val="32"/>
          <w:szCs w:val="32"/>
        </w:rPr>
      </w:pPr>
      <w:r>
        <w:rPr>
          <w:rFonts w:hint="eastAsia" w:ascii="宋体" w:hAnsi="宋体" w:cs="宋体"/>
          <w:color w:val="auto"/>
          <w:sz w:val="24"/>
        </w:rPr>
        <w:t>日期：  年   月   日</w:t>
      </w: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rPr>
          <w:rFonts w:ascii="宋体" w:hAnsi="宋体" w:cs="宋体"/>
          <w:b/>
          <w:color w:val="auto"/>
          <w:kern w:val="0"/>
          <w:sz w:val="32"/>
          <w:szCs w:val="32"/>
        </w:rPr>
      </w:pPr>
      <w:r>
        <w:rPr>
          <w:rFonts w:hint="eastAsia" w:ascii="宋体" w:hAnsi="宋体" w:cs="宋体"/>
          <w:b/>
          <w:color w:val="auto"/>
          <w:kern w:val="0"/>
          <w:sz w:val="32"/>
          <w:szCs w:val="32"/>
        </w:rPr>
        <w:br w:type="page"/>
      </w: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r>
    </w:tbl>
    <w:p>
      <w:pPr>
        <w:spacing w:line="360" w:lineRule="auto"/>
        <w:ind w:right="420" w:firstLine="480"/>
        <w:rPr>
          <w:rFonts w:ascii="宋体" w:hAnsi="宋体" w:cs="宋体"/>
          <w:color w:val="auto"/>
          <w:sz w:val="24"/>
        </w:rPr>
      </w:pPr>
      <w:r>
        <w:rPr>
          <w:rFonts w:hint="eastAsia" w:ascii="宋体" w:hAnsi="宋体" w:cs="宋体"/>
          <w:color w:val="auto"/>
          <w:sz w:val="24"/>
        </w:rPr>
        <w:t>注：按本格式和要求提供。</w:t>
      </w: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b/>
                <w:bCs/>
                <w:color w:val="auto"/>
                <w:sz w:val="24"/>
              </w:rPr>
            </w:pPr>
            <w:r>
              <w:rPr>
                <w:rFonts w:hint="eastAsia" w:ascii="宋体" w:hAnsi="宋体" w:cs="宋体"/>
                <w:b/>
                <w:bCs/>
                <w:color w:val="auto"/>
                <w:sz w:val="24"/>
              </w:rPr>
              <w:t>序号</w:t>
            </w:r>
          </w:p>
        </w:tc>
        <w:tc>
          <w:tcPr>
            <w:tcW w:w="3683"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color w:val="auto"/>
                <w:kern w:val="0"/>
                <w:sz w:val="24"/>
              </w:rPr>
            </w:pPr>
            <w:r>
              <w:rPr>
                <w:rFonts w:hint="eastAsia" w:ascii="宋体" w:hAnsi="宋体" w:cs="宋体"/>
                <w:color w:val="auto"/>
                <w:kern w:val="0"/>
                <w:sz w:val="24"/>
              </w:rPr>
              <w:t>1</w:t>
            </w:r>
          </w:p>
        </w:tc>
        <w:tc>
          <w:tcPr>
            <w:tcW w:w="3683"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b/>
                <w:color w:val="auto"/>
                <w:kern w:val="0"/>
                <w:sz w:val="32"/>
                <w:szCs w:val="32"/>
              </w:rPr>
            </w:pPr>
          </w:p>
        </w:tc>
        <w:tc>
          <w:tcPr>
            <w:tcW w:w="3546"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b/>
                <w:color w:val="auto"/>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color w:val="auto"/>
                <w:kern w:val="0"/>
                <w:sz w:val="24"/>
              </w:rPr>
            </w:pPr>
            <w:r>
              <w:rPr>
                <w:rFonts w:hint="eastAsia" w:ascii="宋体" w:hAnsi="宋体" w:cs="宋体"/>
                <w:color w:val="auto"/>
                <w:kern w:val="0"/>
                <w:sz w:val="24"/>
              </w:rPr>
              <w:t>2</w:t>
            </w:r>
          </w:p>
        </w:tc>
        <w:tc>
          <w:tcPr>
            <w:tcW w:w="3683"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b/>
                <w:color w:val="auto"/>
                <w:kern w:val="0"/>
                <w:sz w:val="32"/>
                <w:szCs w:val="32"/>
              </w:rPr>
            </w:pPr>
          </w:p>
        </w:tc>
        <w:tc>
          <w:tcPr>
            <w:tcW w:w="3546"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b/>
                <w:color w:val="auto"/>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color w:val="auto"/>
                <w:kern w:val="0"/>
                <w:sz w:val="24"/>
              </w:rPr>
            </w:pPr>
            <w:r>
              <w:rPr>
                <w:rFonts w:hint="eastAsia" w:ascii="宋体" w:hAnsi="宋体" w:cs="宋体"/>
                <w:color w:val="auto"/>
                <w:kern w:val="0"/>
                <w:sz w:val="24"/>
              </w:rPr>
              <w:t>……</w:t>
            </w:r>
          </w:p>
        </w:tc>
        <w:tc>
          <w:tcPr>
            <w:tcW w:w="3683"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b/>
                <w:color w:val="auto"/>
                <w:kern w:val="0"/>
                <w:sz w:val="32"/>
                <w:szCs w:val="32"/>
              </w:rPr>
            </w:pPr>
          </w:p>
        </w:tc>
        <w:tc>
          <w:tcPr>
            <w:tcW w:w="3546"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b/>
                <w:color w:val="auto"/>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ind w:firstLine="0"/>
              <w:jc w:val="center"/>
              <w:textAlignment w:val="auto"/>
              <w:rPr>
                <w:rFonts w:ascii="宋体" w:hAnsi="宋体" w:cs="宋体"/>
                <w:b/>
                <w:color w:val="auto"/>
                <w:kern w:val="0"/>
                <w:sz w:val="32"/>
                <w:szCs w:val="32"/>
              </w:rPr>
            </w:pPr>
          </w:p>
        </w:tc>
      </w:tr>
    </w:tbl>
    <w:p>
      <w:pPr>
        <w:ind w:firstLine="480"/>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ind w:firstLine="643"/>
        <w:jc w:val="center"/>
        <w:rPr>
          <w:rFonts w:ascii="宋体" w:hAnsi="宋体" w:cs="宋体"/>
          <w:b/>
          <w:color w:val="auto"/>
          <w:kern w:val="0"/>
          <w:sz w:val="32"/>
          <w:szCs w:val="32"/>
        </w:rPr>
      </w:pPr>
    </w:p>
    <w:p>
      <w:pPr>
        <w:spacing w:line="360" w:lineRule="auto"/>
        <w:ind w:right="420" w:firstLine="48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ind w:firstLine="643"/>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ind w:firstLine="480"/>
        <w:rPr>
          <w:rFonts w:ascii="宋体" w:hAnsi="宋体" w:cs="宋体"/>
          <w:color w:val="auto"/>
          <w:sz w:val="24"/>
        </w:rPr>
      </w:pPr>
    </w:p>
    <w:p>
      <w:pPr>
        <w:snapToGrid w:val="0"/>
        <w:spacing w:line="360" w:lineRule="auto"/>
        <w:ind w:firstLine="48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firstLine="480"/>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ind w:firstLine="480"/>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firstLine="480"/>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ind w:firstLine="480"/>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firstLine="480"/>
        <w:jc w:val="left"/>
        <w:rPr>
          <w:rFonts w:ascii="宋体" w:hAnsi="宋体" w:cs="宋体"/>
          <w:color w:val="auto"/>
          <w:kern w:val="0"/>
          <w:sz w:val="24"/>
          <w:lang w:val="zh-CN"/>
        </w:rPr>
      </w:pPr>
    </w:p>
    <w:p>
      <w:pPr>
        <w:autoSpaceDE w:val="0"/>
        <w:autoSpaceDN w:val="0"/>
        <w:spacing w:line="360" w:lineRule="auto"/>
        <w:ind w:left="2" w:firstLine="480"/>
        <w:jc w:val="left"/>
        <w:rPr>
          <w:rFonts w:ascii="宋体" w:hAnsi="宋体" w:cs="宋体"/>
          <w:color w:val="auto"/>
          <w:kern w:val="0"/>
          <w:sz w:val="24"/>
          <w:lang w:val="zh-CN"/>
        </w:rPr>
      </w:pPr>
    </w:p>
    <w:p>
      <w:pPr>
        <w:autoSpaceDE w:val="0"/>
        <w:autoSpaceDN w:val="0"/>
        <w:spacing w:line="360" w:lineRule="auto"/>
        <w:ind w:left="2" w:firstLine="480"/>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firstLine="48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ind w:firstLine="482"/>
        <w:jc w:val="center"/>
        <w:rPr>
          <w:rFonts w:ascii="宋体" w:hAnsi="宋体" w:cs="宋体"/>
          <w:b/>
          <w:bCs/>
          <w:color w:val="auto"/>
          <w:sz w:val="24"/>
        </w:rPr>
      </w:pPr>
    </w:p>
    <w:p>
      <w:pPr>
        <w:spacing w:line="360" w:lineRule="auto"/>
        <w:ind w:right="420" w:firstLine="480"/>
        <w:rPr>
          <w:rFonts w:ascii="宋体" w:hAnsi="宋体" w:cs="宋体"/>
          <w:color w:val="auto"/>
          <w:sz w:val="24"/>
        </w:rPr>
      </w:pPr>
      <w:r>
        <w:rPr>
          <w:rFonts w:hint="eastAsia" w:ascii="宋体" w:hAnsi="宋体" w:cs="宋体"/>
          <w:color w:val="auto"/>
          <w:sz w:val="24"/>
        </w:rPr>
        <w:t>注：按本格式和要求提供。</w:t>
      </w:r>
    </w:p>
    <w:p>
      <w:pPr>
        <w:spacing w:line="360" w:lineRule="auto"/>
        <w:ind w:firstLine="482"/>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ind w:firstLine="723"/>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ind w:firstLine="723"/>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ind w:firstLine="723"/>
        <w:jc w:val="center"/>
        <w:outlineLvl w:val="0"/>
        <w:rPr>
          <w:rFonts w:ascii="宋体" w:hAnsi="宋体" w:cs="宋体"/>
          <w:b/>
          <w:color w:val="auto"/>
          <w:kern w:val="0"/>
          <w:sz w:val="36"/>
          <w:szCs w:val="36"/>
        </w:rPr>
      </w:pPr>
    </w:p>
    <w:p>
      <w:pPr>
        <w:numPr>
          <w:ilvl w:val="0"/>
          <w:numId w:val="0"/>
        </w:num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开标一览表（报价表）………………………………………………………（页码）</w:t>
      </w:r>
    </w:p>
    <w:p>
      <w:pPr>
        <w:snapToGrid w:val="0"/>
        <w:spacing w:line="360" w:lineRule="auto"/>
        <w:rPr>
          <w:color w:val="auto"/>
        </w:rPr>
      </w:pPr>
      <w:r>
        <w:rPr>
          <w:rFonts w:hint="eastAsia" w:ascii="宋体" w:hAnsi="宋体" w:cs="宋体"/>
          <w:color w:val="auto"/>
          <w:sz w:val="24"/>
        </w:rPr>
        <w:t>（2）</w:t>
      </w:r>
      <w:r>
        <w:rPr>
          <w:rFonts w:hint="eastAsia" w:hAnsi="仿宋_GB2312" w:cs="仿宋_GB2312"/>
          <w:bCs/>
          <w:snapToGrid w:val="0"/>
          <w:color w:val="auto"/>
          <w:sz w:val="24"/>
        </w:rPr>
        <w:t>报价情况说明</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（3）中小企业声明函………………………………………………………………（页码）</w:t>
      </w:r>
    </w:p>
    <w:p>
      <w:pPr>
        <w:pStyle w:val="79"/>
        <w:rPr>
          <w:color w:val="auto"/>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snapToGrid w:val="0"/>
        <w:spacing w:line="360" w:lineRule="auto"/>
        <w:ind w:right="480" w:firstLine="643"/>
        <w:jc w:val="center"/>
        <w:rPr>
          <w:rFonts w:ascii="宋体" w:hAnsi="宋体" w:cs="宋体"/>
          <w:b/>
          <w:color w:val="auto"/>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ind w:firstLine="480"/>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ind w:firstLine="482"/>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 w:val="24"/>
              </w:rPr>
            </w:pPr>
            <w:r>
              <w:rPr>
                <w:rFonts w:hint="eastAsia" w:ascii="宋体" w:hAnsi="宋体" w:cs="宋体"/>
                <w:b/>
                <w:color w:val="auto"/>
                <w:sz w:val="24"/>
              </w:rPr>
              <w:t>序号</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ascii="宋体" w:hAnsi="宋体" w:cs="宋体"/>
                <w:b/>
                <w:color w:val="auto"/>
                <w:sz w:val="24"/>
              </w:rPr>
            </w:pPr>
            <w:r>
              <w:rPr>
                <w:rFonts w:hint="eastAsia" w:ascii="宋体" w:hAnsi="宋体" w:cs="宋体"/>
                <w:b/>
                <w:color w:val="auto"/>
                <w:sz w:val="24"/>
              </w:rPr>
              <w:t>名称</w:t>
            </w:r>
          </w:p>
        </w:tc>
        <w:tc>
          <w:tcPr>
            <w:tcW w:w="1843" w:type="dxa"/>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 w:val="24"/>
              </w:rPr>
            </w:pPr>
            <w:r>
              <w:rPr>
                <w:rFonts w:hint="eastAsia" w:ascii="宋体" w:hAnsi="宋体" w:cs="宋体"/>
                <w:b/>
                <w:color w:val="auto"/>
                <w:sz w:val="24"/>
              </w:rPr>
              <w:t>规格型号</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ascii="宋体" w:hAnsi="宋体" w:cs="宋体"/>
                <w:b/>
                <w:color w:val="auto"/>
                <w:sz w:val="24"/>
              </w:rPr>
            </w:pPr>
            <w:r>
              <w:rPr>
                <w:rFonts w:hint="eastAsia" w:ascii="宋体" w:hAnsi="宋体" w:cs="宋体"/>
                <w:b/>
                <w:color w:val="auto"/>
                <w:sz w:val="24"/>
              </w:rPr>
              <w:t>数量</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 w:val="24"/>
              </w:rPr>
            </w:pPr>
            <w:r>
              <w:rPr>
                <w:rFonts w:hint="eastAsia" w:ascii="宋体" w:hAnsi="宋体" w:cs="宋体"/>
                <w:b/>
                <w:color w:val="auto"/>
                <w:sz w:val="24"/>
              </w:rPr>
              <w:t>单价</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 w:val="24"/>
              </w:rPr>
            </w:pPr>
            <w:r>
              <w:rPr>
                <w:rFonts w:hint="eastAsia" w:ascii="宋体" w:hAnsi="宋体" w:cs="宋体"/>
                <w:b/>
                <w:color w:val="auto"/>
                <w:sz w:val="24"/>
              </w:rPr>
              <w:t>合计</w:t>
            </w:r>
          </w:p>
        </w:tc>
        <w:tc>
          <w:tcPr>
            <w:tcW w:w="3119" w:type="dxa"/>
            <w:vAlign w:val="center"/>
          </w:tcPr>
          <w:p>
            <w:pPr>
              <w:spacing w:line="360" w:lineRule="auto"/>
              <w:ind w:firstLine="482"/>
              <w:jc w:val="center"/>
              <w:rPr>
                <w:rFonts w:ascii="宋体" w:hAnsi="宋体" w:cs="宋体"/>
                <w:b/>
                <w:color w:val="auto"/>
                <w:sz w:val="24"/>
              </w:rPr>
            </w:pPr>
          </w:p>
          <w:p>
            <w:pPr>
              <w:spacing w:line="360" w:lineRule="auto"/>
              <w:ind w:firstLine="482"/>
              <w:jc w:val="center"/>
              <w:rPr>
                <w:rFonts w:ascii="宋体" w:hAnsi="宋体" w:cs="宋体"/>
                <w:b/>
                <w:color w:val="auto"/>
                <w:sz w:val="24"/>
              </w:rPr>
            </w:pPr>
            <w:r>
              <w:rPr>
                <w:rFonts w:hint="eastAsia" w:ascii="宋体" w:hAnsi="宋体" w:cs="宋体"/>
                <w:b/>
                <w:color w:val="auto"/>
                <w:sz w:val="24"/>
              </w:rPr>
              <w:t>备注（如果有）</w:t>
            </w:r>
          </w:p>
          <w:p>
            <w:pPr>
              <w:spacing w:line="360" w:lineRule="auto"/>
              <w:ind w:firstLine="482"/>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r>
              <w:rPr>
                <w:rFonts w:hint="eastAsia" w:ascii="宋体" w:hAnsi="宋体" w:cs="宋体"/>
                <w:color w:val="auto"/>
                <w:sz w:val="24"/>
              </w:rPr>
              <w:t>1</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3119" w:type="dxa"/>
            <w:vAlign w:val="center"/>
          </w:tcPr>
          <w:p>
            <w:pPr>
              <w:spacing w:line="360" w:lineRule="auto"/>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r>
              <w:rPr>
                <w:rFonts w:hint="eastAsia" w:ascii="宋体" w:hAnsi="宋体" w:cs="宋体"/>
                <w:color w:val="auto"/>
                <w:sz w:val="24"/>
              </w:rPr>
              <w:t>2</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 w:val="24"/>
              </w:rPr>
            </w:pPr>
          </w:p>
        </w:tc>
        <w:tc>
          <w:tcPr>
            <w:tcW w:w="3119" w:type="dxa"/>
            <w:vAlign w:val="center"/>
          </w:tcPr>
          <w:p>
            <w:pPr>
              <w:spacing w:line="360" w:lineRule="auto"/>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ind w:firstLine="480"/>
              <w:jc w:val="center"/>
              <w:rPr>
                <w:rFonts w:ascii="宋体" w:hAnsi="宋体" w:cs="宋体"/>
                <w:color w:val="auto"/>
                <w:sz w:val="24"/>
              </w:rPr>
            </w:pPr>
            <w:r>
              <w:rPr>
                <w:rFonts w:hint="eastAsia" w:ascii="宋体" w:hAnsi="宋体" w:cs="宋体"/>
                <w:color w:val="auto"/>
                <w:sz w:val="24"/>
              </w:rPr>
              <w:t>…</w:t>
            </w:r>
          </w:p>
        </w:tc>
        <w:tc>
          <w:tcPr>
            <w:tcW w:w="1417" w:type="dxa"/>
            <w:vAlign w:val="center"/>
          </w:tcPr>
          <w:p>
            <w:pPr>
              <w:snapToGrid w:val="0"/>
              <w:spacing w:line="360" w:lineRule="auto"/>
              <w:ind w:firstLine="480"/>
              <w:jc w:val="center"/>
              <w:rPr>
                <w:rFonts w:ascii="宋体" w:hAnsi="宋体" w:cs="宋体"/>
                <w:color w:val="auto"/>
                <w:sz w:val="24"/>
              </w:rPr>
            </w:pPr>
          </w:p>
        </w:tc>
        <w:tc>
          <w:tcPr>
            <w:tcW w:w="1843" w:type="dxa"/>
            <w:vAlign w:val="center"/>
          </w:tcPr>
          <w:p>
            <w:pPr>
              <w:snapToGrid w:val="0"/>
              <w:spacing w:line="360" w:lineRule="auto"/>
              <w:ind w:firstLine="480"/>
              <w:jc w:val="center"/>
              <w:rPr>
                <w:rFonts w:ascii="宋体" w:hAnsi="宋体" w:cs="宋体"/>
                <w:color w:val="auto"/>
                <w:sz w:val="24"/>
              </w:rPr>
            </w:pPr>
          </w:p>
        </w:tc>
        <w:tc>
          <w:tcPr>
            <w:tcW w:w="3118" w:type="dxa"/>
            <w:vAlign w:val="center"/>
          </w:tcPr>
          <w:p>
            <w:pPr>
              <w:snapToGrid w:val="0"/>
              <w:spacing w:line="360" w:lineRule="auto"/>
              <w:ind w:firstLine="480"/>
              <w:jc w:val="center"/>
              <w:rPr>
                <w:rFonts w:ascii="宋体" w:hAnsi="宋体" w:cs="宋体"/>
                <w:color w:val="auto"/>
                <w:sz w:val="24"/>
              </w:rPr>
            </w:pPr>
          </w:p>
        </w:tc>
        <w:tc>
          <w:tcPr>
            <w:tcW w:w="993" w:type="dxa"/>
            <w:vAlign w:val="center"/>
          </w:tcPr>
          <w:p>
            <w:pPr>
              <w:snapToGrid w:val="0"/>
              <w:spacing w:line="360" w:lineRule="auto"/>
              <w:ind w:firstLine="480"/>
              <w:jc w:val="center"/>
              <w:rPr>
                <w:rFonts w:ascii="宋体" w:hAnsi="宋体" w:cs="宋体"/>
                <w:color w:val="auto"/>
                <w:sz w:val="24"/>
              </w:rPr>
            </w:pPr>
          </w:p>
        </w:tc>
        <w:tc>
          <w:tcPr>
            <w:tcW w:w="1559" w:type="dxa"/>
            <w:vAlign w:val="center"/>
          </w:tcPr>
          <w:p>
            <w:pPr>
              <w:spacing w:line="360" w:lineRule="auto"/>
              <w:ind w:firstLine="480"/>
              <w:jc w:val="center"/>
              <w:rPr>
                <w:rFonts w:ascii="宋体" w:hAnsi="宋体" w:cs="宋体"/>
                <w:color w:val="auto"/>
                <w:sz w:val="24"/>
              </w:rPr>
            </w:pPr>
          </w:p>
        </w:tc>
        <w:tc>
          <w:tcPr>
            <w:tcW w:w="1984" w:type="dxa"/>
            <w:vAlign w:val="center"/>
          </w:tcPr>
          <w:p>
            <w:pPr>
              <w:spacing w:line="360" w:lineRule="auto"/>
              <w:ind w:firstLine="480"/>
              <w:jc w:val="center"/>
              <w:rPr>
                <w:rFonts w:ascii="宋体" w:hAnsi="宋体" w:cs="宋体"/>
                <w:color w:val="auto"/>
                <w:sz w:val="24"/>
              </w:rPr>
            </w:pPr>
          </w:p>
        </w:tc>
        <w:tc>
          <w:tcPr>
            <w:tcW w:w="3119" w:type="dxa"/>
            <w:vAlign w:val="center"/>
          </w:tcPr>
          <w:p>
            <w:pPr>
              <w:spacing w:line="360" w:lineRule="auto"/>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ind w:firstLine="480"/>
              <w:jc w:val="center"/>
              <w:rPr>
                <w:rFonts w:ascii="宋体" w:hAnsi="宋体" w:cs="宋体"/>
                <w:color w:val="auto"/>
                <w:sz w:val="24"/>
              </w:rPr>
            </w:pPr>
          </w:p>
        </w:tc>
        <w:tc>
          <w:tcPr>
            <w:tcW w:w="1417" w:type="dxa"/>
            <w:vAlign w:val="center"/>
          </w:tcPr>
          <w:p>
            <w:pPr>
              <w:snapToGrid w:val="0"/>
              <w:spacing w:line="360" w:lineRule="auto"/>
              <w:ind w:firstLine="480"/>
              <w:jc w:val="center"/>
              <w:rPr>
                <w:rFonts w:ascii="宋体" w:hAnsi="宋体" w:cs="宋体"/>
                <w:color w:val="auto"/>
                <w:sz w:val="24"/>
              </w:rPr>
            </w:pPr>
          </w:p>
        </w:tc>
        <w:tc>
          <w:tcPr>
            <w:tcW w:w="1843" w:type="dxa"/>
            <w:vAlign w:val="center"/>
          </w:tcPr>
          <w:p>
            <w:pPr>
              <w:snapToGrid w:val="0"/>
              <w:spacing w:line="360" w:lineRule="auto"/>
              <w:ind w:firstLine="480"/>
              <w:jc w:val="center"/>
              <w:rPr>
                <w:rFonts w:ascii="宋体" w:hAnsi="宋体" w:cs="宋体"/>
                <w:color w:val="auto"/>
                <w:sz w:val="24"/>
              </w:rPr>
            </w:pPr>
          </w:p>
        </w:tc>
        <w:tc>
          <w:tcPr>
            <w:tcW w:w="3118" w:type="dxa"/>
            <w:vAlign w:val="center"/>
          </w:tcPr>
          <w:p>
            <w:pPr>
              <w:snapToGrid w:val="0"/>
              <w:spacing w:line="360" w:lineRule="auto"/>
              <w:ind w:firstLine="480"/>
              <w:jc w:val="center"/>
              <w:rPr>
                <w:rFonts w:ascii="宋体" w:hAnsi="宋体" w:cs="宋体"/>
                <w:color w:val="auto"/>
                <w:sz w:val="24"/>
              </w:rPr>
            </w:pPr>
          </w:p>
        </w:tc>
        <w:tc>
          <w:tcPr>
            <w:tcW w:w="993" w:type="dxa"/>
            <w:vAlign w:val="center"/>
          </w:tcPr>
          <w:p>
            <w:pPr>
              <w:snapToGrid w:val="0"/>
              <w:spacing w:line="360" w:lineRule="auto"/>
              <w:ind w:firstLine="480"/>
              <w:jc w:val="center"/>
              <w:rPr>
                <w:rFonts w:ascii="宋体" w:hAnsi="宋体" w:cs="宋体"/>
                <w:color w:val="auto"/>
                <w:sz w:val="24"/>
              </w:rPr>
            </w:pPr>
          </w:p>
        </w:tc>
        <w:tc>
          <w:tcPr>
            <w:tcW w:w="1559" w:type="dxa"/>
            <w:vAlign w:val="center"/>
          </w:tcPr>
          <w:p>
            <w:pPr>
              <w:spacing w:line="360" w:lineRule="auto"/>
              <w:ind w:firstLine="480"/>
              <w:jc w:val="center"/>
              <w:rPr>
                <w:rFonts w:ascii="宋体" w:hAnsi="宋体" w:cs="宋体"/>
                <w:color w:val="auto"/>
                <w:sz w:val="24"/>
              </w:rPr>
            </w:pPr>
          </w:p>
        </w:tc>
        <w:tc>
          <w:tcPr>
            <w:tcW w:w="1984" w:type="dxa"/>
            <w:vAlign w:val="center"/>
          </w:tcPr>
          <w:p>
            <w:pPr>
              <w:spacing w:line="360" w:lineRule="auto"/>
              <w:ind w:firstLine="480"/>
              <w:jc w:val="center"/>
              <w:rPr>
                <w:rFonts w:ascii="宋体" w:hAnsi="宋体" w:cs="宋体"/>
                <w:color w:val="auto"/>
                <w:sz w:val="24"/>
              </w:rPr>
            </w:pPr>
          </w:p>
        </w:tc>
        <w:tc>
          <w:tcPr>
            <w:tcW w:w="3119" w:type="dxa"/>
            <w:vAlign w:val="center"/>
          </w:tcPr>
          <w:p>
            <w:pPr>
              <w:spacing w:line="360" w:lineRule="auto"/>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ind w:firstLine="480"/>
              <w:jc w:val="center"/>
              <w:rPr>
                <w:rFonts w:ascii="宋体" w:hAnsi="宋体" w:cs="宋体"/>
                <w:color w:val="auto"/>
                <w:sz w:val="24"/>
              </w:rPr>
            </w:pPr>
          </w:p>
        </w:tc>
        <w:tc>
          <w:tcPr>
            <w:tcW w:w="1417" w:type="dxa"/>
            <w:vAlign w:val="center"/>
          </w:tcPr>
          <w:p>
            <w:pPr>
              <w:snapToGrid w:val="0"/>
              <w:spacing w:line="360" w:lineRule="auto"/>
              <w:ind w:firstLine="480"/>
              <w:jc w:val="center"/>
              <w:rPr>
                <w:rFonts w:ascii="宋体" w:hAnsi="宋体" w:cs="宋体"/>
                <w:color w:val="auto"/>
                <w:sz w:val="24"/>
              </w:rPr>
            </w:pPr>
          </w:p>
        </w:tc>
        <w:tc>
          <w:tcPr>
            <w:tcW w:w="1843" w:type="dxa"/>
            <w:vAlign w:val="center"/>
          </w:tcPr>
          <w:p>
            <w:pPr>
              <w:snapToGrid w:val="0"/>
              <w:spacing w:line="360" w:lineRule="auto"/>
              <w:ind w:firstLine="480"/>
              <w:jc w:val="center"/>
              <w:rPr>
                <w:rFonts w:ascii="宋体" w:hAnsi="宋体" w:cs="宋体"/>
                <w:color w:val="auto"/>
                <w:sz w:val="24"/>
              </w:rPr>
            </w:pPr>
          </w:p>
        </w:tc>
        <w:tc>
          <w:tcPr>
            <w:tcW w:w="3118" w:type="dxa"/>
            <w:vAlign w:val="center"/>
          </w:tcPr>
          <w:p>
            <w:pPr>
              <w:snapToGrid w:val="0"/>
              <w:spacing w:line="360" w:lineRule="auto"/>
              <w:ind w:firstLine="480"/>
              <w:jc w:val="center"/>
              <w:rPr>
                <w:rFonts w:ascii="宋体" w:hAnsi="宋体" w:cs="宋体"/>
                <w:color w:val="auto"/>
                <w:sz w:val="24"/>
              </w:rPr>
            </w:pPr>
          </w:p>
        </w:tc>
        <w:tc>
          <w:tcPr>
            <w:tcW w:w="993" w:type="dxa"/>
            <w:vAlign w:val="center"/>
          </w:tcPr>
          <w:p>
            <w:pPr>
              <w:snapToGrid w:val="0"/>
              <w:spacing w:line="360" w:lineRule="auto"/>
              <w:ind w:firstLine="480"/>
              <w:jc w:val="center"/>
              <w:rPr>
                <w:rFonts w:ascii="宋体" w:hAnsi="宋体" w:cs="宋体"/>
                <w:color w:val="auto"/>
                <w:sz w:val="24"/>
              </w:rPr>
            </w:pPr>
          </w:p>
        </w:tc>
        <w:tc>
          <w:tcPr>
            <w:tcW w:w="1559" w:type="dxa"/>
            <w:vAlign w:val="center"/>
          </w:tcPr>
          <w:p>
            <w:pPr>
              <w:spacing w:line="360" w:lineRule="auto"/>
              <w:ind w:firstLine="480"/>
              <w:jc w:val="center"/>
              <w:rPr>
                <w:rFonts w:ascii="宋体" w:hAnsi="宋体" w:cs="宋体"/>
                <w:color w:val="auto"/>
                <w:sz w:val="24"/>
              </w:rPr>
            </w:pPr>
          </w:p>
        </w:tc>
        <w:tc>
          <w:tcPr>
            <w:tcW w:w="1984" w:type="dxa"/>
            <w:vAlign w:val="center"/>
          </w:tcPr>
          <w:p>
            <w:pPr>
              <w:spacing w:line="360" w:lineRule="auto"/>
              <w:ind w:firstLine="480"/>
              <w:jc w:val="center"/>
              <w:rPr>
                <w:rFonts w:ascii="宋体" w:hAnsi="宋体" w:cs="宋体"/>
                <w:color w:val="auto"/>
                <w:sz w:val="24"/>
              </w:rPr>
            </w:pPr>
          </w:p>
        </w:tc>
        <w:tc>
          <w:tcPr>
            <w:tcW w:w="3119" w:type="dxa"/>
            <w:vAlign w:val="center"/>
          </w:tcPr>
          <w:p>
            <w:pPr>
              <w:spacing w:line="360" w:lineRule="auto"/>
              <w:ind w:firstLine="48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ind w:firstLine="482"/>
              <w:jc w:val="center"/>
              <w:rPr>
                <w:rFonts w:ascii="宋体" w:hAnsi="宋体" w:cs="宋体"/>
                <w:b/>
                <w:color w:val="auto"/>
                <w:sz w:val="24"/>
              </w:rPr>
            </w:pPr>
            <w:r>
              <w:rPr>
                <w:rFonts w:hint="eastAsia" w:ascii="宋体" w:hAnsi="宋体" w:cs="宋体"/>
                <w:b/>
                <w:color w:val="auto"/>
                <w:sz w:val="24"/>
              </w:rPr>
              <w:t>投标报价</w:t>
            </w:r>
          </w:p>
        </w:tc>
        <w:tc>
          <w:tcPr>
            <w:tcW w:w="7655" w:type="dxa"/>
            <w:gridSpan w:val="4"/>
            <w:vAlign w:val="center"/>
          </w:tcPr>
          <w:p>
            <w:pPr>
              <w:spacing w:line="360" w:lineRule="auto"/>
              <w:ind w:firstLine="480"/>
              <w:jc w:val="center"/>
              <w:rPr>
                <w:rFonts w:ascii="宋体" w:hAnsi="宋体" w:cs="宋体"/>
                <w:color w:val="auto"/>
                <w:sz w:val="24"/>
              </w:rPr>
            </w:pPr>
            <w:r>
              <w:rPr>
                <w:rFonts w:hint="eastAsia" w:ascii="宋体" w:hAnsi="宋体" w:eastAsia="宋体" w:cs="宋体"/>
                <w:color w:val="auto"/>
                <w:sz w:val="24"/>
              </w:rPr>
              <w:t>折扣</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tc>
      </w:tr>
    </w:tbl>
    <w:p>
      <w:pPr>
        <w:snapToGrid w:val="0"/>
        <w:spacing w:line="360" w:lineRule="auto"/>
        <w:ind w:left="480" w:firstLine="482"/>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5、本次投标人填报“折扣”为投标人优惠后实收部分。折扣以“%”的形式填写，如“九折”应填写为“90%”。</w:t>
      </w:r>
    </w:p>
    <w:p>
      <w:pPr>
        <w:pStyle w:val="61"/>
        <w:rPr>
          <w:lang w:val="zh-CN"/>
        </w:rPr>
      </w:pPr>
      <w:r>
        <w:rPr>
          <w:rFonts w:hint="eastAsia" w:ascii="宋体" w:hAnsi="宋体" w:eastAsia="宋体" w:cs="宋体"/>
          <w:color w:val="auto"/>
          <w:kern w:val="0"/>
          <w:sz w:val="24"/>
          <w:szCs w:val="24"/>
        </w:rPr>
        <w:t>本项目以投标人的折扣作为投标报价计算价格得分。</w:t>
      </w:r>
    </w:p>
    <w:p>
      <w:pPr>
        <w:spacing w:line="360" w:lineRule="auto"/>
        <w:ind w:firstLine="482" w:firstLineChars="200"/>
        <w:rPr>
          <w:rFonts w:ascii="宋体" w:hAnsi="宋体" w:cs="宋体"/>
          <w:b/>
          <w:color w:val="auto"/>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numPr>
          <w:ilvl w:val="0"/>
          <w:numId w:val="2"/>
        </w:numPr>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报价情况说明（如果有）</w:t>
      </w:r>
    </w:p>
    <w:p>
      <w:pPr>
        <w:pStyle w:val="3"/>
        <w:keepNext w:val="0"/>
        <w:numPr>
          <w:ilvl w:val="255"/>
          <w:numId w:val="0"/>
        </w:numPr>
        <w:tabs>
          <w:tab w:val="clear" w:pos="432"/>
        </w:tabs>
        <w:snapToGrid w:val="0"/>
        <w:spacing w:before="120" w:after="120"/>
        <w:rPr>
          <w:rFonts w:ascii="宋体" w:hAnsi="宋体" w:eastAsia="宋体" w:cs="宋体"/>
          <w:color w:val="auto"/>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Start w:id="550" w:name="_Hlk101259491"/>
      <w:r>
        <w:rPr>
          <w:rFonts w:hint="eastAsia" w:ascii="宋体" w:hAnsi="宋体" w:eastAsia="宋体" w:cs="宋体"/>
          <w:color w:val="auto"/>
          <w:sz w:val="32"/>
          <w:szCs w:val="32"/>
        </w:rPr>
        <w:t>（如果有）</w:t>
      </w:r>
      <w:bookmarkEnd w:id="550"/>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2"/>
        <w:keepNext w:val="0"/>
        <w:pageBreakBefore w:val="0"/>
        <w:tabs>
          <w:tab w:val="clear" w:pos="720"/>
        </w:tabs>
        <w:snapToGrid w:val="0"/>
        <w:spacing w:before="120" w:after="120"/>
        <w:ind w:firstLine="640"/>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723"/>
        <w:rPr>
          <w:rFonts w:ascii="宋体" w:hAnsi="宋体" w:cs="宋体"/>
          <w:b/>
          <w:color w:val="auto"/>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51" w:name="_Toc465665161"/>
      <w:r>
        <w:rPr>
          <w:rFonts w:hint="eastAsia" w:ascii="宋体" w:hAnsi="宋体" w:cs="宋体"/>
          <w:color w:val="auto"/>
        </w:rPr>
        <w:t>附件</w:t>
      </w:r>
      <w:bookmarkEnd w:id="551"/>
    </w:p>
    <w:p>
      <w:pPr>
        <w:spacing w:line="360" w:lineRule="auto"/>
        <w:ind w:firstLine="667"/>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ind w:firstLine="667"/>
        <w:jc w:val="center"/>
        <w:rPr>
          <w:rFonts w:ascii="宋体" w:hAnsi="宋体" w:cs="宋体"/>
          <w:b/>
          <w:color w:val="auto"/>
          <w:spacing w:val="6"/>
          <w:sz w:val="32"/>
          <w:szCs w:val="32"/>
        </w:rPr>
      </w:pPr>
      <w:bookmarkStart w:id="552" w:name="OLE_LINK13"/>
      <w:bookmarkStart w:id="553" w:name="OLE_LINK14"/>
      <w:r>
        <w:rPr>
          <w:rFonts w:hint="eastAsia" w:ascii="宋体" w:hAnsi="宋体" w:cs="宋体"/>
          <w:b/>
          <w:color w:val="auto"/>
          <w:spacing w:val="6"/>
          <w:sz w:val="32"/>
          <w:szCs w:val="32"/>
        </w:rPr>
        <w:t>残疾人福利性单位声明函</w:t>
      </w:r>
    </w:p>
    <w:bookmarkEnd w:id="552"/>
    <w:bookmarkEnd w:id="553"/>
    <w:p>
      <w:pPr>
        <w:spacing w:line="360" w:lineRule="auto"/>
        <w:ind w:firstLine="626"/>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82"/>
        <w:rPr>
          <w:rFonts w:ascii="宋体" w:hAnsi="宋体" w:cs="宋体"/>
          <w:b/>
          <w:color w:val="auto"/>
          <w:sz w:val="24"/>
        </w:rPr>
      </w:pPr>
    </w:p>
    <w:p>
      <w:pPr>
        <w:spacing w:line="360" w:lineRule="auto"/>
        <w:ind w:firstLine="482"/>
        <w:rPr>
          <w:rFonts w:ascii="宋体" w:hAnsi="宋体" w:cs="宋体"/>
          <w:b/>
          <w:color w:val="auto"/>
          <w:sz w:val="24"/>
        </w:rPr>
      </w:pPr>
    </w:p>
    <w:p>
      <w:pPr>
        <w:spacing w:line="360" w:lineRule="auto"/>
        <w:ind w:firstLine="482"/>
        <w:rPr>
          <w:rFonts w:ascii="宋体" w:hAnsi="宋体" w:cs="宋体"/>
          <w:b/>
          <w:color w:val="auto"/>
          <w:sz w:val="24"/>
        </w:rPr>
      </w:pPr>
    </w:p>
    <w:p>
      <w:pPr>
        <w:spacing w:line="360" w:lineRule="auto"/>
        <w:ind w:firstLine="482"/>
        <w:rPr>
          <w:rFonts w:ascii="宋体" w:hAnsi="宋体" w:cs="宋体"/>
          <w:b/>
          <w:color w:val="auto"/>
          <w:sz w:val="24"/>
        </w:rPr>
      </w:pPr>
    </w:p>
    <w:p>
      <w:pPr>
        <w:spacing w:line="360" w:lineRule="auto"/>
        <w:ind w:firstLine="482"/>
        <w:rPr>
          <w:rFonts w:ascii="宋体" w:hAnsi="宋体" w:cs="宋体"/>
          <w:b/>
          <w:color w:val="auto"/>
          <w:sz w:val="24"/>
        </w:rPr>
      </w:pPr>
    </w:p>
    <w:p>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pPr>
        <w:spacing w:line="360" w:lineRule="auto"/>
        <w:ind w:firstLine="667"/>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ind w:firstLine="667"/>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ind w:firstLine="480"/>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ind w:firstLine="480"/>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ind w:firstLine="480"/>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ind w:firstLine="480"/>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ind w:firstLine="480"/>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ind w:firstLine="480"/>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ind w:firstLine="480"/>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ind w:firstLine="480"/>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ind w:firstLine="480"/>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ind w:firstLine="480"/>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ind w:firstLine="480"/>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ind w:firstLine="480"/>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ind w:firstLine="480"/>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ind w:firstLine="480"/>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ind w:firstLine="480"/>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ind w:firstLine="480"/>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ind w:firstLine="480"/>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ind w:firstLine="480"/>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ind w:firstLine="480"/>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ind w:firstLine="480"/>
        <w:rPr>
          <w:rFonts w:ascii="宋体" w:hAnsi="宋体" w:cs="宋体"/>
          <w:color w:val="auto"/>
          <w:sz w:val="24"/>
        </w:rPr>
      </w:pPr>
      <w:r>
        <w:rPr>
          <w:rFonts w:hint="eastAsia" w:ascii="宋体" w:hAnsi="宋体" w:cs="宋体"/>
          <w:color w:val="auto"/>
          <w:sz w:val="24"/>
        </w:rPr>
        <w:t>……</w:t>
      </w:r>
    </w:p>
    <w:p>
      <w:pPr>
        <w:snapToGrid w:val="0"/>
        <w:spacing w:line="360" w:lineRule="auto"/>
        <w:ind w:firstLine="480"/>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ind w:firstLine="480"/>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 xml:space="preserve">签字(签章)：                   公章：                      </w:t>
      </w:r>
    </w:p>
    <w:p>
      <w:pPr>
        <w:spacing w:line="360" w:lineRule="auto"/>
        <w:ind w:firstLine="480"/>
        <w:rPr>
          <w:rFonts w:ascii="宋体" w:hAnsi="宋体" w:cs="宋体"/>
          <w:color w:val="auto"/>
          <w:sz w:val="24"/>
        </w:rPr>
      </w:pPr>
      <w:r>
        <w:rPr>
          <w:rFonts w:hint="eastAsia" w:ascii="宋体" w:hAnsi="宋体" w:cs="宋体"/>
          <w:color w:val="auto"/>
          <w:sz w:val="24"/>
        </w:rPr>
        <w:t xml:space="preserve">日期：    </w:t>
      </w:r>
    </w:p>
    <w:p>
      <w:pPr>
        <w:spacing w:line="360" w:lineRule="auto"/>
        <w:ind w:firstLine="482"/>
        <w:jc w:val="center"/>
        <w:rPr>
          <w:rFonts w:ascii="宋体" w:hAnsi="宋体" w:cs="宋体"/>
          <w:b/>
          <w:bCs/>
          <w:color w:val="auto"/>
          <w:sz w:val="24"/>
        </w:rPr>
      </w:pPr>
    </w:p>
    <w:p>
      <w:pPr>
        <w:spacing w:line="360" w:lineRule="auto"/>
        <w:ind w:firstLine="482"/>
        <w:rPr>
          <w:rFonts w:ascii="宋体" w:hAnsi="宋体" w:cs="宋体"/>
          <w:b/>
          <w:color w:val="auto"/>
          <w:sz w:val="24"/>
        </w:rPr>
      </w:pPr>
    </w:p>
    <w:p>
      <w:pPr>
        <w:spacing w:line="360" w:lineRule="auto"/>
        <w:ind w:firstLine="482"/>
        <w:rPr>
          <w:rFonts w:ascii="宋体" w:hAnsi="宋体" w:cs="宋体"/>
          <w:b/>
          <w:color w:val="auto"/>
          <w:sz w:val="24"/>
        </w:rPr>
      </w:pPr>
    </w:p>
    <w:p>
      <w:pPr>
        <w:spacing w:line="360" w:lineRule="auto"/>
        <w:ind w:firstLine="482"/>
        <w:rPr>
          <w:rFonts w:ascii="宋体" w:hAnsi="宋体" w:cs="宋体"/>
          <w:b/>
          <w:color w:val="auto"/>
          <w:sz w:val="24"/>
        </w:rPr>
      </w:pPr>
    </w:p>
    <w:p>
      <w:pPr>
        <w:spacing w:line="360" w:lineRule="auto"/>
        <w:ind w:firstLine="482"/>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ind w:firstLine="667"/>
        <w:jc w:val="center"/>
        <w:rPr>
          <w:rFonts w:ascii="宋体" w:hAnsi="宋体" w:cs="宋体"/>
          <w:b/>
          <w:color w:val="auto"/>
          <w:spacing w:val="6"/>
          <w:sz w:val="32"/>
          <w:szCs w:val="32"/>
        </w:rPr>
      </w:pPr>
    </w:p>
    <w:p>
      <w:pPr>
        <w:spacing w:line="360" w:lineRule="auto"/>
        <w:ind w:firstLine="667"/>
        <w:jc w:val="center"/>
        <w:rPr>
          <w:rFonts w:ascii="宋体" w:hAnsi="宋体" w:cs="宋体"/>
          <w:b/>
          <w:color w:val="auto"/>
          <w:spacing w:val="6"/>
          <w:sz w:val="32"/>
          <w:szCs w:val="32"/>
        </w:rPr>
      </w:pPr>
    </w:p>
    <w:p>
      <w:pPr>
        <w:spacing w:line="360" w:lineRule="auto"/>
        <w:ind w:firstLine="667"/>
        <w:jc w:val="center"/>
        <w:rPr>
          <w:rFonts w:ascii="宋体" w:hAnsi="宋体" w:cs="宋体"/>
          <w:b/>
          <w:color w:val="auto"/>
          <w:spacing w:val="6"/>
          <w:sz w:val="32"/>
          <w:szCs w:val="32"/>
        </w:rPr>
      </w:pPr>
    </w:p>
    <w:p>
      <w:pPr>
        <w:spacing w:line="360" w:lineRule="auto"/>
        <w:ind w:firstLine="667"/>
        <w:jc w:val="center"/>
        <w:rPr>
          <w:rFonts w:ascii="宋体" w:hAnsi="宋体" w:cs="宋体"/>
          <w:b/>
          <w:color w:val="auto"/>
          <w:spacing w:val="6"/>
          <w:sz w:val="32"/>
          <w:szCs w:val="32"/>
        </w:rPr>
      </w:pPr>
    </w:p>
    <w:p>
      <w:pPr>
        <w:spacing w:line="360" w:lineRule="auto"/>
        <w:ind w:firstLine="667"/>
        <w:jc w:val="center"/>
        <w:rPr>
          <w:rFonts w:ascii="宋体" w:hAnsi="宋体" w:cs="宋体"/>
          <w:b/>
          <w:color w:val="auto"/>
          <w:spacing w:val="6"/>
          <w:sz w:val="32"/>
          <w:szCs w:val="32"/>
        </w:rPr>
      </w:pPr>
    </w:p>
    <w:p>
      <w:pPr>
        <w:spacing w:line="360" w:lineRule="auto"/>
        <w:ind w:firstLine="667"/>
        <w:jc w:val="center"/>
        <w:rPr>
          <w:rFonts w:ascii="宋体" w:hAnsi="宋体" w:cs="宋体"/>
          <w:b/>
          <w:color w:val="auto"/>
          <w:spacing w:val="6"/>
          <w:sz w:val="32"/>
          <w:szCs w:val="32"/>
        </w:rPr>
      </w:pPr>
    </w:p>
    <w:p>
      <w:pPr>
        <w:spacing w:line="360" w:lineRule="auto"/>
        <w:ind w:firstLine="667"/>
        <w:jc w:val="center"/>
        <w:rPr>
          <w:rFonts w:ascii="宋体" w:hAnsi="宋体" w:cs="宋体"/>
          <w:b/>
          <w:color w:val="auto"/>
          <w:spacing w:val="6"/>
          <w:sz w:val="32"/>
          <w:szCs w:val="32"/>
        </w:rPr>
      </w:pPr>
    </w:p>
    <w:p>
      <w:pPr>
        <w:spacing w:line="360" w:lineRule="auto"/>
        <w:ind w:firstLine="667"/>
        <w:jc w:val="center"/>
        <w:rPr>
          <w:rFonts w:ascii="宋体" w:hAnsi="宋体" w:cs="宋体"/>
          <w:b/>
          <w:color w:val="auto"/>
          <w:spacing w:val="6"/>
          <w:sz w:val="32"/>
          <w:szCs w:val="32"/>
        </w:rPr>
      </w:pPr>
    </w:p>
    <w:p>
      <w:pPr>
        <w:spacing w:line="360" w:lineRule="auto"/>
        <w:ind w:firstLine="667"/>
        <w:jc w:val="center"/>
        <w:rPr>
          <w:rFonts w:ascii="宋体" w:hAnsi="宋体" w:cs="宋体"/>
          <w:b/>
          <w:color w:val="auto"/>
          <w:spacing w:val="6"/>
          <w:sz w:val="32"/>
          <w:szCs w:val="32"/>
        </w:rPr>
      </w:pPr>
    </w:p>
    <w:p>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pPr>
        <w:spacing w:line="360" w:lineRule="auto"/>
        <w:ind w:firstLine="667"/>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ind w:firstLine="482"/>
        <w:jc w:val="center"/>
        <w:rPr>
          <w:rFonts w:ascii="宋体" w:hAnsi="宋体" w:cs="宋体"/>
          <w:b/>
          <w:color w:val="auto"/>
          <w:sz w:val="24"/>
        </w:rPr>
      </w:pPr>
    </w:p>
    <w:p>
      <w:pPr>
        <w:spacing w:line="360" w:lineRule="auto"/>
        <w:ind w:firstLine="667"/>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ind w:firstLine="480"/>
        <w:rPr>
          <w:rFonts w:ascii="宋体" w:hAnsi="宋体" w:cs="宋体"/>
          <w:color w:val="auto"/>
          <w:sz w:val="24"/>
        </w:rPr>
      </w:pPr>
      <w:r>
        <w:rPr>
          <w:rFonts w:hint="eastAsia" w:ascii="宋体" w:hAnsi="宋体" w:cs="宋体"/>
          <w:color w:val="auto"/>
          <w:sz w:val="24"/>
        </w:rPr>
        <w:t>一、投诉相关主体基本情况</w:t>
      </w:r>
    </w:p>
    <w:p>
      <w:pPr>
        <w:spacing w:line="360" w:lineRule="auto"/>
        <w:ind w:firstLine="480"/>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ind w:firstLine="480"/>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ind w:firstLine="480"/>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ind w:firstLine="480"/>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ind w:firstLine="480"/>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被投诉人2</w:t>
      </w:r>
    </w:p>
    <w:p>
      <w:pPr>
        <w:spacing w:line="360" w:lineRule="auto"/>
        <w:ind w:firstLine="480"/>
        <w:rPr>
          <w:rFonts w:ascii="宋体" w:hAnsi="宋体" w:cs="宋体"/>
          <w:color w:val="auto"/>
          <w:sz w:val="24"/>
          <w:u w:val="dotted"/>
        </w:rPr>
      </w:pPr>
      <w:r>
        <w:rPr>
          <w:rFonts w:hint="eastAsia" w:ascii="宋体" w:hAnsi="宋体" w:cs="宋体"/>
          <w:color w:val="auto"/>
          <w:sz w:val="24"/>
        </w:rPr>
        <w:t>……</w:t>
      </w:r>
    </w:p>
    <w:p>
      <w:pPr>
        <w:spacing w:line="360" w:lineRule="auto"/>
        <w:ind w:firstLine="480"/>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二、投诉项目基本情况</w:t>
      </w:r>
    </w:p>
    <w:p>
      <w:pPr>
        <w:spacing w:line="360" w:lineRule="auto"/>
        <w:ind w:firstLine="480"/>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ind w:firstLine="480"/>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color w:val="auto"/>
          <w:sz w:val="24"/>
        </w:rPr>
      </w:pPr>
      <w:r>
        <w:rPr>
          <w:rFonts w:hint="eastAsia" w:ascii="宋体" w:hAnsi="宋体" w:cs="宋体"/>
          <w:color w:val="auto"/>
          <w:sz w:val="24"/>
        </w:rPr>
        <w:t>三、质疑基本情况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ind w:firstLine="480"/>
        <w:rPr>
          <w:rFonts w:ascii="宋体" w:hAnsi="宋体" w:cs="宋体"/>
          <w:color w:val="auto"/>
          <w:sz w:val="24"/>
        </w:rPr>
      </w:pPr>
      <w:r>
        <w:rPr>
          <w:rFonts w:hint="eastAsia" w:ascii="宋体" w:hAnsi="宋体" w:cs="宋体"/>
          <w:color w:val="auto"/>
          <w:sz w:val="24"/>
        </w:rPr>
        <w:t>四、投诉事项具体内容</w:t>
      </w:r>
    </w:p>
    <w:p>
      <w:pPr>
        <w:spacing w:line="360" w:lineRule="auto"/>
        <w:ind w:firstLine="480"/>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ind w:firstLine="480"/>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ind w:firstLine="480"/>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投诉事项2</w:t>
      </w:r>
    </w:p>
    <w:p>
      <w:pPr>
        <w:spacing w:line="360" w:lineRule="auto"/>
        <w:ind w:firstLine="480"/>
        <w:rPr>
          <w:rFonts w:ascii="宋体" w:hAnsi="宋体" w:cs="宋体"/>
          <w:color w:val="auto"/>
          <w:sz w:val="24"/>
          <w:u w:val="dotted"/>
        </w:rPr>
      </w:pPr>
      <w:r>
        <w:rPr>
          <w:rFonts w:hint="eastAsia" w:ascii="宋体" w:hAnsi="宋体" w:cs="宋体"/>
          <w:color w:val="auto"/>
          <w:sz w:val="24"/>
        </w:rPr>
        <w:t>……</w:t>
      </w:r>
    </w:p>
    <w:p>
      <w:pPr>
        <w:spacing w:line="360" w:lineRule="auto"/>
        <w:ind w:firstLine="480"/>
        <w:rPr>
          <w:rFonts w:ascii="宋体" w:hAnsi="宋体" w:cs="宋体"/>
          <w:color w:val="auto"/>
          <w:sz w:val="24"/>
        </w:rPr>
      </w:pPr>
      <w:r>
        <w:rPr>
          <w:rFonts w:hint="eastAsia" w:ascii="宋体" w:hAnsi="宋体" w:cs="宋体"/>
          <w:color w:val="auto"/>
          <w:sz w:val="24"/>
        </w:rPr>
        <w:t>五、与投诉事项相关的投诉请求</w:t>
      </w:r>
    </w:p>
    <w:p>
      <w:pPr>
        <w:spacing w:line="360" w:lineRule="auto"/>
        <w:ind w:firstLine="480"/>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 xml:space="preserve">签字(签章)：                   公章：                      </w:t>
      </w:r>
    </w:p>
    <w:p>
      <w:pPr>
        <w:spacing w:line="360" w:lineRule="auto"/>
        <w:ind w:firstLine="480"/>
        <w:rPr>
          <w:rFonts w:ascii="宋体" w:hAnsi="宋体" w:cs="宋体"/>
          <w:color w:val="auto"/>
          <w:sz w:val="24"/>
        </w:rPr>
      </w:pPr>
      <w:r>
        <w:rPr>
          <w:rFonts w:hint="eastAsia" w:ascii="宋体" w:hAnsi="宋体" w:cs="宋体"/>
          <w:color w:val="auto"/>
          <w:sz w:val="24"/>
        </w:rPr>
        <w:t xml:space="preserve">日期：    </w:t>
      </w:r>
    </w:p>
    <w:p>
      <w:pPr>
        <w:spacing w:line="360" w:lineRule="auto"/>
        <w:ind w:firstLine="482"/>
        <w:rPr>
          <w:rFonts w:ascii="宋体" w:hAnsi="宋体" w:cs="宋体"/>
          <w:b/>
          <w:color w:val="auto"/>
          <w:sz w:val="24"/>
        </w:rPr>
      </w:pPr>
    </w:p>
    <w:p>
      <w:pPr>
        <w:spacing w:line="360" w:lineRule="auto"/>
        <w:ind w:firstLine="482"/>
        <w:rPr>
          <w:rFonts w:ascii="宋体" w:hAnsi="宋体" w:cs="宋体"/>
          <w:b/>
          <w:color w:val="auto"/>
          <w:sz w:val="24"/>
        </w:rPr>
      </w:pPr>
      <w:r>
        <w:rPr>
          <w:rFonts w:hint="eastAsia" w:ascii="宋体" w:hAnsi="宋体" w:cs="宋体"/>
          <w:b/>
          <w:color w:val="auto"/>
          <w:sz w:val="24"/>
        </w:rPr>
        <w:t>投诉书制作说明：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rPr>
        <w:t>6.投诉书的投诉请求应与投诉事项相关。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b/>
          <w:color w:val="auto"/>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pPr>
        <w:autoSpaceDE w:val="0"/>
        <w:autoSpaceDN w:val="0"/>
        <w:ind w:firstLine="667"/>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ind w:firstLine="480"/>
        <w:rPr>
          <w:rFonts w:ascii="宋体" w:hAnsi="宋体" w:cs="宋体"/>
          <w:color w:val="auto"/>
          <w:sz w:val="24"/>
          <w:u w:val="single"/>
        </w:rPr>
      </w:pPr>
    </w:p>
    <w:p>
      <w:pPr>
        <w:spacing w:line="360" w:lineRule="auto"/>
        <w:ind w:firstLine="480"/>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80"/>
        <w:rPr>
          <w:rFonts w:ascii="宋体" w:hAnsi="宋体" w:cs="宋体"/>
          <w:color w:val="auto"/>
          <w:sz w:val="24"/>
        </w:rPr>
      </w:pPr>
    </w:p>
    <w:p>
      <w:pPr>
        <w:spacing w:line="360" w:lineRule="auto"/>
        <w:ind w:firstLine="480"/>
        <w:rPr>
          <w:rFonts w:ascii="宋体" w:hAnsi="宋体" w:cs="宋体"/>
          <w:color w:val="auto"/>
          <w:sz w:val="24"/>
        </w:rPr>
      </w:pPr>
    </w:p>
    <w:p>
      <w:pPr>
        <w:spacing w:line="360" w:lineRule="auto"/>
        <w:ind w:firstLine="480"/>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80"/>
        <w:jc w:val="center"/>
        <w:rPr>
          <w:rFonts w:ascii="宋体" w:hAnsi="宋体" w:cs="宋体"/>
          <w:color w:val="auto"/>
          <w:sz w:val="24"/>
        </w:rPr>
      </w:pPr>
      <w:r>
        <w:rPr>
          <w:rFonts w:hint="eastAsia" w:ascii="宋体" w:hAnsi="宋体" w:cs="宋体"/>
          <w:color w:val="auto"/>
          <w:sz w:val="24"/>
        </w:rPr>
        <w:t xml:space="preserve">                              日期：       年     月     日</w:t>
      </w:r>
    </w:p>
    <w:p>
      <w:pPr>
        <w:ind w:firstLine="482"/>
        <w:rPr>
          <w:rFonts w:ascii="宋体" w:hAnsi="宋体" w:cs="宋体"/>
          <w:color w:val="auto"/>
          <w:sz w:val="24"/>
        </w:rPr>
      </w:pPr>
      <w:r>
        <w:rPr>
          <w:rFonts w:hint="eastAsia" w:ascii="宋体" w:hAnsi="宋体" w:cs="宋体"/>
          <w:b/>
          <w:bCs/>
          <w:color w:val="auto"/>
          <w:sz w:val="24"/>
        </w:rPr>
        <w:t>附：</w:t>
      </w:r>
    </w:p>
    <w:p>
      <w:pPr>
        <w:spacing w:line="360" w:lineRule="auto"/>
        <w:ind w:firstLine="482"/>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pPr>
        <w:snapToGrid w:val="0"/>
        <w:spacing w:line="360" w:lineRule="auto"/>
        <w:ind w:firstLine="643"/>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480"/>
        <w:rPr>
          <w:rFonts w:ascii="宋体" w:hAnsi="宋体" w:cs="宋体"/>
          <w:color w:val="auto"/>
          <w:kern w:val="0"/>
          <w:sz w:val="24"/>
          <w:lang w:val="zh-CN"/>
        </w:rPr>
      </w:pPr>
      <w:bookmarkStart w:id="554"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w:t>
      </w:r>
    </w:p>
    <w:bookmarkEnd w:id="554"/>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480"/>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firstLine="48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480"/>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firstLine="480"/>
        <w:rPr>
          <w:rFonts w:ascii="宋体" w:hAnsi="宋体" w:cs="宋体"/>
          <w:color w:val="auto"/>
          <w:sz w:val="24"/>
        </w:rPr>
      </w:pPr>
      <w:r>
        <w:rPr>
          <w:rFonts w:hint="eastAsia" w:ascii="宋体" w:hAnsi="宋体" w:cs="宋体"/>
          <w:color w:val="auto"/>
          <w:sz w:val="24"/>
        </w:rPr>
        <w:t>注：按本格式和要求提供。</w:t>
      </w: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pPr>
        <w:snapToGrid w:val="0"/>
        <w:spacing w:line="360" w:lineRule="auto"/>
        <w:ind w:firstLine="643"/>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480"/>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5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55"/>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480"/>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firstLine="480"/>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firstLine="480"/>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pPr>
        <w:snapToGrid w:val="0"/>
        <w:spacing w:line="360" w:lineRule="auto"/>
        <w:ind w:firstLine="480"/>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pacing w:line="360" w:lineRule="auto"/>
        <w:ind w:firstLine="480"/>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firstLine="480"/>
        <w:rPr>
          <w:rFonts w:ascii="宋体" w:hAnsi="宋体" w:cs="宋体"/>
          <w:color w:val="auto"/>
          <w:sz w:val="24"/>
        </w:rPr>
      </w:pPr>
      <w:r>
        <w:rPr>
          <w:rFonts w:hint="eastAsia" w:ascii="宋体" w:hAnsi="宋体" w:cs="宋体"/>
          <w:color w:val="auto"/>
          <w:sz w:val="24"/>
        </w:rPr>
        <w:t>注：按本格式和要求提供。</w:t>
      </w: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rPr>
          <w:rFonts w:hint="eastAsia" w:ascii="宋体" w:hAnsi="宋体" w:cs="宋体"/>
          <w:b/>
          <w:color w:val="auto"/>
          <w:kern w:val="0"/>
          <w:sz w:val="44"/>
          <w:szCs w:val="44"/>
        </w:rPr>
      </w:pPr>
      <w:r>
        <w:rPr>
          <w:rFonts w:hint="eastAsia" w:ascii="宋体" w:hAnsi="宋体" w:cs="宋体"/>
          <w:b/>
          <w:color w:val="auto"/>
          <w:kern w:val="0"/>
          <w:sz w:val="44"/>
          <w:szCs w:val="44"/>
        </w:rPr>
        <w:br w:type="page"/>
      </w:r>
    </w:p>
    <w:p>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pPr>
        <w:spacing w:line="360" w:lineRule="auto"/>
        <w:ind w:firstLine="480"/>
        <w:jc w:val="center"/>
        <w:rPr>
          <w:rFonts w:ascii="宋体" w:hAnsi="宋体" w:cs="宋体"/>
          <w:color w:val="auto"/>
          <w:sz w:val="24"/>
          <w:u w:val="single"/>
        </w:rPr>
      </w:pPr>
    </w:p>
    <w:p>
      <w:pPr>
        <w:spacing w:line="360" w:lineRule="auto"/>
        <w:ind w:firstLine="643"/>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ind w:firstLine="360"/>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643"/>
        <w:jc w:val="center"/>
        <w:rPr>
          <w:rFonts w:ascii="宋体" w:hAnsi="宋体" w:cs="宋体"/>
          <w:b/>
          <w:color w:val="auto"/>
          <w:sz w:val="32"/>
          <w:szCs w:val="32"/>
        </w:rPr>
      </w:pPr>
    </w:p>
    <w:p>
      <w:pPr>
        <w:spacing w:line="360" w:lineRule="auto"/>
        <w:ind w:firstLine="643"/>
        <w:jc w:val="center"/>
        <w:rPr>
          <w:rFonts w:ascii="宋体" w:hAnsi="宋体" w:cs="宋体"/>
          <w:b/>
          <w:color w:val="auto"/>
          <w:sz w:val="32"/>
          <w:szCs w:val="32"/>
        </w:rPr>
      </w:pPr>
    </w:p>
    <w:p>
      <w:pPr>
        <w:spacing w:line="360" w:lineRule="auto"/>
        <w:ind w:firstLine="643"/>
        <w:jc w:val="center"/>
        <w:rPr>
          <w:rFonts w:ascii="宋体" w:hAnsi="宋体" w:cs="宋体"/>
          <w:b/>
          <w:color w:val="auto"/>
          <w:sz w:val="32"/>
          <w:szCs w:val="32"/>
        </w:rPr>
      </w:pPr>
    </w:p>
    <w:p>
      <w:pPr>
        <w:spacing w:line="360" w:lineRule="auto"/>
        <w:ind w:firstLine="643"/>
        <w:jc w:val="center"/>
        <w:rPr>
          <w:rFonts w:ascii="宋体" w:hAnsi="宋体" w:cs="宋体"/>
          <w:b/>
          <w:color w:val="auto"/>
          <w:sz w:val="32"/>
          <w:szCs w:val="32"/>
        </w:rPr>
      </w:pPr>
    </w:p>
    <w:p>
      <w:pPr>
        <w:spacing w:line="360" w:lineRule="auto"/>
        <w:ind w:firstLine="643"/>
        <w:jc w:val="center"/>
        <w:rPr>
          <w:rFonts w:ascii="宋体" w:hAnsi="宋体" w:cs="宋体"/>
          <w:b/>
          <w:color w:val="auto"/>
          <w:sz w:val="32"/>
          <w:szCs w:val="32"/>
        </w:rPr>
      </w:pPr>
    </w:p>
    <w:p>
      <w:pPr>
        <w:spacing w:line="360" w:lineRule="auto"/>
        <w:ind w:firstLine="643"/>
        <w:jc w:val="center"/>
        <w:rPr>
          <w:rFonts w:ascii="宋体" w:hAnsi="宋体" w:cs="宋体"/>
          <w:b/>
          <w:color w:val="auto"/>
          <w:sz w:val="32"/>
          <w:szCs w:val="32"/>
        </w:rPr>
      </w:pPr>
    </w:p>
    <w:p>
      <w:pPr>
        <w:spacing w:line="360" w:lineRule="auto"/>
        <w:ind w:firstLine="643"/>
        <w:jc w:val="center"/>
        <w:rPr>
          <w:rFonts w:ascii="宋体" w:hAnsi="宋体" w:cs="宋体"/>
          <w:b/>
          <w:color w:val="auto"/>
          <w:sz w:val="32"/>
          <w:szCs w:val="32"/>
        </w:rPr>
      </w:pPr>
    </w:p>
    <w:p>
      <w:pPr>
        <w:spacing w:line="360" w:lineRule="auto"/>
        <w:ind w:firstLine="643"/>
        <w:jc w:val="center"/>
        <w:rPr>
          <w:rFonts w:ascii="宋体" w:hAnsi="宋体" w:cs="宋体"/>
          <w:b/>
          <w:color w:val="auto"/>
          <w:sz w:val="32"/>
          <w:szCs w:val="32"/>
        </w:rPr>
      </w:pPr>
    </w:p>
    <w:p>
      <w:pPr>
        <w:spacing w:line="360" w:lineRule="auto"/>
        <w:ind w:firstLine="643"/>
        <w:jc w:val="center"/>
        <w:rPr>
          <w:rFonts w:ascii="宋体" w:hAnsi="宋体" w:cs="宋体"/>
          <w:b/>
          <w:color w:val="auto"/>
          <w:sz w:val="32"/>
          <w:szCs w:val="32"/>
        </w:rPr>
      </w:pPr>
    </w:p>
    <w:p>
      <w:pPr>
        <w:spacing w:line="360" w:lineRule="auto"/>
        <w:ind w:firstLine="643"/>
        <w:jc w:val="center"/>
        <w:rPr>
          <w:rFonts w:ascii="宋体" w:hAnsi="宋体" w:cs="宋体"/>
          <w:b/>
          <w:color w:val="auto"/>
          <w:sz w:val="32"/>
          <w:szCs w:val="32"/>
        </w:rPr>
      </w:pPr>
    </w:p>
    <w:p>
      <w:pPr>
        <w:spacing w:line="360" w:lineRule="auto"/>
        <w:ind w:firstLine="643"/>
        <w:jc w:val="center"/>
        <w:rPr>
          <w:rFonts w:ascii="宋体" w:hAnsi="宋体" w:cs="宋体"/>
          <w:b/>
          <w:color w:val="auto"/>
          <w:sz w:val="32"/>
          <w:szCs w:val="32"/>
        </w:rPr>
      </w:pPr>
    </w:p>
    <w:p>
      <w:pPr>
        <w:spacing w:line="360" w:lineRule="auto"/>
        <w:ind w:firstLine="643"/>
        <w:jc w:val="center"/>
        <w:rPr>
          <w:rFonts w:ascii="宋体" w:hAnsi="宋体" w:cs="宋体"/>
          <w:b/>
          <w:color w:val="auto"/>
          <w:sz w:val="32"/>
          <w:szCs w:val="32"/>
        </w:rPr>
      </w:pPr>
    </w:p>
    <w:p>
      <w:pPr>
        <w:spacing w:line="360" w:lineRule="auto"/>
        <w:ind w:firstLine="643"/>
        <w:jc w:val="center"/>
        <w:rPr>
          <w:rFonts w:ascii="宋体" w:hAnsi="宋体" w:cs="宋体"/>
          <w:b/>
          <w:color w:val="auto"/>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p/>
  <w:p/>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pPr>
      <w:pStyle w:val="39"/>
      <w:ind w:right="360" w:firstLine="360"/>
    </w:pPr>
  </w:p>
  <w:p/>
  <w:p/>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36110187"/>
    <w:bookmarkStart w:id="557" w:name="_Toc164085800"/>
    <w:bookmarkStart w:id="558" w:name="_Toc131845147"/>
    <w:bookmarkStart w:id="559" w:name="_Toc91899912"/>
    <w:r>
      <w:rPr>
        <w:rFonts w:hint="eastAsia" w:ascii="仿宋_GB2312" w:eastAsia="仿宋_GB2312"/>
        <w:kern w:val="0"/>
        <w:szCs w:val="21"/>
      </w:rPr>
      <w:t xml:space="preserve"> 页</w:t>
    </w:r>
    <w:bookmarkEnd w:id="556"/>
    <w:bookmarkEnd w:id="557"/>
    <w:bookmarkEnd w:id="558"/>
    <w:bookmarkEnd w:id="559"/>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杭州市西湖区图书馆</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r>
      <w:t></w:t>
    </w:r>
    <w:r>
      <w:rPr>
        <w:rFonts w:hint="eastAsia"/>
      </w:rPr>
      <w:t xml:space="preserve">                                        杭州市西湖区图书馆</w:t>
    </w:r>
    <w:r>
      <w:t>公开招标文件</w:t>
    </w:r>
  </w:p>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杭州市西湖区图书馆</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杭州市西湖区图书馆</w:t>
    </w:r>
    <w: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杭州市西湖区图书馆</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w:t>
    </w:r>
    <w:r>
      <w:rPr>
        <w:rFonts w:hint="eastAsia"/>
      </w:rPr>
      <w:t>杭州市西湖区图书馆</w:t>
    </w:r>
    <w: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杭州市西湖区图书馆</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杭州市西湖区图书馆</w:t>
    </w:r>
    <w:r>
      <w:t>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杭州市西湖区图书馆</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right"/>
      <w:rPr>
        <w:rFonts w:ascii="仿宋_GB2312" w:eastAsia="仿宋_GB2312"/>
        <w:b/>
        <w:i/>
        <w:iCs/>
        <w:u w:val="single"/>
      </w:rPr>
    </w:pPr>
    <w:r>
      <w:t></w:t>
    </w:r>
    <w:r>
      <w:rPr>
        <w:rFonts w:hint="eastAsia"/>
      </w:rPr>
      <w:t>杭州市西湖区图书馆</w:t>
    </w:r>
    <w:r>
      <w:t>公开招标文件</w:t>
    </w:r>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2B95C"/>
    <w:multiLevelType w:val="singleLevel"/>
    <w:tmpl w:val="1D92B95C"/>
    <w:lvl w:ilvl="0" w:tentative="0">
      <w:start w:val="1"/>
      <w:numFmt w:val="decimal"/>
      <w:lvlText w:val="%1."/>
      <w:lvlJc w:val="left"/>
      <w:pPr>
        <w:tabs>
          <w:tab w:val="left" w:pos="312"/>
        </w:tabs>
      </w:p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YmNhNDJkMDdkODgyY2M5ZjMwMjhlMWVhMjRlM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2B7"/>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22C"/>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B7859"/>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9A7"/>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D2D"/>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816"/>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AED"/>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588"/>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D1036"/>
    <w:rsid w:val="019F7441"/>
    <w:rsid w:val="01B37585"/>
    <w:rsid w:val="01D55165"/>
    <w:rsid w:val="01DF6BF8"/>
    <w:rsid w:val="01EC2C57"/>
    <w:rsid w:val="025F0711"/>
    <w:rsid w:val="026B2E25"/>
    <w:rsid w:val="02824D4D"/>
    <w:rsid w:val="02CD1073"/>
    <w:rsid w:val="02DC4B10"/>
    <w:rsid w:val="02DD76CE"/>
    <w:rsid w:val="02F36323"/>
    <w:rsid w:val="02F5619C"/>
    <w:rsid w:val="030D1D54"/>
    <w:rsid w:val="0326446A"/>
    <w:rsid w:val="032D5555"/>
    <w:rsid w:val="033B50CF"/>
    <w:rsid w:val="036634D2"/>
    <w:rsid w:val="03681C3C"/>
    <w:rsid w:val="03DD35E4"/>
    <w:rsid w:val="03ED33CD"/>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736704"/>
    <w:rsid w:val="06871610"/>
    <w:rsid w:val="06930BB8"/>
    <w:rsid w:val="07245D42"/>
    <w:rsid w:val="07264C62"/>
    <w:rsid w:val="072B545A"/>
    <w:rsid w:val="0779354C"/>
    <w:rsid w:val="079B18A6"/>
    <w:rsid w:val="08061376"/>
    <w:rsid w:val="08452D77"/>
    <w:rsid w:val="086401F8"/>
    <w:rsid w:val="08694A93"/>
    <w:rsid w:val="08751CAA"/>
    <w:rsid w:val="087E4C40"/>
    <w:rsid w:val="08A871D0"/>
    <w:rsid w:val="08D66AD6"/>
    <w:rsid w:val="08DA33A3"/>
    <w:rsid w:val="08E80F13"/>
    <w:rsid w:val="091960E6"/>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D6B83"/>
    <w:rsid w:val="0B30404E"/>
    <w:rsid w:val="0B4C6C14"/>
    <w:rsid w:val="0B547599"/>
    <w:rsid w:val="0B631A88"/>
    <w:rsid w:val="0B683D45"/>
    <w:rsid w:val="0B7F3F11"/>
    <w:rsid w:val="0B884417"/>
    <w:rsid w:val="0B8D66E4"/>
    <w:rsid w:val="0BA53328"/>
    <w:rsid w:val="0BAF2B0C"/>
    <w:rsid w:val="0BF6188C"/>
    <w:rsid w:val="0BF73C91"/>
    <w:rsid w:val="0C170175"/>
    <w:rsid w:val="0C571A41"/>
    <w:rsid w:val="0C5C1171"/>
    <w:rsid w:val="0C5E1CBC"/>
    <w:rsid w:val="0C615B50"/>
    <w:rsid w:val="0C8445DA"/>
    <w:rsid w:val="0C87121B"/>
    <w:rsid w:val="0CC007F7"/>
    <w:rsid w:val="0CC617AC"/>
    <w:rsid w:val="0CC94AB3"/>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2C3609"/>
    <w:rsid w:val="0E5604B2"/>
    <w:rsid w:val="0E6D5D79"/>
    <w:rsid w:val="0E8E5BB1"/>
    <w:rsid w:val="0E9D0089"/>
    <w:rsid w:val="0EA623A9"/>
    <w:rsid w:val="0EB803EE"/>
    <w:rsid w:val="0EF94D4B"/>
    <w:rsid w:val="0F0E18EA"/>
    <w:rsid w:val="0F4958DC"/>
    <w:rsid w:val="0F515DF7"/>
    <w:rsid w:val="0F596BA8"/>
    <w:rsid w:val="0F6248D2"/>
    <w:rsid w:val="0F693536"/>
    <w:rsid w:val="0F7B0511"/>
    <w:rsid w:val="0F7B76D9"/>
    <w:rsid w:val="0F816ACD"/>
    <w:rsid w:val="0F9832DB"/>
    <w:rsid w:val="0FAB0EE6"/>
    <w:rsid w:val="0FBF3FD2"/>
    <w:rsid w:val="0FBF7FF3"/>
    <w:rsid w:val="10646583"/>
    <w:rsid w:val="10727C56"/>
    <w:rsid w:val="107D4B15"/>
    <w:rsid w:val="108A3C80"/>
    <w:rsid w:val="10C26171"/>
    <w:rsid w:val="10E943BC"/>
    <w:rsid w:val="10F33360"/>
    <w:rsid w:val="10FB5853"/>
    <w:rsid w:val="10FC16EA"/>
    <w:rsid w:val="110F1D40"/>
    <w:rsid w:val="11266F33"/>
    <w:rsid w:val="11360633"/>
    <w:rsid w:val="118963A1"/>
    <w:rsid w:val="11C6522A"/>
    <w:rsid w:val="11E104CC"/>
    <w:rsid w:val="11E20309"/>
    <w:rsid w:val="12255233"/>
    <w:rsid w:val="12530213"/>
    <w:rsid w:val="127723A9"/>
    <w:rsid w:val="12862074"/>
    <w:rsid w:val="12883966"/>
    <w:rsid w:val="12922018"/>
    <w:rsid w:val="129E45B4"/>
    <w:rsid w:val="12D81596"/>
    <w:rsid w:val="13072A44"/>
    <w:rsid w:val="135F4BE2"/>
    <w:rsid w:val="139B1A0A"/>
    <w:rsid w:val="139D25C7"/>
    <w:rsid w:val="13BF3CE4"/>
    <w:rsid w:val="141008D8"/>
    <w:rsid w:val="14125FE6"/>
    <w:rsid w:val="146D271E"/>
    <w:rsid w:val="14982588"/>
    <w:rsid w:val="149A5AD9"/>
    <w:rsid w:val="14A7619D"/>
    <w:rsid w:val="14E86B43"/>
    <w:rsid w:val="150536C3"/>
    <w:rsid w:val="150C1963"/>
    <w:rsid w:val="1511174C"/>
    <w:rsid w:val="151447A0"/>
    <w:rsid w:val="154716B1"/>
    <w:rsid w:val="154A6454"/>
    <w:rsid w:val="15762120"/>
    <w:rsid w:val="1665769A"/>
    <w:rsid w:val="16A8729C"/>
    <w:rsid w:val="16B33777"/>
    <w:rsid w:val="16BC70A7"/>
    <w:rsid w:val="16C6339E"/>
    <w:rsid w:val="172F2D79"/>
    <w:rsid w:val="17557BEF"/>
    <w:rsid w:val="17D349C1"/>
    <w:rsid w:val="18244F26"/>
    <w:rsid w:val="1830729E"/>
    <w:rsid w:val="183B1275"/>
    <w:rsid w:val="1852128A"/>
    <w:rsid w:val="18604B97"/>
    <w:rsid w:val="1870062C"/>
    <w:rsid w:val="18817102"/>
    <w:rsid w:val="18830A15"/>
    <w:rsid w:val="18852B28"/>
    <w:rsid w:val="188B5321"/>
    <w:rsid w:val="190112DC"/>
    <w:rsid w:val="19932372"/>
    <w:rsid w:val="19A20DD5"/>
    <w:rsid w:val="19AE03F1"/>
    <w:rsid w:val="19E443D3"/>
    <w:rsid w:val="19FF4885"/>
    <w:rsid w:val="1A071A03"/>
    <w:rsid w:val="1A1F16AE"/>
    <w:rsid w:val="1A3B5C77"/>
    <w:rsid w:val="1A641457"/>
    <w:rsid w:val="1A9829AF"/>
    <w:rsid w:val="1A984BAD"/>
    <w:rsid w:val="1AB8220E"/>
    <w:rsid w:val="1AE4166C"/>
    <w:rsid w:val="1AF06CFB"/>
    <w:rsid w:val="1AF11B8D"/>
    <w:rsid w:val="1B11359C"/>
    <w:rsid w:val="1B2A271F"/>
    <w:rsid w:val="1B530544"/>
    <w:rsid w:val="1B713184"/>
    <w:rsid w:val="1BA209CF"/>
    <w:rsid w:val="1BB4777D"/>
    <w:rsid w:val="1BD75AB8"/>
    <w:rsid w:val="1C0459C2"/>
    <w:rsid w:val="1C1B3B4A"/>
    <w:rsid w:val="1C5A1971"/>
    <w:rsid w:val="1C88086E"/>
    <w:rsid w:val="1D266CE1"/>
    <w:rsid w:val="1D3963AF"/>
    <w:rsid w:val="1D664516"/>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2B55BF"/>
    <w:rsid w:val="204E48BC"/>
    <w:rsid w:val="208921B3"/>
    <w:rsid w:val="20973DEB"/>
    <w:rsid w:val="20B26522"/>
    <w:rsid w:val="20B44310"/>
    <w:rsid w:val="211116EB"/>
    <w:rsid w:val="216133FC"/>
    <w:rsid w:val="21D56769"/>
    <w:rsid w:val="21DC405A"/>
    <w:rsid w:val="21E52EF3"/>
    <w:rsid w:val="21FB5D7B"/>
    <w:rsid w:val="22011333"/>
    <w:rsid w:val="22015E94"/>
    <w:rsid w:val="220B1C3D"/>
    <w:rsid w:val="221B186D"/>
    <w:rsid w:val="221D1D20"/>
    <w:rsid w:val="22334A87"/>
    <w:rsid w:val="229618B4"/>
    <w:rsid w:val="22BE6801"/>
    <w:rsid w:val="22DB6E4D"/>
    <w:rsid w:val="22F15352"/>
    <w:rsid w:val="22F522A6"/>
    <w:rsid w:val="2315408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56DF7"/>
    <w:rsid w:val="26A94201"/>
    <w:rsid w:val="26AC274F"/>
    <w:rsid w:val="27044A29"/>
    <w:rsid w:val="271D34C8"/>
    <w:rsid w:val="274A6DDF"/>
    <w:rsid w:val="276142BF"/>
    <w:rsid w:val="27783712"/>
    <w:rsid w:val="277B6C26"/>
    <w:rsid w:val="27907362"/>
    <w:rsid w:val="28333E1D"/>
    <w:rsid w:val="28454BD6"/>
    <w:rsid w:val="28455253"/>
    <w:rsid w:val="285465AC"/>
    <w:rsid w:val="28551971"/>
    <w:rsid w:val="285B1C53"/>
    <w:rsid w:val="289F7086"/>
    <w:rsid w:val="28C32028"/>
    <w:rsid w:val="28CC490F"/>
    <w:rsid w:val="28DE40AA"/>
    <w:rsid w:val="29022E22"/>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B2917"/>
    <w:rsid w:val="2D575011"/>
    <w:rsid w:val="2DD15014"/>
    <w:rsid w:val="2DD90926"/>
    <w:rsid w:val="2DF72DE4"/>
    <w:rsid w:val="2E0220AF"/>
    <w:rsid w:val="2E0A72C8"/>
    <w:rsid w:val="2E4B082A"/>
    <w:rsid w:val="2E59653C"/>
    <w:rsid w:val="2E5D4E86"/>
    <w:rsid w:val="2E5D790B"/>
    <w:rsid w:val="2E9A3C18"/>
    <w:rsid w:val="2EBB0FEE"/>
    <w:rsid w:val="2EC63002"/>
    <w:rsid w:val="2F0A6B38"/>
    <w:rsid w:val="2F1242CB"/>
    <w:rsid w:val="2F946CCB"/>
    <w:rsid w:val="2FD25781"/>
    <w:rsid w:val="2FDC745C"/>
    <w:rsid w:val="2FFD7934"/>
    <w:rsid w:val="30733ACD"/>
    <w:rsid w:val="308C3862"/>
    <w:rsid w:val="309379D8"/>
    <w:rsid w:val="30A270F7"/>
    <w:rsid w:val="30DF1478"/>
    <w:rsid w:val="30EC586F"/>
    <w:rsid w:val="316F4012"/>
    <w:rsid w:val="319C6071"/>
    <w:rsid w:val="31A53656"/>
    <w:rsid w:val="31AC537E"/>
    <w:rsid w:val="31E3679B"/>
    <w:rsid w:val="31E732FD"/>
    <w:rsid w:val="32517576"/>
    <w:rsid w:val="328062C5"/>
    <w:rsid w:val="32BE5C2C"/>
    <w:rsid w:val="32D0096E"/>
    <w:rsid w:val="32FB6478"/>
    <w:rsid w:val="33222825"/>
    <w:rsid w:val="33263B3F"/>
    <w:rsid w:val="336963EB"/>
    <w:rsid w:val="33816EEB"/>
    <w:rsid w:val="339F3B17"/>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77DAA"/>
    <w:rsid w:val="36AD60D5"/>
    <w:rsid w:val="36B224F9"/>
    <w:rsid w:val="36EC0CC9"/>
    <w:rsid w:val="37202102"/>
    <w:rsid w:val="373F410B"/>
    <w:rsid w:val="37EE7094"/>
    <w:rsid w:val="38296C89"/>
    <w:rsid w:val="383002EB"/>
    <w:rsid w:val="38586797"/>
    <w:rsid w:val="385D15DF"/>
    <w:rsid w:val="38BC0149"/>
    <w:rsid w:val="38D87D1C"/>
    <w:rsid w:val="38F95A46"/>
    <w:rsid w:val="394F102E"/>
    <w:rsid w:val="39636459"/>
    <w:rsid w:val="396B7F6C"/>
    <w:rsid w:val="39B417A9"/>
    <w:rsid w:val="39FC5695"/>
    <w:rsid w:val="3A006D8E"/>
    <w:rsid w:val="3A3651E5"/>
    <w:rsid w:val="3A744481"/>
    <w:rsid w:val="3A8C7BEF"/>
    <w:rsid w:val="3A906246"/>
    <w:rsid w:val="3AA865FF"/>
    <w:rsid w:val="3B2349B7"/>
    <w:rsid w:val="3B533E85"/>
    <w:rsid w:val="3B616CFF"/>
    <w:rsid w:val="3B6259F6"/>
    <w:rsid w:val="3B874C4F"/>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5A7DF8"/>
    <w:rsid w:val="3E7B5D6B"/>
    <w:rsid w:val="3E843E66"/>
    <w:rsid w:val="3E8F51FE"/>
    <w:rsid w:val="3E926F87"/>
    <w:rsid w:val="3E9A59DE"/>
    <w:rsid w:val="3EAF4836"/>
    <w:rsid w:val="3EC33DFA"/>
    <w:rsid w:val="3F060E16"/>
    <w:rsid w:val="3F1D1096"/>
    <w:rsid w:val="3F2F0234"/>
    <w:rsid w:val="3F45730B"/>
    <w:rsid w:val="3F6363FE"/>
    <w:rsid w:val="3F756B8F"/>
    <w:rsid w:val="3F95482B"/>
    <w:rsid w:val="4019356B"/>
    <w:rsid w:val="40592157"/>
    <w:rsid w:val="405F3DB1"/>
    <w:rsid w:val="406E1CAE"/>
    <w:rsid w:val="40A0133A"/>
    <w:rsid w:val="40C31A53"/>
    <w:rsid w:val="40FF545D"/>
    <w:rsid w:val="410067C8"/>
    <w:rsid w:val="418F0D2A"/>
    <w:rsid w:val="41AA77EA"/>
    <w:rsid w:val="41D01505"/>
    <w:rsid w:val="420C765B"/>
    <w:rsid w:val="42174A15"/>
    <w:rsid w:val="42474939"/>
    <w:rsid w:val="424C3C57"/>
    <w:rsid w:val="42613FF3"/>
    <w:rsid w:val="42660D96"/>
    <w:rsid w:val="428667D2"/>
    <w:rsid w:val="428D59B1"/>
    <w:rsid w:val="42A664B0"/>
    <w:rsid w:val="42CD1CE0"/>
    <w:rsid w:val="42E1381E"/>
    <w:rsid w:val="42ED6459"/>
    <w:rsid w:val="42FE58DD"/>
    <w:rsid w:val="43174B3D"/>
    <w:rsid w:val="434B790E"/>
    <w:rsid w:val="4360274F"/>
    <w:rsid w:val="43977AB6"/>
    <w:rsid w:val="439A35C1"/>
    <w:rsid w:val="439A57D0"/>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66031"/>
    <w:rsid w:val="460E7DA5"/>
    <w:rsid w:val="4618037D"/>
    <w:rsid w:val="46422483"/>
    <w:rsid w:val="4659254A"/>
    <w:rsid w:val="465B0637"/>
    <w:rsid w:val="465E3F0D"/>
    <w:rsid w:val="46607F75"/>
    <w:rsid w:val="466A16E6"/>
    <w:rsid w:val="46893F2B"/>
    <w:rsid w:val="46913DA4"/>
    <w:rsid w:val="46C4686E"/>
    <w:rsid w:val="46C50552"/>
    <w:rsid w:val="475B7A5C"/>
    <w:rsid w:val="477B778F"/>
    <w:rsid w:val="478203EC"/>
    <w:rsid w:val="479F73DD"/>
    <w:rsid w:val="47B025FA"/>
    <w:rsid w:val="47F6649C"/>
    <w:rsid w:val="4809698F"/>
    <w:rsid w:val="4811697D"/>
    <w:rsid w:val="487A3E25"/>
    <w:rsid w:val="488B5503"/>
    <w:rsid w:val="48937E21"/>
    <w:rsid w:val="489A0361"/>
    <w:rsid w:val="48B94FF3"/>
    <w:rsid w:val="48E37AAB"/>
    <w:rsid w:val="48EB7B51"/>
    <w:rsid w:val="48FD4B4C"/>
    <w:rsid w:val="490A68E0"/>
    <w:rsid w:val="491055FE"/>
    <w:rsid w:val="495F5B3E"/>
    <w:rsid w:val="496F77D7"/>
    <w:rsid w:val="497654FD"/>
    <w:rsid w:val="49B64211"/>
    <w:rsid w:val="49F6167F"/>
    <w:rsid w:val="4A064FA0"/>
    <w:rsid w:val="4A16615C"/>
    <w:rsid w:val="4A4424D7"/>
    <w:rsid w:val="4AB82D0F"/>
    <w:rsid w:val="4ADB406F"/>
    <w:rsid w:val="4AEB7664"/>
    <w:rsid w:val="4AFD7C19"/>
    <w:rsid w:val="4B0567D1"/>
    <w:rsid w:val="4B236AAE"/>
    <w:rsid w:val="4B707271"/>
    <w:rsid w:val="4B9739F7"/>
    <w:rsid w:val="4BA15E93"/>
    <w:rsid w:val="4BEE2503"/>
    <w:rsid w:val="4C245A30"/>
    <w:rsid w:val="4CB6685F"/>
    <w:rsid w:val="4CC367FE"/>
    <w:rsid w:val="4D077F3C"/>
    <w:rsid w:val="4D123355"/>
    <w:rsid w:val="4D2A3B31"/>
    <w:rsid w:val="4D312C52"/>
    <w:rsid w:val="4D905305"/>
    <w:rsid w:val="4D964A72"/>
    <w:rsid w:val="4D9C1254"/>
    <w:rsid w:val="4DB049C0"/>
    <w:rsid w:val="4E564D45"/>
    <w:rsid w:val="4E793892"/>
    <w:rsid w:val="4E800872"/>
    <w:rsid w:val="4E971665"/>
    <w:rsid w:val="4EC569ED"/>
    <w:rsid w:val="4ED50EA1"/>
    <w:rsid w:val="4EEC050C"/>
    <w:rsid w:val="4F104EC3"/>
    <w:rsid w:val="4F47354A"/>
    <w:rsid w:val="4F911C54"/>
    <w:rsid w:val="4FCF2ACA"/>
    <w:rsid w:val="4FE625E0"/>
    <w:rsid w:val="5021480F"/>
    <w:rsid w:val="50962ECB"/>
    <w:rsid w:val="50A42E38"/>
    <w:rsid w:val="50A4577F"/>
    <w:rsid w:val="50B73D1F"/>
    <w:rsid w:val="50BD5BC9"/>
    <w:rsid w:val="50C11EEE"/>
    <w:rsid w:val="50D34855"/>
    <w:rsid w:val="50E97CFC"/>
    <w:rsid w:val="50FA4028"/>
    <w:rsid w:val="510D65B7"/>
    <w:rsid w:val="511157AB"/>
    <w:rsid w:val="5142540C"/>
    <w:rsid w:val="518832C8"/>
    <w:rsid w:val="51920B70"/>
    <w:rsid w:val="519D3C50"/>
    <w:rsid w:val="51A0432A"/>
    <w:rsid w:val="51A86090"/>
    <w:rsid w:val="51B7396D"/>
    <w:rsid w:val="520919B3"/>
    <w:rsid w:val="5215084E"/>
    <w:rsid w:val="522E4CC3"/>
    <w:rsid w:val="5244713B"/>
    <w:rsid w:val="52615633"/>
    <w:rsid w:val="526F3604"/>
    <w:rsid w:val="526F4DE4"/>
    <w:rsid w:val="52791E76"/>
    <w:rsid w:val="52977FD4"/>
    <w:rsid w:val="52A25790"/>
    <w:rsid w:val="52A96B6F"/>
    <w:rsid w:val="52B45975"/>
    <w:rsid w:val="52D94AA4"/>
    <w:rsid w:val="52EA3A62"/>
    <w:rsid w:val="52F50BB8"/>
    <w:rsid w:val="53097272"/>
    <w:rsid w:val="53535343"/>
    <w:rsid w:val="53544462"/>
    <w:rsid w:val="5397158E"/>
    <w:rsid w:val="54013861"/>
    <w:rsid w:val="5444538C"/>
    <w:rsid w:val="54487265"/>
    <w:rsid w:val="544D6070"/>
    <w:rsid w:val="5452130F"/>
    <w:rsid w:val="54605E1E"/>
    <w:rsid w:val="54B3506A"/>
    <w:rsid w:val="54CA0D16"/>
    <w:rsid w:val="54DD4057"/>
    <w:rsid w:val="54E7490F"/>
    <w:rsid w:val="550764A4"/>
    <w:rsid w:val="550B2BF6"/>
    <w:rsid w:val="55214EB5"/>
    <w:rsid w:val="55364EFD"/>
    <w:rsid w:val="555D4828"/>
    <w:rsid w:val="555D7E50"/>
    <w:rsid w:val="557A4C8B"/>
    <w:rsid w:val="558931E1"/>
    <w:rsid w:val="55923347"/>
    <w:rsid w:val="55925180"/>
    <w:rsid w:val="55983B1B"/>
    <w:rsid w:val="55A8376B"/>
    <w:rsid w:val="55B26A80"/>
    <w:rsid w:val="55D12238"/>
    <w:rsid w:val="55DC29B6"/>
    <w:rsid w:val="55DD4241"/>
    <w:rsid w:val="56300645"/>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B54A3"/>
    <w:rsid w:val="57C00874"/>
    <w:rsid w:val="57CD20C2"/>
    <w:rsid w:val="57D675AB"/>
    <w:rsid w:val="57D73717"/>
    <w:rsid w:val="57D95FDD"/>
    <w:rsid w:val="58917D2F"/>
    <w:rsid w:val="5894085C"/>
    <w:rsid w:val="58AE4F0C"/>
    <w:rsid w:val="58B67BD0"/>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D5ADF"/>
    <w:rsid w:val="5B2E1A1D"/>
    <w:rsid w:val="5B6A2FD1"/>
    <w:rsid w:val="5B843A1C"/>
    <w:rsid w:val="5B873E3F"/>
    <w:rsid w:val="5BBC52C6"/>
    <w:rsid w:val="5C02690E"/>
    <w:rsid w:val="5C196DA7"/>
    <w:rsid w:val="5C2A048C"/>
    <w:rsid w:val="5C3526BF"/>
    <w:rsid w:val="5C80234E"/>
    <w:rsid w:val="5C8A680C"/>
    <w:rsid w:val="5D0C4701"/>
    <w:rsid w:val="5D0F0395"/>
    <w:rsid w:val="5D221076"/>
    <w:rsid w:val="5D397964"/>
    <w:rsid w:val="5D5A391C"/>
    <w:rsid w:val="5D5F10C0"/>
    <w:rsid w:val="5D6C15DC"/>
    <w:rsid w:val="5D891B7B"/>
    <w:rsid w:val="5DAD38EE"/>
    <w:rsid w:val="5E006862"/>
    <w:rsid w:val="5E0207B9"/>
    <w:rsid w:val="5E1834A1"/>
    <w:rsid w:val="5E261785"/>
    <w:rsid w:val="5E3E24F3"/>
    <w:rsid w:val="5E4A7017"/>
    <w:rsid w:val="5E552BBA"/>
    <w:rsid w:val="5E611C10"/>
    <w:rsid w:val="5E7A0F3F"/>
    <w:rsid w:val="5ECF39C1"/>
    <w:rsid w:val="5ECF7930"/>
    <w:rsid w:val="5EFC7377"/>
    <w:rsid w:val="5F0059FA"/>
    <w:rsid w:val="5F06174D"/>
    <w:rsid w:val="5F3A3602"/>
    <w:rsid w:val="5F45733B"/>
    <w:rsid w:val="5F4A0C6E"/>
    <w:rsid w:val="5F6277C6"/>
    <w:rsid w:val="5F6D0B1D"/>
    <w:rsid w:val="5F8D0B82"/>
    <w:rsid w:val="5FCC5339"/>
    <w:rsid w:val="5FE34A5B"/>
    <w:rsid w:val="5FFE1E36"/>
    <w:rsid w:val="60232584"/>
    <w:rsid w:val="60511079"/>
    <w:rsid w:val="607330CE"/>
    <w:rsid w:val="60825176"/>
    <w:rsid w:val="609F2AC4"/>
    <w:rsid w:val="60FA2EE8"/>
    <w:rsid w:val="61054A27"/>
    <w:rsid w:val="610A52BC"/>
    <w:rsid w:val="611D2366"/>
    <w:rsid w:val="61421856"/>
    <w:rsid w:val="615227C4"/>
    <w:rsid w:val="61654E3F"/>
    <w:rsid w:val="6182292A"/>
    <w:rsid w:val="619F7F92"/>
    <w:rsid w:val="61D27B22"/>
    <w:rsid w:val="61F94C26"/>
    <w:rsid w:val="62000E56"/>
    <w:rsid w:val="62114FBB"/>
    <w:rsid w:val="62406B74"/>
    <w:rsid w:val="624F3E49"/>
    <w:rsid w:val="62632286"/>
    <w:rsid w:val="62885958"/>
    <w:rsid w:val="62F40B65"/>
    <w:rsid w:val="62FC2CFE"/>
    <w:rsid w:val="63024505"/>
    <w:rsid w:val="635600A5"/>
    <w:rsid w:val="635B1DB5"/>
    <w:rsid w:val="63711FED"/>
    <w:rsid w:val="63880DDC"/>
    <w:rsid w:val="638D750D"/>
    <w:rsid w:val="63AC6CC0"/>
    <w:rsid w:val="63E47698"/>
    <w:rsid w:val="63F4437D"/>
    <w:rsid w:val="64055776"/>
    <w:rsid w:val="64240056"/>
    <w:rsid w:val="643E143A"/>
    <w:rsid w:val="64491666"/>
    <w:rsid w:val="648B6EEF"/>
    <w:rsid w:val="649A70DD"/>
    <w:rsid w:val="64C158BF"/>
    <w:rsid w:val="64CE2EAA"/>
    <w:rsid w:val="653C3090"/>
    <w:rsid w:val="65854376"/>
    <w:rsid w:val="658767BE"/>
    <w:rsid w:val="65892531"/>
    <w:rsid w:val="65A05965"/>
    <w:rsid w:val="66195831"/>
    <w:rsid w:val="662E75B1"/>
    <w:rsid w:val="66342C2E"/>
    <w:rsid w:val="663E784C"/>
    <w:rsid w:val="668B6A45"/>
    <w:rsid w:val="66CA526B"/>
    <w:rsid w:val="672F3F24"/>
    <w:rsid w:val="67310E46"/>
    <w:rsid w:val="673E055F"/>
    <w:rsid w:val="67551CE3"/>
    <w:rsid w:val="67A22552"/>
    <w:rsid w:val="67B22DCC"/>
    <w:rsid w:val="67BE71AA"/>
    <w:rsid w:val="67D675DB"/>
    <w:rsid w:val="67D90273"/>
    <w:rsid w:val="67DE5875"/>
    <w:rsid w:val="67E55852"/>
    <w:rsid w:val="67EB1AB4"/>
    <w:rsid w:val="67FA1285"/>
    <w:rsid w:val="684706A4"/>
    <w:rsid w:val="68551F4F"/>
    <w:rsid w:val="687C10C9"/>
    <w:rsid w:val="68840C16"/>
    <w:rsid w:val="68876EFB"/>
    <w:rsid w:val="68884654"/>
    <w:rsid w:val="689F444F"/>
    <w:rsid w:val="68B96DBB"/>
    <w:rsid w:val="68CA2805"/>
    <w:rsid w:val="68E937A3"/>
    <w:rsid w:val="69366BE8"/>
    <w:rsid w:val="693E15D3"/>
    <w:rsid w:val="69627681"/>
    <w:rsid w:val="6977531D"/>
    <w:rsid w:val="69860AB8"/>
    <w:rsid w:val="69951F3F"/>
    <w:rsid w:val="69CC2BFF"/>
    <w:rsid w:val="69DA6CBE"/>
    <w:rsid w:val="69FD55B8"/>
    <w:rsid w:val="6A0B1C62"/>
    <w:rsid w:val="6A1D4F10"/>
    <w:rsid w:val="6A2406C8"/>
    <w:rsid w:val="6AD55F8D"/>
    <w:rsid w:val="6ADE0BD1"/>
    <w:rsid w:val="6AE96859"/>
    <w:rsid w:val="6AEE3483"/>
    <w:rsid w:val="6B147746"/>
    <w:rsid w:val="6B24787C"/>
    <w:rsid w:val="6B573233"/>
    <w:rsid w:val="6B5B6274"/>
    <w:rsid w:val="6B935D53"/>
    <w:rsid w:val="6C196F71"/>
    <w:rsid w:val="6C226FCB"/>
    <w:rsid w:val="6C31226F"/>
    <w:rsid w:val="6C552F0B"/>
    <w:rsid w:val="6C8C67B7"/>
    <w:rsid w:val="6C9D744C"/>
    <w:rsid w:val="6CC46B82"/>
    <w:rsid w:val="6D167928"/>
    <w:rsid w:val="6D26299B"/>
    <w:rsid w:val="6D4772EC"/>
    <w:rsid w:val="6D9078AF"/>
    <w:rsid w:val="6DAA3FEF"/>
    <w:rsid w:val="6DC0172B"/>
    <w:rsid w:val="6DCB690C"/>
    <w:rsid w:val="6DD3074D"/>
    <w:rsid w:val="6DD41A5B"/>
    <w:rsid w:val="6DF43C2E"/>
    <w:rsid w:val="6DF51CA3"/>
    <w:rsid w:val="6E0948CB"/>
    <w:rsid w:val="6E2E60E0"/>
    <w:rsid w:val="6E4B6747"/>
    <w:rsid w:val="6E8335BD"/>
    <w:rsid w:val="6E8E12EF"/>
    <w:rsid w:val="6E972936"/>
    <w:rsid w:val="6ED446C5"/>
    <w:rsid w:val="6F2A7D94"/>
    <w:rsid w:val="6F8331F1"/>
    <w:rsid w:val="6F914B78"/>
    <w:rsid w:val="6FAE1A09"/>
    <w:rsid w:val="6FBD3BBF"/>
    <w:rsid w:val="6FD75BF8"/>
    <w:rsid w:val="6FE30947"/>
    <w:rsid w:val="704901D4"/>
    <w:rsid w:val="706732A6"/>
    <w:rsid w:val="707723D0"/>
    <w:rsid w:val="70A57AEF"/>
    <w:rsid w:val="70C45FEA"/>
    <w:rsid w:val="70CB14C4"/>
    <w:rsid w:val="70F5661B"/>
    <w:rsid w:val="711F373C"/>
    <w:rsid w:val="71360107"/>
    <w:rsid w:val="713B688E"/>
    <w:rsid w:val="713E6586"/>
    <w:rsid w:val="71D43752"/>
    <w:rsid w:val="71F1796A"/>
    <w:rsid w:val="72154626"/>
    <w:rsid w:val="72262B5D"/>
    <w:rsid w:val="72283FF7"/>
    <w:rsid w:val="722E7212"/>
    <w:rsid w:val="723A0474"/>
    <w:rsid w:val="724760A3"/>
    <w:rsid w:val="725923E4"/>
    <w:rsid w:val="72864BF7"/>
    <w:rsid w:val="729023FC"/>
    <w:rsid w:val="73C0646E"/>
    <w:rsid w:val="742222F5"/>
    <w:rsid w:val="74476126"/>
    <w:rsid w:val="74706664"/>
    <w:rsid w:val="747F3682"/>
    <w:rsid w:val="749C4185"/>
    <w:rsid w:val="74A878F0"/>
    <w:rsid w:val="74BE0313"/>
    <w:rsid w:val="75067759"/>
    <w:rsid w:val="752E6DCD"/>
    <w:rsid w:val="754D02F6"/>
    <w:rsid w:val="7551380D"/>
    <w:rsid w:val="75600BE5"/>
    <w:rsid w:val="7564475C"/>
    <w:rsid w:val="757155EF"/>
    <w:rsid w:val="7583797F"/>
    <w:rsid w:val="75D20F1D"/>
    <w:rsid w:val="75DA2C18"/>
    <w:rsid w:val="75F54412"/>
    <w:rsid w:val="761D08E0"/>
    <w:rsid w:val="765D347C"/>
    <w:rsid w:val="76826699"/>
    <w:rsid w:val="76C87133"/>
    <w:rsid w:val="76CD08D5"/>
    <w:rsid w:val="76DB4B92"/>
    <w:rsid w:val="77052AA4"/>
    <w:rsid w:val="770D5360"/>
    <w:rsid w:val="77136511"/>
    <w:rsid w:val="77340A39"/>
    <w:rsid w:val="77351FD0"/>
    <w:rsid w:val="77472422"/>
    <w:rsid w:val="777F31F2"/>
    <w:rsid w:val="77D1700D"/>
    <w:rsid w:val="77EC04CC"/>
    <w:rsid w:val="784A45E5"/>
    <w:rsid w:val="78775729"/>
    <w:rsid w:val="787B63C5"/>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D592D"/>
    <w:rsid w:val="7B257FFD"/>
    <w:rsid w:val="7B343476"/>
    <w:rsid w:val="7B5A2978"/>
    <w:rsid w:val="7B5A7E4C"/>
    <w:rsid w:val="7B667AF9"/>
    <w:rsid w:val="7B7468F8"/>
    <w:rsid w:val="7BCE2CB0"/>
    <w:rsid w:val="7BE22960"/>
    <w:rsid w:val="7BEE0103"/>
    <w:rsid w:val="7C0A0FE4"/>
    <w:rsid w:val="7C1336CF"/>
    <w:rsid w:val="7C254906"/>
    <w:rsid w:val="7C590818"/>
    <w:rsid w:val="7C716D5B"/>
    <w:rsid w:val="7C7C10F6"/>
    <w:rsid w:val="7C853BEA"/>
    <w:rsid w:val="7C881368"/>
    <w:rsid w:val="7CE27788"/>
    <w:rsid w:val="7D0C32F1"/>
    <w:rsid w:val="7D0F408D"/>
    <w:rsid w:val="7D4046DC"/>
    <w:rsid w:val="7D491C6C"/>
    <w:rsid w:val="7D5429C0"/>
    <w:rsid w:val="7D6E6D43"/>
    <w:rsid w:val="7DB57A34"/>
    <w:rsid w:val="7DE60973"/>
    <w:rsid w:val="7DEE479E"/>
    <w:rsid w:val="7DEF0916"/>
    <w:rsid w:val="7E1E5218"/>
    <w:rsid w:val="7E9A4E1F"/>
    <w:rsid w:val="7EA7723A"/>
    <w:rsid w:val="7EF56FBB"/>
    <w:rsid w:val="7F0768EB"/>
    <w:rsid w:val="7F143BEC"/>
    <w:rsid w:val="7F715AF2"/>
    <w:rsid w:val="7F886E69"/>
    <w:rsid w:val="7F8E2E82"/>
    <w:rsid w:val="7F961E7F"/>
    <w:rsid w:val="7FC02B78"/>
    <w:rsid w:val="7FD05C64"/>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next w:val="1"/>
    <w:link w:val="120"/>
    <w:autoRedefine/>
    <w:qFormat/>
    <w:uiPriority w:val="0"/>
    <w:pPr>
      <w:adjustRightInd/>
      <w:spacing w:after="120" w:line="240" w:lineRule="auto"/>
      <w:ind w:firstLine="0" w:firstLineChars="0"/>
    </w:pPr>
    <w:rPr>
      <w:color w:val="00B05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color w:val="00B050"/>
      <w:kern w:val="2"/>
      <w:sz w:val="24"/>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PlainText"/>
    <w:basedOn w:val="1"/>
    <w:autoRedefine/>
    <w:qFormat/>
    <w:uiPriority w:val="0"/>
    <w:pPr>
      <w:widowControl/>
      <w:spacing w:line="360" w:lineRule="auto"/>
      <w:textAlignment w:val="baseline"/>
    </w:pPr>
    <w:rPr>
      <w:rFonts w:ascii="宋体" w:hAnsi="Courier New"/>
      <w:szCs w:val="20"/>
    </w:rPr>
  </w:style>
  <w:style w:type="character" w:customStyle="1" w:styleId="965">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86</Pages>
  <Words>8042</Words>
  <Characters>45846</Characters>
  <DocSecurity>0</DocSecurity>
  <Lines>382</Lines>
  <Paragraphs>107</Paragraphs>
  <ScaleCrop>false</ScaleCrop>
  <LinksUpToDate>false</LinksUpToDate>
  <CharactersWithSpaces>53781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2021-12-27T11:06:00Z</cp:lastPrinted>
  <dcterms:created xsi:type="dcterms:W3CDTF">2024-04-28T03:39:00Z</dcterms:created>
  <dcterms:modified xsi:type="dcterms:W3CDTF">2024-05-09T08:32:37Z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3F96BCF995C74214A2CFE57B0215A76B_13</vt:lpwstr>
  </property>
</Properties>
</file>