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杭州市温室气体手工监测及碳通量评估</w:t>
      </w:r>
    </w:p>
    <w:p>
      <w:pP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项目</w:t>
      </w:r>
    </w:p>
    <w:p>
      <w:pPr>
        <w:adjustRightInd/>
        <w:spacing w:line="360" w:lineRule="auto"/>
        <w:jc w:val="center"/>
        <w:rPr>
          <w:rFonts w:ascii="仿宋" w:hAnsi="仿宋" w:eastAsia="仿宋" w:cs="仿宋_GB2312"/>
          <w:color w:val="auto"/>
          <w:sz w:val="48"/>
          <w:szCs w:val="48"/>
          <w:highlight w:val="none"/>
        </w:rPr>
      </w:pPr>
    </w:p>
    <w:p>
      <w:pPr>
        <w:pStyle w:val="3"/>
        <w:rPr>
          <w:color w:val="auto"/>
          <w:highlight w:val="none"/>
          <w:lang w:val="en-US"/>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公开招标文件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HZYX-HJ-22325GK</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hint="eastAsia" w:ascii="仿宋" w:hAnsi="仿宋" w:eastAsia="仿宋" w:cs="Arial"/>
          <w:color w:val="auto"/>
          <w:sz w:val="30"/>
          <w:highlight w:val="none"/>
          <w:lang w:eastAsia="zh-CN"/>
        </w:rPr>
      </w:pPr>
      <w:r>
        <w:rPr>
          <w:rFonts w:hint="eastAsia" w:ascii="仿宋" w:hAnsi="仿宋" w:eastAsia="仿宋" w:cs="Arial"/>
          <w:color w:val="auto"/>
          <w:sz w:val="30"/>
          <w:highlight w:val="none"/>
        </w:rPr>
        <w:t>采购人：</w:t>
      </w:r>
      <w:r>
        <w:rPr>
          <w:rFonts w:hint="eastAsia" w:ascii="仿宋" w:hAnsi="仿宋" w:eastAsia="仿宋" w:cs="Arial"/>
          <w:color w:val="auto"/>
          <w:sz w:val="30"/>
          <w:highlight w:val="none"/>
          <w:lang w:eastAsia="zh-CN"/>
        </w:rPr>
        <w:t>浙江省杭州生态环境监测中心</w:t>
      </w: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Arial"/>
          <w:color w:val="auto"/>
          <w:sz w:val="30"/>
          <w:highlight w:val="none"/>
        </w:rPr>
        <w:t>采购代理机构：</w:t>
      </w:r>
      <w:r>
        <w:rPr>
          <w:rFonts w:ascii="仿宋" w:hAnsi="仿宋" w:eastAsia="仿宋" w:cs="Arial"/>
          <w:color w:val="auto"/>
          <w:sz w:val="30"/>
          <w:highlight w:val="none"/>
        </w:rPr>
        <w:t>杭州意信招标代理有限公司</w:t>
      </w:r>
    </w:p>
    <w:p>
      <w:pPr>
        <w:snapToGrid w:val="0"/>
        <w:spacing w:line="360" w:lineRule="auto"/>
        <w:jc w:val="center"/>
        <w:rPr>
          <w:rFonts w:ascii="仿宋" w:hAnsi="仿宋" w:eastAsia="仿宋" w:cs="Arial"/>
          <w:color w:val="auto"/>
          <w:sz w:val="30"/>
          <w:highlight w:val="none"/>
        </w:rPr>
      </w:pPr>
      <w:r>
        <w:rPr>
          <w:rFonts w:hint="eastAsia" w:ascii="仿宋" w:hAnsi="仿宋" w:eastAsia="仿宋" w:cs="Arial"/>
          <w:color w:val="auto"/>
          <w:sz w:val="30"/>
          <w:highlight w:val="none"/>
        </w:rPr>
        <w:t>二〇二二年</w:t>
      </w:r>
      <w:r>
        <w:rPr>
          <w:rFonts w:hint="eastAsia" w:ascii="仿宋" w:hAnsi="仿宋" w:eastAsia="仿宋" w:cs="Arial"/>
          <w:color w:val="auto"/>
          <w:sz w:val="30"/>
          <w:highlight w:val="none"/>
          <w:lang w:val="en-US" w:eastAsia="zh-CN"/>
        </w:rPr>
        <w:t>九</w:t>
      </w:r>
      <w:r>
        <w:rPr>
          <w:rFonts w:hint="eastAsia" w:ascii="仿宋" w:hAnsi="仿宋" w:eastAsia="仿宋" w:cs="Arial"/>
          <w:color w:val="auto"/>
          <w:sz w:val="30"/>
          <w:highlight w:val="none"/>
        </w:rPr>
        <w:t>月</w:t>
      </w:r>
      <w:r>
        <w:rPr>
          <w:rFonts w:hint="eastAsia" w:ascii="仿宋" w:hAnsi="仿宋" w:eastAsia="仿宋" w:cs="Arial"/>
          <w:color w:val="auto"/>
          <w:sz w:val="30"/>
          <w:highlight w:val="none"/>
          <w:lang w:val="en-US" w:eastAsia="zh-CN"/>
        </w:rPr>
        <w:t>三十</w:t>
      </w:r>
      <w:r>
        <w:rPr>
          <w:rFonts w:hint="eastAsia" w:ascii="仿宋" w:hAnsi="仿宋" w:eastAsia="仿宋" w:cs="Arial"/>
          <w:color w:val="auto"/>
          <w:sz w:val="30"/>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第一部分招标公告</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第二部分投标人须知</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第三部分采购需求</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第四部分评标办法</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第五部分拟签订的合同文本</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jc w:val="center"/>
        <w:outlineLvl w:val="0"/>
        <w:rPr>
          <w:rFonts w:ascii="仿宋" w:hAnsi="仿宋" w:eastAsia="仿宋"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w:t>
      </w:r>
      <w:r>
        <w:rPr>
          <w:rFonts w:ascii="仿宋" w:hAnsi="仿宋" w:eastAsia="仿宋" w:cs="仿宋_GB2312"/>
          <w:b/>
          <w:color w:val="auto"/>
          <w:sz w:val="36"/>
          <w:szCs w:val="36"/>
          <w:highlight w:val="none"/>
        </w:rPr>
        <w:t xml:space="preserve">部分 </w:t>
      </w:r>
      <w:r>
        <w:rPr>
          <w:rFonts w:hint="eastAsia" w:ascii="仿宋" w:hAnsi="仿宋" w:eastAsia="仿宋" w:cs="仿宋_GB2312"/>
          <w:b/>
          <w:color w:val="auto"/>
          <w:sz w:val="36"/>
          <w:szCs w:val="20"/>
          <w:highlight w:val="none"/>
        </w:rPr>
        <w:t>招标公告</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仿宋" w:hAnsi="仿宋" w:eastAsia="仿宋"/>
          <w:color w:val="auto"/>
          <w:sz w:val="24"/>
          <w:highlight w:val="none"/>
          <w:u w:val="single"/>
        </w:rPr>
      </w:pPr>
      <w:r>
        <w:rPr>
          <w:rFonts w:hint="eastAsia" w:ascii="仿宋" w:hAnsi="仿宋" w:eastAsia="仿宋" w:cs="仿宋_GB2312"/>
          <w:color w:val="auto"/>
          <w:sz w:val="24"/>
          <w:highlight w:val="none"/>
          <w:u w:val="single"/>
          <w:lang w:eastAsia="zh-CN"/>
        </w:rPr>
        <w:t>杭州市温室气体手工监测及碳通量评估项目</w:t>
      </w:r>
      <w:r>
        <w:rPr>
          <w:rFonts w:hint="eastAsia" w:ascii="仿宋" w:hAnsi="仿宋" w:eastAsia="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"https://www.zcygov.cn/）获取（下载）招标文件，并于2022%20年%20月%20日%20点%20分00秒" </w:instrText>
      </w:r>
      <w:r>
        <w:rPr>
          <w:color w:val="auto"/>
          <w:highlight w:val="none"/>
        </w:rPr>
        <w:fldChar w:fldCharType="separate"/>
      </w:r>
      <w:r>
        <w:rPr>
          <w:rStyle w:val="78"/>
          <w:rFonts w:ascii="仿宋" w:hAnsi="仿宋" w:eastAsia="仿宋" w:cs="Times New Roman"/>
          <w:snapToGrid/>
          <w:color w:val="auto"/>
          <w:kern w:val="2"/>
          <w:sz w:val="24"/>
          <w:szCs w:val="24"/>
          <w:highlight w:val="none"/>
        </w:rPr>
        <w:t>https://www.zcygov.cn/）获取（下载）招标文件，并于</w:t>
      </w:r>
      <w:r>
        <w:rPr>
          <w:rStyle w:val="78"/>
          <w:rFonts w:hint="eastAsia" w:ascii="仿宋" w:hAnsi="仿宋" w:eastAsia="仿宋" w:cs="Times New Roman"/>
          <w:snapToGrid/>
          <w:color w:val="auto"/>
          <w:kern w:val="2"/>
          <w:sz w:val="24"/>
          <w:szCs w:val="24"/>
          <w:highlight w:val="none"/>
        </w:rPr>
        <w:t>202</w:t>
      </w:r>
      <w:r>
        <w:rPr>
          <w:rStyle w:val="78"/>
          <w:rFonts w:ascii="仿宋" w:hAnsi="仿宋" w:eastAsia="仿宋" w:cs="Times New Roman"/>
          <w:snapToGrid/>
          <w:color w:val="auto"/>
          <w:kern w:val="2"/>
          <w:sz w:val="24"/>
          <w:szCs w:val="24"/>
          <w:highlight w:val="none"/>
        </w:rPr>
        <w:t>2年</w:t>
      </w:r>
      <w:r>
        <w:rPr>
          <w:rStyle w:val="78"/>
          <w:rFonts w:hint="eastAsia" w:ascii="仿宋" w:hAnsi="仿宋" w:eastAsia="仿宋" w:cs="Times New Roman"/>
          <w:snapToGrid/>
          <w:color w:val="auto"/>
          <w:kern w:val="2"/>
          <w:sz w:val="24"/>
          <w:szCs w:val="24"/>
          <w:highlight w:val="none"/>
          <w:lang w:val="en-US" w:eastAsia="zh-CN"/>
        </w:rPr>
        <w:t>10</w:t>
      </w:r>
      <w:r>
        <w:rPr>
          <w:rStyle w:val="78"/>
          <w:rFonts w:hint="eastAsia" w:ascii="仿宋" w:hAnsi="仿宋" w:eastAsia="仿宋" w:cs="Times New Roman"/>
          <w:snapToGrid/>
          <w:color w:val="auto"/>
          <w:kern w:val="2"/>
          <w:sz w:val="24"/>
          <w:szCs w:val="24"/>
          <w:highlight w:val="none"/>
        </w:rPr>
        <w:t>月</w:t>
      </w:r>
      <w:r>
        <w:rPr>
          <w:rStyle w:val="78"/>
          <w:rFonts w:hint="eastAsia" w:ascii="仿宋" w:hAnsi="仿宋" w:eastAsia="仿宋" w:cs="Times New Roman"/>
          <w:snapToGrid/>
          <w:color w:val="auto"/>
          <w:kern w:val="2"/>
          <w:sz w:val="24"/>
          <w:szCs w:val="24"/>
          <w:highlight w:val="none"/>
          <w:lang w:val="en-US" w:eastAsia="zh-CN"/>
        </w:rPr>
        <w:t>21</w:t>
      </w:r>
      <w:r>
        <w:rPr>
          <w:rStyle w:val="78"/>
          <w:rFonts w:hint="eastAsia" w:ascii="仿宋" w:hAnsi="仿宋" w:eastAsia="仿宋" w:cs="Times New Roman"/>
          <w:snapToGrid/>
          <w:color w:val="auto"/>
          <w:kern w:val="2"/>
          <w:sz w:val="24"/>
          <w:szCs w:val="24"/>
          <w:highlight w:val="none"/>
        </w:rPr>
        <w:t>日</w:t>
      </w:r>
      <w:r>
        <w:rPr>
          <w:rStyle w:val="78"/>
          <w:rFonts w:hint="eastAsia" w:ascii="仿宋" w:hAnsi="仿宋" w:eastAsia="仿宋" w:cs="Times New Roman"/>
          <w:snapToGrid/>
          <w:color w:val="auto"/>
          <w:kern w:val="2"/>
          <w:sz w:val="24"/>
          <w:szCs w:val="24"/>
          <w:highlight w:val="none"/>
          <w:lang w:val="en-US" w:eastAsia="zh-CN"/>
        </w:rPr>
        <w:t>09</w:t>
      </w:r>
      <w:r>
        <w:rPr>
          <w:rStyle w:val="78"/>
          <w:rFonts w:hint="eastAsia" w:ascii="仿宋" w:hAnsi="仿宋" w:eastAsia="仿宋" w:cs="Times New Roman"/>
          <w:snapToGrid/>
          <w:color w:val="auto"/>
          <w:kern w:val="2"/>
          <w:sz w:val="24"/>
          <w:szCs w:val="24"/>
          <w:highlight w:val="none"/>
        </w:rPr>
        <w:t>点</w:t>
      </w:r>
      <w:r>
        <w:rPr>
          <w:rStyle w:val="78"/>
          <w:rFonts w:hint="eastAsia" w:ascii="仿宋" w:hAnsi="仿宋" w:eastAsia="仿宋" w:cs="Times New Roman"/>
          <w:snapToGrid/>
          <w:color w:val="auto"/>
          <w:kern w:val="2"/>
          <w:sz w:val="24"/>
          <w:szCs w:val="24"/>
          <w:highlight w:val="none"/>
          <w:lang w:val="en-US" w:eastAsia="zh-CN"/>
        </w:rPr>
        <w:t>3</w:t>
      </w:r>
      <w:r>
        <w:rPr>
          <w:rStyle w:val="78"/>
          <w:rFonts w:hint="eastAsia" w:ascii="仿宋" w:hAnsi="仿宋" w:eastAsia="仿宋" w:cs="Times New Roman"/>
          <w:snapToGrid/>
          <w:color w:val="auto"/>
          <w:kern w:val="2"/>
          <w:sz w:val="24"/>
          <w:szCs w:val="24"/>
          <w:highlight w:val="none"/>
        </w:rPr>
        <w:t>0分</w:t>
      </w:r>
      <w:r>
        <w:rPr>
          <w:rStyle w:val="78"/>
          <w:rFonts w:hint="eastAsia" w:ascii="仿宋" w:hAnsi="仿宋" w:eastAsia="仿宋" w:cs="Times New Roman"/>
          <w:bCs/>
          <w:snapToGrid/>
          <w:color w:val="auto"/>
          <w:kern w:val="2"/>
          <w:sz w:val="24"/>
          <w:szCs w:val="24"/>
          <w:highlight w:val="none"/>
        </w:rPr>
        <w:t>00秒</w:t>
      </w:r>
      <w:r>
        <w:rPr>
          <w:rStyle w:val="78"/>
          <w:rFonts w:hint="eastAsia" w:ascii="仿宋" w:hAnsi="仿宋" w:eastAsia="仿宋" w:cs="Times New Roman"/>
          <w:bCs/>
          <w:snapToGrid/>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一、项目基本情况</w:t>
      </w:r>
    </w:p>
    <w:p>
      <w:pPr>
        <w:spacing w:line="360" w:lineRule="auto"/>
        <w:ind w:firstLine="482" w:firstLineChars="200"/>
        <w:rPr>
          <w:rFonts w:hint="eastAsia" w:ascii="仿宋" w:hAnsi="仿宋" w:eastAsia="仿宋"/>
          <w:b w:val="0"/>
          <w:bCs/>
          <w:color w:val="auto"/>
          <w:sz w:val="24"/>
          <w:highlight w:val="none"/>
          <w:lang w:eastAsia="zh-CN"/>
        </w:rPr>
      </w:pPr>
      <w:r>
        <w:rPr>
          <w:rFonts w:hint="eastAsia" w:ascii="仿宋" w:hAnsi="仿宋" w:eastAsia="仿宋"/>
          <w:b/>
          <w:color w:val="auto"/>
          <w:sz w:val="24"/>
          <w:highlight w:val="none"/>
        </w:rPr>
        <w:t>项目编号：</w:t>
      </w:r>
      <w:r>
        <w:rPr>
          <w:rFonts w:hint="eastAsia" w:ascii="仿宋" w:hAnsi="仿宋" w:eastAsia="仿宋"/>
          <w:b w:val="0"/>
          <w:bCs/>
          <w:color w:val="auto"/>
          <w:sz w:val="24"/>
          <w:highlight w:val="none"/>
          <w:lang w:eastAsia="zh-CN"/>
        </w:rPr>
        <w:t>HZYX-HJ-22325GK</w:t>
      </w:r>
    </w:p>
    <w:p>
      <w:pPr>
        <w:spacing w:line="360" w:lineRule="auto"/>
        <w:ind w:firstLine="482" w:firstLineChars="200"/>
        <w:rPr>
          <w:rFonts w:hint="eastAsia" w:ascii="仿宋" w:hAnsi="仿宋" w:eastAsia="仿宋"/>
          <w:b/>
          <w:color w:val="auto"/>
          <w:sz w:val="24"/>
          <w:highlight w:val="none"/>
          <w:lang w:eastAsia="zh-CN"/>
        </w:rPr>
      </w:pPr>
      <w:r>
        <w:rPr>
          <w:rFonts w:ascii="仿宋" w:hAnsi="仿宋" w:eastAsia="仿宋"/>
          <w:b/>
          <w:color w:val="auto"/>
          <w:sz w:val="24"/>
          <w:highlight w:val="none"/>
        </w:rPr>
        <w:t>项目名称：</w:t>
      </w:r>
      <w:r>
        <w:rPr>
          <w:rFonts w:hint="eastAsia" w:ascii="仿宋" w:hAnsi="仿宋" w:eastAsia="仿宋"/>
          <w:b w:val="0"/>
          <w:bCs/>
          <w:color w:val="auto"/>
          <w:sz w:val="24"/>
          <w:highlight w:val="none"/>
          <w:lang w:eastAsia="zh-CN"/>
        </w:rPr>
        <w:t>杭州市温室气体手工监测及碳通量评估项目</w:t>
      </w:r>
    </w:p>
    <w:p>
      <w:pPr>
        <w:spacing w:line="360" w:lineRule="auto"/>
        <w:ind w:firstLine="482" w:firstLineChars="200"/>
        <w:rPr>
          <w:rFonts w:hint="default" w:ascii="仿宋" w:hAnsi="仿宋" w:eastAsia="仿宋"/>
          <w:color w:val="auto"/>
          <w:sz w:val="24"/>
          <w:highlight w:val="none"/>
          <w:lang w:val="en-US" w:eastAsia="zh-CN"/>
        </w:rPr>
      </w:pPr>
      <w:r>
        <w:rPr>
          <w:rFonts w:ascii="仿宋" w:hAnsi="仿宋" w:eastAsia="仿宋"/>
          <w:b/>
          <w:color w:val="auto"/>
          <w:sz w:val="24"/>
          <w:highlight w:val="none"/>
        </w:rPr>
        <w:t>预算金额（元）：</w:t>
      </w:r>
      <w:r>
        <w:rPr>
          <w:rFonts w:hint="eastAsia" w:ascii="仿宋" w:hAnsi="仿宋" w:eastAsia="仿宋"/>
          <w:b w:val="0"/>
          <w:bCs/>
          <w:color w:val="auto"/>
          <w:sz w:val="24"/>
          <w:highlight w:val="none"/>
          <w:lang w:val="en-US" w:eastAsia="zh-CN"/>
        </w:rPr>
        <w:t>7090000.00</w:t>
      </w:r>
    </w:p>
    <w:p>
      <w:pPr>
        <w:spacing w:line="360" w:lineRule="auto"/>
        <w:ind w:firstLine="482" w:firstLineChars="200"/>
        <w:rPr>
          <w:rFonts w:hint="default" w:ascii="仿宋" w:hAnsi="仿宋" w:eastAsia="仿宋"/>
          <w:color w:val="auto"/>
          <w:sz w:val="24"/>
          <w:highlight w:val="none"/>
          <w:lang w:val="en-US" w:eastAsia="zh-CN"/>
        </w:rPr>
      </w:pPr>
      <w:r>
        <w:rPr>
          <w:rFonts w:hint="eastAsia" w:ascii="仿宋" w:hAnsi="仿宋" w:eastAsia="仿宋"/>
          <w:b/>
          <w:color w:val="auto"/>
          <w:sz w:val="24"/>
          <w:highlight w:val="none"/>
        </w:rPr>
        <w:t>最高限价（元）：</w:t>
      </w:r>
      <w:r>
        <w:rPr>
          <w:rFonts w:hint="eastAsia" w:ascii="仿宋" w:hAnsi="仿宋" w:eastAsia="仿宋"/>
          <w:bCs/>
          <w:color w:val="auto"/>
          <w:sz w:val="24"/>
          <w:highlight w:val="none"/>
        </w:rPr>
        <w:t>标项一：</w:t>
      </w:r>
      <w:r>
        <w:rPr>
          <w:rFonts w:hint="eastAsia" w:ascii="仿宋" w:hAnsi="仿宋" w:eastAsia="仿宋"/>
          <w:bCs/>
          <w:color w:val="auto"/>
          <w:sz w:val="24"/>
          <w:highlight w:val="none"/>
          <w:lang w:val="en-US" w:eastAsia="zh-CN"/>
        </w:rPr>
        <w:t>3690000.00</w:t>
      </w:r>
      <w:r>
        <w:rPr>
          <w:rFonts w:hint="eastAsia" w:ascii="仿宋" w:hAnsi="仿宋" w:eastAsia="仿宋"/>
          <w:bCs/>
          <w:color w:val="auto"/>
          <w:sz w:val="24"/>
          <w:highlight w:val="none"/>
        </w:rPr>
        <w:t>，标项二：</w:t>
      </w:r>
      <w:r>
        <w:rPr>
          <w:rFonts w:hint="eastAsia" w:ascii="仿宋" w:hAnsi="仿宋" w:eastAsia="仿宋"/>
          <w:bCs/>
          <w:color w:val="auto"/>
          <w:sz w:val="24"/>
          <w:highlight w:val="none"/>
          <w:lang w:val="en-US" w:eastAsia="zh-CN"/>
        </w:rPr>
        <w:t>3400000.00</w:t>
      </w:r>
    </w:p>
    <w:p>
      <w:pPr>
        <w:pStyle w:val="18"/>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采购需求：</w:t>
      </w:r>
    </w:p>
    <w:p>
      <w:pPr>
        <w:pStyle w:val="18"/>
        <w:spacing w:line="360" w:lineRule="auto"/>
        <w:ind w:firstLine="482" w:firstLineChars="200"/>
        <w:rPr>
          <w:rFonts w:ascii="仿宋" w:hAnsi="仿宋" w:eastAsia="仿宋"/>
          <w:b/>
          <w:snapToGrid/>
          <w:color w:val="auto"/>
          <w:kern w:val="2"/>
          <w:sz w:val="24"/>
          <w:szCs w:val="24"/>
          <w:highlight w:val="none"/>
        </w:rPr>
      </w:pPr>
      <w:r>
        <w:rPr>
          <w:rFonts w:hint="eastAsia" w:ascii="仿宋" w:hAnsi="仿宋" w:eastAsia="仿宋"/>
          <w:b/>
          <w:snapToGrid/>
          <w:color w:val="auto"/>
          <w:kern w:val="2"/>
          <w:sz w:val="24"/>
          <w:szCs w:val="24"/>
          <w:highlight w:val="none"/>
        </w:rPr>
        <w:t>标项一</w:t>
      </w:r>
    </w:p>
    <w:p>
      <w:pPr>
        <w:pStyle w:val="18"/>
        <w:spacing w:line="360" w:lineRule="auto"/>
        <w:ind w:firstLine="482" w:firstLineChars="200"/>
        <w:rPr>
          <w:rFonts w:hint="default" w:ascii="仿宋" w:hAnsi="仿宋" w:eastAsia="仿宋"/>
          <w:b/>
          <w:bCs w:val="0"/>
          <w:snapToGrid/>
          <w:color w:val="auto"/>
          <w:kern w:val="2"/>
          <w:sz w:val="24"/>
          <w:szCs w:val="24"/>
          <w:highlight w:val="none"/>
          <w:lang w:val="en-US"/>
        </w:rPr>
      </w:pPr>
      <w:r>
        <w:rPr>
          <w:rFonts w:hint="eastAsia" w:ascii="仿宋" w:hAnsi="仿宋" w:eastAsia="仿宋"/>
          <w:b/>
          <w:snapToGrid/>
          <w:color w:val="auto"/>
          <w:kern w:val="2"/>
          <w:sz w:val="24"/>
          <w:szCs w:val="24"/>
          <w:highlight w:val="none"/>
        </w:rPr>
        <w:t>标项名称</w:t>
      </w:r>
      <w:r>
        <w:rPr>
          <w:rFonts w:hint="eastAsia" w:ascii="仿宋" w:hAnsi="仿宋" w:eastAsia="仿宋"/>
          <w:b/>
          <w:bCs w:val="0"/>
          <w:snapToGrid/>
          <w:color w:val="auto"/>
          <w:kern w:val="2"/>
          <w:sz w:val="24"/>
          <w:szCs w:val="24"/>
          <w:highlight w:val="none"/>
        </w:rPr>
        <w:t>：</w:t>
      </w:r>
      <w:r>
        <w:rPr>
          <w:rFonts w:hint="eastAsia" w:ascii="仿宋" w:hAnsi="仿宋" w:eastAsia="仿宋"/>
          <w:b/>
          <w:bCs w:val="0"/>
          <w:snapToGrid/>
          <w:color w:val="auto"/>
          <w:kern w:val="2"/>
          <w:sz w:val="24"/>
          <w:szCs w:val="24"/>
          <w:highlight w:val="none"/>
          <w:lang w:val="en-US" w:eastAsia="zh-CN"/>
        </w:rPr>
        <w:t>温室气体手工监测及移动监测服务项目</w:t>
      </w:r>
    </w:p>
    <w:p>
      <w:pPr>
        <w:pStyle w:val="18"/>
        <w:spacing w:line="360" w:lineRule="auto"/>
        <w:ind w:firstLine="482" w:firstLineChars="200"/>
        <w:rPr>
          <w:rFonts w:ascii="仿宋" w:hAnsi="仿宋" w:eastAsia="仿宋"/>
          <w:b/>
          <w:snapToGrid/>
          <w:color w:val="auto"/>
          <w:kern w:val="2"/>
          <w:sz w:val="24"/>
          <w:szCs w:val="24"/>
          <w:highlight w:val="none"/>
        </w:rPr>
      </w:pPr>
      <w:r>
        <w:rPr>
          <w:rFonts w:hint="eastAsia" w:ascii="仿宋" w:hAnsi="仿宋" w:eastAsia="仿宋"/>
          <w:b/>
          <w:snapToGrid/>
          <w:color w:val="auto"/>
          <w:kern w:val="2"/>
          <w:sz w:val="24"/>
          <w:szCs w:val="24"/>
          <w:highlight w:val="none"/>
        </w:rPr>
        <w:t>数量：1</w:t>
      </w:r>
    </w:p>
    <w:p>
      <w:pPr>
        <w:pStyle w:val="18"/>
        <w:spacing w:line="360" w:lineRule="auto"/>
        <w:ind w:firstLine="482" w:firstLineChars="200"/>
        <w:rPr>
          <w:rFonts w:hint="default" w:ascii="仿宋" w:hAnsi="仿宋" w:eastAsia="仿宋"/>
          <w:b/>
          <w:snapToGrid/>
          <w:color w:val="auto"/>
          <w:kern w:val="2"/>
          <w:sz w:val="24"/>
          <w:szCs w:val="24"/>
          <w:highlight w:val="none"/>
          <w:lang w:val="en-US" w:eastAsia="zh-CN"/>
        </w:rPr>
      </w:pPr>
      <w:r>
        <w:rPr>
          <w:rFonts w:hint="eastAsia" w:ascii="仿宋" w:hAnsi="仿宋" w:eastAsia="仿宋"/>
          <w:b/>
          <w:snapToGrid/>
          <w:color w:val="auto"/>
          <w:kern w:val="2"/>
          <w:sz w:val="24"/>
          <w:szCs w:val="24"/>
          <w:highlight w:val="none"/>
        </w:rPr>
        <w:t>预算金额（元）：</w:t>
      </w:r>
      <w:r>
        <w:rPr>
          <w:rFonts w:hint="eastAsia" w:ascii="仿宋" w:hAnsi="仿宋" w:eastAsia="仿宋"/>
          <w:b w:val="0"/>
          <w:bCs/>
          <w:snapToGrid/>
          <w:color w:val="auto"/>
          <w:kern w:val="2"/>
          <w:sz w:val="24"/>
          <w:szCs w:val="24"/>
          <w:highlight w:val="none"/>
          <w:lang w:val="en-US" w:eastAsia="zh-CN"/>
        </w:rPr>
        <w:t>3690000.00</w:t>
      </w:r>
    </w:p>
    <w:p>
      <w:pPr>
        <w:pStyle w:val="18"/>
        <w:spacing w:line="360" w:lineRule="auto"/>
        <w:ind w:firstLine="482" w:firstLineChars="200"/>
        <w:rPr>
          <w:rFonts w:ascii="仿宋" w:hAnsi="仿宋" w:eastAsia="仿宋"/>
          <w:bCs/>
          <w:snapToGrid/>
          <w:color w:val="auto"/>
          <w:kern w:val="2"/>
          <w:sz w:val="24"/>
          <w:szCs w:val="24"/>
          <w:highlight w:val="none"/>
        </w:rPr>
      </w:pPr>
      <w:r>
        <w:rPr>
          <w:rFonts w:hint="eastAsia" w:ascii="仿宋" w:hAnsi="仿宋" w:eastAsia="仿宋"/>
          <w:b/>
          <w:snapToGrid/>
          <w:color w:val="auto"/>
          <w:kern w:val="2"/>
          <w:sz w:val="24"/>
          <w:szCs w:val="24"/>
          <w:highlight w:val="none"/>
        </w:rPr>
        <w:t>简要规格描述或项目基本概况介绍：</w:t>
      </w:r>
      <w:r>
        <w:rPr>
          <w:rFonts w:hint="eastAsia" w:ascii="仿宋" w:hAnsi="仿宋" w:eastAsia="仿宋"/>
          <w:b w:val="0"/>
          <w:bCs/>
          <w:snapToGrid/>
          <w:color w:val="auto"/>
          <w:kern w:val="2"/>
          <w:sz w:val="24"/>
          <w:szCs w:val="24"/>
          <w:highlight w:val="none"/>
        </w:rPr>
        <w:t>温室气体手工监测及移动监测服务项目，拟通过技术服务采购的方式，满足杭州市碳监测综合试点工作的要求。开展半年温室气体手工采样与分析，一年半</w:t>
      </w:r>
      <w:r>
        <w:rPr>
          <w:rFonts w:hint="eastAsia" w:ascii="仿宋" w:hAnsi="仿宋" w:eastAsia="仿宋"/>
          <w:b w:val="0"/>
          <w:bCs/>
          <w:snapToGrid/>
          <w:color w:val="auto"/>
          <w:kern w:val="2"/>
          <w:sz w:val="24"/>
          <w:szCs w:val="24"/>
          <w:highlight w:val="none"/>
          <w:vertAlign w:val="superscript"/>
        </w:rPr>
        <w:t>14</w:t>
      </w:r>
      <w:r>
        <w:rPr>
          <w:rFonts w:hint="eastAsia" w:ascii="仿宋" w:hAnsi="仿宋" w:eastAsia="仿宋"/>
          <w:b w:val="0"/>
          <w:bCs/>
          <w:snapToGrid/>
          <w:color w:val="auto"/>
          <w:kern w:val="2"/>
          <w:sz w:val="24"/>
          <w:szCs w:val="24"/>
          <w:highlight w:val="none"/>
        </w:rPr>
        <w:t>CO</w:t>
      </w:r>
      <w:r>
        <w:rPr>
          <w:rFonts w:hint="eastAsia" w:ascii="仿宋" w:hAnsi="仿宋" w:eastAsia="仿宋"/>
          <w:b w:val="0"/>
          <w:bCs/>
          <w:snapToGrid/>
          <w:color w:val="auto"/>
          <w:kern w:val="2"/>
          <w:sz w:val="24"/>
          <w:szCs w:val="24"/>
          <w:highlight w:val="none"/>
          <w:vertAlign w:val="subscript"/>
        </w:rPr>
        <w:t>2</w:t>
      </w:r>
      <w:r>
        <w:rPr>
          <w:rFonts w:hint="eastAsia" w:ascii="仿宋" w:hAnsi="仿宋" w:eastAsia="仿宋"/>
          <w:b w:val="0"/>
          <w:bCs/>
          <w:snapToGrid/>
          <w:color w:val="auto"/>
          <w:kern w:val="2"/>
          <w:sz w:val="24"/>
          <w:szCs w:val="24"/>
          <w:highlight w:val="none"/>
        </w:rPr>
        <w:t>手工采样与分析，2年走航及无人机监测,并进行数据分析。</w:t>
      </w:r>
      <w:r>
        <w:rPr>
          <w:rFonts w:hint="eastAsia" w:ascii="仿宋" w:hAnsi="仿宋" w:eastAsia="仿宋"/>
          <w:bCs/>
          <w:snapToGrid/>
          <w:color w:val="auto"/>
          <w:kern w:val="2"/>
          <w:sz w:val="24"/>
          <w:szCs w:val="24"/>
          <w:highlight w:val="none"/>
        </w:rPr>
        <w:t>详见招标文件第三部分采购需求。</w:t>
      </w:r>
    </w:p>
    <w:p>
      <w:pPr>
        <w:pStyle w:val="18"/>
        <w:spacing w:line="360" w:lineRule="auto"/>
        <w:ind w:firstLine="482" w:firstLineChars="200"/>
        <w:rPr>
          <w:rFonts w:hint="eastAsia" w:ascii="仿宋" w:hAnsi="仿宋" w:eastAsia="仿宋"/>
          <w:b/>
          <w:snapToGrid/>
          <w:color w:val="auto"/>
          <w:kern w:val="2"/>
          <w:sz w:val="24"/>
          <w:szCs w:val="24"/>
          <w:highlight w:val="none"/>
          <w:lang w:eastAsia="zh-CN"/>
        </w:rPr>
      </w:pPr>
      <w:r>
        <w:rPr>
          <w:rFonts w:hint="eastAsia" w:ascii="仿宋" w:hAnsi="仿宋" w:eastAsia="仿宋"/>
          <w:b/>
          <w:snapToGrid/>
          <w:color w:val="auto"/>
          <w:kern w:val="2"/>
          <w:sz w:val="24"/>
          <w:szCs w:val="24"/>
          <w:highlight w:val="none"/>
        </w:rPr>
        <w:t>标项</w:t>
      </w:r>
      <w:r>
        <w:rPr>
          <w:rFonts w:hint="eastAsia" w:ascii="仿宋" w:hAnsi="仿宋" w:eastAsia="仿宋"/>
          <w:b/>
          <w:snapToGrid/>
          <w:color w:val="auto"/>
          <w:kern w:val="2"/>
          <w:sz w:val="24"/>
          <w:szCs w:val="24"/>
          <w:highlight w:val="none"/>
          <w:lang w:val="en-US" w:eastAsia="zh-CN"/>
        </w:rPr>
        <w:t>二</w:t>
      </w:r>
    </w:p>
    <w:p>
      <w:pPr>
        <w:pStyle w:val="18"/>
        <w:spacing w:line="360" w:lineRule="auto"/>
        <w:ind w:firstLine="482" w:firstLineChars="200"/>
        <w:rPr>
          <w:rFonts w:hint="eastAsia" w:ascii="仿宋" w:hAnsi="仿宋" w:eastAsia="仿宋"/>
          <w:b/>
          <w:snapToGrid/>
          <w:color w:val="auto"/>
          <w:kern w:val="2"/>
          <w:sz w:val="24"/>
          <w:szCs w:val="24"/>
          <w:highlight w:val="none"/>
          <w:lang w:val="en-US" w:eastAsia="zh-CN"/>
        </w:rPr>
      </w:pPr>
      <w:r>
        <w:rPr>
          <w:rFonts w:hint="eastAsia" w:ascii="仿宋" w:hAnsi="仿宋" w:eastAsia="仿宋"/>
          <w:b/>
          <w:snapToGrid/>
          <w:color w:val="auto"/>
          <w:kern w:val="2"/>
          <w:sz w:val="24"/>
          <w:szCs w:val="24"/>
          <w:highlight w:val="none"/>
        </w:rPr>
        <w:t>标项名称：</w:t>
      </w:r>
      <w:r>
        <w:rPr>
          <w:rFonts w:hint="eastAsia" w:ascii="仿宋" w:hAnsi="仿宋" w:eastAsia="仿宋"/>
          <w:b/>
          <w:snapToGrid/>
          <w:color w:val="auto"/>
          <w:kern w:val="2"/>
          <w:sz w:val="24"/>
          <w:szCs w:val="24"/>
          <w:highlight w:val="none"/>
          <w:lang w:eastAsia="zh-CN"/>
        </w:rPr>
        <w:t>杭州市温室气体同化反演及通量核算服务</w:t>
      </w:r>
    </w:p>
    <w:p>
      <w:pPr>
        <w:pStyle w:val="18"/>
        <w:spacing w:line="360" w:lineRule="auto"/>
        <w:ind w:firstLine="482" w:firstLineChars="200"/>
        <w:rPr>
          <w:rFonts w:ascii="仿宋" w:hAnsi="仿宋" w:eastAsia="仿宋"/>
          <w:b/>
          <w:snapToGrid/>
          <w:color w:val="auto"/>
          <w:kern w:val="2"/>
          <w:sz w:val="24"/>
          <w:szCs w:val="24"/>
          <w:highlight w:val="none"/>
        </w:rPr>
      </w:pPr>
      <w:r>
        <w:rPr>
          <w:rFonts w:hint="eastAsia" w:ascii="仿宋" w:hAnsi="仿宋" w:eastAsia="仿宋"/>
          <w:b/>
          <w:snapToGrid/>
          <w:color w:val="auto"/>
          <w:kern w:val="2"/>
          <w:sz w:val="24"/>
          <w:szCs w:val="24"/>
          <w:highlight w:val="none"/>
        </w:rPr>
        <w:t>数量：1</w:t>
      </w:r>
    </w:p>
    <w:p>
      <w:pPr>
        <w:pStyle w:val="18"/>
        <w:spacing w:line="360" w:lineRule="auto"/>
        <w:ind w:firstLine="482" w:firstLineChars="200"/>
        <w:rPr>
          <w:rFonts w:hint="default" w:ascii="仿宋" w:hAnsi="仿宋" w:eastAsia="仿宋"/>
          <w:b/>
          <w:snapToGrid/>
          <w:color w:val="auto"/>
          <w:kern w:val="2"/>
          <w:sz w:val="24"/>
          <w:szCs w:val="24"/>
          <w:highlight w:val="none"/>
          <w:lang w:val="en-US" w:eastAsia="zh-CN"/>
        </w:rPr>
      </w:pPr>
      <w:r>
        <w:rPr>
          <w:rFonts w:hint="eastAsia" w:ascii="仿宋" w:hAnsi="仿宋" w:eastAsia="仿宋"/>
          <w:b/>
          <w:snapToGrid/>
          <w:color w:val="auto"/>
          <w:kern w:val="2"/>
          <w:sz w:val="24"/>
          <w:szCs w:val="24"/>
          <w:highlight w:val="none"/>
        </w:rPr>
        <w:t>预算金额（元）：</w:t>
      </w:r>
      <w:r>
        <w:rPr>
          <w:rFonts w:hint="eastAsia" w:ascii="仿宋" w:hAnsi="仿宋" w:eastAsia="仿宋"/>
          <w:b w:val="0"/>
          <w:bCs/>
          <w:snapToGrid/>
          <w:color w:val="auto"/>
          <w:kern w:val="2"/>
          <w:sz w:val="24"/>
          <w:szCs w:val="24"/>
          <w:highlight w:val="none"/>
          <w:lang w:val="en-US" w:eastAsia="zh-CN"/>
        </w:rPr>
        <w:t>3400000.00</w:t>
      </w:r>
    </w:p>
    <w:p>
      <w:pPr>
        <w:pStyle w:val="18"/>
        <w:spacing w:line="360" w:lineRule="auto"/>
        <w:ind w:firstLine="482" w:firstLineChars="200"/>
        <w:rPr>
          <w:rFonts w:hint="eastAsia" w:ascii="仿宋" w:hAnsi="仿宋" w:eastAsia="仿宋"/>
          <w:b/>
          <w:color w:val="auto"/>
          <w:highlight w:val="none"/>
        </w:rPr>
      </w:pPr>
      <w:r>
        <w:rPr>
          <w:rFonts w:hint="eastAsia" w:ascii="仿宋" w:hAnsi="仿宋" w:eastAsia="仿宋"/>
          <w:b/>
          <w:snapToGrid/>
          <w:color w:val="auto"/>
          <w:kern w:val="2"/>
          <w:sz w:val="24"/>
          <w:szCs w:val="24"/>
          <w:highlight w:val="none"/>
        </w:rPr>
        <w:t>简要规格描述或项目基本概况介绍：</w:t>
      </w:r>
      <w:r>
        <w:rPr>
          <w:rFonts w:hint="eastAsia" w:ascii="仿宋" w:hAnsi="仿宋" w:eastAsia="仿宋"/>
          <w:b w:val="0"/>
          <w:bCs/>
          <w:snapToGrid/>
          <w:color w:val="auto"/>
          <w:kern w:val="2"/>
          <w:sz w:val="24"/>
          <w:szCs w:val="24"/>
          <w:highlight w:val="none"/>
        </w:rPr>
        <w:t>杭州市温室气体同化反演及通量核算服务，拟通过服务采购的方式，统筹多源地面温室气体试点观测站，强化数据处理技术的研发；通过区域多模式集合反演，实现杭州市多源温室气体监测数据同化，动态更新杭州市温室气体排放产品；结合卫星遥感数据和生态模型，分析杭州市碳通量的时空分布特征，了解影响碳通量和碳循环的关键因素；实现温室气体监测数据、基础清单数据、温室气体排放反演结果及碳通量模拟结果展示</w:t>
      </w:r>
      <w:r>
        <w:rPr>
          <w:rFonts w:hint="eastAsia" w:ascii="仿宋" w:hAnsi="仿宋" w:eastAsia="仿宋"/>
          <w:b w:val="0"/>
          <w:bCs/>
          <w:snapToGrid/>
          <w:color w:val="auto"/>
          <w:kern w:val="2"/>
          <w:sz w:val="24"/>
          <w:szCs w:val="24"/>
          <w:highlight w:val="none"/>
          <w:lang w:eastAsia="zh-CN"/>
        </w:rPr>
        <w:t>；</w:t>
      </w:r>
      <w:r>
        <w:rPr>
          <w:rFonts w:hint="eastAsia" w:ascii="仿宋" w:hAnsi="仿宋" w:eastAsia="仿宋"/>
          <w:b w:val="0"/>
          <w:bCs/>
          <w:snapToGrid/>
          <w:color w:val="auto"/>
          <w:kern w:val="2"/>
          <w:sz w:val="24"/>
          <w:szCs w:val="24"/>
          <w:highlight w:val="none"/>
        </w:rPr>
        <w:t>探索建立碳监测评估技术方法体系，形成业务化运行模式，总结经验做法，发挥示范效应，为应对气候变化工作成效评估提供数据支撑。</w:t>
      </w:r>
      <w:r>
        <w:rPr>
          <w:rFonts w:hint="eastAsia" w:ascii="仿宋" w:hAnsi="仿宋" w:eastAsia="仿宋"/>
          <w:bCs/>
          <w:snapToGrid/>
          <w:color w:val="auto"/>
          <w:kern w:val="2"/>
          <w:sz w:val="24"/>
          <w:szCs w:val="24"/>
          <w:highlight w:val="none"/>
        </w:rPr>
        <w:t>详见招标文件第三部分采购需求。</w:t>
      </w:r>
    </w:p>
    <w:p>
      <w:pPr>
        <w:pStyle w:val="130"/>
        <w:spacing w:before="0"/>
        <w:ind w:firstLine="482"/>
        <w:outlineLvl w:val="2"/>
        <w:rPr>
          <w:rFonts w:ascii="仿宋" w:hAnsi="仿宋" w:eastAsia="仿宋"/>
          <w:b/>
          <w:color w:val="auto"/>
          <w:highlight w:val="none"/>
        </w:rPr>
      </w:pPr>
      <w:r>
        <w:rPr>
          <w:rFonts w:hint="eastAsia" w:ascii="仿宋" w:hAnsi="仿宋" w:eastAsia="仿宋"/>
          <w:b/>
          <w:color w:val="auto"/>
          <w:highlight w:val="none"/>
        </w:rPr>
        <w:t>合同履约期限：</w:t>
      </w:r>
      <w:r>
        <w:rPr>
          <w:rFonts w:hint="eastAsia" w:ascii="仿宋" w:hAnsi="仿宋" w:eastAsia="仿宋" w:cs="Times New Roman"/>
          <w:b w:val="0"/>
          <w:bCs/>
          <w:snapToGrid/>
          <w:color w:val="auto"/>
          <w:kern w:val="2"/>
          <w:sz w:val="24"/>
          <w:szCs w:val="24"/>
          <w:highlight w:val="none"/>
          <w:lang w:val="en-US" w:eastAsia="zh-CN" w:bidi="ar-SA"/>
        </w:rPr>
        <w:t>标项一：合同签订之日起2年；标项二：合同签订之日至2022年12月10日前提交《杭州市温室气体监测数据分析及同化反演结果报告》，模型维护期为验收合格后2年。</w:t>
      </w:r>
    </w:p>
    <w:p>
      <w:pPr>
        <w:pStyle w:val="18"/>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sdt>
        <w:sdtPr>
          <w:rPr>
            <w:rFonts w:hint="eastAsia" w:ascii="仿宋" w:hAnsi="仿宋" w:eastAsia="仿宋" w:cs="Arial"/>
            <w:color w:val="auto"/>
            <w:kern w:val="0"/>
            <w:sz w:val="24"/>
            <w:highlight w:val="none"/>
          </w:rPr>
          <w:id w:val="2035453831"/>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F0FE"/>
          </w:r>
        </w:sdtContent>
      </w:sdt>
      <w:r>
        <w:rPr>
          <w:rFonts w:hint="eastAsia" w:ascii="仿宋" w:hAnsi="仿宋" w:eastAsia="仿宋"/>
          <w:b/>
          <w:color w:val="auto"/>
          <w:sz w:val="24"/>
          <w:highlight w:val="none"/>
        </w:rPr>
        <w:t>是，</w:t>
      </w:r>
      <w:sdt>
        <w:sdtPr>
          <w:rPr>
            <w:rFonts w:hint="eastAsia" w:ascii="仿宋" w:hAnsi="仿宋" w:eastAsia="仿宋" w:cs="Arial"/>
            <w:color w:val="auto"/>
            <w:kern w:val="0"/>
            <w:sz w:val="24"/>
            <w:highlight w:val="none"/>
          </w:rPr>
          <w:id w:val="-1765526721"/>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_GB2312"/>
          <w:snapToGrid w:val="0"/>
          <w:color w:val="auto"/>
          <w:kern w:val="28"/>
          <w:sz w:val="24"/>
          <w:szCs w:val="20"/>
          <w:highlight w:val="none"/>
          <w:lang w:eastAsia="zh-CN"/>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p>
    <w:p>
      <w:pPr>
        <w:pStyle w:val="2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color w:val="auto"/>
          <w:highlight w:val="none"/>
          <w:lang w:val="en-US" w:eastAsia="zh-CN"/>
        </w:rPr>
      </w:pPr>
      <w:r>
        <w:rPr>
          <w:rFonts w:hint="eastAsia" w:ascii="仿宋" w:hAnsi="仿宋" w:eastAsia="仿宋" w:cs="仿宋_GB2312"/>
          <w:snapToGrid w:val="0"/>
          <w:color w:val="auto"/>
          <w:kern w:val="28"/>
          <w:sz w:val="24"/>
          <w:szCs w:val="20"/>
          <w:highlight w:val="none"/>
          <w:lang w:val="en-US" w:eastAsia="zh-CN"/>
        </w:rPr>
        <w:t>标项一：无</w:t>
      </w:r>
    </w:p>
    <w:p>
      <w:pPr>
        <w:pStyle w:val="2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_GB2312"/>
          <w:snapToGrid w:val="0"/>
          <w:color w:val="auto"/>
          <w:kern w:val="28"/>
          <w:sz w:val="24"/>
          <w:szCs w:val="20"/>
          <w:highlight w:val="none"/>
          <w:lang w:val="en-US" w:eastAsia="zh-CN"/>
        </w:rPr>
      </w:pPr>
      <w:r>
        <w:rPr>
          <w:rFonts w:hint="eastAsia" w:ascii="仿宋" w:hAnsi="仿宋" w:eastAsia="仿宋" w:cs="仿宋_GB2312"/>
          <w:snapToGrid w:val="0"/>
          <w:color w:val="auto"/>
          <w:kern w:val="28"/>
          <w:sz w:val="24"/>
          <w:szCs w:val="20"/>
          <w:highlight w:val="none"/>
          <w:lang w:val="en-US" w:eastAsia="zh-CN"/>
        </w:rPr>
        <w:t>标项二：</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hint="default"/>
          <w:color w:val="auto"/>
          <w:highlight w:val="none"/>
          <w:lang w:val="en-US" w:eastAsia="zh-CN"/>
        </w:rPr>
      </w:pPr>
      <w:sdt>
        <w:sdtPr>
          <w:rPr>
            <w:rFonts w:hint="eastAsia" w:ascii="仿宋_GB2312" w:hAnsi="仿宋" w:eastAsia="仿宋_GB2312" w:cs="Arial"/>
            <w:color w:val="auto"/>
            <w:kern w:val="0"/>
            <w:sz w:val="24"/>
            <w:highlight w:val="none"/>
          </w:rPr>
          <w:id w:val="-214102535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3.本项目的特定资格要求：</w:t>
      </w:r>
      <w:r>
        <w:rPr>
          <w:rFonts w:hint="eastAsia" w:ascii="仿宋" w:hAnsi="仿宋" w:eastAsia="仿宋"/>
          <w:color w:val="auto"/>
          <w:sz w:val="24"/>
          <w:highlight w:val="none"/>
        </w:rPr>
        <w:t>无；</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单位负责人为同一人或者存在直接控股、管理关系的不同供应商，不得参加同一合同项下的政府采购活动；</w:t>
      </w:r>
      <w:r>
        <w:rPr>
          <w:rFonts w:ascii="仿宋" w:hAnsi="仿宋" w:eastAsia="仿宋" w:cs="仿宋_GB2312"/>
          <w:color w:val="auto"/>
          <w:sz w:val="24"/>
          <w:highlight w:val="none"/>
        </w:rPr>
        <w:t>为采购项目提供整体设计、规范编制或者项目管理、监理、检测等服务后</w:t>
      </w:r>
      <w:r>
        <w:rPr>
          <w:rFonts w:hint="eastAsia" w:ascii="仿宋" w:hAnsi="仿宋" w:eastAsia="仿宋" w:cs="仿宋_GB2312"/>
          <w:color w:val="auto"/>
          <w:sz w:val="24"/>
          <w:highlight w:val="none"/>
        </w:rPr>
        <w:t>不得</w:t>
      </w:r>
      <w:r>
        <w:rPr>
          <w:rFonts w:ascii="仿宋" w:hAnsi="仿宋" w:eastAsia="仿宋" w:cs="仿宋_GB2312"/>
          <w:color w:val="auto"/>
          <w:sz w:val="24"/>
          <w:highlight w:val="none"/>
        </w:rPr>
        <w:t>再参加该采购项目的其他采购活动。</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三、获取招标文件</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Style w:val="78"/>
          <w:rFonts w:hint="eastAsia" w:ascii="仿宋" w:hAnsi="仿宋" w:eastAsia="仿宋" w:cs="Times New Roman"/>
          <w:snapToGrid/>
          <w:color w:val="auto"/>
          <w:kern w:val="2"/>
          <w:sz w:val="24"/>
          <w:szCs w:val="24"/>
          <w:highlight w:val="none"/>
          <w:u w:val="single"/>
        </w:rPr>
        <w:t>2022年</w:t>
      </w:r>
      <w:r>
        <w:rPr>
          <w:rStyle w:val="78"/>
          <w:rFonts w:hint="eastAsia" w:ascii="仿宋" w:hAnsi="仿宋" w:eastAsia="仿宋" w:cs="Times New Roman"/>
          <w:snapToGrid/>
          <w:color w:val="auto"/>
          <w:kern w:val="2"/>
          <w:sz w:val="24"/>
          <w:szCs w:val="24"/>
          <w:highlight w:val="none"/>
          <w:u w:val="single"/>
          <w:lang w:val="en-US" w:eastAsia="zh-CN"/>
        </w:rPr>
        <w:t>10</w:t>
      </w:r>
      <w:r>
        <w:rPr>
          <w:rStyle w:val="78"/>
          <w:rFonts w:hint="eastAsia" w:ascii="仿宋" w:hAnsi="仿宋" w:eastAsia="仿宋" w:cs="Times New Roman"/>
          <w:snapToGrid/>
          <w:color w:val="auto"/>
          <w:kern w:val="2"/>
          <w:sz w:val="24"/>
          <w:szCs w:val="24"/>
          <w:highlight w:val="none"/>
          <w:u w:val="single"/>
        </w:rPr>
        <w:t>月</w:t>
      </w:r>
      <w:r>
        <w:rPr>
          <w:rStyle w:val="78"/>
          <w:rFonts w:hint="eastAsia" w:ascii="仿宋" w:hAnsi="仿宋" w:eastAsia="仿宋" w:cs="Times New Roman"/>
          <w:snapToGrid/>
          <w:color w:val="auto"/>
          <w:kern w:val="2"/>
          <w:sz w:val="24"/>
          <w:szCs w:val="24"/>
          <w:highlight w:val="none"/>
          <w:u w:val="single"/>
          <w:lang w:val="en-US" w:eastAsia="zh-CN"/>
        </w:rPr>
        <w:t>21</w:t>
      </w:r>
      <w:r>
        <w:rPr>
          <w:rStyle w:val="78"/>
          <w:rFonts w:hint="eastAsia" w:ascii="仿宋" w:hAnsi="仿宋" w:eastAsia="仿宋" w:cs="Times New Roman"/>
          <w:snapToGrid/>
          <w:color w:val="auto"/>
          <w:kern w:val="2"/>
          <w:sz w:val="24"/>
          <w:szCs w:val="24"/>
          <w:highlight w:val="none"/>
          <w:u w:val="singl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hint="eastAsia" w:ascii="仿宋" w:hAnsi="仿宋" w:eastAsia="仿宋"/>
          <w:color w:val="auto"/>
          <w:sz w:val="24"/>
          <w:highlight w:val="none"/>
          <w:u w:val="single"/>
        </w:rPr>
        <w:t>202</w:t>
      </w:r>
      <w:r>
        <w:rPr>
          <w:rFonts w:ascii="仿宋" w:hAnsi="仿宋" w:eastAsia="仿宋"/>
          <w:color w:val="auto"/>
          <w:sz w:val="24"/>
          <w:highlight w:val="none"/>
          <w:u w:val="single"/>
        </w:rPr>
        <w:t>2年</w:t>
      </w:r>
      <w:r>
        <w:rPr>
          <w:rFonts w:hint="eastAsia" w:ascii="仿宋" w:hAnsi="仿宋" w:eastAsia="仿宋"/>
          <w:color w:val="auto"/>
          <w:sz w:val="24"/>
          <w:highlight w:val="none"/>
          <w:u w:val="single"/>
          <w:lang w:val="en-US" w:eastAsia="zh-CN"/>
        </w:rPr>
        <w:t>10</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21</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09</w:t>
      </w:r>
      <w:r>
        <w:rPr>
          <w:rFonts w:hint="eastAsia" w:ascii="仿宋" w:hAnsi="仿宋" w:eastAsia="仿宋"/>
          <w:color w:val="auto"/>
          <w:sz w:val="24"/>
          <w:highlight w:val="none"/>
          <w:u w:val="single"/>
        </w:rPr>
        <w:t>点30分</w:t>
      </w:r>
      <w:r>
        <w:rPr>
          <w:rFonts w:hint="eastAsia" w:ascii="仿宋" w:hAnsi="仿宋" w:eastAsia="仿宋"/>
          <w:color w:val="auto"/>
          <w:sz w:val="24"/>
          <w:highlight w:val="none"/>
        </w:rPr>
        <w:t>（北京时间）</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u w:val="single"/>
        </w:rPr>
        <w:t>202</w:t>
      </w:r>
      <w:r>
        <w:rPr>
          <w:rFonts w:ascii="仿宋" w:hAnsi="仿宋" w:eastAsia="仿宋"/>
          <w:color w:val="auto"/>
          <w:sz w:val="24"/>
          <w:highlight w:val="none"/>
          <w:u w:val="single"/>
        </w:rPr>
        <w:t>2年</w:t>
      </w:r>
      <w:r>
        <w:rPr>
          <w:rFonts w:hint="eastAsia" w:ascii="仿宋" w:hAnsi="仿宋" w:eastAsia="仿宋"/>
          <w:color w:val="auto"/>
          <w:sz w:val="24"/>
          <w:highlight w:val="none"/>
          <w:u w:val="single"/>
          <w:lang w:val="en-US" w:eastAsia="zh-CN"/>
        </w:rPr>
        <w:t>10</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21</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09</w:t>
      </w:r>
      <w:r>
        <w:rPr>
          <w:rFonts w:hint="eastAsia" w:ascii="仿宋" w:hAnsi="仿宋" w:eastAsia="仿宋"/>
          <w:color w:val="auto"/>
          <w:sz w:val="24"/>
          <w:highlight w:val="none"/>
          <w:u w:val="single"/>
        </w:rPr>
        <w:t>点30分</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开标地点（网址）：</w:t>
      </w:r>
      <w:r>
        <w:rPr>
          <w:rFonts w:ascii="仿宋" w:hAnsi="仿宋" w:eastAsia="仿宋"/>
          <w:color w:val="auto"/>
          <w:sz w:val="24"/>
          <w:highlight w:val="none"/>
        </w:rPr>
        <w:t>政</w:t>
      </w:r>
      <w:r>
        <w:rPr>
          <w:rFonts w:hint="eastAsia" w:ascii="仿宋" w:hAnsi="仿宋" w:eastAsia="仿宋"/>
          <w:color w:val="auto"/>
          <w:sz w:val="24"/>
          <w:highlight w:val="none"/>
        </w:rPr>
        <w:t>采云平台（</w:t>
      </w:r>
      <w:r>
        <w:rPr>
          <w:rFonts w:ascii="仿宋" w:hAnsi="仿宋" w:eastAsia="仿宋"/>
          <w:color w:val="auto"/>
          <w:sz w:val="24"/>
          <w:highlight w:val="none"/>
        </w:rPr>
        <w:t>https://www.zcygov.cn/）</w:t>
      </w:r>
    </w:p>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五、公告期限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六、其他补充事宜</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.其他事项：（1）需要落实的政府采购政策：包括节约资源、保护环境、支持创新、促进中小企业发展等。详见招标文件的第二部分总则。（2）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招标文件的获取：使用账号登录或者使用CA登录政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采云平台；进入“项目采购”应用，在获取采购文件菜单中选择项目，获取招标文件；④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采购人、采购机构将依托政</w:t>
      </w:r>
      <w:r>
        <w:rPr>
          <w:rFonts w:hint="eastAsia" w:ascii="仿宋" w:hAnsi="仿宋" w:eastAsia="仿宋"/>
          <w:color w:val="auto"/>
          <w:sz w:val="24"/>
          <w:highlight w:val="none"/>
        </w:rPr>
        <w:t>采云平台完成本项目的电子交易活动，平台不接受未按上述方式获取招标文件的供应商进行投标活动；⑥</w:t>
      </w:r>
      <w:r>
        <w:rPr>
          <w:rFonts w:ascii="仿宋" w:hAnsi="仿宋" w:eastAsia="仿宋"/>
          <w:color w:val="auto"/>
          <w:sz w:val="24"/>
          <w:highlight w:val="none"/>
        </w:rPr>
        <w:t>对未按上述方式获取招标文件的供应商对该文件提出的质疑，采购人或采购代理机构将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不提供招标文件纸质版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七、对本次采购提出询问、质疑、投诉，请按以下方式联系</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1.采购人信息</w:t>
      </w:r>
    </w:p>
    <w:p>
      <w:pPr>
        <w:spacing w:line="360" w:lineRule="auto"/>
        <w:rPr>
          <w:rFonts w:hint="eastAsia" w:ascii="仿宋" w:hAnsi="仿宋" w:eastAsia="仿宋"/>
          <w:color w:val="auto"/>
          <w:sz w:val="24"/>
          <w:highlight w:val="none"/>
          <w:lang w:eastAsia="zh-CN"/>
        </w:rPr>
      </w:pPr>
      <w:r>
        <w:rPr>
          <w:rFonts w:ascii="仿宋" w:hAnsi="仿宋" w:eastAsia="仿宋"/>
          <w:color w:val="auto"/>
          <w:sz w:val="24"/>
          <w:highlight w:val="none"/>
        </w:rPr>
        <w:t xml:space="preserve">    名    称：</w:t>
      </w:r>
      <w:r>
        <w:rPr>
          <w:rFonts w:hint="eastAsia" w:ascii="仿宋" w:hAnsi="仿宋" w:eastAsia="仿宋"/>
          <w:color w:val="auto"/>
          <w:sz w:val="24"/>
          <w:highlight w:val="none"/>
          <w:lang w:eastAsia="zh-CN"/>
        </w:rPr>
        <w:t>浙江省杭州生态环境监测中心</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地    址：</w:t>
      </w:r>
      <w:r>
        <w:rPr>
          <w:rFonts w:hint="eastAsia" w:ascii="仿宋" w:hAnsi="仿宋" w:eastAsia="仿宋"/>
          <w:color w:val="auto"/>
          <w:sz w:val="24"/>
          <w:highlight w:val="none"/>
        </w:rPr>
        <w:t>杭大路4号</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传</w:t>
      </w:r>
      <w:r>
        <w:rPr>
          <w:rFonts w:ascii="仿宋" w:hAnsi="仿宋" w:eastAsia="仿宋"/>
          <w:color w:val="auto"/>
          <w:sz w:val="24"/>
          <w:highlight w:val="none"/>
        </w:rPr>
        <w:t xml:space="preserve">    真：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val="en-US" w:eastAsia="zh-CN"/>
        </w:rPr>
        <w:t>沈工</w:t>
      </w:r>
    </w:p>
    <w:p>
      <w:pPr>
        <w:spacing w:line="360" w:lineRule="auto"/>
        <w:ind w:firstLine="468"/>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87998269</w:t>
      </w:r>
    </w:p>
    <w:p>
      <w:pPr>
        <w:spacing w:line="360" w:lineRule="auto"/>
        <w:ind w:firstLine="468"/>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质疑联系人：楼工</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质疑联系方式：0571-87969505</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2.采购代理机构信息            </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名称：杭州意信招标代理有限公司</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 xml:space="preserve">地址：杭州市教工路1号，西湖数源软件园，17号楼5层509室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传    真：0571-87211507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项目联系人（询问）：</w:t>
      </w:r>
      <w:r>
        <w:rPr>
          <w:rFonts w:hint="eastAsia" w:ascii="仿宋" w:hAnsi="仿宋" w:eastAsia="仿宋"/>
          <w:color w:val="auto"/>
          <w:sz w:val="24"/>
          <w:highlight w:val="none"/>
        </w:rPr>
        <w:t>金婉娇、曹海英</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项目联系方式（询问）：</w:t>
      </w:r>
      <w:r>
        <w:rPr>
          <w:rFonts w:hint="eastAsia" w:ascii="仿宋" w:hAnsi="仿宋" w:eastAsia="仿宋"/>
          <w:color w:val="auto"/>
          <w:sz w:val="24"/>
          <w:highlight w:val="none"/>
        </w:rPr>
        <w:t xml:space="preserve">0571-87211505，88219719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质疑联系人：</w:t>
      </w:r>
      <w:r>
        <w:rPr>
          <w:rFonts w:hint="eastAsia" w:ascii="仿宋" w:hAnsi="仿宋" w:eastAsia="仿宋"/>
          <w:color w:val="auto"/>
          <w:sz w:val="24"/>
          <w:highlight w:val="none"/>
        </w:rPr>
        <w:t>曹红</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质疑联系方式：0571-87829182</w:t>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3.同级政府采购监督管理部门</w:t>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名    称：</w:t>
      </w:r>
      <w:r>
        <w:rPr>
          <w:rFonts w:hint="eastAsia" w:ascii="仿宋" w:hAnsi="仿宋" w:eastAsia="仿宋"/>
          <w:color w:val="auto"/>
          <w:sz w:val="24"/>
          <w:highlight w:val="none"/>
        </w:rPr>
        <w:t>杭州市财政局</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地    址：</w:t>
      </w:r>
      <w:r>
        <w:rPr>
          <w:rFonts w:hint="eastAsia" w:ascii="仿宋" w:hAnsi="仿宋" w:eastAsia="仿宋"/>
          <w:color w:val="auto"/>
          <w:sz w:val="24"/>
          <w:highlight w:val="none"/>
        </w:rPr>
        <w:t>杭州市中河中路152号杭州市财税大楼</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 xml:space="preserve">  传    真：0571-89580456</w:t>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联系人 ：</w:t>
      </w:r>
      <w:r>
        <w:rPr>
          <w:rFonts w:hint="eastAsia" w:ascii="仿宋" w:hAnsi="仿宋" w:eastAsia="仿宋"/>
          <w:color w:val="auto"/>
          <w:sz w:val="24"/>
          <w:highlight w:val="none"/>
        </w:rPr>
        <w:t>厉先生</w:t>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监督投诉电话：0571-89580456</w:t>
      </w:r>
    </w:p>
    <w:p>
      <w:pPr>
        <w:spacing w:line="360" w:lineRule="auto"/>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adjustRightInd/>
        <w:spacing w:line="360" w:lineRule="auto"/>
        <w:contextualSpacing/>
        <w:jc w:val="center"/>
        <w:outlineLvl w:val="0"/>
        <w:rPr>
          <w:rFonts w:ascii="仿宋" w:hAnsi="仿宋" w:eastAsia="仿宋" w:cs="仿宋_GB2312"/>
          <w:b/>
          <w:color w:val="auto"/>
          <w:sz w:val="36"/>
          <w:szCs w:val="36"/>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36"/>
          <w:highlight w:val="none"/>
        </w:rPr>
        <w:t>第二部分</w:t>
      </w:r>
      <w:bookmarkEnd w:id="8"/>
      <w:r>
        <w:rPr>
          <w:rFonts w:ascii="仿宋" w:hAnsi="仿宋" w:eastAsia="仿宋" w:cs="仿宋_GB2312"/>
          <w:b/>
          <w:color w:val="auto"/>
          <w:sz w:val="36"/>
          <w:szCs w:val="36"/>
          <w:highlight w:val="none"/>
        </w:rPr>
        <w:t xml:space="preserve"> 投标人须知</w:t>
      </w:r>
      <w:bookmarkEnd w:id="9"/>
    </w:p>
    <w:p>
      <w:pPr>
        <w:spacing w:line="360" w:lineRule="auto"/>
        <w:contextualSpacing/>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前附表</w:t>
      </w:r>
    </w:p>
    <w:tbl>
      <w:tblPr>
        <w:tblStyle w:val="64"/>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lang w:val="zh-CN"/>
              </w:rPr>
              <w:t>有关本项目实施所需的所有费用（含税费）均计入报价。</w:t>
            </w:r>
            <w:r>
              <w:rPr>
                <w:rFonts w:hint="eastAsia" w:ascii="仿宋" w:hAnsi="仿宋" w:eastAsia="仿宋" w:cs="仿宋_GB2312"/>
                <w:color w:val="auto"/>
                <w:sz w:val="24"/>
                <w:highlight w:val="none"/>
              </w:rPr>
              <w:t>开标一览表（报价表）</w:t>
            </w:r>
            <w:r>
              <w:rPr>
                <w:rFonts w:hint="eastAsia" w:ascii="仿宋" w:hAnsi="仿宋" w:eastAsia="仿宋"/>
                <w:color w:val="auto"/>
                <w:sz w:val="24"/>
                <w:highlight w:val="none"/>
              </w:rPr>
              <w:t>是报价的唯一载体</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_GB2312"/>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olor w:val="auto"/>
                <w:kern w:val="0"/>
                <w:sz w:val="24"/>
                <w:highlight w:val="none"/>
                <w:lang w:val="zh-CN"/>
              </w:rPr>
            </w:pPr>
            <w:r>
              <w:rPr>
                <w:rFonts w:hint="eastAsia" w:ascii="仿宋" w:hAnsi="仿宋" w:eastAsia="仿宋" w:cs="仿宋_GB2312"/>
                <w:b/>
                <w:color w:val="auto"/>
                <w:kern w:val="0"/>
                <w:sz w:val="24"/>
                <w:highlight w:val="none"/>
                <w:lang w:val="zh-CN"/>
              </w:rPr>
              <w:t>投标报价超过招标文件中规定的预算金额或者最高限价的</w:t>
            </w:r>
            <w:r>
              <w:rPr>
                <w:rFonts w:ascii="仿宋" w:hAnsi="仿宋" w:eastAsia="仿宋"/>
                <w:b/>
                <w:color w:val="auto"/>
                <w:kern w:val="0"/>
                <w:sz w:val="24"/>
                <w:highlight w:val="none"/>
                <w:lang w:val="zh-CN"/>
              </w:rPr>
              <w:t>;</w:t>
            </w:r>
          </w:p>
          <w:p>
            <w:pPr>
              <w:spacing w:line="360" w:lineRule="auto"/>
              <w:ind w:firstLine="241" w:firstLineChars="100"/>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pPr>
              <w:spacing w:line="360" w:lineRule="auto"/>
              <w:ind w:firstLine="241" w:firstLineChars="100"/>
              <w:rPr>
                <w:rFonts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1477286927"/>
              </w:sdtPr>
              <w:sdtEndPr>
                <w:rPr>
                  <w:rFonts w:hint="eastAsia" w:ascii="仿宋" w:hAnsi="仿宋" w:eastAsia="仿宋" w:cs="Arial"/>
                  <w:color w:val="auto"/>
                  <w:kern w:val="0"/>
                  <w:sz w:val="24"/>
                  <w:highlight w:val="none"/>
                </w:rPr>
              </w:sdtEndPr>
              <w:sdtContent>
                <w:sdt>
                  <w:sdtPr>
                    <w:rPr>
                      <w:rFonts w:hint="eastAsia" w:ascii="仿宋" w:hAnsi="仿宋" w:eastAsia="仿宋" w:cs="Arial"/>
                      <w:color w:val="auto"/>
                      <w:kern w:val="0"/>
                      <w:sz w:val="24"/>
                      <w:highlight w:val="none"/>
                    </w:rPr>
                    <w:id w:val="1209384117"/>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00FE"/>
                    </w:r>
                  </w:sdtContent>
                </w:sdt>
              </w:sdtContent>
            </w:sdt>
            <w:r>
              <w:rPr>
                <w:rFonts w:ascii="仿宋" w:hAnsi="仿宋" w:eastAsia="仿宋" w:cs="Arial"/>
                <w:color w:val="auto"/>
                <w:kern w:val="0"/>
                <w:sz w:val="24"/>
                <w:highlight w:val="none"/>
              </w:rPr>
              <w:t xml:space="preserve"> A</w:t>
            </w:r>
            <w:r>
              <w:rPr>
                <w:rFonts w:hint="eastAsia" w:ascii="仿宋" w:hAnsi="仿宋" w:eastAsia="仿宋"/>
                <w:color w:val="auto"/>
                <w:sz w:val="24"/>
                <w:highlight w:val="none"/>
              </w:rPr>
              <w:t>同意将非主体、非关键性的工作分包。</w:t>
            </w:r>
          </w:p>
          <w:p>
            <w:pPr>
              <w:spacing w:line="360" w:lineRule="auto"/>
              <w:rPr>
                <w:rFonts w:ascii="仿宋" w:hAnsi="仿宋" w:eastAsia="仿宋" w:cs="仿宋_GB2312"/>
                <w:color w:val="auto"/>
                <w:sz w:val="24"/>
                <w:highlight w:val="none"/>
              </w:rPr>
            </w:pPr>
            <w:sdt>
              <w:sdtPr>
                <w:rPr>
                  <w:rFonts w:hint="eastAsia" w:ascii="仿宋" w:hAnsi="仿宋" w:eastAsia="仿宋" w:cs="Arial"/>
                  <w:color w:val="auto"/>
                  <w:kern w:val="0"/>
                  <w:sz w:val="24"/>
                  <w:highlight w:val="none"/>
                </w:rPr>
                <w:id w:val="-1276331357"/>
              </w:sdtPr>
              <w:sdtEndPr>
                <w:rPr>
                  <w:rFonts w:hint="eastAsia" w:ascii="仿宋" w:hAnsi="仿宋" w:eastAsia="仿宋" w:cs="Arial"/>
                  <w:color w:val="auto"/>
                  <w:kern w:val="0"/>
                  <w:sz w:val="24"/>
                  <w:highlight w:val="none"/>
                </w:rPr>
              </w:sdtEndPr>
              <w:sdtContent>
                <w:sdt>
                  <w:sdtPr>
                    <w:rPr>
                      <w:rFonts w:hint="eastAsia" w:ascii="仿宋" w:hAnsi="仿宋" w:eastAsia="仿宋" w:cs="Arial"/>
                      <w:color w:val="auto"/>
                      <w:kern w:val="0"/>
                      <w:sz w:val="24"/>
                      <w:highlight w:val="none"/>
                    </w:rPr>
                    <w:id w:val="169864766"/>
                  </w:sdtPr>
                  <w:sdtEndPr>
                    <w:rPr>
                      <w:rFonts w:hint="eastAsia" w:ascii="仿宋" w:hAnsi="仿宋" w:eastAsia="仿宋" w:cs="Arial"/>
                      <w:color w:val="auto"/>
                      <w:kern w:val="0"/>
                      <w:sz w:val="24"/>
                      <w:highlight w:val="none"/>
                    </w:rPr>
                  </w:sdtEndPr>
                  <w:sdtContent>
                    <w:sdt>
                      <w:sdtPr>
                        <w:rPr>
                          <w:rFonts w:hint="eastAsia" w:ascii="仿宋" w:hAnsi="仿宋" w:eastAsia="仿宋" w:cs="Arial"/>
                          <w:color w:val="auto"/>
                          <w:kern w:val="0"/>
                          <w:sz w:val="24"/>
                          <w:highlight w:val="none"/>
                        </w:rPr>
                        <w:id w:val="1209384115"/>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00A8"/>
                        </w:r>
                      </w:sdtContent>
                    </w:sdt>
                  </w:sdtContent>
                </w:sdt>
              </w:sdtContent>
            </w:sdt>
            <w:r>
              <w:rPr>
                <w:rFonts w:ascii="仿宋" w:hAnsi="仿宋" w:eastAsia="仿宋" w:cs="Arial"/>
                <w:color w:val="auto"/>
                <w:kern w:val="0"/>
                <w:sz w:val="24"/>
                <w:highlight w:val="none"/>
              </w:rPr>
              <w:t xml:space="preserve"> B</w:t>
            </w:r>
            <w:r>
              <w:rPr>
                <w:rFonts w:hint="eastAsia" w:ascii="仿宋" w:hAnsi="仿宋" w:eastAsia="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48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1）资格证明文件：见招标文件第二部分11.1。</w:t>
            </w:r>
          </w:p>
          <w:p>
            <w:pPr>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p>
        </w:tc>
        <w:tc>
          <w:tcPr>
            <w:tcW w:w="648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212966419"/>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F0FE"/>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pacing w:line="360" w:lineRule="auto"/>
              <w:rPr>
                <w:rFonts w:ascii="仿宋" w:hAnsi="仿宋" w:eastAsia="仿宋"/>
                <w:color w:val="auto"/>
                <w:sz w:val="24"/>
                <w:szCs w:val="20"/>
                <w:highlight w:val="none"/>
              </w:rPr>
            </w:pPr>
            <w:sdt>
              <w:sdtPr>
                <w:rPr>
                  <w:rFonts w:hint="eastAsia" w:ascii="仿宋" w:hAnsi="仿宋" w:eastAsia="仿宋" w:cs="Arial"/>
                  <w:color w:val="auto"/>
                  <w:kern w:val="0"/>
                  <w:sz w:val="24"/>
                  <w:highlight w:val="none"/>
                </w:rPr>
                <w:id w:val="-999802974"/>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rPr>
              <w:t>,地点：</w:t>
            </w:r>
            <w:r>
              <w:rPr>
                <w:rFonts w:hint="eastAsia" w:ascii="仿宋" w:hAnsi="仿宋" w:eastAsia="仿宋"/>
                <w:color w:val="auto"/>
                <w:sz w:val="24"/>
                <w:highlight w:val="none"/>
              </w:rPr>
              <w:t>，联系人：，联系方式：</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1639946486"/>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F0FE"/>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pacing w:line="360" w:lineRule="auto"/>
              <w:rPr>
                <w:rFonts w:ascii="仿宋" w:hAnsi="仿宋" w:eastAsia="仿宋"/>
                <w:color w:val="auto"/>
                <w:kern w:val="0"/>
                <w:sz w:val="24"/>
                <w:highlight w:val="none"/>
              </w:rPr>
            </w:pPr>
            <w:sdt>
              <w:sdtPr>
                <w:rPr>
                  <w:rFonts w:hint="eastAsia" w:ascii="仿宋" w:hAnsi="仿宋" w:eastAsia="仿宋" w:cs="Arial"/>
                  <w:color w:val="auto"/>
                  <w:kern w:val="0"/>
                  <w:sz w:val="24"/>
                  <w:highlight w:val="none"/>
                </w:rPr>
                <w:id w:val="1026831988"/>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 w:hAnsi="仿宋" w:eastAsia="仿宋"/>
                <w:color w:val="auto"/>
                <w:kern w:val="0"/>
                <w:sz w:val="24"/>
                <w:highlight w:val="none"/>
              </w:rPr>
              <w:t>；</w:t>
            </w:r>
          </w:p>
          <w:p>
            <w:pPr>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kern w:val="0"/>
                <w:sz w:val="24"/>
                <w:highlight w:val="none"/>
              </w:rPr>
              <w:t>；</w:t>
            </w:r>
          </w:p>
          <w:p>
            <w:pPr>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4）是否需要随样品提交检测报告</w:t>
            </w:r>
            <w:r>
              <w:rPr>
                <w:rFonts w:hint="eastAsia" w:ascii="仿宋" w:hAnsi="仿宋" w:eastAsia="仿宋"/>
                <w:color w:val="auto"/>
                <w:kern w:val="0"/>
                <w:sz w:val="24"/>
                <w:highlight w:val="none"/>
              </w:rPr>
              <w:t>：</w:t>
            </w:r>
            <w:sdt>
              <w:sdtPr>
                <w:rPr>
                  <w:rFonts w:hint="eastAsia" w:ascii="仿宋" w:hAnsi="仿宋" w:eastAsia="仿宋" w:cs="Arial"/>
                  <w:color w:val="auto"/>
                  <w:kern w:val="0"/>
                  <w:sz w:val="24"/>
                  <w:highlight w:val="none"/>
                </w:rPr>
                <w:id w:val="1303421454"/>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F0FE"/>
                </w:r>
              </w:sdtContent>
            </w:sdt>
            <w:r>
              <w:rPr>
                <w:rFonts w:ascii="仿宋" w:hAnsi="仿宋" w:eastAsia="仿宋"/>
                <w:color w:val="auto"/>
                <w:kern w:val="0"/>
                <w:sz w:val="24"/>
                <w:highlight w:val="none"/>
              </w:rPr>
              <w:t>否；</w:t>
            </w:r>
            <w:sdt>
              <w:sdtPr>
                <w:rPr>
                  <w:rFonts w:hint="eastAsia" w:ascii="仿宋" w:hAnsi="仿宋" w:eastAsia="仿宋" w:cs="Arial"/>
                  <w:color w:val="auto"/>
                  <w:kern w:val="0"/>
                  <w:sz w:val="24"/>
                  <w:highlight w:val="none"/>
                </w:rPr>
                <w:id w:val="1621728433"/>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kern w:val="0"/>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5）提供样品的时间：</w:t>
            </w:r>
            <w:r>
              <w:rPr>
                <w:rFonts w:hint="eastAsia" w:ascii="仿宋" w:hAnsi="仿宋" w:eastAsia="仿宋"/>
                <w:color w:val="auto"/>
                <w:kern w:val="0"/>
                <w:sz w:val="24"/>
                <w:highlight w:val="none"/>
              </w:rPr>
              <w:t>；地点：；联系人</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(6)采购活动结束后，对于未中标人提供的样品，</w:t>
            </w:r>
            <w:r>
              <w:rPr>
                <w:rFonts w:hint="eastAsia" w:ascii="仿宋" w:hAnsi="仿宋" w:eastAsia="仿宋"/>
                <w:color w:val="auto"/>
                <w:sz w:val="24"/>
                <w:highlight w:val="none"/>
              </w:rPr>
              <w:t>采购人、采购机构将通知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spacing w:line="360" w:lineRule="auto"/>
              <w:rPr>
                <w:rFonts w:ascii="仿宋" w:hAnsi="仿宋" w:eastAsia="仿宋"/>
                <w:b/>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方案讲解演示</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1859348549"/>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F0FE"/>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pacing w:line="360" w:lineRule="auto"/>
              <w:rPr>
                <w:rFonts w:ascii="仿宋" w:hAnsi="仿宋" w:eastAsia="仿宋"/>
                <w:color w:val="auto"/>
                <w:kern w:val="0"/>
                <w:sz w:val="24"/>
                <w:highlight w:val="none"/>
              </w:rPr>
            </w:pPr>
            <w:sdt>
              <w:sdtPr>
                <w:rPr>
                  <w:rFonts w:hint="eastAsia" w:ascii="仿宋" w:hAnsi="仿宋" w:eastAsia="仿宋" w:cs="Arial"/>
                  <w:color w:val="auto"/>
                  <w:kern w:val="0"/>
                  <w:sz w:val="24"/>
                  <w:highlight w:val="none"/>
                </w:rPr>
                <w:id w:val="1174071719"/>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B组织。</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2）方案讲解演示可选择</w:t>
            </w:r>
            <w:r>
              <w:rPr>
                <w:rFonts w:hint="eastAsia" w:ascii="仿宋" w:hAnsi="仿宋" w:eastAsia="仿宋"/>
                <w:color w:val="auto"/>
                <w:kern w:val="0"/>
                <w:sz w:val="24"/>
                <w:highlight w:val="none"/>
              </w:rPr>
              <w:t>以下其中一种方式：</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方式二：采购代理机构现场讲解演示。现场讲解地点为，讲解演示所用电脑等设备由投标人自备。现场讲解演示人员进场时提供讲解人员名单（加盖公章）及身份证明，否则不得讲解演示。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是否允许采购进口产品</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auto"/>
                <w:kern w:val="0"/>
                <w:sz w:val="24"/>
                <w:highlight w:val="none"/>
              </w:rPr>
            </w:pPr>
            <w:sdt>
              <w:sdtPr>
                <w:rPr>
                  <w:rFonts w:hint="eastAsia" w:ascii="仿宋" w:hAnsi="仿宋" w:eastAsia="仿宋" w:cs="Arial"/>
                  <w:color w:val="auto"/>
                  <w:kern w:val="0"/>
                  <w:sz w:val="24"/>
                  <w:highlight w:val="none"/>
                </w:rPr>
                <w:id w:val="-1828425707"/>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00FE"/>
                </w:r>
              </w:sdtContent>
            </w:sdt>
            <w:r>
              <w:rPr>
                <w:rFonts w:hint="eastAsia" w:ascii="仿宋" w:hAnsi="仿宋" w:eastAsia="仿宋" w:cs="Arial"/>
                <w:color w:val="auto"/>
                <w:kern w:val="0"/>
                <w:sz w:val="24"/>
                <w:highlight w:val="none"/>
              </w:rPr>
              <w:t>本项目不允许采购进口产品。</w:t>
            </w:r>
          </w:p>
          <w:p>
            <w:pPr>
              <w:spacing w:line="360" w:lineRule="auto"/>
              <w:rPr>
                <w:rFonts w:ascii="仿宋" w:hAnsi="仿宋" w:eastAsia="仿宋"/>
                <w:color w:val="auto"/>
                <w:highlight w:val="none"/>
              </w:rPr>
            </w:pPr>
            <w:sdt>
              <w:sdtPr>
                <w:rPr>
                  <w:rFonts w:hint="eastAsia" w:ascii="仿宋" w:hAnsi="仿宋" w:eastAsia="仿宋" w:cs="Arial"/>
                  <w:color w:val="auto"/>
                  <w:kern w:val="0"/>
                  <w:sz w:val="24"/>
                  <w:highlight w:val="none"/>
                </w:rPr>
                <w:id w:val="-52852824"/>
              </w:sdtPr>
              <w:sdtEndPr>
                <w:rPr>
                  <w:rFonts w:hint="eastAsia" w:ascii="仿宋" w:hAnsi="仿宋" w:eastAsia="仿宋" w:cs="Arial"/>
                  <w:color w:val="auto"/>
                  <w:kern w:val="0"/>
                  <w:sz w:val="24"/>
                  <w:highlight w:val="none"/>
                </w:rPr>
              </w:sdtEndPr>
              <w:sdtContent>
                <w:sdt>
                  <w:sdtPr>
                    <w:rPr>
                      <w:rFonts w:hint="eastAsia" w:ascii="仿宋" w:hAnsi="仿宋" w:eastAsia="仿宋" w:cs="Arial"/>
                      <w:color w:val="auto"/>
                      <w:kern w:val="0"/>
                      <w:sz w:val="24"/>
                      <w:highlight w:val="none"/>
                    </w:rPr>
                    <w:id w:val="-1828425707"/>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00A8"/>
                    </w:r>
                  </w:sdtContent>
                </w:sdt>
              </w:sdtContent>
            </w:sdt>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487" w:type="dxa"/>
            <w:tcBorders>
              <w:top w:val="single" w:color="000000" w:sz="8" w:space="0"/>
              <w:left w:val="single" w:color="000000" w:sz="2" w:space="0"/>
              <w:bottom w:val="single" w:color="000000" w:sz="8" w:space="0"/>
              <w:right w:val="single" w:color="000000" w:sz="8" w:space="0"/>
            </w:tcBorders>
            <w:vAlign w:val="center"/>
          </w:tcPr>
          <w:p>
            <w:pPr>
              <w:pStyle w:val="26"/>
              <w:rPr>
                <w:rFonts w:hint="default" w:eastAsia="仿宋"/>
                <w:color w:val="auto"/>
                <w:highlight w:val="none"/>
                <w:lang w:val="en-US" w:eastAsia="zh-CN"/>
              </w:rPr>
            </w:pPr>
            <w:r>
              <w:rPr>
                <w:rFonts w:hint="eastAsia" w:ascii="仿宋" w:hAnsi="仿宋" w:eastAsia="仿宋"/>
                <w:color w:val="auto"/>
                <w:sz w:val="24"/>
                <w:highlight w:val="none"/>
                <w:lang w:val="en-US" w:eastAsia="zh-CN"/>
              </w:rPr>
              <w:t>标项一：</w:t>
            </w:r>
          </w:p>
          <w:p>
            <w:pPr>
              <w:spacing w:line="360" w:lineRule="auto"/>
              <w:rPr>
                <w:rFonts w:hint="eastAsia" w:ascii="仿宋" w:hAnsi="仿宋" w:eastAsia="仿宋" w:cs="仿宋"/>
                <w:color w:val="auto"/>
                <w:sz w:val="24"/>
                <w:highlight w:val="none"/>
                <w:u w:val="single"/>
                <w:lang w:eastAsia="zh-CN"/>
              </w:rPr>
            </w:pPr>
            <w:sdt>
              <w:sdtPr>
                <w:rPr>
                  <w:rFonts w:hint="eastAsia" w:ascii="仿宋" w:hAnsi="仿宋" w:eastAsia="仿宋" w:cs="Arial"/>
                  <w:color w:val="auto"/>
                  <w:kern w:val="0"/>
                  <w:sz w:val="24"/>
                  <w:highlight w:val="none"/>
                </w:rPr>
                <w:id w:val="-1680814204"/>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00A8"/>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货物类，单一产品或核心产品为：</w:t>
            </w:r>
            <w:r>
              <w:rPr>
                <w:rFonts w:hint="eastAsia" w:ascii="仿宋" w:hAnsi="仿宋" w:eastAsia="仿宋" w:cs="仿宋"/>
                <w:color w:val="auto"/>
                <w:sz w:val="24"/>
                <w:highlight w:val="none"/>
                <w:u w:val="single"/>
                <w:lang w:val="en-US" w:eastAsia="zh-CN"/>
              </w:rPr>
              <w:t xml:space="preserve"> </w:t>
            </w:r>
          </w:p>
          <w:p>
            <w:pPr>
              <w:spacing w:line="360" w:lineRule="auto"/>
              <w:rPr>
                <w:rFonts w:hint="eastAsia" w:ascii="仿宋" w:hAnsi="仿宋" w:eastAsia="仿宋"/>
                <w:color w:val="auto"/>
                <w:sz w:val="24"/>
                <w:highlight w:val="none"/>
              </w:rPr>
            </w:pPr>
            <w:sdt>
              <w:sdtPr>
                <w:rPr>
                  <w:rFonts w:hint="eastAsia" w:ascii="仿宋" w:hAnsi="仿宋" w:eastAsia="仿宋" w:cs="Arial"/>
                  <w:color w:val="auto"/>
                  <w:kern w:val="0"/>
                  <w:sz w:val="24"/>
                  <w:highlight w:val="none"/>
                </w:rPr>
                <w:id w:val="1582104899"/>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00FE"/>
                </w:r>
              </w:sdtContent>
            </w:sdt>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p>
            <w:pPr>
              <w:pStyle w:val="26"/>
              <w:rPr>
                <w:rFonts w:hint="eastAsia"/>
                <w:color w:val="auto"/>
                <w:highlight w:val="none"/>
              </w:rPr>
            </w:pPr>
            <w:r>
              <w:rPr>
                <w:rFonts w:hint="eastAsia" w:ascii="仿宋" w:hAnsi="仿宋" w:eastAsia="仿宋"/>
                <w:color w:val="auto"/>
                <w:sz w:val="24"/>
                <w:highlight w:val="none"/>
                <w:lang w:val="en-US" w:eastAsia="zh-CN"/>
              </w:rPr>
              <w:t>标项二：</w:t>
            </w:r>
          </w:p>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1680814204"/>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00A8"/>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货物类，单一产品或核心产品为：</w:t>
            </w:r>
          </w:p>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1582104899"/>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00FE"/>
                </w:r>
              </w:sdtContent>
            </w:sdt>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标</w:t>
            </w:r>
            <w:r>
              <w:rPr>
                <w:rFonts w:hint="eastAsia" w:ascii="仿宋" w:hAnsi="仿宋" w:eastAsia="仿宋" w:cs="Arial"/>
                <w:color w:val="auto"/>
                <w:kern w:val="0"/>
                <w:sz w:val="24"/>
                <w:highlight w:val="none"/>
                <w:lang w:val="en-US" w:eastAsia="zh-CN"/>
              </w:rPr>
              <w:t>项一</w:t>
            </w:r>
            <w:r>
              <w:rPr>
                <w:rFonts w:hint="eastAsia" w:ascii="仿宋" w:hAnsi="仿宋" w:eastAsia="仿宋" w:cs="Arial"/>
                <w:color w:val="auto"/>
                <w:kern w:val="0"/>
                <w:sz w:val="24"/>
                <w:highlight w:val="none"/>
              </w:rPr>
              <w:t>：</w:t>
            </w:r>
            <w:r>
              <w:rPr>
                <w:rFonts w:hint="eastAsia" w:ascii="仿宋" w:hAnsi="仿宋" w:eastAsia="仿宋" w:cs="Arial"/>
                <w:color w:val="auto"/>
                <w:kern w:val="0"/>
                <w:sz w:val="24"/>
                <w:highlight w:val="none"/>
                <w:u w:val="single"/>
                <w:lang w:val="en-US" w:eastAsia="zh-CN"/>
              </w:rPr>
              <w:t>温室气体手工监测及移动监测服务项目</w:t>
            </w:r>
            <w:r>
              <w:rPr>
                <w:rFonts w:hint="eastAsia" w:ascii="仿宋" w:hAnsi="仿宋" w:eastAsia="仿宋" w:cs="Arial"/>
                <w:color w:val="auto"/>
                <w:kern w:val="0"/>
                <w:sz w:val="24"/>
                <w:highlight w:val="none"/>
              </w:rPr>
              <w:t>，属于</w:t>
            </w:r>
            <w:r>
              <w:rPr>
                <w:rFonts w:hint="eastAsia" w:ascii="仿宋" w:hAnsi="仿宋" w:eastAsia="仿宋" w:cs="Arial"/>
                <w:color w:val="auto"/>
                <w:kern w:val="0"/>
                <w:sz w:val="24"/>
                <w:highlight w:val="none"/>
                <w:u w:val="single"/>
              </w:rPr>
              <w:t>（</w:t>
            </w:r>
            <w:r>
              <w:rPr>
                <w:rFonts w:hint="eastAsia" w:ascii="仿宋" w:hAnsi="仿宋" w:eastAsia="仿宋" w:cs="Arial"/>
                <w:color w:val="auto"/>
                <w:kern w:val="0"/>
                <w:sz w:val="24"/>
                <w:highlight w:val="none"/>
                <w:u w:val="single"/>
                <w:lang w:val="en-US" w:eastAsia="zh-CN"/>
              </w:rPr>
              <w:t>十六</w:t>
            </w:r>
            <w:r>
              <w:rPr>
                <w:rFonts w:hint="eastAsia" w:ascii="仿宋" w:hAnsi="仿宋" w:eastAsia="仿宋" w:cs="Arial"/>
                <w:color w:val="auto"/>
                <w:kern w:val="0"/>
                <w:sz w:val="24"/>
                <w:highlight w:val="none"/>
                <w:u w:val="single"/>
              </w:rPr>
              <w:t>）</w:t>
            </w:r>
            <w:r>
              <w:rPr>
                <w:rFonts w:hint="eastAsia" w:ascii="仿宋" w:hAnsi="仿宋" w:eastAsia="仿宋" w:cs="Arial"/>
                <w:color w:val="auto"/>
                <w:kern w:val="0"/>
                <w:sz w:val="24"/>
                <w:highlight w:val="none"/>
                <w:u w:val="single"/>
                <w:lang w:val="en-US" w:eastAsia="zh-CN"/>
              </w:rPr>
              <w:t>其他未列明行业</w:t>
            </w:r>
            <w:r>
              <w:rPr>
                <w:rFonts w:hint="eastAsia" w:ascii="仿宋" w:hAnsi="仿宋" w:eastAsia="仿宋" w:cs="Arial"/>
                <w:color w:val="auto"/>
                <w:kern w:val="0"/>
                <w:sz w:val="24"/>
                <w:highlight w:val="none"/>
              </w:rPr>
              <w:t>；</w:t>
            </w:r>
          </w:p>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标</w:t>
            </w:r>
            <w:r>
              <w:rPr>
                <w:rFonts w:hint="eastAsia" w:ascii="仿宋" w:hAnsi="仿宋" w:eastAsia="仿宋" w:cs="Arial"/>
                <w:color w:val="auto"/>
                <w:kern w:val="0"/>
                <w:sz w:val="24"/>
                <w:highlight w:val="none"/>
                <w:lang w:val="en-US" w:eastAsia="zh-CN"/>
              </w:rPr>
              <w:t>项二</w:t>
            </w:r>
            <w:r>
              <w:rPr>
                <w:rFonts w:hint="eastAsia" w:ascii="仿宋" w:hAnsi="仿宋" w:eastAsia="仿宋" w:cs="Arial"/>
                <w:color w:val="auto"/>
                <w:kern w:val="0"/>
                <w:sz w:val="24"/>
                <w:highlight w:val="none"/>
              </w:rPr>
              <w:t>：</w:t>
            </w:r>
            <w:r>
              <w:rPr>
                <w:rFonts w:hint="eastAsia" w:ascii="仿宋" w:hAnsi="仿宋" w:eastAsia="仿宋" w:cs="Arial"/>
                <w:color w:val="auto"/>
                <w:kern w:val="0"/>
                <w:sz w:val="24"/>
                <w:highlight w:val="none"/>
                <w:u w:val="single"/>
                <w:lang w:eastAsia="zh-CN"/>
              </w:rPr>
              <w:t>杭州市温室气体同化反演及通量核算服务</w:t>
            </w:r>
            <w:r>
              <w:rPr>
                <w:rFonts w:hint="eastAsia" w:ascii="仿宋" w:hAnsi="仿宋" w:eastAsia="仿宋" w:cs="Arial"/>
                <w:color w:val="auto"/>
                <w:kern w:val="0"/>
                <w:sz w:val="24"/>
                <w:highlight w:val="none"/>
              </w:rPr>
              <w:t>，属于</w:t>
            </w:r>
            <w:r>
              <w:rPr>
                <w:rFonts w:hint="eastAsia" w:ascii="仿宋" w:hAnsi="仿宋" w:eastAsia="仿宋" w:cs="Arial"/>
                <w:color w:val="auto"/>
                <w:kern w:val="0"/>
                <w:sz w:val="24"/>
                <w:highlight w:val="none"/>
                <w:u w:val="single"/>
              </w:rPr>
              <w:t>（</w:t>
            </w:r>
            <w:r>
              <w:rPr>
                <w:rFonts w:hint="eastAsia" w:ascii="仿宋" w:hAnsi="仿宋" w:eastAsia="仿宋" w:cs="Arial"/>
                <w:color w:val="auto"/>
                <w:kern w:val="0"/>
                <w:sz w:val="24"/>
                <w:highlight w:val="none"/>
                <w:u w:val="single"/>
                <w:lang w:val="en-US" w:eastAsia="zh-CN"/>
              </w:rPr>
              <w:t>十六</w:t>
            </w:r>
            <w:r>
              <w:rPr>
                <w:rFonts w:hint="eastAsia" w:ascii="仿宋" w:hAnsi="仿宋" w:eastAsia="仿宋" w:cs="Arial"/>
                <w:color w:val="auto"/>
                <w:kern w:val="0"/>
                <w:sz w:val="24"/>
                <w:highlight w:val="none"/>
                <w:u w:val="single"/>
              </w:rPr>
              <w:t>）</w:t>
            </w:r>
            <w:r>
              <w:rPr>
                <w:rFonts w:hint="eastAsia" w:ascii="仿宋" w:hAnsi="仿宋" w:eastAsia="仿宋" w:cs="Arial"/>
                <w:color w:val="auto"/>
                <w:kern w:val="0"/>
                <w:sz w:val="24"/>
                <w:highlight w:val="none"/>
                <w:u w:val="single"/>
                <w:lang w:val="en-US" w:eastAsia="zh-CN"/>
              </w:rPr>
              <w:t>其他未列明行业</w:t>
            </w:r>
            <w:r>
              <w:rPr>
                <w:rFonts w:hint="eastAsia" w:ascii="仿宋" w:hAnsi="仿宋" w:eastAsia="仿宋" w:cs="Arial"/>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highlight w:val="none"/>
              </w:rPr>
            </w:pPr>
            <w:r>
              <w:rPr>
                <w:rFonts w:hint="eastAsia" w:ascii="仿宋" w:hAnsi="仿宋" w:eastAsia="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olor w:val="auto"/>
                <w:highlight w:val="none"/>
              </w:rPr>
            </w:pP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p>
        </w:tc>
        <w:tc>
          <w:tcPr>
            <w:tcW w:w="6487"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olor w:val="auto"/>
                <w:kern w:val="28"/>
                <w:sz w:val="24"/>
                <w:highlight w:val="none"/>
              </w:rPr>
            </w:pPr>
            <w:r>
              <w:rPr>
                <w:rFonts w:hint="eastAsia" w:ascii="仿宋" w:hAnsi="仿宋" w:eastAsia="仿宋" w:cs="Times New Roman"/>
                <w:color w:val="auto"/>
                <w:kern w:val="28"/>
                <w:sz w:val="24"/>
                <w:szCs w:val="24"/>
                <w:highlight w:val="none"/>
              </w:rPr>
              <w:t>备份投标文件送达地点：</w:t>
            </w:r>
            <w:r>
              <w:rPr>
                <w:rFonts w:hint="eastAsia" w:ascii="仿宋" w:hAnsi="仿宋" w:eastAsia="仿宋"/>
                <w:color w:val="auto"/>
                <w:sz w:val="24"/>
                <w:highlight w:val="none"/>
                <w:u w:val="single"/>
              </w:rPr>
              <w:t xml:space="preserve">杭州市教工路1号西湖数源软件园17号楼5层509室 </w:t>
            </w: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s="Times New Roman"/>
                <w:color w:val="auto"/>
                <w:kern w:val="28"/>
                <w:sz w:val="24"/>
                <w:szCs w:val="24"/>
                <w:highlight w:val="none"/>
                <w:u w:val="single"/>
              </w:rPr>
              <w:t>金婉娇，</w:t>
            </w:r>
            <w:r>
              <w:rPr>
                <w:rFonts w:ascii="仿宋" w:hAnsi="仿宋" w:eastAsia="仿宋"/>
                <w:color w:val="auto"/>
                <w:sz w:val="24"/>
                <w:highlight w:val="none"/>
                <w:u w:val="single"/>
              </w:rPr>
              <w:t>0571-87211505</w:t>
            </w:r>
            <w:r>
              <w:rPr>
                <w:rFonts w:hint="eastAsia" w:ascii="仿宋" w:hAnsi="仿宋" w:eastAsia="仿宋" w:cs="仿宋_GB2312"/>
                <w:color w:val="auto"/>
                <w:sz w:val="24"/>
                <w:szCs w:val="24"/>
                <w:highlight w:val="none"/>
              </w:rPr>
              <w:t>。</w:t>
            </w:r>
            <w:r>
              <w:rPr>
                <w:rFonts w:hint="eastAsia" w:ascii="仿宋" w:hAnsi="仿宋" w:eastAsia="仿宋" w:cs="仿宋_GB2312"/>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
                <w:b/>
                <w:color w:val="auto"/>
                <w:sz w:val="24"/>
                <w:highlight w:val="none"/>
              </w:rPr>
              <w:t>采购代理机构代理服务费用</w:t>
            </w:r>
          </w:p>
        </w:tc>
        <w:tc>
          <w:tcPr>
            <w:tcW w:w="6487" w:type="dxa"/>
            <w:tcBorders>
              <w:top w:val="single" w:color="000000" w:sz="8" w:space="0"/>
              <w:left w:val="single" w:color="000000" w:sz="2" w:space="0"/>
              <w:bottom w:val="single" w:color="000000" w:sz="8" w:space="0"/>
              <w:right w:val="single" w:color="000000" w:sz="8" w:space="0"/>
            </w:tcBorders>
            <w:vAlign w:val="center"/>
          </w:tcPr>
          <w:p>
            <w:pPr>
              <w:pStyle w:val="59"/>
              <w:widowControl w:val="0"/>
              <w:snapToGrid w:val="0"/>
              <w:spacing w:before="0" w:beforeAutospacing="0" w:after="0" w:afterAutospacing="0" w:line="360" w:lineRule="auto"/>
              <w:ind w:firstLine="480" w:firstLineChars="200"/>
              <w:jc w:val="both"/>
              <w:rPr>
                <w:rFonts w:ascii="仿宋" w:hAnsi="仿宋" w:eastAsia="仿宋" w:cs="仿宋"/>
                <w:color w:val="auto"/>
                <w:szCs w:val="21"/>
                <w:highlight w:val="none"/>
              </w:rPr>
            </w:pPr>
            <w:r>
              <w:rPr>
                <w:rFonts w:hint="eastAsia" w:ascii="仿宋" w:hAnsi="仿宋" w:eastAsia="仿宋" w:cs="仿宋"/>
                <w:color w:val="auto"/>
                <w:kern w:val="2"/>
                <w:szCs w:val="21"/>
                <w:highlight w:val="none"/>
              </w:rPr>
              <w:t>投标人需自行承担涉及投标的一切费用；</w:t>
            </w:r>
          </w:p>
          <w:p>
            <w:pPr>
              <w:pStyle w:val="59"/>
              <w:widowControl w:val="0"/>
              <w:snapToGrid w:val="0"/>
              <w:spacing w:before="0" w:beforeAutospacing="0" w:after="0" w:afterAutospacing="0" w:line="360" w:lineRule="auto"/>
              <w:ind w:firstLine="480" w:firstLineChars="200"/>
              <w:jc w:val="both"/>
              <w:rPr>
                <w:rFonts w:ascii="仿宋" w:hAnsi="仿宋" w:eastAsia="仿宋" w:cs="仿宋"/>
                <w:color w:val="auto"/>
                <w:szCs w:val="21"/>
                <w:highlight w:val="none"/>
              </w:rPr>
            </w:pPr>
            <w:r>
              <w:rPr>
                <w:rFonts w:hint="eastAsia" w:ascii="仿宋" w:hAnsi="仿宋" w:eastAsia="仿宋" w:cs="仿宋"/>
                <w:color w:val="auto"/>
                <w:kern w:val="2"/>
                <w:szCs w:val="21"/>
                <w:highlight w:val="none"/>
              </w:rPr>
              <w:t>如果投标人中标，将向杭州意信招标代理有限公司支付代理</w:t>
            </w:r>
            <w:r>
              <w:rPr>
                <w:rFonts w:hint="eastAsia" w:ascii="仿宋" w:hAnsi="仿宋" w:eastAsia="仿宋" w:cs="仿宋"/>
                <w:color w:val="auto"/>
                <w:kern w:val="2"/>
                <w:szCs w:val="21"/>
                <w:highlight w:val="none"/>
                <w:lang w:val="en-US" w:eastAsia="zh-CN"/>
              </w:rPr>
              <w:t>服务</w:t>
            </w:r>
            <w:r>
              <w:rPr>
                <w:rFonts w:hint="eastAsia" w:ascii="仿宋" w:hAnsi="仿宋" w:eastAsia="仿宋" w:cs="仿宋"/>
                <w:color w:val="auto"/>
                <w:kern w:val="2"/>
                <w:szCs w:val="21"/>
                <w:highlight w:val="none"/>
              </w:rPr>
              <w:t>费。收费标准如下：</w:t>
            </w:r>
          </w:p>
          <w:tbl>
            <w:tblPr>
              <w:tblStyle w:val="64"/>
              <w:tblW w:w="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中标金额（万元）</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货物类费率</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服务类费率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100以下</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1.5%</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100-500</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1.1%</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500-1000</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0.8%</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1000-5000</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0.5%</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0.25%</w:t>
                  </w:r>
                </w:p>
              </w:tc>
            </w:tr>
          </w:tbl>
          <w:p>
            <w:pPr>
              <w:pStyle w:val="59"/>
              <w:widowControl w:val="0"/>
              <w:snapToGrid w:val="0"/>
              <w:spacing w:before="0" w:beforeAutospacing="0" w:after="0" w:afterAutospacing="0" w:line="360" w:lineRule="auto"/>
              <w:ind w:firstLine="480" w:firstLineChars="200"/>
              <w:jc w:val="both"/>
              <w:rPr>
                <w:rFonts w:ascii="仿宋" w:hAnsi="仿宋" w:eastAsia="仿宋" w:cs="仿宋"/>
                <w:color w:val="auto"/>
                <w:szCs w:val="21"/>
                <w:highlight w:val="none"/>
              </w:rPr>
            </w:pPr>
            <w:r>
              <w:rPr>
                <w:rFonts w:hint="eastAsia" w:ascii="仿宋" w:hAnsi="仿宋" w:eastAsia="仿宋" w:cs="仿宋"/>
                <w:color w:val="auto"/>
                <w:kern w:val="2"/>
                <w:szCs w:val="21"/>
                <w:highlight w:val="none"/>
              </w:rPr>
              <w:t>注：差额累进法计算总额。</w:t>
            </w:r>
          </w:p>
          <w:p>
            <w:pPr>
              <w:pStyle w:val="59"/>
              <w:widowControl w:val="0"/>
              <w:snapToGrid w:val="0"/>
              <w:spacing w:before="0" w:beforeAutospacing="0" w:after="0" w:afterAutospacing="0" w:line="360" w:lineRule="auto"/>
              <w:ind w:firstLine="480" w:firstLineChars="200"/>
              <w:jc w:val="both"/>
              <w:rPr>
                <w:rFonts w:ascii="仿宋" w:hAnsi="仿宋" w:eastAsia="仿宋" w:cs="仿宋"/>
                <w:color w:val="auto"/>
                <w:szCs w:val="21"/>
                <w:highlight w:val="none"/>
              </w:rPr>
            </w:pPr>
            <w:r>
              <w:rPr>
                <w:rFonts w:hint="eastAsia" w:ascii="仿宋" w:hAnsi="仿宋" w:eastAsia="仿宋" w:cs="仿宋"/>
                <w:color w:val="auto"/>
                <w:kern w:val="2"/>
                <w:szCs w:val="21"/>
                <w:highlight w:val="none"/>
              </w:rPr>
              <w:t>例：如</w:t>
            </w:r>
            <w:r>
              <w:rPr>
                <w:rFonts w:hint="eastAsia" w:ascii="仿宋" w:hAnsi="仿宋" w:eastAsia="仿宋" w:cs="仿宋"/>
                <w:color w:val="auto"/>
                <w:kern w:val="2"/>
                <w:szCs w:val="21"/>
                <w:highlight w:val="none"/>
                <w:lang w:val="en-US" w:eastAsia="zh-CN"/>
              </w:rPr>
              <w:t>服务</w:t>
            </w:r>
            <w:r>
              <w:rPr>
                <w:rFonts w:hint="eastAsia" w:ascii="仿宋" w:hAnsi="仿宋" w:eastAsia="仿宋" w:cs="仿宋"/>
                <w:color w:val="auto"/>
                <w:kern w:val="2"/>
                <w:szCs w:val="21"/>
                <w:highlight w:val="none"/>
              </w:rPr>
              <w:t>类项目中标金额为RMB1500000元，计算方法如下：</w:t>
            </w:r>
          </w:p>
          <w:p>
            <w:pPr>
              <w:widowControl/>
              <w:spacing w:line="360" w:lineRule="auto"/>
              <w:jc w:val="left"/>
              <w:rPr>
                <w:rFonts w:ascii="仿宋" w:hAnsi="仿宋" w:eastAsia="仿宋" w:cs="仿宋"/>
                <w:color w:val="auto"/>
                <w:highlight w:val="none"/>
              </w:rPr>
            </w:pPr>
            <w:r>
              <w:rPr>
                <w:rFonts w:hint="eastAsia" w:ascii="仿宋" w:hAnsi="仿宋" w:eastAsia="仿宋" w:cs="仿宋"/>
                <w:color w:val="auto"/>
                <w:sz w:val="24"/>
                <w:highlight w:val="none"/>
              </w:rPr>
              <w:t>中标服务费=1000000*1.5%+500000*</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190</w:t>
            </w:r>
            <w:r>
              <w:rPr>
                <w:rFonts w:hint="eastAsia" w:ascii="仿宋" w:hAnsi="仿宋" w:eastAsia="仿宋" w:cs="仿宋"/>
                <w:color w:val="auto"/>
                <w:sz w:val="24"/>
                <w:highlight w:val="none"/>
              </w:rPr>
              <w:t>00元。</w:t>
            </w:r>
          </w:p>
          <w:p>
            <w:pPr>
              <w:pStyle w:val="34"/>
              <w:spacing w:line="360" w:lineRule="auto"/>
              <w:contextualSpacing/>
              <w:rPr>
                <w:rFonts w:ascii="仿宋" w:hAnsi="仿宋" w:eastAsia="仿宋"/>
                <w:color w:val="auto"/>
                <w:sz w:val="24"/>
                <w:highlight w:val="none"/>
              </w:rPr>
            </w:pPr>
            <w:r>
              <w:rPr>
                <w:rFonts w:hint="eastAsia" w:ascii="仿宋" w:hAnsi="仿宋" w:eastAsia="仿宋" w:cs="Times New Roman"/>
                <w:color w:val="auto"/>
                <w:kern w:val="28"/>
                <w:sz w:val="24"/>
                <w:szCs w:val="24"/>
                <w:highlight w:val="none"/>
              </w:rPr>
              <w:t>结算方式及时间：中标通知书发出后5个工作日内。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 w:hAnsi="仿宋" w:eastAsia="仿宋" w:cs="仿宋_GB2312"/>
          <w:b/>
          <w:color w:val="auto"/>
          <w:sz w:val="32"/>
          <w:szCs w:val="20"/>
          <w:highlight w:val="none"/>
        </w:rPr>
      </w:pPr>
      <w:bookmarkStart w:id="11" w:name="第三部分"/>
      <w:bookmarkStart w:id="12" w:name="_Toc164416483"/>
      <w:r>
        <w:rPr>
          <w:rFonts w:hint="eastAsia" w:ascii="仿宋" w:hAnsi="仿宋" w:eastAsia="仿宋" w:cs="仿宋_GB2312"/>
          <w:b/>
          <w:color w:val="auto"/>
          <w:sz w:val="32"/>
          <w:szCs w:val="20"/>
          <w:highlight w:val="none"/>
        </w:rPr>
        <w:t>一、总则</w:t>
      </w:r>
    </w:p>
    <w:p>
      <w:pPr>
        <w:snapToGrid w:val="0"/>
        <w:spacing w:line="360" w:lineRule="auto"/>
        <w:ind w:firstLine="361" w:firstLineChars="150"/>
        <w:jc w:val="left"/>
        <w:outlineLvl w:val="1"/>
        <w:rPr>
          <w:rFonts w:ascii="仿宋" w:hAnsi="仿宋" w:eastAsia="仿宋"/>
          <w:b/>
          <w:color w:val="auto"/>
          <w:sz w:val="24"/>
          <w:highlight w:val="none"/>
        </w:rPr>
      </w:pPr>
      <w:r>
        <w:rPr>
          <w:rFonts w:ascii="仿宋" w:hAnsi="仿宋" w:eastAsia="仿宋"/>
          <w:b/>
          <w:color w:val="auto"/>
          <w:sz w:val="24"/>
          <w:highlight w:val="none"/>
        </w:rPr>
        <w:t xml:space="preserve">1. </w:t>
      </w:r>
      <w:r>
        <w:rPr>
          <w:rFonts w:hint="eastAsia" w:ascii="仿宋" w:hAnsi="仿宋" w:eastAsia="仿宋"/>
          <w:b/>
          <w:color w:val="auto"/>
          <w:sz w:val="24"/>
          <w:highlight w:val="none"/>
        </w:rPr>
        <w:t>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auto"/>
          <w:sz w:val="24"/>
          <w:highlight w:val="none"/>
        </w:rPr>
      </w:pPr>
      <w:r>
        <w:rPr>
          <w:rFonts w:ascii="仿宋" w:hAnsi="仿宋" w:eastAsia="仿宋" w:cs="仿宋_GB2312"/>
          <w:b/>
          <w:color w:val="auto"/>
          <w:sz w:val="24"/>
          <w:highlight w:val="none"/>
        </w:rPr>
        <w:t xml:space="preserve">   2.定义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 </w:t>
      </w:r>
      <w:r>
        <w:rPr>
          <w:rFonts w:hint="eastAsia" w:ascii="仿宋" w:hAnsi="仿宋" w:eastAsia="仿宋"/>
          <w:color w:val="auto"/>
          <w:sz w:val="24"/>
          <w:highlight w:val="none"/>
        </w:rPr>
        <w:t>“采购机构”系指招标公告中载明的本项目的采购机构。</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 </w:t>
      </w:r>
      <w:r>
        <w:rPr>
          <w:rFonts w:hint="eastAsia" w:ascii="仿宋" w:hAnsi="仿宋" w:eastAsia="仿宋"/>
          <w:color w:val="auto"/>
          <w:sz w:val="24"/>
          <w:highlight w:val="none"/>
        </w:rPr>
        <w:t>“▲”系指实质性要求条款，“★”系产品采购项目中单一产品或核心产品，“</w:t>
      </w:r>
      <w:sdt>
        <w:sdtPr>
          <w:rPr>
            <w:rFonts w:hint="eastAsia" w:ascii="仿宋" w:hAnsi="仿宋" w:eastAsia="仿宋" w:cs="Arial"/>
            <w:color w:val="auto"/>
            <w:kern w:val="0"/>
            <w:sz w:val="24"/>
            <w:highlight w:val="none"/>
          </w:rPr>
          <w:id w:val="512970236"/>
        </w:sdtPr>
        <w:sdtEndPr>
          <w:rPr>
            <w:rFonts w:hint="eastAsia" w:ascii="仿宋" w:hAnsi="仿宋" w:eastAsia="仿宋" w:cs="Arial"/>
            <w:color w:val="auto"/>
            <w:kern w:val="0"/>
            <w:sz w:val="24"/>
            <w:highlight w:val="none"/>
          </w:rPr>
        </w:sdtEndPr>
        <w:sdtContent>
          <w:sdt>
            <w:sdtPr>
              <w:rPr>
                <w:rFonts w:hint="eastAsia" w:ascii="仿宋" w:hAnsi="仿宋" w:eastAsia="仿宋" w:cs="Arial"/>
                <w:color w:val="auto"/>
                <w:kern w:val="0"/>
                <w:sz w:val="24"/>
                <w:highlight w:val="none"/>
              </w:rPr>
              <w:id w:val="169864768"/>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F0FE"/>
              </w:r>
            </w:sdtContent>
          </w:sdt>
        </w:sdtContent>
      </w:sdt>
      <w:r>
        <w:rPr>
          <w:rFonts w:hint="eastAsia" w:ascii="仿宋" w:hAnsi="仿宋" w:eastAsia="仿宋"/>
          <w:color w:val="auto"/>
          <w:sz w:val="24"/>
          <w:highlight w:val="none"/>
        </w:rPr>
        <w:t>”系指适用本项目的要求，“</w:t>
      </w:r>
      <w:sdt>
        <w:sdtPr>
          <w:rPr>
            <w:rFonts w:hint="eastAsia" w:ascii="仿宋" w:hAnsi="仿宋" w:eastAsia="仿宋" w:cs="Arial"/>
            <w:color w:val="auto"/>
            <w:kern w:val="0"/>
            <w:sz w:val="24"/>
            <w:highlight w:val="none"/>
          </w:rPr>
          <w:id w:val="404888855"/>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olor w:val="auto"/>
          <w:sz w:val="24"/>
          <w:highlight w:val="none"/>
        </w:rPr>
        <w:t>”系指不适用本项目的要求。</w:t>
      </w:r>
    </w:p>
    <w:p>
      <w:pPr>
        <w:spacing w:line="360" w:lineRule="auto"/>
        <w:ind w:firstLine="241" w:firstLineChars="100"/>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采购项目需要落实的政府采购政策</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w:t>
      </w:r>
    </w:p>
    <w:p>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3.2.2 </w:t>
      </w:r>
      <w:r>
        <w:rPr>
          <w:rFonts w:hint="eastAsia" w:ascii="仿宋" w:hAnsi="仿宋" w:eastAsia="仿宋"/>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3.3支持中小企业发展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olor w:val="auto"/>
          <w:sz w:val="24"/>
          <w:highlight w:val="none"/>
          <w:u w:val="single"/>
        </w:rPr>
        <w:t>2</w:t>
      </w:r>
      <w:r>
        <w:rPr>
          <w:rFonts w:ascii="仿宋" w:hAnsi="仿宋" w:eastAsia="仿宋"/>
          <w:color w:val="auto"/>
          <w:sz w:val="24"/>
          <w:highlight w:val="none"/>
          <w:u w:val="single"/>
        </w:rPr>
        <w:t>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color w:val="auto"/>
          <w:sz w:val="24"/>
          <w:highlight w:val="none"/>
          <w:u w:val="singl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采购人优先采购被认定</w:t>
      </w:r>
      <w:r>
        <w:rPr>
          <w:rFonts w:hint="eastAsia" w:ascii="仿宋" w:hAnsi="仿宋" w:eastAsia="仿宋"/>
          <w:color w:val="auto"/>
          <w:sz w:val="24"/>
          <w:highlight w:val="none"/>
        </w:rPr>
        <w:t>为首台套产品和“制造精品”的自主创新产品。</w:t>
      </w:r>
    </w:p>
    <w:p>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ascii="仿宋" w:hAnsi="仿宋" w:eastAsia="仿宋"/>
          <w:b/>
          <w:color w:val="auto"/>
          <w:sz w:val="24"/>
          <w:highlight w:val="none"/>
        </w:rPr>
      </w:pPr>
      <w:r>
        <w:rPr>
          <w:rFonts w:ascii="仿宋" w:hAnsi="仿宋" w:eastAsia="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r>
        <w:rPr>
          <w:rFonts w:ascii="仿宋" w:hAnsi="仿宋" w:eastAsia="仿宋"/>
          <w:b/>
          <w:color w:val="auto"/>
          <w:sz w:val="24"/>
          <w:highlight w:val="none"/>
        </w:rPr>
        <w:t xml:space="preserve">4. </w:t>
      </w:r>
      <w:r>
        <w:rPr>
          <w:rFonts w:hint="eastAsia" w:ascii="仿宋" w:hAnsi="仿宋" w:eastAsia="仿宋"/>
          <w:b/>
          <w:color w:val="auto"/>
          <w:sz w:val="24"/>
          <w:highlight w:val="none"/>
        </w:rPr>
        <w:t>询问、质疑、投诉</w:t>
      </w:r>
    </w:p>
    <w:p>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34"/>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仿宋" w:hAnsi="仿宋" w:eastAsia="仿宋"/>
          <w:snapToGrid/>
          <w:color w:val="auto"/>
          <w:kern w:val="2"/>
          <w:sz w:val="24"/>
          <w:highlight w:val="none"/>
        </w:rPr>
      </w:pPr>
      <w:r>
        <w:rPr>
          <w:rFonts w:ascii="仿宋" w:hAnsi="仿宋" w:eastAsia="仿宋"/>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34"/>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34"/>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34"/>
        <w:keepNext w:val="0"/>
        <w:keepLines w:val="0"/>
        <w:pageBreakBefore w:val="0"/>
        <w:kinsoku/>
        <w:wordWrap/>
        <w:overflowPunct/>
        <w:topLinePunct w:val="0"/>
        <w:autoSpaceDE/>
        <w:autoSpaceDN/>
        <w:bidi w:val="0"/>
        <w:spacing w:beforeAutospacing="0" w:line="360" w:lineRule="auto"/>
        <w:ind w:firstLine="480" w:firstLineChars="200"/>
        <w:textAlignment w:val="auto"/>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34"/>
        <w:keepNext w:val="0"/>
        <w:keepLines w:val="0"/>
        <w:pageBreakBefore w:val="0"/>
        <w:kinsoku/>
        <w:wordWrap/>
        <w:overflowPunct/>
        <w:topLinePunct w:val="0"/>
        <w:autoSpaceDE/>
        <w:autoSpaceDN/>
        <w:bidi w:val="0"/>
        <w:spacing w:beforeAutospacing="0" w:line="360" w:lineRule="auto"/>
        <w:ind w:firstLine="480" w:firstLineChars="200"/>
        <w:textAlignment w:val="auto"/>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34"/>
        <w:keepNext w:val="0"/>
        <w:keepLines w:val="0"/>
        <w:pageBreakBefore w:val="0"/>
        <w:kinsoku/>
        <w:wordWrap/>
        <w:overflowPunct/>
        <w:topLinePunct w:val="0"/>
        <w:autoSpaceDE/>
        <w:autoSpaceDN/>
        <w:bidi w:val="0"/>
        <w:spacing w:beforeAutospacing="0" w:line="360" w:lineRule="auto"/>
        <w:ind w:firstLine="960" w:firstLineChars="400"/>
        <w:textAlignment w:val="auto"/>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887"/>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887"/>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887"/>
        <w:widowControl w:val="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887"/>
        <w:widowControl w:val="0"/>
        <w:shd w:val="clear" w:color="auto" w:fill="FFFFFF"/>
        <w:snapToGrid w:val="0"/>
        <w:spacing w:after="240" w:afterAutospacing="0" w:line="360" w:lineRule="auto"/>
        <w:ind w:firstLine="240" w:firstLineChars="100"/>
        <w:contextualSpacing/>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887"/>
        <w:widowControl w:val="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4.3.1质疑供应商对采购人、采购机构的答复不满意或者采购人、采购机构未在规定的时间内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887"/>
        <w:widowControl w:val="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887"/>
        <w:widowControl w:val="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 xml:space="preserve">4.3.5 </w:t>
      </w:r>
      <w:r>
        <w:rPr>
          <w:rFonts w:hint="eastAsia" w:ascii="仿宋" w:hAnsi="仿宋" w:eastAsia="仿宋"/>
          <w:color w:val="auto"/>
          <w:highlight w:val="none"/>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adjustRightInd/>
        <w:spacing w:line="360" w:lineRule="auto"/>
        <w:jc w:val="center"/>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t>二、招标文件的构成、澄清、修改</w:t>
      </w: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5．招标文件的构成</w:t>
      </w:r>
    </w:p>
    <w:p>
      <w:pPr>
        <w:pStyle w:val="34"/>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5.1.2投标人须知；</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34"/>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6. </w:t>
      </w:r>
      <w:r>
        <w:rPr>
          <w:rFonts w:hint="eastAsia" w:ascii="仿宋" w:hAnsi="仿宋" w:eastAsia="仿宋" w:cs="仿宋_GB2312"/>
          <w:b/>
          <w:color w:val="auto"/>
          <w:sz w:val="24"/>
          <w:szCs w:val="24"/>
          <w:highlight w:val="none"/>
        </w:rPr>
        <w:t>招标文件的澄清、修改</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6.1已获取招标文件的潜在投标人，若有问题需要澄清，应于投标截止时间前，以书面形式向采购机构提出。</w:t>
      </w:r>
    </w:p>
    <w:p>
      <w:pPr>
        <w:pStyle w:val="130"/>
        <w:snapToGrid w:val="0"/>
        <w:spacing w:before="0"/>
        <w:ind w:firstLine="48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 w:hAnsi="仿宋" w:eastAsia="仿宋" w:cs="仿宋_GB2312"/>
          <w:color w:val="auto"/>
          <w:sz w:val="18"/>
          <w:szCs w:val="18"/>
          <w:highlight w:val="none"/>
          <w:lang w:val="en-US"/>
        </w:rPr>
      </w:pPr>
    </w:p>
    <w:p>
      <w:pPr>
        <w:adjustRightInd/>
        <w:spacing w:line="360" w:lineRule="auto"/>
        <w:jc w:val="center"/>
        <w:outlineLvl w:val="0"/>
        <w:rPr>
          <w:rFonts w:ascii="仿宋" w:hAnsi="仿宋" w:eastAsia="仿宋" w:cs="仿宋_GB2312"/>
          <w:b/>
          <w:color w:val="auto"/>
          <w:sz w:val="30"/>
          <w:szCs w:val="20"/>
          <w:highlight w:val="none"/>
        </w:rPr>
      </w:pPr>
      <w:r>
        <w:rPr>
          <w:rFonts w:hint="eastAsia" w:ascii="仿宋" w:hAnsi="仿宋" w:eastAsia="仿宋" w:cs="仿宋_GB2312"/>
          <w:b/>
          <w:color w:val="auto"/>
          <w:sz w:val="30"/>
          <w:szCs w:val="20"/>
          <w:highlight w:val="none"/>
        </w:rPr>
        <w:t>三、投标</w:t>
      </w: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7. </w:t>
      </w:r>
      <w:r>
        <w:rPr>
          <w:rFonts w:hint="eastAsia" w:ascii="仿宋" w:hAnsi="仿宋" w:eastAsia="仿宋" w:cs="仿宋_GB2312"/>
          <w:b/>
          <w:color w:val="auto"/>
          <w:sz w:val="24"/>
          <w:szCs w:val="24"/>
          <w:highlight w:val="none"/>
        </w:rPr>
        <w:t>招标文件的获取</w:t>
      </w:r>
    </w:p>
    <w:p>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8.开标前答疑会或现场考察</w:t>
      </w:r>
    </w:p>
    <w:p>
      <w:pPr>
        <w:pStyle w:val="34"/>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_GB2312"/>
          <w:b/>
          <w:color w:val="auto"/>
          <w:szCs w:val="24"/>
          <w:highlight w:val="none"/>
        </w:rPr>
      </w:pPr>
      <w:r>
        <w:rPr>
          <w:rFonts w:ascii="仿宋" w:hAnsi="仿宋" w:eastAsia="仿宋"/>
          <w:b/>
          <w:color w:val="auto"/>
          <w:kern w:val="28"/>
          <w:sz w:val="24"/>
          <w:szCs w:val="24"/>
          <w:highlight w:val="none"/>
        </w:rPr>
        <w:t>9.投标保证金</w:t>
      </w:r>
    </w:p>
    <w:p>
      <w:pPr>
        <w:pStyle w:val="18"/>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10. </w:t>
      </w:r>
      <w:r>
        <w:rPr>
          <w:rFonts w:hint="eastAsia" w:ascii="仿宋" w:hAnsi="仿宋" w:eastAsia="仿宋" w:cs="仿宋_GB2312"/>
          <w:b/>
          <w:color w:val="auto"/>
          <w:sz w:val="24"/>
          <w:szCs w:val="24"/>
          <w:highlight w:val="none"/>
        </w:rPr>
        <w:t>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11. </w:t>
      </w:r>
      <w:r>
        <w:rPr>
          <w:rFonts w:hint="eastAsia" w:ascii="仿宋" w:hAnsi="仿宋" w:eastAsia="仿宋" w:cs="仿宋_GB2312"/>
          <w:b/>
          <w:color w:val="auto"/>
          <w:sz w:val="24"/>
          <w:szCs w:val="24"/>
          <w:highlight w:val="none"/>
        </w:rPr>
        <w:t>投标文件的组成</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符合参加政府采购活动应当具备的一般条件的承诺函；</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11.1.2落实政府采购政策需满足的资格要求；</w:t>
      </w:r>
    </w:p>
    <w:p>
      <w:pPr>
        <w:snapToGrid w:val="0"/>
        <w:spacing w:line="360" w:lineRule="auto"/>
        <w:ind w:firstLine="482" w:firstLineChars="200"/>
        <w:rPr>
          <w:rFonts w:ascii="仿宋" w:hAnsi="仿宋" w:eastAsia="仿宋" w:cs="仿宋_GB2312"/>
          <w:b/>
          <w:bCs/>
          <w:color w:val="auto"/>
          <w:sz w:val="24"/>
          <w:highlight w:val="none"/>
          <w:lang w:val="zh-CN"/>
        </w:rPr>
      </w:pPr>
      <w:r>
        <w:rPr>
          <w:rFonts w:ascii="仿宋" w:hAnsi="仿宋" w:eastAsia="仿宋" w:cs="仿宋_GB2312"/>
          <w:b/>
          <w:bCs/>
          <w:color w:val="auto"/>
          <w:sz w:val="24"/>
          <w:highlight w:val="none"/>
          <w:lang w:val="zh-CN"/>
        </w:rPr>
        <w:t>11.</w:t>
      </w:r>
      <w:r>
        <w:rPr>
          <w:rFonts w:ascii="仿宋" w:hAnsi="仿宋" w:eastAsia="仿宋" w:cs="仿宋_GB2312"/>
          <w:b/>
          <w:bCs/>
          <w:color w:val="auto"/>
          <w:sz w:val="24"/>
          <w:highlight w:val="none"/>
        </w:rPr>
        <w:t>2</w:t>
      </w:r>
      <w:r>
        <w:rPr>
          <w:rFonts w:hint="eastAsia" w:ascii="仿宋" w:hAnsi="仿宋" w:eastAsia="仿宋" w:cs="仿宋_GB2312"/>
          <w:b/>
          <w:bCs/>
          <w:color w:val="auto"/>
          <w:sz w:val="24"/>
          <w:highlight w:val="none"/>
        </w:rPr>
        <w:t>商务技术</w:t>
      </w:r>
      <w:r>
        <w:rPr>
          <w:rFonts w:hint="eastAsia" w:ascii="仿宋" w:hAnsi="仿宋" w:eastAsia="仿宋" w:cs="仿宋_GB2312"/>
          <w:b/>
          <w:bCs/>
          <w:color w:val="auto"/>
          <w:sz w:val="24"/>
          <w:highlight w:val="none"/>
          <w:lang w:val="zh-CN"/>
        </w:rPr>
        <w:t>文件：</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11.2.3联合协议</w:t>
      </w:r>
      <w:r>
        <w:rPr>
          <w:rFonts w:hint="eastAsia" w:ascii="仿宋" w:hAnsi="仿宋" w:eastAsia="仿宋" w:cs="仿宋_GB2312"/>
          <w:color w:val="auto"/>
          <w:sz w:val="24"/>
          <w:highlight w:val="none"/>
        </w:rPr>
        <w:t>（如果有）</w:t>
      </w:r>
      <w:r>
        <w:rPr>
          <w:rFonts w:ascii="仿宋" w:hAnsi="仿宋" w:eastAsia="仿宋" w:cs="仿宋_GB2312"/>
          <w:color w:val="auto"/>
          <w:sz w:val="24"/>
          <w:highlight w:val="none"/>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11.2.4分包意向协议</w:t>
      </w:r>
      <w:r>
        <w:rPr>
          <w:rFonts w:hint="eastAsia" w:ascii="仿宋" w:hAnsi="仿宋" w:eastAsia="仿宋" w:cs="仿宋_GB2312"/>
          <w:color w:val="auto"/>
          <w:sz w:val="24"/>
          <w:highlight w:val="none"/>
        </w:rPr>
        <w:t>（如果有）</w:t>
      </w:r>
      <w:r>
        <w:rPr>
          <w:rFonts w:ascii="仿宋" w:hAnsi="仿宋" w:eastAsia="仿宋" w:cs="仿宋_GB2312"/>
          <w:color w:val="auto"/>
          <w:sz w:val="24"/>
          <w:highlight w:val="none"/>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11.2.5符合性审查资料；</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11.2.6评标标准相应的商务技术资料；</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11.2.7商务技术偏离表；</w:t>
      </w:r>
    </w:p>
    <w:p>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pPr>
        <w:snapToGrid w:val="0"/>
        <w:spacing w:line="360" w:lineRule="auto"/>
        <w:ind w:firstLine="482" w:firstLineChars="200"/>
        <w:rPr>
          <w:rFonts w:ascii="仿宋" w:hAnsi="仿宋" w:eastAsia="仿宋" w:cs="仿宋_GB2312"/>
          <w:color w:val="auto"/>
          <w:sz w:val="24"/>
          <w:highlight w:val="none"/>
          <w:u w:val="single"/>
          <w:lang w:val="zh-CN"/>
        </w:rPr>
      </w:pPr>
      <w:r>
        <w:rPr>
          <w:rFonts w:ascii="仿宋" w:hAnsi="仿宋" w:eastAsia="仿宋" w:cs="仿宋_GB2312"/>
          <w:b/>
          <w:bCs/>
          <w:color w:val="auto"/>
          <w:kern w:val="0"/>
          <w:sz w:val="24"/>
          <w:highlight w:val="none"/>
          <w:lang w:val="zh-CN"/>
        </w:rPr>
        <w:t>11.</w:t>
      </w:r>
      <w:r>
        <w:rPr>
          <w:rFonts w:ascii="仿宋" w:hAnsi="仿宋" w:eastAsia="仿宋" w:cs="仿宋_GB2312"/>
          <w:b/>
          <w:bCs/>
          <w:color w:val="auto"/>
          <w:kern w:val="0"/>
          <w:sz w:val="24"/>
          <w:highlight w:val="none"/>
        </w:rPr>
        <w:t>3</w:t>
      </w:r>
      <w:r>
        <w:rPr>
          <w:rFonts w:hint="eastAsia" w:ascii="仿宋" w:hAnsi="仿宋" w:eastAsia="仿宋" w:cs="仿宋_GB2312"/>
          <w:b/>
          <w:color w:val="auto"/>
          <w:sz w:val="24"/>
          <w:highlight w:val="none"/>
        </w:rPr>
        <w:t>报价文件：</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11.3.2中小企业声明函</w:t>
      </w:r>
      <w:r>
        <w:rPr>
          <w:rFonts w:hint="eastAsia" w:ascii="仿宋" w:hAnsi="仿宋" w:eastAsia="仿宋" w:cs="仿宋_GB2312"/>
          <w:color w:val="auto"/>
          <w:sz w:val="24"/>
          <w:highlight w:val="none"/>
        </w:rPr>
        <w:t>；</w:t>
      </w:r>
    </w:p>
    <w:p>
      <w:pPr>
        <w:spacing w:line="360" w:lineRule="auto"/>
        <w:ind w:firstLine="723" w:firstLineChars="300"/>
        <w:rPr>
          <w:rFonts w:ascii="仿宋" w:hAnsi="仿宋" w:eastAsia="仿宋"/>
          <w:b/>
          <w:color w:val="auto"/>
          <w:sz w:val="24"/>
          <w:highlight w:val="none"/>
        </w:rPr>
      </w:pPr>
      <w:r>
        <w:rPr>
          <w:rFonts w:hint="eastAsia" w:ascii="仿宋" w:hAnsi="仿宋" w:eastAsia="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_GB2312"/>
          <w:b/>
          <w:color w:val="auto"/>
          <w:sz w:val="24"/>
          <w:szCs w:val="21"/>
          <w:highlight w:val="none"/>
        </w:rPr>
      </w:pPr>
      <w:r>
        <w:rPr>
          <w:rFonts w:hint="eastAsia" w:ascii="仿宋" w:hAnsi="仿宋" w:eastAsia="仿宋"/>
          <w:b/>
          <w:color w:val="auto"/>
          <w:sz w:val="24"/>
          <w:highlight w:val="none"/>
        </w:rPr>
        <w:t>投标人提供虚假材料投标的，投标无效。</w:t>
      </w:r>
    </w:p>
    <w:p>
      <w:pPr>
        <w:pStyle w:val="130"/>
        <w:snapToGrid w:val="0"/>
        <w:spacing w:before="0"/>
        <w:ind w:firstLine="0" w:firstLineChars="0"/>
        <w:outlineLvl w:val="0"/>
        <w:rPr>
          <w:rFonts w:ascii="仿宋" w:hAnsi="仿宋" w:eastAsia="仿宋" w:cs="仿宋_GB2312"/>
          <w:b/>
          <w:color w:val="auto"/>
          <w:szCs w:val="24"/>
          <w:highlight w:val="none"/>
        </w:rPr>
      </w:pPr>
      <w:r>
        <w:rPr>
          <w:rFonts w:ascii="仿宋" w:hAnsi="仿宋" w:eastAsia="仿宋" w:cs="仿宋_GB2312"/>
          <w:b/>
          <w:color w:val="auto"/>
          <w:szCs w:val="24"/>
          <w:highlight w:val="none"/>
        </w:rPr>
        <w:t>12</w:t>
      </w:r>
      <w:r>
        <w:rPr>
          <w:rFonts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12.2投标人进行电子投标应安装客户端软件—“政</w:t>
      </w:r>
      <w:r>
        <w:rPr>
          <w:rFonts w:hint="eastAsia" w:ascii="仿宋" w:hAnsi="仿宋" w:eastAsia="仿宋"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13.投标文件的签署、盖章</w:t>
      </w:r>
    </w:p>
    <w:p>
      <w:pPr>
        <w:pStyle w:val="130"/>
        <w:snapToGrid w:val="0"/>
        <w:spacing w:before="0"/>
        <w:ind w:firstLine="480"/>
        <w:rPr>
          <w:rFonts w:ascii="仿宋" w:hAnsi="仿宋" w:eastAsia="仿宋" w:cs="仿宋_GB2312"/>
          <w:b/>
          <w:color w:val="auto"/>
          <w:highlight w:val="none"/>
        </w:rPr>
      </w:pPr>
      <w:r>
        <w:rPr>
          <w:rFonts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_GB2312"/>
          <w:color w:val="auto"/>
          <w:szCs w:val="24"/>
          <w:highlight w:val="none"/>
        </w:rPr>
      </w:pPr>
      <w:r>
        <w:rPr>
          <w:rFonts w:ascii="仿宋" w:hAnsi="仿宋" w:eastAsia="仿宋" w:cs="仿宋_GB2312"/>
          <w:color w:val="auto"/>
          <w:highlight w:val="none"/>
        </w:rPr>
        <w:t>13.3招标文件对投标文件签署、盖章的要求适用于电子签名。</w:t>
      </w:r>
    </w:p>
    <w:p>
      <w:pPr>
        <w:pStyle w:val="13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14. </w:t>
      </w:r>
      <w:r>
        <w:rPr>
          <w:rFonts w:hint="eastAsia" w:ascii="仿宋" w:hAnsi="仿宋" w:eastAsia="仿宋" w:cs="仿宋_GB2312"/>
          <w:b/>
          <w:color w:val="auto"/>
          <w:szCs w:val="24"/>
          <w:highlight w:val="none"/>
        </w:rPr>
        <w:t>投标文件的提交、补充、修改、撤回</w:t>
      </w:r>
    </w:p>
    <w:p>
      <w:pPr>
        <w:pStyle w:val="13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15.备份投标文件</w:t>
      </w:r>
    </w:p>
    <w:p>
      <w:pPr>
        <w:pStyle w:val="34"/>
        <w:spacing w:line="360" w:lineRule="auto"/>
        <w:ind w:firstLine="360" w:firstLineChars="15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但采购人、采购机构不强制或变相强制投标人提交备份投标文件。</w:t>
      </w:r>
    </w:p>
    <w:p>
      <w:pPr>
        <w:pStyle w:val="34"/>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ascii="仿宋" w:hAnsi="仿宋" w:eastAsia="仿宋"/>
          <w:color w:val="auto"/>
          <w:sz w:val="24"/>
          <w:highlight w:val="none"/>
        </w:rPr>
        <w:t>DVD光盘</w:t>
      </w:r>
      <w:r>
        <w:rPr>
          <w:rFonts w:hint="eastAsia" w:ascii="仿宋" w:hAnsi="仿宋" w:eastAsia="仿宋"/>
          <w:color w:val="auto"/>
          <w:sz w:val="24"/>
          <w:highlight w:val="none"/>
        </w:rPr>
        <w:t>或U盘</w:t>
      </w:r>
      <w:r>
        <w:rPr>
          <w:rFonts w:hint="eastAsia" w:ascii="仿宋" w:hAnsi="仿宋" w:eastAsia="仿宋" w:cs="仿宋_GB2312"/>
          <w:color w:val="auto"/>
          <w:sz w:val="24"/>
          <w:szCs w:val="24"/>
          <w:highlight w:val="none"/>
        </w:rPr>
        <w:t>中。备份投标文件应当密封包装并在包装上加盖公章并注明投标项目名称，投标人名称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color w:val="auto"/>
          <w:sz w:val="24"/>
          <w:szCs w:val="24"/>
          <w:highlight w:val="none"/>
        </w:rPr>
        <w:t>招标文件第二部分投标人须知前附表规定的备份投标文件送达地点；</w:t>
      </w:r>
      <w:r>
        <w:rPr>
          <w:rFonts w:hint="eastAsia" w:ascii="仿宋" w:hAnsi="仿宋" w:eastAsia="仿宋"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15.5投标人仅提交备份投标文件，没有在电子交易平台传输递交投标文件的，投标无效。</w:t>
      </w:r>
    </w:p>
    <w:p>
      <w:pPr>
        <w:pStyle w:val="13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16.投标文件的无效处理</w:t>
      </w:r>
    </w:p>
    <w:p>
      <w:pPr>
        <w:pStyle w:val="6"/>
        <w:spacing w:line="360" w:lineRule="auto"/>
        <w:ind w:firstLine="360"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w:t>
      </w:r>
      <w:r>
        <w:rPr>
          <w:rFonts w:ascii="仿宋" w:hAnsi="仿宋" w:eastAsia="仿宋"/>
          <w:color w:val="auto"/>
          <w:highlight w:val="none"/>
        </w:rPr>
        <w:t>13项规定</w:t>
      </w:r>
      <w:r>
        <w:rPr>
          <w:rFonts w:hint="eastAsia" w:ascii="仿宋" w:hAnsi="仿宋" w:eastAsia="仿宋" w:cs="仿宋_GB2312"/>
          <w:color w:val="auto"/>
          <w:szCs w:val="21"/>
          <w:highlight w:val="none"/>
        </w:rPr>
        <w:t>的情形之一的，投标无效：</w:t>
      </w:r>
    </w:p>
    <w:p>
      <w:pPr>
        <w:pStyle w:val="13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b/>
          <w:color w:val="auto"/>
          <w:sz w:val="24"/>
          <w:szCs w:val="21"/>
          <w:highlight w:val="none"/>
        </w:rPr>
      </w:pPr>
      <w:r>
        <w:rPr>
          <w:rFonts w:ascii="仿宋" w:hAnsi="仿宋" w:eastAsia="仿宋" w:cs="仿宋_GB2312"/>
          <w:color w:val="auto"/>
          <w:sz w:val="24"/>
          <w:szCs w:val="20"/>
          <w:highlight w:val="none"/>
        </w:rPr>
        <w:t>17.1投标有效期为从提交投标文件的截止之日起90天。▲</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130"/>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30"/>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仿宋" w:hAnsi="仿宋" w:eastAsia="仿宋" w:cs="仿宋_GB2312"/>
          <w:b/>
          <w:color w:val="auto"/>
          <w:sz w:val="32"/>
          <w:highlight w:val="none"/>
        </w:rPr>
      </w:pPr>
    </w:p>
    <w:p>
      <w:pPr>
        <w:pStyle w:val="130"/>
        <w:spacing w:before="0"/>
        <w:ind w:firstLine="1928" w:firstLineChars="600"/>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pPr>
        <w:pStyle w:val="556"/>
        <w:keepNext w:val="0"/>
        <w:keepLines w:val="0"/>
        <w:pageBreakBefore w:val="0"/>
        <w:kinsoku/>
        <w:wordWrap/>
        <w:overflowPunct/>
        <w:topLinePunct w:val="0"/>
        <w:bidi w:val="0"/>
        <w:adjustRightInd w:val="0"/>
        <w:spacing w:before="0" w:beforeAutospacing="0" w:line="360" w:lineRule="auto"/>
        <w:ind w:left="0" w:firstLine="241" w:firstLineChars="100"/>
        <w:contextualSpacing/>
        <w:textAlignment w:val="auto"/>
        <w:rPr>
          <w:rFonts w:ascii="仿宋" w:hAnsi="仿宋" w:eastAsia="仿宋"/>
          <w:color w:val="auto"/>
          <w:sz w:val="24"/>
          <w:highlight w:val="none"/>
        </w:rPr>
      </w:pPr>
      <w:r>
        <w:rPr>
          <w:rFonts w:ascii="仿宋" w:hAnsi="仿宋" w:eastAsia="仿宋" w:cs="仿宋_GB2312"/>
          <w:b/>
          <w:color w:val="auto"/>
          <w:sz w:val="24"/>
          <w:szCs w:val="24"/>
          <w:highlight w:val="none"/>
        </w:rPr>
        <w:t>18.开标</w:t>
      </w:r>
    </w:p>
    <w:p>
      <w:pPr>
        <w:pStyle w:val="556"/>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仿宋" w:hAnsi="仿宋" w:eastAsia="仿宋" w:cs="仿宋_GB2312"/>
          <w:color w:val="auto"/>
          <w:sz w:val="24"/>
          <w:highlight w:val="none"/>
        </w:rPr>
      </w:pPr>
      <w:r>
        <w:rPr>
          <w:rFonts w:ascii="仿宋" w:hAnsi="仿宋" w:eastAsia="仿宋" w:cs="仿宋_GB2312"/>
          <w:color w:val="auto"/>
          <w:sz w:val="24"/>
          <w:highlight w:val="none"/>
        </w:rPr>
        <w:t>18.1采购机构按照招标文件规定的时间通过电子交易平台组织开标，所有投标人均应当准时在线参加。投标人不足3家的，不得开标。</w:t>
      </w:r>
    </w:p>
    <w:p>
      <w:pPr>
        <w:pStyle w:val="556"/>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　</w:t>
      </w:r>
      <w:r>
        <w:rPr>
          <w:rFonts w:ascii="仿宋" w:hAnsi="仿宋" w:eastAsia="仿宋"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6"/>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ascii="仿宋" w:hAnsi="仿宋" w:eastAsia="仿宋" w:cs="仿宋_GB2312"/>
          <w:b/>
          <w:color w:val="auto"/>
          <w:sz w:val="24"/>
          <w:highlight w:val="none"/>
        </w:rPr>
      </w:pPr>
      <w:r>
        <w:rPr>
          <w:rFonts w:hint="eastAsia" w:ascii="仿宋" w:hAnsi="仿宋" w:eastAsia="仿宋" w:cs="仿宋_GB2312"/>
          <w:color w:val="auto"/>
          <w:sz w:val="24"/>
          <w:highlight w:val="none"/>
        </w:rPr>
        <w:t>　</w:t>
      </w: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Autospacing="0" w:line="360" w:lineRule="auto"/>
        <w:jc w:val="left"/>
        <w:textAlignment w:val="auto"/>
        <w:rPr>
          <w:rFonts w:ascii="仿宋" w:hAnsi="仿宋" w:eastAsia="仿宋" w:cs="仿宋_GB2312"/>
          <w:b/>
          <w:color w:val="auto"/>
          <w:sz w:val="24"/>
          <w:szCs w:val="20"/>
          <w:highlight w:val="none"/>
        </w:rPr>
      </w:pPr>
      <w:r>
        <w:rPr>
          <w:rFonts w:hint="eastAsia" w:ascii="仿宋" w:hAnsi="仿宋" w:eastAsia="仿宋" w:cs="仿宋_GB2312"/>
          <w:b/>
          <w:color w:val="auto"/>
          <w:sz w:val="24"/>
          <w:szCs w:val="20"/>
          <w:highlight w:val="none"/>
        </w:rPr>
        <w:t>　</w:t>
      </w:r>
      <w:r>
        <w:rPr>
          <w:rFonts w:ascii="仿宋" w:hAnsi="仿宋" w:eastAsia="仿宋" w:cs="仿宋_GB2312"/>
          <w:b/>
          <w:color w:val="auto"/>
          <w:sz w:val="24"/>
          <w:szCs w:val="20"/>
          <w:highlight w:val="none"/>
        </w:rPr>
        <w:t>19、资格审查</w:t>
      </w:r>
    </w:p>
    <w:p>
      <w:pPr>
        <w:pStyle w:val="130"/>
        <w:keepNext w:val="0"/>
        <w:keepLines w:val="0"/>
        <w:pageBreakBefore w:val="0"/>
        <w:kinsoku/>
        <w:wordWrap/>
        <w:overflowPunct/>
        <w:topLinePunct w:val="0"/>
        <w:bidi w:val="0"/>
        <w:adjustRightInd w:val="0"/>
        <w:spacing w:before="0" w:beforeAutospacing="0"/>
        <w:ind w:firstLine="480"/>
        <w:textAlignment w:val="auto"/>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19.1开标后，采购人或采购机构将依法对投标人的资格进行审查。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采购人或采购机构依据法律法规和招标文件的规定，对投标人的基本资格条件、特定资格条件进行审查。</w:t>
      </w:r>
    </w:p>
    <w:p>
      <w:pPr>
        <w:pStyle w:val="130"/>
        <w:keepNext w:val="0"/>
        <w:keepLines w:val="0"/>
        <w:pageBreakBefore w:val="0"/>
        <w:kinsoku/>
        <w:wordWrap/>
        <w:overflowPunct/>
        <w:topLinePunct w:val="0"/>
        <w:bidi w:val="0"/>
        <w:adjustRightInd w:val="0"/>
        <w:spacing w:before="0" w:beforeAutospacing="0"/>
        <w:ind w:firstLine="480"/>
        <w:textAlignment w:val="auto"/>
        <w:rPr>
          <w:rFonts w:ascii="仿宋" w:hAnsi="仿宋" w:eastAsia="仿宋" w:cs="仿宋_GB2312"/>
          <w:color w:val="auto"/>
          <w:highlight w:val="none"/>
        </w:rPr>
      </w:pPr>
      <w:r>
        <w:rPr>
          <w:rFonts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130"/>
        <w:keepNext w:val="0"/>
        <w:keepLines w:val="0"/>
        <w:pageBreakBefore w:val="0"/>
        <w:kinsoku/>
        <w:wordWrap/>
        <w:overflowPunct/>
        <w:topLinePunct w:val="0"/>
        <w:bidi w:val="0"/>
        <w:adjustRightInd w:val="0"/>
        <w:spacing w:before="0" w:beforeAutospacing="0"/>
        <w:ind w:firstLine="480"/>
        <w:textAlignment w:val="auto"/>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4对未通过资格审查的投标人，采购人或采购机构告知其未通过的原因。</w:t>
      </w:r>
    </w:p>
    <w:p>
      <w:pPr>
        <w:pStyle w:val="130"/>
        <w:keepNext w:val="0"/>
        <w:keepLines w:val="0"/>
        <w:pageBreakBefore w:val="0"/>
        <w:kinsoku/>
        <w:wordWrap/>
        <w:overflowPunct/>
        <w:topLinePunct w:val="0"/>
        <w:bidi w:val="0"/>
        <w:adjustRightInd w:val="0"/>
        <w:spacing w:before="0" w:beforeAutospacing="0"/>
        <w:ind w:firstLine="480"/>
        <w:textAlignment w:val="auto"/>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5合格投标人不足3家的，不再评标。</w:t>
      </w:r>
    </w:p>
    <w:p>
      <w:pPr>
        <w:pStyle w:val="130"/>
        <w:keepNext w:val="0"/>
        <w:keepLines w:val="0"/>
        <w:pageBreakBefore w:val="0"/>
        <w:kinsoku/>
        <w:wordWrap/>
        <w:overflowPunct/>
        <w:topLinePunct w:val="0"/>
        <w:bidi w:val="0"/>
        <w:adjustRightInd w:val="0"/>
        <w:spacing w:before="0" w:beforeAutospacing="0"/>
        <w:ind w:firstLine="0" w:firstLineChars="0"/>
        <w:textAlignment w:val="auto"/>
        <w:rPr>
          <w:rFonts w:ascii="仿宋" w:hAnsi="仿宋" w:eastAsia="仿宋" w:cs="仿宋_GB2312"/>
          <w:b/>
          <w:color w:val="auto"/>
          <w:szCs w:val="24"/>
          <w:highlight w:val="none"/>
        </w:rPr>
      </w:pPr>
      <w:r>
        <w:rPr>
          <w:rFonts w:ascii="仿宋" w:hAnsi="仿宋" w:eastAsia="仿宋" w:cs="仿宋_GB2312"/>
          <w:b/>
          <w:color w:val="auto"/>
          <w:szCs w:val="24"/>
          <w:highlight w:val="none"/>
        </w:rPr>
        <w:t>20、信用信息查询</w:t>
      </w:r>
    </w:p>
    <w:p>
      <w:pPr>
        <w:pStyle w:val="130"/>
        <w:keepNext w:val="0"/>
        <w:keepLines w:val="0"/>
        <w:pageBreakBefore w:val="0"/>
        <w:kinsoku/>
        <w:wordWrap/>
        <w:overflowPunct/>
        <w:topLinePunct w:val="0"/>
        <w:bidi w:val="0"/>
        <w:adjustRightInd w:val="0"/>
        <w:spacing w:before="0" w:beforeAutospacing="0"/>
        <w:ind w:firstLine="495" w:firstLineChars="0"/>
        <w:textAlignment w:val="auto"/>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pPr>
        <w:pStyle w:val="130"/>
        <w:spacing w:before="0"/>
        <w:ind w:firstLine="0" w:firstLineChars="0"/>
        <w:rPr>
          <w:rFonts w:ascii="仿宋" w:hAnsi="仿宋" w:eastAsia="仿宋" w:cs="Arial"/>
          <w:color w:val="auto"/>
          <w:kern w:val="0"/>
          <w:szCs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pPr>
        <w:spacing w:line="360" w:lineRule="auto"/>
        <w:rPr>
          <w:rFonts w:ascii="仿宋" w:hAnsi="仿宋" w:eastAsia="仿宋" w:cs="仿宋_GB2312"/>
          <w:b/>
          <w:color w:val="auto"/>
          <w:sz w:val="24"/>
          <w:highlight w:val="none"/>
        </w:rPr>
      </w:pPr>
      <w:bookmarkStart w:id="13" w:name="_Toc91899903"/>
      <w:r>
        <w:rPr>
          <w:rFonts w:ascii="仿宋" w:hAnsi="仿宋" w:eastAsia="仿宋" w:cs="仿宋_GB2312"/>
          <w:b/>
          <w:color w:val="auto"/>
          <w:sz w:val="24"/>
          <w:highlight w:val="none"/>
        </w:rPr>
        <w:t>21.</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详见招标文件第四部分评标办法。</w:t>
      </w:r>
    </w:p>
    <w:p>
      <w:pPr>
        <w:snapToGrid w:val="0"/>
        <w:spacing w:line="360" w:lineRule="auto"/>
        <w:jc w:val="center"/>
        <w:outlineLvl w:val="0"/>
        <w:rPr>
          <w:rFonts w:ascii="仿宋" w:hAnsi="仿宋" w:eastAsia="仿宋" w:cs="仿宋_GB2312"/>
          <w:b/>
          <w:color w:val="auto"/>
          <w:sz w:val="36"/>
          <w:szCs w:val="36"/>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六、定标</w:t>
      </w:r>
    </w:p>
    <w:p>
      <w:pPr>
        <w:pStyle w:val="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30"/>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采购人将自收到评审报告之日起2</w:t>
      </w:r>
      <w:r>
        <w:rPr>
          <w:rFonts w:ascii="仿宋" w:hAnsi="仿宋" w:eastAsia="仿宋" w:cs="仿宋_GB2312"/>
          <w:color w:val="auto"/>
          <w:szCs w:val="24"/>
          <w:highlight w:val="none"/>
        </w:rPr>
        <w:t>个工作日内通过电子交易平台在评审报告推荐的中标候选人中按顺序确定中标供应商。</w:t>
      </w:r>
    </w:p>
    <w:p>
      <w:pPr>
        <w:pStyle w:val="130"/>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23.1自中标人确定之日起2个工作日内，采购机构通过电子交易平台向中标人发出中标通知书，</w:t>
      </w:r>
      <w:r>
        <w:rPr>
          <w:rFonts w:hint="eastAsia" w:ascii="仿宋" w:hAnsi="仿宋" w:eastAsia="仿宋"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_GB2312"/>
          <w:b/>
          <w:color w:val="auto"/>
          <w:sz w:val="32"/>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pacing w:line="360" w:lineRule="auto"/>
        <w:ind w:firstLine="480"/>
        <w:jc w:val="left"/>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w:t>
      </w:r>
      <w:r>
        <w:rPr>
          <w:rFonts w:hint="eastAsia" w:ascii="仿宋" w:hAnsi="仿宋" w:eastAsia="仿宋" w:cs="Arial"/>
          <w:color w:val="auto"/>
          <w:kern w:val="0"/>
          <w:sz w:val="24"/>
          <w:highlight w:val="none"/>
        </w:rPr>
        <w:t>十个工作日</w:t>
      </w:r>
      <w:r>
        <w:rPr>
          <w:rFonts w:ascii="仿宋" w:hAnsi="仿宋" w:eastAsia="仿宋" w:cs="Arial"/>
          <w:color w:val="auto"/>
          <w:kern w:val="0"/>
          <w:sz w:val="24"/>
          <w:highlight w:val="none"/>
        </w:rPr>
        <w:t>内，按照招标文件确定的事项签订政府采购合同，并在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130"/>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25.4中标供应</w:t>
      </w:r>
      <w:r>
        <w:rPr>
          <w:rFonts w:hint="eastAsia" w:ascii="仿宋" w:hAnsi="仿宋" w:eastAsia="仿宋"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_GB2312"/>
          <w:color w:val="auto"/>
          <w:highlight w:val="none"/>
        </w:rPr>
      </w:pPr>
      <w:r>
        <w:rPr>
          <w:rFonts w:ascii="仿宋" w:hAnsi="仿宋" w:eastAsia="仿宋" w:cs="仿宋_GB2312"/>
          <w:color w:val="auto"/>
          <w:highlight w:val="none"/>
        </w:rPr>
        <w:t>25.5采购合同由采购人与中标供应商根据</w:t>
      </w:r>
      <w:r>
        <w:rPr>
          <w:rFonts w:hint="eastAsia" w:ascii="仿宋" w:hAnsi="仿宋" w:eastAsia="仿宋" w:cs="仿宋_GB2312"/>
          <w:color w:val="auto"/>
          <w:highlight w:val="none"/>
        </w:rPr>
        <w:t>招标文件、投标文件等内容通过政府采购电子交易平台在线签订，自动备案。</w:t>
      </w:r>
    </w:p>
    <w:p>
      <w:pPr>
        <w:pStyle w:val="6"/>
        <w:spacing w:line="360" w:lineRule="auto"/>
        <w:ind w:left="479" w:hanging="479" w:hangingChars="199"/>
        <w:rPr>
          <w:rFonts w:hint="eastAsia" w:ascii="仿宋" w:hAnsi="仿宋" w:eastAsia="仿宋" w:cs="仿宋_GB2312"/>
          <w:b/>
          <w:color w:val="auto"/>
          <w:highlight w:val="none"/>
          <w:lang w:eastAsia="zh-CN"/>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pacing w:line="360" w:lineRule="auto"/>
        <w:ind w:firstLine="482"/>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lang w:val="en-US" w:eastAsia="zh-CN"/>
        </w:rPr>
        <w:t>本项目</w:t>
      </w:r>
      <w:r>
        <w:rPr>
          <w:rFonts w:hint="eastAsia" w:ascii="仿宋_GB2312" w:hAnsi="仿宋" w:eastAsia="仿宋_GB2312" w:cs="仿宋_GB2312"/>
          <w:color w:val="auto"/>
          <w:sz w:val="24"/>
          <w:szCs w:val="20"/>
          <w:highlight w:val="none"/>
        </w:rPr>
        <w:t>收取合同金额的1%作为履约保证金。履约保证金可以以银行、保险公司出具的保函形式提供。杭州市政府采购网公布的供应商履约评价为满分的供应商，免收履约保证金。</w:t>
      </w:r>
    </w:p>
    <w:p>
      <w:pPr>
        <w:tabs>
          <w:tab w:val="left" w:pos="0"/>
        </w:tabs>
        <w:spacing w:line="360" w:lineRule="auto"/>
        <w:ind w:firstLine="482"/>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w:t>
      </w:r>
      <w:r>
        <w:rPr>
          <w:rFonts w:hint="eastAsia" w:ascii="仿宋_GB2312" w:hAnsi="仿宋" w:eastAsia="仿宋_GB2312" w:cs="仿宋_GB2312"/>
          <w:color w:val="auto"/>
          <w:sz w:val="24"/>
          <w:szCs w:val="20"/>
          <w:highlight w:val="none"/>
          <w:lang w:val="en-US"/>
        </w:rPr>
        <w:t>可</w:t>
      </w:r>
      <w:r>
        <w:rPr>
          <w:rFonts w:hint="eastAsia" w:ascii="仿宋_GB2312" w:hAnsi="仿宋" w:eastAsia="仿宋_GB2312" w:cs="仿宋_GB2312"/>
          <w:color w:val="auto"/>
          <w:sz w:val="24"/>
          <w:szCs w:val="20"/>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_GB2312"/>
          <w:b/>
          <w:color w:val="auto"/>
          <w:sz w:val="32"/>
          <w:highlight w:val="none"/>
        </w:rPr>
      </w:pPr>
    </w:p>
    <w:p>
      <w:pPr>
        <w:snapToGrid w:val="0"/>
        <w:spacing w:line="360" w:lineRule="auto"/>
        <w:jc w:val="center"/>
        <w:rPr>
          <w:rFonts w:ascii="仿宋" w:hAnsi="仿宋" w:eastAsia="仿宋"/>
          <w:b/>
          <w:color w:val="auto"/>
          <w:sz w:val="24"/>
          <w:highlight w:val="none"/>
        </w:rPr>
      </w:pPr>
      <w:r>
        <w:rPr>
          <w:rFonts w:hint="eastAsia" w:ascii="仿宋" w:hAnsi="仿宋" w:eastAsia="仿宋" w:cs="仿宋_GB2312"/>
          <w:b/>
          <w:color w:val="auto"/>
          <w:sz w:val="32"/>
          <w:highlight w:val="none"/>
        </w:rPr>
        <w:t>八、电子交易活动的中止</w:t>
      </w:r>
    </w:p>
    <w:p>
      <w:pPr>
        <w:pStyle w:val="130"/>
        <w:snapToGrid w:val="0"/>
        <w:spacing w:before="0"/>
        <w:ind w:firstLine="0" w:firstLineChars="0"/>
        <w:rPr>
          <w:rFonts w:ascii="仿宋" w:hAnsi="仿宋" w:eastAsia="仿宋" w:cs="仿宋_GB2312"/>
          <w:color w:val="auto"/>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r>
        <w:rPr>
          <w:rFonts w:hint="eastAsia" w:ascii="仿宋" w:hAnsi="仿宋" w:eastAsia="仿宋" w:cs="仿宋_GB2312"/>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 xml:space="preserve">27.1电子交易平台发生故障而无法登录访问的； </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27.2电子交易平台应用或数据库出现错误，不能进行正常操作的；</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27.3电子交易平台发现严重安全漏洞，有潜在泄密危险的；</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 xml:space="preserve">27.4病毒发作导致不能进行正常操作的； </w:t>
      </w:r>
    </w:p>
    <w:p>
      <w:pPr>
        <w:pStyle w:val="130"/>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27.5其他无法保证电子交易的公平、公正和安全的情况。</w:t>
      </w:r>
    </w:p>
    <w:p>
      <w:pPr>
        <w:pStyle w:val="130"/>
        <w:snapToGrid w:val="0"/>
        <w:spacing w:before="0"/>
        <w:ind w:firstLine="0" w:firstLineChars="0"/>
        <w:rPr>
          <w:rFonts w:ascii="仿宋" w:hAnsi="仿宋" w:eastAsia="仿宋" w:cs="仿宋_GB2312"/>
          <w:color w:val="auto"/>
          <w:highlight w:val="none"/>
        </w:rPr>
      </w:pPr>
      <w:r>
        <w:rPr>
          <w:rFonts w:ascii="仿宋" w:hAnsi="仿宋" w:eastAsia="仿宋" w:cs="仿宋_GB2312"/>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九、验收</w:t>
      </w:r>
    </w:p>
    <w:p>
      <w:pPr>
        <w:pStyle w:val="6"/>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29.验收</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 w:hAnsi="仿宋" w:eastAsia="仿宋"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4707468"/>
      <w:bookmarkEnd w:id="15"/>
      <w:bookmarkStart w:id="16" w:name="_Hlt75236011"/>
      <w:bookmarkEnd w:id="16"/>
      <w:bookmarkStart w:id="17" w:name="_Hlt68072990"/>
      <w:bookmarkEnd w:id="17"/>
      <w:bookmarkStart w:id="18" w:name="_Hlt68073093"/>
      <w:bookmarkEnd w:id="18"/>
      <w:bookmarkStart w:id="19" w:name="_Hlt68072998"/>
      <w:bookmarkEnd w:id="19"/>
      <w:bookmarkStart w:id="20" w:name="_Hlt75236290"/>
      <w:bookmarkEnd w:id="20"/>
      <w:bookmarkStart w:id="21" w:name="_Hlt74714665"/>
      <w:bookmarkEnd w:id="21"/>
      <w:bookmarkStart w:id="22" w:name="_Hlt74729768"/>
      <w:bookmarkEnd w:id="22"/>
      <w:bookmarkStart w:id="23" w:name="_Hlt74730295"/>
      <w:bookmarkEnd w:id="23"/>
      <w:bookmarkStart w:id="24" w:name="_Hlt75236101"/>
      <w:bookmarkEnd w:id="24"/>
      <w:bookmarkStart w:id="25" w:name="_Hlt68403820"/>
      <w:bookmarkEnd w:id="25"/>
    </w:p>
    <w:bookmarkEnd w:id="11"/>
    <w:bookmarkEnd w:id="12"/>
    <w:p>
      <w:p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第三部分采购需求</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标项一：温室气体手工监测及移动监测服务项目</w:t>
      </w:r>
    </w:p>
    <w:p>
      <w:pPr>
        <w:adjustRightInd w:val="0"/>
        <w:spacing w:line="360" w:lineRule="auto"/>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一、项目概况</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根据生态环境部发布的《碳监测评估试点工作方案》（环办监测函〔2021〕435号）要求，推进杭州市碳监测试点工作，开展温室气体手工监测及移动监测工作，购买相关服务。</w:t>
      </w:r>
    </w:p>
    <w:p>
      <w:pPr>
        <w:adjustRightInd w:val="0"/>
        <w:spacing w:line="360" w:lineRule="auto"/>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二、招标需求一览表</w:t>
      </w:r>
    </w:p>
    <w:tbl>
      <w:tblPr>
        <w:tblStyle w:val="64"/>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191"/>
        <w:gridCol w:w="2628"/>
        <w:gridCol w:w="1758"/>
        <w:gridCol w:w="100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64" w:type="dxa"/>
            <w:vAlign w:val="center"/>
          </w:tcPr>
          <w:p>
            <w:pPr>
              <w:adjustRightInd w:val="0"/>
              <w:spacing w:line="360" w:lineRule="auto"/>
              <w:contextualSpacing/>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191" w:type="dxa"/>
            <w:vAlign w:val="center"/>
          </w:tcPr>
          <w:p>
            <w:pPr>
              <w:adjustRightInd w:val="0"/>
              <w:spacing w:line="360" w:lineRule="auto"/>
              <w:contextualSpacing/>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项目内容</w:t>
            </w:r>
          </w:p>
        </w:tc>
        <w:tc>
          <w:tcPr>
            <w:tcW w:w="2628" w:type="dxa"/>
            <w:vAlign w:val="center"/>
          </w:tcPr>
          <w:p>
            <w:pPr>
              <w:adjustRightInd w:val="0"/>
              <w:spacing w:line="360" w:lineRule="auto"/>
              <w:contextualSpacing/>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监测指标</w:t>
            </w:r>
          </w:p>
        </w:tc>
        <w:tc>
          <w:tcPr>
            <w:tcW w:w="1758" w:type="dxa"/>
            <w:vAlign w:val="center"/>
          </w:tcPr>
          <w:p>
            <w:pPr>
              <w:adjustRightInd w:val="0"/>
              <w:spacing w:line="360" w:lineRule="auto"/>
              <w:contextualSpacing/>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监测频次</w:t>
            </w:r>
          </w:p>
        </w:tc>
        <w:tc>
          <w:tcPr>
            <w:tcW w:w="1001" w:type="dxa"/>
            <w:vAlign w:val="center"/>
          </w:tcPr>
          <w:p>
            <w:pPr>
              <w:adjustRightInd w:val="0"/>
              <w:spacing w:line="360" w:lineRule="auto"/>
              <w:contextualSpacing/>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点位数</w:t>
            </w:r>
          </w:p>
        </w:tc>
        <w:tc>
          <w:tcPr>
            <w:tcW w:w="1530" w:type="dxa"/>
            <w:vAlign w:val="center"/>
          </w:tcPr>
          <w:p>
            <w:pPr>
              <w:adjustRightInd w:val="0"/>
              <w:spacing w:line="360" w:lineRule="auto"/>
              <w:contextualSpacing/>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64" w:type="dxa"/>
            <w:vMerge w:val="restart"/>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91" w:type="dxa"/>
            <w:vMerge w:val="restart"/>
            <w:vAlign w:val="center"/>
          </w:tcPr>
          <w:p>
            <w:pPr>
              <w:adjustRightInd w:val="0"/>
              <w:spacing w:line="360" w:lineRule="auto"/>
              <w:contextualSpacing/>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手工监测</w:t>
            </w:r>
          </w:p>
        </w:tc>
        <w:tc>
          <w:tcPr>
            <w:tcW w:w="2628"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、CO、N</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O</w:t>
            </w:r>
          </w:p>
        </w:tc>
        <w:tc>
          <w:tcPr>
            <w:tcW w:w="1758"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每周一次</w:t>
            </w:r>
          </w:p>
        </w:tc>
        <w:tc>
          <w:tcPr>
            <w:tcW w:w="1001"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30" w:type="dxa"/>
            <w:vMerge w:val="restart"/>
            <w:vAlign w:val="center"/>
          </w:tcPr>
          <w:p>
            <w:pPr>
              <w:adjustRightInd w:val="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合同签订之日起半年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64" w:type="dxa"/>
            <w:vMerge w:val="continue"/>
            <w:vAlign w:val="center"/>
          </w:tcPr>
          <w:p>
            <w:pPr>
              <w:adjustRightInd w:val="0"/>
              <w:spacing w:line="360" w:lineRule="auto"/>
              <w:contextualSpacing/>
              <w:jc w:val="center"/>
              <w:rPr>
                <w:rFonts w:hint="eastAsia" w:ascii="仿宋" w:hAnsi="仿宋" w:eastAsia="仿宋" w:cs="仿宋"/>
                <w:color w:val="auto"/>
                <w:sz w:val="24"/>
                <w:szCs w:val="24"/>
                <w:highlight w:val="none"/>
              </w:rPr>
            </w:pPr>
          </w:p>
        </w:tc>
        <w:tc>
          <w:tcPr>
            <w:tcW w:w="1191" w:type="dxa"/>
            <w:vMerge w:val="continue"/>
            <w:vAlign w:val="center"/>
          </w:tcPr>
          <w:p>
            <w:pPr>
              <w:adjustRightInd w:val="0"/>
              <w:spacing w:line="360" w:lineRule="auto"/>
              <w:contextualSpacing/>
              <w:rPr>
                <w:rFonts w:hint="eastAsia" w:ascii="仿宋" w:hAnsi="仿宋" w:eastAsia="仿宋" w:cs="仿宋"/>
                <w:color w:val="auto"/>
                <w:sz w:val="24"/>
                <w:szCs w:val="24"/>
                <w:highlight w:val="none"/>
              </w:rPr>
            </w:pPr>
          </w:p>
        </w:tc>
        <w:tc>
          <w:tcPr>
            <w:tcW w:w="2628"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HFCs、PFCs、SF</w:t>
            </w:r>
            <w:r>
              <w:rPr>
                <w:rFonts w:hint="eastAsia" w:ascii="仿宋" w:hAnsi="仿宋" w:eastAsia="仿宋" w:cs="仿宋"/>
                <w:color w:val="auto"/>
                <w:sz w:val="24"/>
                <w:szCs w:val="24"/>
                <w:highlight w:val="none"/>
                <w:vertAlign w:val="subscript"/>
              </w:rPr>
              <w:t>6</w:t>
            </w:r>
            <w:r>
              <w:rPr>
                <w:rFonts w:hint="eastAsia" w:ascii="仿宋" w:hAnsi="仿宋" w:eastAsia="仿宋" w:cs="仿宋"/>
                <w:color w:val="auto"/>
                <w:sz w:val="24"/>
                <w:szCs w:val="24"/>
                <w:highlight w:val="none"/>
              </w:rPr>
              <w:t>、NF</w:t>
            </w:r>
            <w:r>
              <w:rPr>
                <w:rFonts w:hint="eastAsia" w:ascii="仿宋" w:hAnsi="仿宋" w:eastAsia="仿宋" w:cs="仿宋"/>
                <w:color w:val="auto"/>
                <w:sz w:val="24"/>
                <w:szCs w:val="24"/>
                <w:highlight w:val="none"/>
                <w:vertAlign w:val="subscript"/>
              </w:rPr>
              <w:t>3</w:t>
            </w:r>
          </w:p>
        </w:tc>
        <w:tc>
          <w:tcPr>
            <w:tcW w:w="1758"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每两周一次</w:t>
            </w:r>
          </w:p>
        </w:tc>
        <w:tc>
          <w:tcPr>
            <w:tcW w:w="1001"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30" w:type="dxa"/>
            <w:vMerge w:val="continue"/>
            <w:vAlign w:val="center"/>
          </w:tcPr>
          <w:p>
            <w:pPr>
              <w:adjustRightInd w:val="0"/>
              <w:contextualSpacing/>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64" w:type="dxa"/>
            <w:vMerge w:val="continue"/>
            <w:vAlign w:val="center"/>
          </w:tcPr>
          <w:p>
            <w:pPr>
              <w:adjustRightInd w:val="0"/>
              <w:spacing w:line="360" w:lineRule="auto"/>
              <w:contextualSpacing/>
              <w:jc w:val="center"/>
              <w:rPr>
                <w:rFonts w:hint="eastAsia" w:ascii="仿宋" w:hAnsi="仿宋" w:eastAsia="仿宋" w:cs="仿宋"/>
                <w:color w:val="auto"/>
                <w:sz w:val="24"/>
                <w:szCs w:val="24"/>
                <w:highlight w:val="none"/>
              </w:rPr>
            </w:pPr>
          </w:p>
        </w:tc>
        <w:tc>
          <w:tcPr>
            <w:tcW w:w="1191" w:type="dxa"/>
            <w:vMerge w:val="continue"/>
            <w:vAlign w:val="center"/>
          </w:tcPr>
          <w:p>
            <w:pPr>
              <w:adjustRightInd w:val="0"/>
              <w:spacing w:line="360" w:lineRule="auto"/>
              <w:contextualSpacing/>
              <w:rPr>
                <w:rFonts w:hint="eastAsia" w:ascii="仿宋" w:hAnsi="仿宋" w:eastAsia="仿宋" w:cs="仿宋"/>
                <w:color w:val="auto"/>
                <w:sz w:val="24"/>
                <w:szCs w:val="24"/>
                <w:highlight w:val="none"/>
              </w:rPr>
            </w:pPr>
          </w:p>
        </w:tc>
        <w:tc>
          <w:tcPr>
            <w:tcW w:w="2628"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碳同位素</w:t>
            </w:r>
            <w:r>
              <w:rPr>
                <w:rFonts w:hint="eastAsia" w:ascii="仿宋" w:hAnsi="仿宋" w:eastAsia="仿宋" w:cs="仿宋"/>
                <w:color w:val="auto"/>
                <w:sz w:val="24"/>
                <w:szCs w:val="24"/>
                <w:highlight w:val="none"/>
                <w:vertAlign w:val="superscript"/>
              </w:rPr>
              <w:t>14</w:t>
            </w:r>
            <w:r>
              <w:rPr>
                <w:rFonts w:hint="eastAsia" w:ascii="仿宋" w:hAnsi="仿宋" w:eastAsia="仿宋" w:cs="仿宋"/>
                <w:color w:val="auto"/>
                <w:sz w:val="24"/>
                <w:szCs w:val="24"/>
                <w:highlight w:val="none"/>
              </w:rPr>
              <w:t>CO</w:t>
            </w:r>
            <w:r>
              <w:rPr>
                <w:rFonts w:hint="eastAsia" w:ascii="仿宋" w:hAnsi="仿宋" w:eastAsia="仿宋" w:cs="仿宋"/>
                <w:color w:val="auto"/>
                <w:sz w:val="24"/>
                <w:szCs w:val="24"/>
                <w:highlight w:val="none"/>
                <w:vertAlign w:val="subscript"/>
              </w:rPr>
              <w:t>2</w:t>
            </w:r>
          </w:p>
        </w:tc>
        <w:tc>
          <w:tcPr>
            <w:tcW w:w="1758"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每周一次</w:t>
            </w:r>
          </w:p>
        </w:tc>
        <w:tc>
          <w:tcPr>
            <w:tcW w:w="1001"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30" w:type="dxa"/>
            <w:vAlign w:val="center"/>
          </w:tcPr>
          <w:p>
            <w:pPr>
              <w:adjustRightInd w:val="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合同签订之日起一年半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64"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91"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走航及无人机监测</w:t>
            </w:r>
          </w:p>
        </w:tc>
        <w:tc>
          <w:tcPr>
            <w:tcW w:w="2628" w:type="dxa"/>
            <w:vAlign w:val="center"/>
          </w:tcPr>
          <w:p>
            <w:pPr>
              <w:adjustRightInd w:val="0"/>
              <w:spacing w:line="32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柱浓度、CH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柱浓度</w:t>
            </w:r>
          </w:p>
        </w:tc>
        <w:tc>
          <w:tcPr>
            <w:tcW w:w="1758"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每季度一次</w:t>
            </w:r>
          </w:p>
        </w:tc>
        <w:tc>
          <w:tcPr>
            <w:tcW w:w="1001" w:type="dxa"/>
            <w:vAlign w:val="center"/>
          </w:tcPr>
          <w:p>
            <w:pPr>
              <w:adjustRightInd w:val="0"/>
              <w:spacing w:line="360" w:lineRule="auto"/>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30" w:type="dxa"/>
            <w:vAlign w:val="center"/>
          </w:tcPr>
          <w:p>
            <w:pPr>
              <w:adjustRightInd w:val="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合同签订之日起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年</w:t>
            </w:r>
          </w:p>
        </w:tc>
      </w:tr>
    </w:tbl>
    <w:p>
      <w:pPr>
        <w:adjustRightInd w:val="0"/>
        <w:spacing w:line="360" w:lineRule="auto"/>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三、服务要求 </w:t>
      </w:r>
    </w:p>
    <w:p>
      <w:pPr>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（一）温室气体手工监测</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在杭州市高精度温室气体监测点位开展温室气体手工监测工作, 包含采样与分析，监测指标为CO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、CO、N</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O、HFCs、PFCs、SF</w:t>
      </w:r>
      <w:r>
        <w:rPr>
          <w:rFonts w:hint="eastAsia" w:ascii="仿宋" w:hAnsi="仿宋" w:eastAsia="仿宋" w:cs="仿宋"/>
          <w:color w:val="auto"/>
          <w:sz w:val="24"/>
          <w:szCs w:val="24"/>
          <w:highlight w:val="none"/>
          <w:vertAlign w:val="subscript"/>
        </w:rPr>
        <w:t>6</w:t>
      </w:r>
      <w:r>
        <w:rPr>
          <w:rFonts w:hint="eastAsia" w:ascii="仿宋" w:hAnsi="仿宋" w:eastAsia="仿宋" w:cs="仿宋"/>
          <w:color w:val="auto"/>
          <w:sz w:val="24"/>
          <w:szCs w:val="24"/>
          <w:highlight w:val="none"/>
        </w:rPr>
        <w:t>、NF</w:t>
      </w:r>
      <w:r>
        <w:rPr>
          <w:rFonts w:hint="eastAsia" w:ascii="仿宋" w:hAnsi="仿宋" w:eastAsia="仿宋" w:cs="仿宋"/>
          <w:color w:val="auto"/>
          <w:sz w:val="24"/>
          <w:szCs w:val="24"/>
          <w:highlight w:val="none"/>
          <w:vertAlign w:val="subscript"/>
        </w:rPr>
        <w:t>3</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vertAlign w:val="superscript"/>
        </w:rPr>
        <w:t>14</w:t>
      </w:r>
      <w:r>
        <w:rPr>
          <w:rFonts w:hint="eastAsia" w:ascii="仿宋" w:hAnsi="仿宋" w:eastAsia="仿宋" w:cs="仿宋"/>
          <w:color w:val="auto"/>
          <w:sz w:val="24"/>
          <w:szCs w:val="24"/>
          <w:highlight w:val="none"/>
        </w:rPr>
        <w:t>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w:t>
      </w:r>
    </w:p>
    <w:p>
      <w:pPr>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1.采样与分析</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1.1相关规范</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《温室气体玻璃瓶采样方法》（QX/T 164—2012）、《温室气体玻璃采样瓶预处理和后处理方法》（QX/T 213—2013）、《卤代温室气体不锈钢采样罐预处理和后处理方法》（QX/T 214—2013）、《环境空气质量手工监测技术规范》（HJ 194—2007）、《环境空气挥发性有机物的测定 罐采样/气相色谱-质谱法》（HJ 759—2015）、《城市碳监测试点质量控制与质量管理指南》（试行）和《环境空气二氧化碳手工监测技术指南》（试行）等。（文件以最新版本为准） </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1.2采样要求</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1.2.1采样时间与频次</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、CO、N</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O</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景芳、临安大明山、大江东、临平工业区、富阳骆村5个高精度温室气体监测点位进行采样，每周一次，每次在上午9时和下午14时各采集一个样品，具体时间根据采购方要求调整。空白样和平行样按有效样品的5%采集。</w:t>
      </w:r>
    </w:p>
    <w:p>
      <w:pPr>
        <w:adjustRightInd w:val="0"/>
        <w:spacing w:line="360" w:lineRule="auto"/>
        <w:ind w:firstLine="480" w:firstLineChars="200"/>
        <w:rPr>
          <w:rFonts w:hint="eastAsia" w:ascii="仿宋" w:hAnsi="仿宋" w:eastAsia="仿宋" w:cs="仿宋"/>
          <w:color w:val="auto"/>
          <w:sz w:val="24"/>
          <w:szCs w:val="24"/>
          <w:highlight w:val="none"/>
          <w:vertAlign w:val="subscript"/>
        </w:rPr>
      </w:pPr>
      <w:r>
        <w:rPr>
          <w:rFonts w:hint="eastAsia" w:ascii="仿宋" w:hAnsi="仿宋" w:eastAsia="仿宋" w:cs="仿宋"/>
          <w:color w:val="auto"/>
          <w:sz w:val="24"/>
          <w:szCs w:val="24"/>
          <w:highlight w:val="none"/>
        </w:rPr>
        <w:t>（2）HFCs、PFCs、SF</w:t>
      </w:r>
      <w:r>
        <w:rPr>
          <w:rFonts w:hint="eastAsia" w:ascii="仿宋" w:hAnsi="仿宋" w:eastAsia="仿宋" w:cs="仿宋"/>
          <w:color w:val="auto"/>
          <w:sz w:val="24"/>
          <w:szCs w:val="24"/>
          <w:highlight w:val="none"/>
          <w:vertAlign w:val="subscript"/>
        </w:rPr>
        <w:t>6</w:t>
      </w:r>
      <w:r>
        <w:rPr>
          <w:rFonts w:hint="eastAsia" w:ascii="仿宋" w:hAnsi="仿宋" w:eastAsia="仿宋" w:cs="仿宋"/>
          <w:color w:val="auto"/>
          <w:sz w:val="24"/>
          <w:szCs w:val="24"/>
          <w:highlight w:val="none"/>
        </w:rPr>
        <w:t>、NF</w:t>
      </w:r>
      <w:r>
        <w:rPr>
          <w:rFonts w:hint="eastAsia" w:ascii="仿宋" w:hAnsi="仿宋" w:eastAsia="仿宋" w:cs="仿宋"/>
          <w:color w:val="auto"/>
          <w:sz w:val="24"/>
          <w:szCs w:val="24"/>
          <w:highlight w:val="none"/>
          <w:vertAlign w:val="subscript"/>
        </w:rPr>
        <w:t>3</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在景芳和临安大明山2个高精度温室气体监测点位进行采样，每两周一次，每次在上午9时和下午14时各采集一个样品，具体时间根据采购方要求调整。空白样和平行样按有效样品的5%采集。 </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（3）碳同位素</w:t>
      </w:r>
      <w:r>
        <w:rPr>
          <w:rFonts w:hint="eastAsia" w:ascii="仿宋" w:hAnsi="仿宋" w:eastAsia="仿宋" w:cs="仿宋"/>
          <w:color w:val="auto"/>
          <w:sz w:val="24"/>
          <w:szCs w:val="24"/>
          <w:highlight w:val="none"/>
          <w:vertAlign w:val="superscript"/>
        </w:rPr>
        <w:t>14</w:t>
      </w:r>
      <w:r>
        <w:rPr>
          <w:rFonts w:hint="eastAsia" w:ascii="仿宋" w:hAnsi="仿宋" w:eastAsia="仿宋" w:cs="仿宋"/>
          <w:color w:val="auto"/>
          <w:sz w:val="24"/>
          <w:szCs w:val="24"/>
          <w:highlight w:val="none"/>
        </w:rPr>
        <w:t>CO</w:t>
      </w:r>
      <w:r>
        <w:rPr>
          <w:rFonts w:hint="eastAsia" w:ascii="仿宋" w:hAnsi="仿宋" w:eastAsia="仿宋" w:cs="仿宋"/>
          <w:color w:val="auto"/>
          <w:sz w:val="24"/>
          <w:szCs w:val="24"/>
          <w:highlight w:val="none"/>
          <w:vertAlign w:val="subscript"/>
        </w:rPr>
        <w:t>2</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在景芳和临安大明山2个高精度温室气体监测点位进行采样，每周一次，下午14时采集一个空气样品，具体时间根据采购方要求调整。 </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采样系统</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（1）采样管布设</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每个采样点布设采样管，根据甲方采样点现有铁塔确定采样高度，采样口向下，安装除水半透膜或过滤器，防止雨水及颗粒物进入。采样管路材质对被测指标无污染、无吸附、不发生反应，内径一般为5mm～10mm。采样管采用卡箍固定，避免出现死弯以及凹陷，防止管线内积水。</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（2）地面采样系统</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地面采样系统至少包括除水装置、采样泵、压力表、采样容器和供电设备（包括蓄电池、外接电源），根据需要可增加安全装置（如安全阀）和流量控制装置（如转子流量计）等。</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①除水装置</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除水方式可选低温冷阱、半透膜干燥管或高氯酸镁干燥剂等除水方式，可根据采样点位环境湿度、实验室分析仪器受气态水的干扰程度和数据质量要求进行选择。</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②采样泵</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使用无油隔膜泵进行加压采样，泵及其内部接触气样部分应为惰性化材质，对被测指标无污染、无吸附、不发生反应。</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③采样容器。</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玻璃采样瓶（瓶体外侧应有防爆保护层）或内表面惰性化处理的不锈钢采样罐进行采样，采样容器的阀也采用惰性材质。采样容器大小根据分析方法所需样品量选择。双口采样容器的进气口和出气口若在同侧，进气口应伸入采样容器底。若可以在管路连接的情况下，实现单口采样容器的冲洗，也可采用单口采样容器采样。</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对每批次采样容器应进行空白试验和存储实验，确定所使用的采集容器满足要求质控要求。</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采样流程</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（1）气路连接</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地面处采样管连接除水装置、采样泵、压力表、采样容器等。每次采样前，封闭采样泵至采样容器的气路及部件，检查气密性。要求封闭管路满足负压6.7 kPa以下，30s内负压下降≤0.2 kPa；或正压10 kPa下，1min内压力不变。对于双口采样容器，设置平行样的串联采集气路；对于单口采样容器，设置平行样并联采集气路。</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（2）采样系统冲洗</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先启动采样泵，打开除水装置，打开采样容器进气口和出气口的密封旋塞，在采样系统气路完全开通的情况下，在一定流速下（样品从采样口至采样容器的驻留时间不超过5min）对采样容器和连接管路进行充分冲洗，冲洗体积一般不小于采样容器体积的10倍。</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（3）样品采集</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冲洗结束后，关闭采样容器的出气口，利用采样泵将空气样品压缩进采样容器。采样容器内气压达到预定气压（根据采样容器耐压能力及样品分析量的要求确定，至少1.1倍大气压以上）后，关闭采样泵并立刻拧紧采样容器的进气口。从采样系统上卸下采样容器，贴好样品标识，放回装运箱。运输过程中应防止磕碰、泄漏和污染，送至实验室后及时分析。</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样品采集时，应记录监测点位信息、采样设备运行状况、采样容器信息、采样时间、气象条件、采样人员等相关信息。</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1.3样品分析</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根据实验室的仪器配置情况，选择光腔衰荡光谱法、离轴积分腔输出光谱法、气相色谱质谱法、非色散红外光谱法等方法进行样品分析，其中</w:t>
      </w:r>
      <w:r>
        <w:rPr>
          <w:rFonts w:hint="eastAsia" w:ascii="仿宋" w:hAnsi="仿宋" w:eastAsia="仿宋" w:cs="仿宋"/>
          <w:color w:val="auto"/>
          <w:sz w:val="24"/>
          <w:szCs w:val="24"/>
          <w:highlight w:val="none"/>
          <w:vertAlign w:val="superscript"/>
        </w:rPr>
        <w:t>14</w:t>
      </w:r>
      <w:r>
        <w:rPr>
          <w:rFonts w:hint="eastAsia" w:ascii="仿宋" w:hAnsi="仿宋" w:eastAsia="仿宋" w:cs="仿宋"/>
          <w:color w:val="auto"/>
          <w:sz w:val="24"/>
          <w:szCs w:val="24"/>
          <w:highlight w:val="none"/>
        </w:rPr>
        <w:t>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采用加速器质谱法进行分析。</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1.4质量保证和质量控制</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参照《城市碳监测试点质量控制与质量管理指南（试行）》文件要求。</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1.5数据分析</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（1）每周样品采集后，投标人于10个工作日内提交采样工作报告，包含采样记录、原始数据和分析结果等，供采购人审核确认，相关工作全部结束后1个月内提交一份总报告。</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（2）每季度提交1次数据分析报告，报告于本季度采样完成后15日内提交，相关工作全部结束后1个月内提交一份总分析报告。</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2.采样设备</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除日常采样所需设备以外，为配合中国环境监测总站做好手工监测技术指南的编制，投标人还需提供以下手工采样设备配合采购人开展手工监测相关研究。项目完成后，设备归采购人所有。</w:t>
      </w:r>
    </w:p>
    <w:tbl>
      <w:tblPr>
        <w:tblStyle w:val="920"/>
        <w:tblpPr w:leftFromText="180" w:rightFromText="180" w:vertAnchor="text" w:horzAnchor="page" w:tblpXSpec="center" w:tblpY="146"/>
        <w:tblOverlap w:val="never"/>
        <w:tblW w:w="6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416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39" w:type="dxa"/>
            <w:tcBorders>
              <w:top w:val="single" w:color="auto" w:sz="4" w:space="0"/>
              <w:left w:val="single" w:color="auto" w:sz="4" w:space="0"/>
              <w:bottom w:val="single" w:color="auto" w:sz="4" w:space="0"/>
              <w:right w:val="single" w:color="auto" w:sz="4" w:space="0"/>
            </w:tcBorders>
          </w:tcPr>
          <w:p>
            <w:pPr>
              <w:adjustRightIn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164" w:type="dxa"/>
            <w:tcBorders>
              <w:top w:val="single" w:color="auto" w:sz="4" w:space="0"/>
              <w:left w:val="single" w:color="auto" w:sz="4" w:space="0"/>
              <w:bottom w:val="single" w:color="auto" w:sz="4" w:space="0"/>
              <w:right w:val="single" w:color="auto" w:sz="4" w:space="0"/>
            </w:tcBorders>
          </w:tcPr>
          <w:p>
            <w:pPr>
              <w:adjustRightIn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104" w:type="dxa"/>
            <w:tcBorders>
              <w:top w:val="single" w:color="auto" w:sz="4" w:space="0"/>
              <w:left w:val="single" w:color="auto" w:sz="4" w:space="0"/>
              <w:bottom w:val="single" w:color="auto" w:sz="4" w:space="0"/>
              <w:right w:val="single" w:color="auto" w:sz="4" w:space="0"/>
            </w:tcBorders>
          </w:tcPr>
          <w:p>
            <w:pPr>
              <w:adjustRightIn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Flask玻璃瓶</w:t>
            </w: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VOCs苏玛罐</w:t>
            </w: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VOCs苏玛罐</w:t>
            </w: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干燥管</w:t>
            </w: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真空泵</w:t>
            </w: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3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硅烷化不锈钢连接管路与转接阀（头）</w:t>
            </w: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8个</w:t>
            </w:r>
          </w:p>
        </w:tc>
      </w:tr>
    </w:tbl>
    <w:p>
      <w:pPr>
        <w:adjustRightInd w:val="0"/>
        <w:spacing w:line="360" w:lineRule="auto"/>
        <w:contextualSpacing/>
        <w:rPr>
          <w:rFonts w:hint="eastAsia" w:ascii="仿宋" w:hAnsi="仿宋" w:eastAsia="仿宋" w:cs="仿宋"/>
          <w:color w:val="auto"/>
          <w:sz w:val="24"/>
          <w:szCs w:val="24"/>
          <w:highlight w:val="none"/>
        </w:rPr>
      </w:pPr>
    </w:p>
    <w:p>
      <w:pPr>
        <w:adjustRightInd w:val="0"/>
        <w:spacing w:line="360" w:lineRule="auto"/>
        <w:contextualSpacing/>
        <w:rPr>
          <w:rFonts w:hint="eastAsia" w:ascii="仿宋" w:hAnsi="仿宋" w:eastAsia="仿宋" w:cs="仿宋"/>
          <w:b/>
          <w:color w:val="auto"/>
          <w:sz w:val="24"/>
          <w:szCs w:val="24"/>
          <w:highlight w:val="none"/>
        </w:rPr>
      </w:pPr>
    </w:p>
    <w:p>
      <w:pPr>
        <w:adjustRightInd w:val="0"/>
        <w:spacing w:line="360" w:lineRule="auto"/>
        <w:contextualSpacing/>
        <w:rPr>
          <w:rFonts w:hint="eastAsia" w:ascii="仿宋" w:hAnsi="仿宋" w:eastAsia="仿宋" w:cs="仿宋"/>
          <w:b/>
          <w:color w:val="auto"/>
          <w:sz w:val="24"/>
          <w:szCs w:val="24"/>
          <w:highlight w:val="none"/>
        </w:rPr>
      </w:pPr>
    </w:p>
    <w:p>
      <w:pPr>
        <w:adjustRightInd w:val="0"/>
        <w:spacing w:line="360" w:lineRule="auto"/>
        <w:contextualSpacing/>
        <w:rPr>
          <w:rFonts w:hint="eastAsia" w:ascii="仿宋" w:hAnsi="仿宋" w:eastAsia="仿宋" w:cs="仿宋"/>
          <w:b/>
          <w:color w:val="auto"/>
          <w:sz w:val="24"/>
          <w:szCs w:val="24"/>
          <w:highlight w:val="none"/>
        </w:rPr>
      </w:pPr>
    </w:p>
    <w:p>
      <w:pPr>
        <w:adjustRightInd w:val="0"/>
        <w:spacing w:line="360" w:lineRule="auto"/>
        <w:contextualSpacing/>
        <w:rPr>
          <w:rFonts w:hint="eastAsia" w:ascii="仿宋" w:hAnsi="仿宋" w:eastAsia="仿宋" w:cs="仿宋"/>
          <w:b/>
          <w:color w:val="auto"/>
          <w:sz w:val="24"/>
          <w:szCs w:val="24"/>
          <w:highlight w:val="none"/>
        </w:rPr>
      </w:pPr>
    </w:p>
    <w:p>
      <w:pPr>
        <w:adjustRightInd w:val="0"/>
        <w:spacing w:line="360" w:lineRule="auto"/>
        <w:contextualSpacing/>
        <w:rPr>
          <w:rFonts w:hint="eastAsia" w:ascii="仿宋" w:hAnsi="仿宋" w:eastAsia="仿宋" w:cs="仿宋"/>
          <w:b/>
          <w:color w:val="auto"/>
          <w:sz w:val="24"/>
          <w:szCs w:val="24"/>
          <w:highlight w:val="none"/>
        </w:rPr>
      </w:pPr>
    </w:p>
    <w:p>
      <w:pPr>
        <w:adjustRightIn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3.实验室设备要求</w:t>
      </w:r>
    </w:p>
    <w:p>
      <w:pPr>
        <w:pStyle w:val="2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投标实验室配备至少2台空气预浓缩仪-气相色谱质谱联用仪；</w:t>
      </w:r>
    </w:p>
    <w:p>
      <w:pPr>
        <w:pStyle w:val="2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投标实验室配备至少1台傅里叶红外光谱仪；</w:t>
      </w:r>
    </w:p>
    <w:p>
      <w:pPr>
        <w:pStyle w:val="2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投标实验室配备至少2台ECD检测器-气相色谱仪；</w:t>
      </w:r>
    </w:p>
    <w:p>
      <w:pPr>
        <w:pStyle w:val="2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投标实验室配备至少1台双FID检测器-气相色谱仪；</w:t>
      </w:r>
    </w:p>
    <w:p>
      <w:pPr>
        <w:pStyle w:val="2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投标实验室配备至少30个环境空气采样苏码罐；</w:t>
      </w:r>
    </w:p>
    <w:p>
      <w:pPr>
        <w:pStyle w:val="2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投标实验室配备至少6台环境空气正压采样器。</w:t>
      </w:r>
    </w:p>
    <w:p>
      <w:pPr>
        <w:adjustRightInd w:val="0"/>
        <w:spacing w:line="360" w:lineRule="auto"/>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（二）走航及无人机监测</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利用无人机、走航车等方式开展城市CO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浓度立体监测，为近地面CO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浓度提供比对数据。</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2.1监测方法</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（1）走航CO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柱)浓度监测：利用走航车搭载高精度温室气体监测设备，采用非分散红外吸收法(NDIR)、傅里叶变换红外光谱法(FTIR)或光腔衰荡光谱法在线监测，采用高密度网格化固定点位监测或连续移动监测方式开展地面监测和垂直柱浓度监测。</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（2）无人机CO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浓度监测：利用无人机搭载温室气体监测设备，采用非分散红外法(NDIR)实时监测。</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2.2监测频次</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在6个高精度监测点位及其周边，每季度选择典型月份通过走航和无人机进行1次网格化监测，每个站点每次监测时间不少于5天。</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2.3具体要求</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（1）走航监测</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①监测仪器精度满足CO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分辨率＜0.1ppm；CH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分辨率＜0.02ppm；</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②时间分辨率：CO2＜5s，CH4＜5s；</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③示值误差：CO2＜30ppb（5min），CH4＜0.3ppb（5min）；</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④每次走航前后，数据需要溯源到世界气象组织（WMO）CO2和CH4浓度标尺；</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⑤除隧道外，监测数据需要和 GPS 位置匹配。</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（2）柱浓度走航监测</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①监测仪器精度满足CO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分辨率＜0.1ppm，CH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分辨率＜0.02ppm，光谱分辨率满足＜0.5cm</w:t>
      </w:r>
      <w:r>
        <w:rPr>
          <w:rFonts w:hint="eastAsia" w:ascii="仿宋" w:hAnsi="仿宋" w:eastAsia="仿宋" w:cs="仿宋"/>
          <w:color w:val="auto"/>
          <w:sz w:val="24"/>
          <w:szCs w:val="24"/>
          <w:highlight w:val="none"/>
          <w:vertAlign w:val="superscript"/>
        </w:rPr>
        <w:t>-1</w:t>
      </w:r>
      <w:r>
        <w:rPr>
          <w:rFonts w:hint="eastAsia" w:ascii="仿宋" w:hAnsi="仿宋" w:eastAsia="仿宋" w:cs="仿宋"/>
          <w:color w:val="auto"/>
          <w:sz w:val="24"/>
          <w:szCs w:val="24"/>
          <w:highlight w:val="none"/>
        </w:rPr>
        <w:t>。</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②时间分辨率：晴好天气下，每小时不少于5次；</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③示值误差：XCO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≤1ppm，XCH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≤10ppb（5min）；</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④使用国际地基柱浓度观测网络的通用算法反演二氧化碳柱浓度和甲烷柱浓度。</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（3）无人机监测</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①监测仪器精度满足CO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分辨率＜0.2ppm；CH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分辨率＜0.03ppm。</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②响应时间：CO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＜20s，CH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＜30s；</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③示值误差：CO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≤±3ppm或1%读数，CH</w:t>
      </w:r>
      <w:r>
        <w:rPr>
          <w:rFonts w:hint="eastAsia" w:ascii="仿宋" w:hAnsi="仿宋" w:eastAsia="仿宋" w:cs="仿宋"/>
          <w:color w:val="auto"/>
          <w:sz w:val="24"/>
          <w:szCs w:val="24"/>
          <w:highlight w:val="none"/>
          <w:vertAlign w:val="subscript"/>
        </w:rPr>
        <w:t>4</w:t>
      </w:r>
      <w:r>
        <w:rPr>
          <w:rFonts w:hint="eastAsia" w:ascii="仿宋" w:hAnsi="仿宋" w:eastAsia="仿宋" w:cs="仿宋"/>
          <w:color w:val="auto"/>
          <w:sz w:val="24"/>
          <w:szCs w:val="24"/>
          <w:highlight w:val="none"/>
        </w:rPr>
        <w:t>≤0.1%；</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④需集成监测设备和无人机的相关数据，并自行申请空域。</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（4）分析报告</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监测结束后10个工作日内提交分析报告。</w:t>
      </w:r>
    </w:p>
    <w:p>
      <w:pPr>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（三）付款方式</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3.1合同签订后5个工作日内，采购人向中标人支付合同金额的70%；</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2022年12月10日前，采购人向中标人支付合同金额的25%；</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3.3验收合格后支付合同金额的5%。</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3.4付款按财政政策执行，因中标人未按合同履行任务或不符合财政资金支付时间要求等原因造成不能及时付款的，采购人不承担责任。</w:t>
      </w:r>
    </w:p>
    <w:p>
      <w:pPr>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（四）人员及车辆要求</w:t>
      </w:r>
    </w:p>
    <w:p>
      <w:pPr>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4.1为保证项目顺利实施，项目组工作人员至少15人，其中包括项目负责人1名，现场采样技术人员10名，样品分析技术人员2名，数据分析技术人员2名。</w:t>
      </w:r>
    </w:p>
    <w:p>
      <w:pPr>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 项目负责人具有环保类、检测分析类等相关环境检测专业高级及以上职称。</w:t>
      </w:r>
    </w:p>
    <w:p>
      <w:pPr>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4.3样品分析技术人员和数据分析技术人员需具有中级及以上职称。</w:t>
      </w:r>
    </w:p>
    <w:p>
      <w:pPr>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4.4另配备1名专职工作人员，具有中级及以上职称，负责与</w:t>
      </w:r>
      <w:r>
        <w:rPr>
          <w:rFonts w:hint="eastAsia" w:ascii="仿宋" w:hAnsi="仿宋" w:eastAsia="仿宋" w:cs="仿宋"/>
          <w:color w:val="auto"/>
          <w:sz w:val="24"/>
          <w:szCs w:val="24"/>
          <w:highlight w:val="none"/>
        </w:rPr>
        <w:t>采购人</w:t>
      </w:r>
      <w:r>
        <w:rPr>
          <w:rFonts w:hint="eastAsia" w:ascii="仿宋" w:hAnsi="仿宋" w:eastAsia="仿宋" w:cs="仿宋"/>
          <w:bCs/>
          <w:color w:val="auto"/>
          <w:sz w:val="24"/>
          <w:szCs w:val="24"/>
          <w:highlight w:val="none"/>
        </w:rPr>
        <w:t>进行任务对接、工作协调、数据汇总、整理与报送工作。</w:t>
      </w:r>
    </w:p>
    <w:p>
      <w:pPr>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4.5除走航车外，投标人为本项目配备的车辆不少于6辆。</w:t>
      </w:r>
    </w:p>
    <w:p>
      <w:pPr>
        <w:pStyle w:val="2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（五）保密要求</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需对所有监测数据及相关信息资料保密，未经采购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书面许可不得以任何方式公开展示、发表或透露给第三方。参与本项目服务的中标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及所有人员，对工作中所涉的数据、资料及文件等负有保密义务，任何情况不得向第三方泄露。如存在上述情况，将按严重违约行为依法追究中标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相关责任。</w:t>
      </w:r>
    </w:p>
    <w:p>
      <w:pPr>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（六）其他要求</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项目涉及的一切人工、交通、设备、材料、车辆、电力、通讯传输等费用均由投标人承担。</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项目招标结束后需立即开展相关工作，中标人需提前做好相关准备，包括但不限于人员、设备、车辆等。</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 项目实施过程中的安全生产责任由中标人负责，包括但不限于无人机安全责任等。</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6.4本项目合同期内中标人未按要求履行合同，采购人有权要求中标人进行改进，整改所发生的一切费用由中标人承担。</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 中标人出现以下行为的，采购人有权终止合同，情节严重者，将予以通报，给采购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造成损失的，按实际损失进行赔偿：</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（1）未经采购人书面许可公开展示、发表或透露监测结果给第三方的；</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（2）出现调整数据等弄虚作假行为的；</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（3）其他有损采购方利益的行为。</w:t>
      </w:r>
    </w:p>
    <w:p>
      <w:pPr>
        <w:pStyle w:val="2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除不可抗力外，如果</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没有按照本合同约定的期限、地点和方式完成约定服务内容，那么采购人有权要求</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支付违约金，违约金按每迟延一日为合同总价的1%计算，最高限额为本合同总价的20%；超过约定日期的违约金计算数额达到前述最高限额之日起，</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有权在要求</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支付违约金的同时，书面通知</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解除本合同，索回前期已支付的相应费用。</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keepNext w:val="0"/>
        <w:keepLines w:val="0"/>
        <w:pageBreakBefore w:val="0"/>
        <w:kinsoku/>
        <w:wordWrap/>
        <w:overflowPunct/>
        <w:topLinePunct w:val="0"/>
        <w:bidi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标项二：杭州市温室气体同化反演及通量核算服务</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一、项目概况</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根</w:t>
      </w:r>
      <w:r>
        <w:rPr>
          <w:rFonts w:hint="eastAsia" w:ascii="仿宋" w:hAnsi="仿宋" w:eastAsia="仿宋" w:cs="仿宋"/>
          <w:bCs/>
          <w:color w:val="auto"/>
          <w:sz w:val="24"/>
          <w:highlight w:val="none"/>
        </w:rPr>
        <w:t>据生态环境部下发的《碳监测评估试点工作方案》、</w:t>
      </w:r>
      <w:r>
        <w:rPr>
          <w:rFonts w:hint="eastAsia" w:ascii="仿宋" w:hAnsi="仿宋" w:eastAsia="仿宋" w:cs="仿宋"/>
          <w:color w:val="auto"/>
          <w:sz w:val="24"/>
          <w:highlight w:val="none"/>
        </w:rPr>
        <w:t>《城市大气二氧化碳（CO</w:t>
      </w:r>
      <w:r>
        <w:rPr>
          <w:rFonts w:hint="eastAsia" w:ascii="仿宋" w:hAnsi="仿宋" w:eastAsia="仿宋" w:cs="仿宋"/>
          <w:color w:val="auto"/>
          <w:sz w:val="24"/>
          <w:highlight w:val="none"/>
          <w:vertAlign w:val="subscript"/>
        </w:rPr>
        <w:t>2</w:t>
      </w:r>
      <w:r>
        <w:rPr>
          <w:rFonts w:hint="eastAsia" w:ascii="仿宋" w:hAnsi="仿宋" w:eastAsia="仿宋" w:cs="仿宋"/>
          <w:color w:val="auto"/>
          <w:sz w:val="24"/>
          <w:highlight w:val="none"/>
        </w:rPr>
        <w:t>）同化反演试点方案编制技术指南（第一版）》</w:t>
      </w:r>
      <w:r>
        <w:rPr>
          <w:rFonts w:hint="eastAsia" w:ascii="仿宋" w:hAnsi="仿宋" w:eastAsia="仿宋" w:cs="仿宋"/>
          <w:bCs/>
          <w:color w:val="auto"/>
          <w:sz w:val="24"/>
          <w:highlight w:val="none"/>
        </w:rPr>
        <w:t>，要求开展重点行业、城市、区域三个层面的碳监测评估及碳同化反演试点工作，</w:t>
      </w:r>
      <w:r>
        <w:rPr>
          <w:rFonts w:hint="eastAsia" w:ascii="仿宋" w:hAnsi="仿宋" w:eastAsia="仿宋" w:cs="仿宋"/>
          <w:bCs/>
          <w:color w:val="auto"/>
          <w:kern w:val="24"/>
          <w:sz w:val="24"/>
          <w:highlight w:val="none"/>
        </w:rPr>
        <w:t>探索建立碳监测评估技术方法体系，形成业务化运行模式，总结经验做法，发挥示范效应，为应对气候变化工作成效评估提供数据支撑</w:t>
      </w:r>
      <w:r>
        <w:rPr>
          <w:rFonts w:hint="eastAsia" w:ascii="仿宋" w:hAnsi="仿宋" w:eastAsia="仿宋" w:cs="仿宋"/>
          <w:bCs/>
          <w:color w:val="auto"/>
          <w:sz w:val="24"/>
          <w:highlight w:val="none"/>
        </w:rPr>
        <w:t>。本标项主要是针对杭州市温室气体监测评估、排放反演及通量核算服务进行招标。</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二、项目内容</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利用手工监测、高精度监测、无人机及走航监测、卫星遥感等产生的监测数据，结合同化算法、数值模式等手段，提供杭州市温室气体同化反演及通量核算服务，开展杭州市温室气体监测数据分析、温室气体高分辨率源清单反演、生态系统碳通量反演等工作,并进行杭州市碳监测试点综合应用与成效评估分析。具体内容如下：</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（一）统筹杭州市天地空多源观测数据，包括温室气体地面观测、移动观测、卫星观测数据及气象数据，强化数据处理技术的研发；</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（二）通过区域多模式集合反演，实现杭州市多源温室气体监测数据同化，实现杭州市温室气体排放产品动态更新；</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（三）结合卫星遥感数据和生态BEPS模型，分析杭州市碳通量的时空分布特征，了解影响碳通量和碳循环的关键因素；</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（四）按要求展示温室气体监测数据、基础清单及模型反演结果。</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五）开展温室气体多源监测数据分析，包括手工采样监测数据、无人机及走航监测数据及固定站点在线监测数据和通量监测数据的分析，从监测层面直观了解区域温室气体排放现状，同步开展与模型同化反演及模拟结果的有效校验及比对分析工作。</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二、技术要求</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（一）、模型算法</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驱动场模型</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本项目驱动场模型需采用WRF模型，制定杭州市本地化参数配置和运行方案，为温室气体同化反演提供高分辨率气象驱动场。具体技术指标要求如下：</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（1）WRF模型版本至少达到WRF V4.2，从而进一步为化学传输模型提供高精度气象驱动场；</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（2）基于多维气象资料数据同化算法，实现WRF气象模型精准的四维气象场模拟；（</w:t>
      </w:r>
      <w:r>
        <w:rPr>
          <w:rFonts w:hint="eastAsia" w:ascii="仿宋" w:hAnsi="仿宋" w:eastAsia="仿宋" w:cs="仿宋"/>
          <w:b/>
          <w:color w:val="auto"/>
          <w:sz w:val="24"/>
          <w:highlight w:val="none"/>
        </w:rPr>
        <w:t>投标人需提供详细的气象同化方案</w:t>
      </w:r>
      <w:r>
        <w:rPr>
          <w:rFonts w:hint="eastAsia" w:ascii="仿宋" w:hAnsi="仿宋" w:eastAsia="仿宋" w:cs="仿宋"/>
          <w:bCs/>
          <w:color w:val="auto"/>
          <w:sz w:val="24"/>
          <w:highlight w:val="none"/>
        </w:rPr>
        <w:t>）</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（3）模型水平方向需采用27km×9km×3km×1km四重嵌套网格设置；垂直分层至少35层，其中边界层内有15层；可实现风、温、湿、压等气象要素三维空间场模拟；</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（4）模型需同时考虑大气的水平和垂直变化等物理过程；</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（5）模型需使用高分辨率遥感地形及地表覆盖数据（包括地形条件、城市分布情况、植被分布状况等），明确本地化参数方案。</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温室气体多模式集合反演</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项目需基于天地空一体化的多源温室气体监测数据，集成至少三种不同的反演模式，开展杭州市温室气体排放反演研究，通过多套反演模式结果的研究比对，提升项目成果的可靠性与可解释性。具体技术要求指标如下：</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（1）反演模型要求反演至少包括CO</w:t>
      </w:r>
      <w:r>
        <w:rPr>
          <w:rFonts w:hint="eastAsia" w:ascii="仿宋" w:hAnsi="仿宋" w:eastAsia="仿宋" w:cs="仿宋"/>
          <w:bCs/>
          <w:color w:val="auto"/>
          <w:sz w:val="24"/>
          <w:highlight w:val="none"/>
          <w:vertAlign w:val="subscript"/>
        </w:rPr>
        <w:t>2</w:t>
      </w:r>
      <w:r>
        <w:rPr>
          <w:rFonts w:hint="eastAsia" w:ascii="仿宋" w:hAnsi="仿宋" w:eastAsia="仿宋" w:cs="仿宋"/>
          <w:bCs/>
          <w:color w:val="auto"/>
          <w:sz w:val="24"/>
          <w:highlight w:val="none"/>
        </w:rPr>
        <w:t>、CH</w:t>
      </w:r>
      <w:r>
        <w:rPr>
          <w:rFonts w:hint="eastAsia" w:ascii="仿宋" w:hAnsi="仿宋" w:eastAsia="仿宋" w:cs="仿宋"/>
          <w:bCs/>
          <w:color w:val="auto"/>
          <w:sz w:val="24"/>
          <w:highlight w:val="none"/>
          <w:vertAlign w:val="subscript"/>
        </w:rPr>
        <w:t>4</w:t>
      </w:r>
      <w:r>
        <w:rPr>
          <w:rFonts w:hint="eastAsia" w:ascii="仿宋" w:hAnsi="仿宋" w:eastAsia="仿宋" w:cs="仿宋"/>
          <w:bCs/>
          <w:color w:val="auto"/>
          <w:sz w:val="24"/>
          <w:highlight w:val="none"/>
        </w:rPr>
        <w:t>等温室气体的地表排放；</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（2）反演模型要求实现反演模式业务化运行，至少每周运行一次，输出优化后的温室气体地表通量和大气浓度产品；</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（3）反演的温室气体通量的时间分辨率要求≤1天，同化的温室气体大气浓度的时间分辨率≤3小时；</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（4）反演模型空间分辨率与WRF模型一致，采用4层嵌套，最内层覆盖杭州市主城区，分辨率为1km；</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（5）同化算法能够实现以卫星、地面站点、无人机及走航等多源观测的温室气体数据的同化；（</w:t>
      </w:r>
      <w:r>
        <w:rPr>
          <w:rFonts w:hint="eastAsia" w:ascii="仿宋" w:hAnsi="仿宋" w:eastAsia="仿宋" w:cs="仿宋"/>
          <w:b/>
          <w:color w:val="auto"/>
          <w:sz w:val="24"/>
          <w:highlight w:val="none"/>
        </w:rPr>
        <w:t>投标人需提供碳监测数据同化反演相关技术证明材料</w:t>
      </w:r>
      <w:r>
        <w:rPr>
          <w:rFonts w:hint="eastAsia" w:ascii="仿宋" w:hAnsi="仿宋" w:eastAsia="仿宋" w:cs="仿宋"/>
          <w:bCs/>
          <w:color w:val="auto"/>
          <w:sz w:val="24"/>
          <w:highlight w:val="none"/>
        </w:rPr>
        <w:t>）</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生态系统碳通量模型</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基于多源卫星遥感监测数据，利用生态系统BEPS模型，模拟计算杭州市生态系统网格化的碳通量，明确自然源对于网格内碳浓度的贡献比例，同时充分利用碳通量在线数据进行对比校验。具体技术要求指标如下：</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（1）生态系统模型模拟要求采用最新的（2019年及以后）遥感地表覆盖数据及最新的遥感叶面积指数和聚集度指数数据作为驱动数据；</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（2）生态系统模型要求能够实现多源遥感地表参数同化，以改进模型对杭州市陆地生态系统碳通量的模拟效果；</w:t>
      </w:r>
    </w:p>
    <w:p>
      <w:pPr>
        <w:adjustRightIn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（3）模型时间分辨率为1小时；空间分辨率在杭州市达到1km。</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（二）、数据管理及成果展示</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温室</w:t>
      </w:r>
      <w:r>
        <w:rPr>
          <w:rFonts w:ascii="仿宋" w:hAnsi="仿宋" w:eastAsia="仿宋" w:cs="仿宋"/>
          <w:color w:val="auto"/>
          <w:sz w:val="24"/>
          <w:highlight w:val="none"/>
        </w:rPr>
        <w:t>气体监测数据</w:t>
      </w:r>
      <w:r>
        <w:rPr>
          <w:rFonts w:hint="eastAsia" w:ascii="仿宋" w:hAnsi="仿宋" w:eastAsia="仿宋" w:cs="仿宋"/>
          <w:color w:val="auto"/>
          <w:sz w:val="24"/>
          <w:highlight w:val="none"/>
        </w:rPr>
        <w:t>需</w:t>
      </w:r>
      <w:r>
        <w:rPr>
          <w:rFonts w:ascii="仿宋" w:hAnsi="仿宋" w:eastAsia="仿宋" w:cs="仿宋"/>
          <w:color w:val="auto"/>
          <w:sz w:val="24"/>
          <w:highlight w:val="none"/>
        </w:rPr>
        <w:t>根据总站下发的</w:t>
      </w:r>
      <w:r>
        <w:rPr>
          <w:rFonts w:hint="eastAsia" w:ascii="仿宋" w:hAnsi="仿宋" w:eastAsia="仿宋" w:cs="仿宋"/>
          <w:color w:val="auto"/>
          <w:sz w:val="24"/>
          <w:highlight w:val="none"/>
        </w:rPr>
        <w:t>《城市</w:t>
      </w:r>
      <w:r>
        <w:rPr>
          <w:rFonts w:ascii="仿宋" w:hAnsi="仿宋" w:eastAsia="仿宋" w:cs="仿宋"/>
          <w:color w:val="auto"/>
          <w:sz w:val="24"/>
          <w:highlight w:val="none"/>
        </w:rPr>
        <w:t>大气温室气体试点监测数据联网工作</w:t>
      </w:r>
      <w:r>
        <w:rPr>
          <w:rFonts w:hint="eastAsia" w:ascii="仿宋" w:hAnsi="仿宋" w:eastAsia="仿宋" w:cs="仿宋"/>
          <w:color w:val="auto"/>
          <w:sz w:val="24"/>
          <w:highlight w:val="none"/>
        </w:rPr>
        <w:t>实施</w:t>
      </w:r>
      <w:r>
        <w:rPr>
          <w:rFonts w:ascii="仿宋" w:hAnsi="仿宋" w:eastAsia="仿宋" w:cs="仿宋"/>
          <w:color w:val="auto"/>
          <w:sz w:val="24"/>
          <w:highlight w:val="none"/>
        </w:rPr>
        <w:t>方案</w:t>
      </w:r>
      <w:r>
        <w:rPr>
          <w:rFonts w:hint="eastAsia" w:ascii="仿宋" w:hAnsi="仿宋" w:eastAsia="仿宋" w:cs="仿宋"/>
          <w:color w:val="auto"/>
          <w:sz w:val="24"/>
          <w:highlight w:val="none"/>
        </w:rPr>
        <w:t>》进行</w:t>
      </w:r>
      <w:r>
        <w:rPr>
          <w:rFonts w:ascii="仿宋" w:hAnsi="仿宋" w:eastAsia="仿宋" w:cs="仿宋"/>
          <w:color w:val="auto"/>
          <w:sz w:val="24"/>
          <w:highlight w:val="none"/>
        </w:rPr>
        <w:t>数据传输</w:t>
      </w:r>
      <w:r>
        <w:rPr>
          <w:rFonts w:hint="eastAsia" w:ascii="仿宋" w:hAnsi="仿宋" w:eastAsia="仿宋" w:cs="仿宋"/>
          <w:color w:val="auto"/>
          <w:sz w:val="24"/>
          <w:highlight w:val="none"/>
        </w:rPr>
        <w:t>，并按要求接入杭州市生态智卫以及采购方指定的其他系统进行管理，数据分析结果、基础清单及模型反演结果等按采购方要求进行展示。</w:t>
      </w:r>
    </w:p>
    <w:p>
      <w:pPr>
        <w:adjustRightInd w:val="0"/>
        <w:snapToGrid w:val="0"/>
        <w:spacing w:line="360" w:lineRule="auto"/>
        <w:ind w:firstLine="420" w:firstLineChars="200"/>
        <w:jc w:val="left"/>
        <w:rPr>
          <w:rFonts w:ascii="仿宋" w:hAnsi="仿宋" w:eastAsia="仿宋" w:cs="仿宋"/>
          <w:color w:val="auto"/>
          <w:sz w:val="24"/>
          <w:highlight w:val="none"/>
        </w:rPr>
      </w:pPr>
      <w:r>
        <w:rPr>
          <w:rFonts w:hint="eastAsia" w:ascii="仿宋" w:hAnsi="仿宋" w:eastAsia="仿宋"/>
          <w:color w:val="auto"/>
          <w:highlight w:val="none"/>
        </w:rPr>
        <w:t>项目所产生的温室气体监测数据及温室气体监测应用评估成果</w:t>
      </w:r>
      <w:r>
        <w:rPr>
          <w:rFonts w:hint="eastAsia" w:ascii="仿宋" w:hAnsi="仿宋" w:eastAsia="仿宋" w:cs="仿宋"/>
          <w:color w:val="auto"/>
          <w:sz w:val="24"/>
          <w:highlight w:val="none"/>
        </w:rPr>
        <w:t>遵循杭州生态智卫平台数据接入规范等相关要求，按照应归集尽归集的原则，根据数据类型和应用途径做好归纳、清洗、结构化、压缩等数据生产工作，按需提供数据、通用组件、标准化服务或接口，负责做好相关展示界面的开发及数据推送工作，配合做好页面嵌入和数据入库工作，确保成果应用效益最大化。</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监测数据管理</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 数据存储</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开发数据集成管理方法技术，内容包括温室气体监测站点列表、仪器在线监控信息、原始数据、审核数据等，并对监测的数据进行储存统计。具体技术指标要求如下：</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（1）将杭州市区范围内所有的温室气体地面监测站点罗列，引入GIS的信息化显示技术直观展示各站点空间分布情况；</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（2）实现站点名称、经纬度、监测组分类型等参数的展示；</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（3）实现仪器设备在线运行状态监控，实时查看各站点仪器运行参数是否正常；</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（4）实现原始数据的汇总存储，实现选择不同站点、不同温室气体、不同时段查看监测数据和变化情况；</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（5）实现原始数据的更正、审核操作，可自由选择不同时段、不同站点、不同温室气体或监测仪器查看经过审核算法判断后的监测数据；</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（6）实现温室气体监测数据的查询及导出功能。</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 数据分析</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进行多点位温室气体在线监测数据、温室气体通量监测数据及气象数据综合分析，分析结果按采购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要求进行展示。具体技术指标要求如下：</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（1）不同时间段、不同站点监测数据分析；</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（2）单个站点多要素的对比分析，包括不同温室气体与不同气象要素的对比分析；</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（3）多个站点单要素与多要素对比分析，包括多站点单个温室气体或单个气象要素的分析、多站点多温室气体及气象要素的综合性对比分析；</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（4）单个站点或多个站点碳通量监测数据的对比分析，同步支持与气象要素的综合性分析。</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温室气体排放反演</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提供温室气体动态反演产品，并按要求进行展示，具体技术指标要求如下：</w:t>
      </w:r>
    </w:p>
    <w:p>
      <w:pPr>
        <w:adjustRightInd w:val="0"/>
        <w:snapToGrid w:val="0"/>
        <w:spacing w:line="360" w:lineRule="auto"/>
        <w:ind w:firstLine="480" w:firstLineChars="200"/>
        <w:jc w:val="left"/>
        <w:rPr>
          <w:color w:val="auto"/>
          <w:highlight w:val="none"/>
        </w:rPr>
      </w:pPr>
      <w:r>
        <w:rPr>
          <w:rFonts w:hint="eastAsia" w:ascii="仿宋" w:hAnsi="仿宋" w:eastAsia="仿宋" w:cs="仿宋"/>
          <w:color w:val="auto"/>
          <w:sz w:val="24"/>
          <w:highlight w:val="none"/>
        </w:rPr>
        <w:t>（1）提供基础清单及多套动态反演产品结果，并进行动态更新展示；（</w:t>
      </w:r>
      <w:r>
        <w:rPr>
          <w:rFonts w:hint="eastAsia" w:ascii="仿宋" w:hAnsi="仿宋" w:eastAsia="仿宋" w:cs="仿宋"/>
          <w:b/>
          <w:bCs/>
          <w:color w:val="auto"/>
          <w:sz w:val="24"/>
          <w:highlight w:val="none"/>
        </w:rPr>
        <w:t>投标人需提供排放反演相关技术证明材料</w:t>
      </w:r>
      <w:r>
        <w:rPr>
          <w:rFonts w:hint="eastAsia" w:ascii="仿宋" w:hAnsi="仿宋" w:eastAsia="仿宋" w:cs="仿宋"/>
          <w:color w:val="auto"/>
          <w:sz w:val="24"/>
          <w:highlight w:val="none"/>
        </w:rPr>
        <w:t>）</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（2）提供任意时间段温室气体排放产品（数据结果及图形展示结果），根据采购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 xml:space="preserve">不同的需求，提供空间分布产品、时间序列产品等； </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）展示杭州市不同行政区域的温室气体排放量、不同行政区域及不同时段内温室气体排放量的变化情况；</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）根据采购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的其他需求提供数据统计结果和温室气体排放反演产品。</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生态系统碳通量模拟</w:t>
      </w:r>
    </w:p>
    <w:p>
      <w:pPr>
        <w:adjustRightInd w:val="0"/>
        <w:snapToGrid w:val="0"/>
        <w:spacing w:line="360" w:lineRule="auto"/>
        <w:ind w:firstLine="482"/>
        <w:jc w:val="left"/>
        <w:rPr>
          <w:rFonts w:ascii="仿宋" w:hAnsi="仿宋" w:eastAsia="仿宋" w:cs="仿宋"/>
          <w:color w:val="auto"/>
          <w:sz w:val="24"/>
          <w:highlight w:val="none"/>
        </w:rPr>
      </w:pPr>
      <w:r>
        <w:rPr>
          <w:rFonts w:hint="eastAsia" w:ascii="仿宋" w:hAnsi="仿宋" w:eastAsia="仿宋" w:cs="仿宋"/>
          <w:color w:val="auto"/>
          <w:sz w:val="24"/>
          <w:highlight w:val="none"/>
        </w:rPr>
        <w:t>提供生态碳通量模拟结果，并按要求进行展示，具体技术指标要求如下：</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（1）进行杭州市不同时间段不同行政区域的生态系统碳通量时空分布特征分析；</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（2）针对杭州市不同行政区域的碳通量进行模拟评估；</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（3）根据采购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的其他需求提供数据统计结果和生态系统碳通量模拟产品。</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（三）杭州市碳监测试点综合应用与成效评估</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需对杭州温室气体监测站点、温室气体监测数据、模型反演核算结果进行综合评估分析，具体指标要求如下：</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（1）基于杭州市多源温室气体监测数据，开展包括温室气体手工采样监测数据、固定站点在线温室气体监测数据、无人机及走航监测数据和通量监测数据的定期分析;</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（2）利用多源温室气体监测数据、卫星遥感监测数据和同化反演及模拟评估相结合的方法，进行校验比对分析；</w:t>
      </w:r>
    </w:p>
    <w:p>
      <w:pP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分析结果以月报、季报及年报的形式提供。</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三、人员保障</w:t>
      </w:r>
    </w:p>
    <w:p>
      <w:pPr>
        <w:pStyle w:val="979"/>
        <w:spacing w:line="360" w:lineRule="auto"/>
        <w:ind w:left="0" w:leftChars="0" w:firstLine="480"/>
        <w:rPr>
          <w:color w:val="auto"/>
          <w:highlight w:val="none"/>
          <w:lang w:val="en-US"/>
        </w:rPr>
      </w:pPr>
      <w:r>
        <w:rPr>
          <w:rFonts w:hint="eastAsia" w:ascii="仿宋" w:hAnsi="仿宋" w:eastAsia="仿宋" w:cs="仿宋"/>
          <w:bCs/>
          <w:color w:val="auto"/>
          <w:sz w:val="24"/>
          <w:highlight w:val="none"/>
        </w:rPr>
        <w:t>为保证项目实施质量，</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需成立合理的组织机构，安排至少</w:t>
      </w:r>
      <w:r>
        <w:rPr>
          <w:rFonts w:ascii="仿宋" w:hAnsi="仿宋" w:eastAsia="仿宋" w:cs="仿宋"/>
          <w:bCs/>
          <w:color w:val="auto"/>
          <w:sz w:val="24"/>
          <w:highlight w:val="none"/>
        </w:rPr>
        <w:t>8</w:t>
      </w:r>
      <w:r>
        <w:rPr>
          <w:rFonts w:hint="eastAsia" w:ascii="仿宋" w:hAnsi="仿宋" w:eastAsia="仿宋" w:cs="仿宋"/>
          <w:bCs/>
          <w:color w:val="auto"/>
          <w:sz w:val="24"/>
          <w:highlight w:val="none"/>
        </w:rPr>
        <w:t>名高素质专业技术人员参加本项目建设工作，其中至少3名需具有气象学专业背景，</w:t>
      </w:r>
      <w:r>
        <w:rPr>
          <w:rFonts w:ascii="仿宋" w:hAnsi="仿宋" w:eastAsia="仿宋" w:cs="仿宋"/>
          <w:bCs/>
          <w:color w:val="auto"/>
          <w:sz w:val="24"/>
          <w:highlight w:val="none"/>
        </w:rPr>
        <w:t>8</w:t>
      </w:r>
      <w:r>
        <w:rPr>
          <w:rFonts w:hint="eastAsia" w:ascii="仿宋" w:hAnsi="仿宋" w:eastAsia="仿宋" w:cs="仿宋"/>
          <w:bCs/>
          <w:color w:val="auto"/>
          <w:sz w:val="24"/>
          <w:highlight w:val="none"/>
        </w:rPr>
        <w:t>名专业技术人员中必须明确1名项目技术负责人，技术负责人需具有高级职称；具备一年以上相关工作经验，若服务期间人员产生变动，须经采购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同意。</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四、技术资料及知识产权</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本项目执行过程中所产生的数据资料、算法、源代码和技术报告均为采购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所有，中标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未经同意不得擅自使用，由此产生的一切后果由中标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承担。中标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需和采购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签订相应的保密协议。中标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对在服务过程中接触到的采购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的任何资料、文件、数据以及对服务形成的任何交付物负有保密责任，未经采购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书面同意，中标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不得以任何形式进行利用，不得以任何方式向任何第三方提供或透露。中标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如违反上述保密规定，应承担相应违约责任。本保密义务不因本项目合同期满、解除或终止而终止，除非采购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书面通知中标方解密，否则，中标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在合同终止后仍然负有保密义务。</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五、后续服务要求</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本项目模型维护期2年，维护期间需：</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（一）成果要求</w:t>
      </w:r>
    </w:p>
    <w:p>
      <w:pPr>
        <w:adjustRightInd w:val="0"/>
        <w:snapToGrid w:val="0"/>
        <w:spacing w:line="360" w:lineRule="auto"/>
        <w:ind w:firstLine="480" w:firstLineChars="200"/>
        <w:jc w:val="left"/>
        <w:rPr>
          <w:rFonts w:ascii="仿宋" w:hAnsi="仿宋" w:eastAsia="仿宋" w:cs="仿宋"/>
          <w:bCs/>
          <w:color w:val="auto"/>
          <w:sz w:val="24"/>
          <w:szCs w:val="22"/>
          <w:highlight w:val="none"/>
        </w:rPr>
      </w:pPr>
      <w:r>
        <w:rPr>
          <w:rFonts w:hint="eastAsia" w:ascii="仿宋" w:hAnsi="仿宋" w:eastAsia="仿宋" w:cs="仿宋"/>
          <w:bCs/>
          <w:color w:val="auto"/>
          <w:sz w:val="24"/>
          <w:highlight w:val="none"/>
        </w:rPr>
        <w:t>（1）业务化运行温室气体</w:t>
      </w:r>
      <w:r>
        <w:rPr>
          <w:rFonts w:hint="eastAsia" w:ascii="仿宋" w:hAnsi="仿宋" w:eastAsia="仿宋" w:cs="仿宋"/>
          <w:bCs/>
          <w:color w:val="auto"/>
          <w:sz w:val="24"/>
          <w:szCs w:val="22"/>
          <w:highlight w:val="none"/>
        </w:rPr>
        <w:t>反演模式，反演至少包括CO</w:t>
      </w:r>
      <w:r>
        <w:rPr>
          <w:rFonts w:hint="eastAsia" w:ascii="仿宋" w:hAnsi="仿宋" w:eastAsia="仿宋" w:cs="仿宋"/>
          <w:bCs/>
          <w:color w:val="auto"/>
          <w:sz w:val="24"/>
          <w:szCs w:val="22"/>
          <w:highlight w:val="none"/>
          <w:vertAlign w:val="subscript"/>
        </w:rPr>
        <w:t>2</w:t>
      </w:r>
      <w:r>
        <w:rPr>
          <w:rFonts w:hint="eastAsia" w:ascii="仿宋" w:hAnsi="仿宋" w:eastAsia="仿宋" w:cs="仿宋"/>
          <w:bCs/>
          <w:color w:val="auto"/>
          <w:sz w:val="24"/>
          <w:szCs w:val="22"/>
          <w:highlight w:val="none"/>
        </w:rPr>
        <w:t>、CH</w:t>
      </w:r>
      <w:r>
        <w:rPr>
          <w:rFonts w:hint="eastAsia" w:ascii="仿宋" w:hAnsi="仿宋" w:eastAsia="仿宋" w:cs="仿宋"/>
          <w:bCs/>
          <w:color w:val="auto"/>
          <w:sz w:val="24"/>
          <w:szCs w:val="22"/>
          <w:highlight w:val="none"/>
          <w:vertAlign w:val="subscript"/>
        </w:rPr>
        <w:t>4</w:t>
      </w:r>
      <w:r>
        <w:rPr>
          <w:rFonts w:hint="eastAsia" w:ascii="仿宋" w:hAnsi="仿宋" w:eastAsia="仿宋" w:cs="仿宋"/>
          <w:bCs/>
          <w:color w:val="auto"/>
          <w:sz w:val="24"/>
          <w:szCs w:val="22"/>
          <w:highlight w:val="none"/>
        </w:rPr>
        <w:t>等温室气体的高时空分辨率排放清单、温室气体地表通量和大气浓度产品；</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szCs w:val="22"/>
          <w:highlight w:val="none"/>
        </w:rPr>
        <w:t>（2）</w:t>
      </w:r>
      <w:r>
        <w:rPr>
          <w:rFonts w:hint="eastAsia" w:ascii="仿宋" w:hAnsi="仿宋" w:eastAsia="仿宋" w:cs="仿宋"/>
          <w:bCs/>
          <w:color w:val="auto"/>
          <w:sz w:val="24"/>
          <w:highlight w:val="none"/>
        </w:rPr>
        <w:t>以月报、季报及年报的形式递交《杭州市温室气体多源监测数据分析及同化反演结果》，报告内容至少包含</w:t>
      </w:r>
      <w:bookmarkStart w:id="27" w:name="_Hlk112304766"/>
      <w:r>
        <w:rPr>
          <w:rFonts w:hint="eastAsia" w:ascii="仿宋" w:hAnsi="仿宋" w:eastAsia="仿宋" w:cs="仿宋"/>
          <w:bCs/>
          <w:color w:val="auto"/>
          <w:sz w:val="24"/>
          <w:highlight w:val="none"/>
        </w:rPr>
        <w:t>①温室气体数据时空分布特征,②温室气体源排放反演结果，③生态系统碳通量时空分布特征；</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（3）集成管理温室气体监测数据，全方位进行对比分析，并按要求展示数据及分析结果。</w:t>
      </w:r>
    </w:p>
    <w:bookmarkEnd w:id="27"/>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（二）响应要求</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需及时响应采购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需求，做到24小时在线响应，如需现场服务支撑，在接到采购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通知后，24小时内到达现场；</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需提供临时性的技术指导及模型分析等服务，配合采购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进行温室气体数据分析、模型模拟反演相关服务；</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ascii="仿宋" w:hAnsi="仿宋" w:eastAsia="仿宋" w:cs="仿宋"/>
          <w:bCs/>
          <w:color w:val="auto"/>
          <w:sz w:val="24"/>
          <w:highlight w:val="none"/>
        </w:rPr>
        <w:t>（3）培训要求：</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应根据本项目特点，拟定有关培训计划并组织实施，确保培训质量。投标人在投标文件中提供详细的培训计划,包括培训内容、培训时间、培训人数、培训地点等，至少包含</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天10人次的培训。</w:t>
      </w:r>
    </w:p>
    <w:p>
      <w:pPr>
        <w:adjustRightInd w:val="0"/>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仿宋"/>
          <w:bCs/>
          <w:color w:val="auto"/>
          <w:sz w:val="24"/>
          <w:highlight w:val="none"/>
        </w:rPr>
        <w:t>（</w:t>
      </w:r>
      <w:r>
        <w:rPr>
          <w:rFonts w:ascii="仿宋" w:hAnsi="仿宋" w:eastAsia="仿宋" w:cs="仿宋"/>
          <w:bCs/>
          <w:color w:val="auto"/>
          <w:sz w:val="24"/>
          <w:highlight w:val="none"/>
        </w:rPr>
        <w:t>4</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需提供与本项目相关的免费电话技术咨询及答疑</w:t>
      </w:r>
      <w:r>
        <w:rPr>
          <w:rFonts w:ascii="仿宋" w:hAnsi="仿宋" w:eastAsia="仿宋" w:cs="仿宋"/>
          <w:bCs/>
          <w:color w:val="auto"/>
          <w:sz w:val="24"/>
          <w:highlight w:val="none"/>
        </w:rPr>
        <w:t>。</w:t>
      </w:r>
      <w:r>
        <w:rPr>
          <w:rFonts w:hint="eastAsia" w:ascii="仿宋" w:hAnsi="仿宋" w:eastAsia="仿宋"/>
          <w:color w:val="auto"/>
          <w:sz w:val="24"/>
          <w:highlight w:val="none"/>
        </w:rPr>
        <w:t>维护期内，如</w:t>
      </w:r>
      <w:r>
        <w:rPr>
          <w:rFonts w:hint="eastAsia" w:ascii="仿宋" w:hAnsi="仿宋" w:eastAsia="仿宋" w:cs="仿宋"/>
          <w:bCs/>
          <w:color w:val="auto"/>
          <w:sz w:val="24"/>
          <w:highlight w:val="none"/>
          <w:lang w:val="en-US" w:eastAsia="zh-CN"/>
        </w:rPr>
        <w:t>投标人</w:t>
      </w:r>
      <w:r>
        <w:rPr>
          <w:rFonts w:hint="eastAsia" w:ascii="仿宋" w:hAnsi="仿宋" w:eastAsia="仿宋"/>
          <w:color w:val="auto"/>
          <w:sz w:val="24"/>
          <w:highlight w:val="none"/>
        </w:rPr>
        <w:t>无法达到以上服务响应要求的，每发生一次向采购</w:t>
      </w:r>
      <w:r>
        <w:rPr>
          <w:rFonts w:hint="eastAsia" w:ascii="仿宋" w:hAnsi="仿宋" w:eastAsia="仿宋"/>
          <w:color w:val="auto"/>
          <w:sz w:val="24"/>
          <w:highlight w:val="none"/>
          <w:lang w:val="en-US" w:eastAsia="zh-CN"/>
        </w:rPr>
        <w:t>人</w:t>
      </w:r>
      <w:r>
        <w:rPr>
          <w:rFonts w:hint="eastAsia" w:ascii="仿宋" w:hAnsi="仿宋" w:eastAsia="仿宋"/>
          <w:color w:val="auto"/>
          <w:sz w:val="24"/>
          <w:highlight w:val="none"/>
        </w:rPr>
        <w:t>支付违约金</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000元。</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六、履约验收要求</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项目验收工作由采购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组织专家组成项目验收小组来完成，具体成员和组织形式由采购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确定。</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（1）履约验收时间：2022年12月10日前。</w:t>
      </w:r>
    </w:p>
    <w:p>
      <w:pPr>
        <w:adjustRightInd w:val="0"/>
        <w:snapToGrid w:val="0"/>
        <w:spacing w:line="360" w:lineRule="auto"/>
        <w:ind w:firstLine="482"/>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w:t>
      </w:r>
      <w:r>
        <w:rPr>
          <w:rFonts w:ascii="仿宋" w:hAnsi="仿宋" w:eastAsia="仿宋" w:cs="仿宋"/>
          <w:bCs/>
          <w:color w:val="auto"/>
          <w:sz w:val="24"/>
          <w:highlight w:val="none"/>
        </w:rPr>
        <w:t>2</w:t>
      </w:r>
      <w:r>
        <w:rPr>
          <w:rFonts w:hint="eastAsia" w:ascii="仿宋" w:hAnsi="仿宋" w:eastAsia="仿宋" w:cs="仿宋"/>
          <w:bCs/>
          <w:color w:val="auto"/>
          <w:sz w:val="24"/>
          <w:highlight w:val="none"/>
        </w:rPr>
        <w:t>）履约验收标准：提供一份《杭州市温室气体监测数据分析及同化反演结果报告》，主要内容包括温室气体排放反演模型构建，结合已产生的温室气体数据进行分析反演获得的结果，数据集成管理技术研发。</w:t>
      </w:r>
    </w:p>
    <w:p>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（3）履约验收其他事项</w:t>
      </w:r>
    </w:p>
    <w:p>
      <w:pPr>
        <w:adjustRightInd w:val="0"/>
        <w:snapToGrid w:val="0"/>
        <w:spacing w:line="360" w:lineRule="auto"/>
        <w:ind w:firstLine="482"/>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①项目验收前，</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需向采购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提出书面验收申请，并提供经采购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确认的各类文档及资料。 ②验收合格后，采购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按照本合同规定的相关付款条件，支付中标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相应款项；验收不合格时，投标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应负责修改成果报告，并在达到验收条件时，再次向采购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提出书面验收申请；因投标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原因导致项目验收不合格产生的延期及其它建设工作成本，由投标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承担。③验收合格后，中标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需继续提供2年模型维护服务。</w:t>
      </w:r>
    </w:p>
    <w:p>
      <w:pPr>
        <w:adjustRightInd w:val="0"/>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七、付款方式</w:t>
      </w:r>
    </w:p>
    <w:p>
      <w:pPr>
        <w:adjustRightInd w:val="0"/>
        <w:snapToGrid w:val="0"/>
        <w:spacing w:line="360" w:lineRule="auto"/>
        <w:ind w:firstLine="482"/>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（1）合同签订后，采购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支付中标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合同金额的7</w:t>
      </w:r>
      <w:r>
        <w:rPr>
          <w:rFonts w:ascii="仿宋" w:hAnsi="仿宋" w:eastAsia="仿宋" w:cs="仿宋"/>
          <w:bCs/>
          <w:color w:val="auto"/>
          <w:sz w:val="24"/>
          <w:highlight w:val="none"/>
        </w:rPr>
        <w:t>0</w:t>
      </w:r>
      <w:r>
        <w:rPr>
          <w:rFonts w:hint="eastAsia" w:ascii="仿宋" w:hAnsi="仿宋" w:eastAsia="仿宋" w:cs="仿宋"/>
          <w:bCs/>
          <w:color w:val="auto"/>
          <w:sz w:val="24"/>
          <w:highlight w:val="none"/>
        </w:rPr>
        <w:t>%；</w:t>
      </w:r>
    </w:p>
    <w:p>
      <w:pPr>
        <w:pStyle w:val="26"/>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rPr>
        <w:t>（</w:t>
      </w:r>
      <w:r>
        <w:rPr>
          <w:rFonts w:ascii="仿宋" w:hAnsi="仿宋" w:eastAsia="仿宋" w:cs="仿宋"/>
          <w:bCs/>
          <w:color w:val="auto"/>
          <w:sz w:val="24"/>
          <w:highlight w:val="none"/>
        </w:rPr>
        <w:t>2</w:t>
      </w:r>
      <w:r>
        <w:rPr>
          <w:rFonts w:hint="eastAsia" w:ascii="仿宋" w:hAnsi="仿宋" w:eastAsia="仿宋" w:cs="仿宋"/>
          <w:bCs/>
          <w:color w:val="auto"/>
          <w:sz w:val="24"/>
          <w:highlight w:val="none"/>
        </w:rPr>
        <w:t>）完成项目验收且经采购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确认验收合格后，采购</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向中标</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支付合同金额的3</w:t>
      </w:r>
      <w:r>
        <w:rPr>
          <w:rFonts w:ascii="仿宋" w:hAnsi="仿宋" w:eastAsia="仿宋" w:cs="仿宋"/>
          <w:bCs/>
          <w:color w:val="auto"/>
          <w:sz w:val="24"/>
          <w:highlight w:val="none"/>
        </w:rPr>
        <w:t>0</w:t>
      </w:r>
      <w:r>
        <w:rPr>
          <w:rFonts w:hint="eastAsia" w:ascii="仿宋" w:hAnsi="仿宋" w:eastAsia="仿宋" w:cs="仿宋"/>
          <w:bCs/>
          <w:color w:val="auto"/>
          <w:sz w:val="24"/>
          <w:highlight w:val="none"/>
        </w:rPr>
        <w:t>%。</w:t>
      </w:r>
    </w:p>
    <w:p>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28" w:name="_Toc184313300"/>
      <w:bookmarkEnd w:id="28"/>
      <w:bookmarkStart w:id="29" w:name="_Toc184308105"/>
      <w:bookmarkEnd w:id="29"/>
      <w:bookmarkStart w:id="30" w:name="_Toc184312136"/>
      <w:bookmarkEnd w:id="30"/>
      <w:bookmarkStart w:id="31" w:name="_Toc184314465"/>
      <w:bookmarkEnd w:id="31"/>
      <w:bookmarkStart w:id="32" w:name="_Toc184308078"/>
      <w:bookmarkEnd w:id="32"/>
      <w:bookmarkStart w:id="33" w:name="_Toc184313291"/>
      <w:bookmarkEnd w:id="33"/>
      <w:bookmarkStart w:id="34" w:name="_Toc184310329"/>
      <w:bookmarkEnd w:id="34"/>
      <w:bookmarkStart w:id="35" w:name="_Toc184314427"/>
      <w:bookmarkEnd w:id="35"/>
      <w:bookmarkStart w:id="36" w:name="_Toc184308053"/>
      <w:bookmarkEnd w:id="36"/>
      <w:bookmarkStart w:id="37" w:name="_Toc184308056"/>
      <w:bookmarkEnd w:id="37"/>
      <w:bookmarkStart w:id="38" w:name="_Toc184312098"/>
      <w:bookmarkEnd w:id="38"/>
      <w:bookmarkStart w:id="39" w:name="_Toc184314423"/>
      <w:bookmarkEnd w:id="39"/>
      <w:bookmarkStart w:id="40" w:name="_Toc184310285"/>
      <w:bookmarkEnd w:id="40"/>
      <w:bookmarkStart w:id="41" w:name="_Toc184314442"/>
      <w:bookmarkEnd w:id="41"/>
      <w:bookmarkStart w:id="42" w:name="_Toc184314419"/>
      <w:bookmarkEnd w:id="42"/>
      <w:bookmarkStart w:id="43" w:name="_Toc184310281"/>
      <w:bookmarkEnd w:id="43"/>
      <w:bookmarkStart w:id="44" w:name="_Toc184312088"/>
      <w:bookmarkEnd w:id="44"/>
      <w:bookmarkStart w:id="45" w:name="_Toc184313283"/>
      <w:bookmarkEnd w:id="45"/>
      <w:bookmarkStart w:id="46" w:name="_Toc184312085"/>
      <w:bookmarkEnd w:id="46"/>
      <w:bookmarkStart w:id="47" w:name="_Toc184308051"/>
      <w:bookmarkEnd w:id="47"/>
      <w:bookmarkStart w:id="48" w:name="_Toc184310273"/>
      <w:bookmarkEnd w:id="48"/>
      <w:bookmarkStart w:id="49" w:name="_Toc184312080"/>
      <w:bookmarkEnd w:id="49"/>
      <w:bookmarkStart w:id="50" w:name="_Toc184312101"/>
      <w:bookmarkEnd w:id="50"/>
      <w:bookmarkStart w:id="51" w:name="_Toc184313242"/>
      <w:bookmarkEnd w:id="51"/>
      <w:bookmarkStart w:id="52" w:name="_Toc184313282"/>
      <w:bookmarkEnd w:id="52"/>
      <w:bookmarkStart w:id="53" w:name="_Toc184310303"/>
      <w:bookmarkEnd w:id="53"/>
      <w:bookmarkStart w:id="54" w:name="_Toc184313248"/>
      <w:bookmarkEnd w:id="54"/>
      <w:bookmarkStart w:id="55" w:name="_Toc184308046"/>
      <w:bookmarkEnd w:id="55"/>
      <w:bookmarkStart w:id="56" w:name="_Toc184313252"/>
      <w:bookmarkEnd w:id="56"/>
      <w:bookmarkStart w:id="57" w:name="_Toc184310327"/>
      <w:bookmarkEnd w:id="57"/>
      <w:bookmarkStart w:id="58" w:name="_Toc184308094"/>
      <w:bookmarkEnd w:id="58"/>
      <w:bookmarkStart w:id="59" w:name="_Toc184310304"/>
      <w:bookmarkEnd w:id="59"/>
      <w:bookmarkStart w:id="60" w:name="_Toc184308072"/>
      <w:bookmarkEnd w:id="60"/>
      <w:bookmarkStart w:id="61" w:name="_Toc184308062"/>
      <w:bookmarkEnd w:id="61"/>
      <w:bookmarkStart w:id="62" w:name="_Toc184312083"/>
      <w:bookmarkEnd w:id="62"/>
      <w:bookmarkStart w:id="63" w:name="_Toc184312135"/>
      <w:bookmarkEnd w:id="63"/>
      <w:bookmarkStart w:id="64" w:name="_Toc184310335"/>
      <w:bookmarkEnd w:id="64"/>
      <w:bookmarkStart w:id="65" w:name="_Toc184313296"/>
      <w:bookmarkEnd w:id="65"/>
      <w:bookmarkStart w:id="66" w:name="_Toc184310331"/>
      <w:bookmarkEnd w:id="66"/>
      <w:bookmarkStart w:id="67" w:name="_Toc184312117"/>
      <w:bookmarkEnd w:id="67"/>
      <w:bookmarkStart w:id="68" w:name="_Toc184312084"/>
      <w:bookmarkEnd w:id="68"/>
      <w:bookmarkStart w:id="69" w:name="_Toc184313264"/>
      <w:bookmarkEnd w:id="69"/>
      <w:bookmarkStart w:id="70" w:name="_Toc184314432"/>
      <w:bookmarkEnd w:id="70"/>
      <w:bookmarkStart w:id="71" w:name="_Toc184312134"/>
      <w:bookmarkEnd w:id="71"/>
      <w:bookmarkStart w:id="72" w:name="_Toc184312114"/>
      <w:bookmarkEnd w:id="72"/>
      <w:bookmarkStart w:id="73" w:name="_Toc184314482"/>
      <w:bookmarkEnd w:id="73"/>
      <w:bookmarkStart w:id="74" w:name="_Toc184313275"/>
      <w:bookmarkEnd w:id="74"/>
      <w:bookmarkStart w:id="75" w:name="_Toc184310323"/>
      <w:bookmarkEnd w:id="75"/>
      <w:bookmarkStart w:id="76" w:name="_Toc184312094"/>
      <w:bookmarkEnd w:id="76"/>
      <w:bookmarkStart w:id="77" w:name="_Toc184314417"/>
      <w:bookmarkEnd w:id="77"/>
      <w:bookmarkStart w:id="78" w:name="_Toc184312139"/>
      <w:bookmarkEnd w:id="78"/>
      <w:bookmarkStart w:id="79" w:name="_Toc184310322"/>
      <w:bookmarkEnd w:id="79"/>
      <w:bookmarkStart w:id="80" w:name="_Toc184308071"/>
      <w:bookmarkEnd w:id="80"/>
      <w:bookmarkStart w:id="81" w:name="_Toc184314451"/>
      <w:bookmarkEnd w:id="81"/>
      <w:bookmarkStart w:id="82" w:name="_Toc184308070"/>
      <w:bookmarkEnd w:id="82"/>
      <w:bookmarkStart w:id="83" w:name="_Toc184310325"/>
      <w:bookmarkEnd w:id="83"/>
      <w:bookmarkStart w:id="84" w:name="_Toc184313278"/>
      <w:bookmarkEnd w:id="84"/>
      <w:bookmarkStart w:id="85" w:name="_Toc184308057"/>
      <w:bookmarkEnd w:id="85"/>
      <w:bookmarkStart w:id="86" w:name="_Toc184310307"/>
      <w:bookmarkEnd w:id="86"/>
      <w:bookmarkStart w:id="87" w:name="_Toc184312071"/>
      <w:bookmarkEnd w:id="87"/>
      <w:bookmarkStart w:id="88" w:name="_Toc184314418"/>
      <w:bookmarkEnd w:id="88"/>
      <w:bookmarkStart w:id="89" w:name="_Toc184313299"/>
      <w:bookmarkEnd w:id="89"/>
      <w:bookmarkStart w:id="90" w:name="_Toc184308037"/>
      <w:bookmarkEnd w:id="90"/>
      <w:bookmarkStart w:id="91" w:name="_Toc184313309"/>
      <w:bookmarkEnd w:id="91"/>
      <w:bookmarkStart w:id="92" w:name="_Toc184312131"/>
      <w:bookmarkEnd w:id="92"/>
      <w:bookmarkStart w:id="93" w:name="_Toc184308044"/>
      <w:bookmarkEnd w:id="93"/>
      <w:bookmarkStart w:id="94" w:name="_Toc184312079"/>
      <w:bookmarkEnd w:id="94"/>
      <w:bookmarkStart w:id="95" w:name="_Toc184310305"/>
      <w:bookmarkEnd w:id="95"/>
      <w:bookmarkStart w:id="96" w:name="_Toc184313266"/>
      <w:bookmarkEnd w:id="96"/>
      <w:bookmarkStart w:id="97" w:name="_Toc184313308"/>
      <w:bookmarkEnd w:id="97"/>
      <w:bookmarkStart w:id="98" w:name="_Toc184308104"/>
      <w:bookmarkEnd w:id="98"/>
      <w:bookmarkStart w:id="99" w:name="_Toc184310340"/>
      <w:bookmarkEnd w:id="99"/>
      <w:bookmarkStart w:id="100" w:name="_Toc184308097"/>
      <w:bookmarkEnd w:id="100"/>
      <w:bookmarkStart w:id="101" w:name="_Toc184314461"/>
      <w:bookmarkEnd w:id="101"/>
      <w:bookmarkStart w:id="102" w:name="_Toc184314449"/>
      <w:bookmarkEnd w:id="102"/>
      <w:bookmarkStart w:id="103" w:name="_Toc184310299"/>
      <w:bookmarkEnd w:id="103"/>
      <w:bookmarkStart w:id="104" w:name="_Toc184308064"/>
      <w:bookmarkEnd w:id="104"/>
      <w:bookmarkStart w:id="105" w:name="_Toc184308101"/>
      <w:bookmarkEnd w:id="105"/>
      <w:bookmarkStart w:id="106" w:name="_Toc184314462"/>
      <w:bookmarkEnd w:id="106"/>
      <w:bookmarkStart w:id="107" w:name="_Toc184310338"/>
      <w:bookmarkEnd w:id="107"/>
      <w:bookmarkStart w:id="108" w:name="_Toc184312072"/>
      <w:bookmarkEnd w:id="108"/>
      <w:bookmarkStart w:id="109" w:name="_Toc184310272"/>
      <w:bookmarkEnd w:id="109"/>
      <w:bookmarkStart w:id="110" w:name="_Toc184313304"/>
      <w:bookmarkEnd w:id="110"/>
      <w:bookmarkStart w:id="111" w:name="_Toc184308063"/>
      <w:bookmarkEnd w:id="111"/>
      <w:bookmarkStart w:id="112" w:name="_Toc184308048"/>
      <w:bookmarkEnd w:id="112"/>
      <w:bookmarkStart w:id="113" w:name="_Toc184308040"/>
      <w:bookmarkEnd w:id="113"/>
      <w:bookmarkStart w:id="114" w:name="_Toc184312116"/>
      <w:bookmarkEnd w:id="114"/>
      <w:bookmarkStart w:id="115" w:name="_Toc184313293"/>
      <w:bookmarkEnd w:id="115"/>
      <w:bookmarkStart w:id="116" w:name="_Toc184310302"/>
      <w:bookmarkEnd w:id="116"/>
      <w:bookmarkStart w:id="117" w:name="_Toc184308079"/>
      <w:bookmarkEnd w:id="117"/>
      <w:bookmarkStart w:id="118" w:name="_Toc184310321"/>
      <w:bookmarkEnd w:id="118"/>
      <w:bookmarkStart w:id="119" w:name="_Toc184314439"/>
      <w:bookmarkEnd w:id="119"/>
      <w:bookmarkStart w:id="120" w:name="_Toc184308107"/>
      <w:bookmarkEnd w:id="120"/>
      <w:bookmarkStart w:id="121" w:name="_Toc184308108"/>
      <w:bookmarkEnd w:id="121"/>
      <w:bookmarkStart w:id="122" w:name="_Toc184314410"/>
      <w:bookmarkEnd w:id="122"/>
      <w:bookmarkStart w:id="123" w:name="_Toc184313262"/>
      <w:bookmarkEnd w:id="123"/>
      <w:bookmarkStart w:id="124" w:name="_Toc184308090"/>
      <w:bookmarkEnd w:id="124"/>
      <w:bookmarkStart w:id="125" w:name="_Toc184310300"/>
      <w:bookmarkEnd w:id="125"/>
      <w:bookmarkStart w:id="126" w:name="_Toc184314412"/>
      <w:bookmarkEnd w:id="126"/>
      <w:bookmarkStart w:id="127" w:name="_Toc184314438"/>
      <w:bookmarkEnd w:id="127"/>
      <w:bookmarkStart w:id="128" w:name="_Toc184312087"/>
      <w:bookmarkEnd w:id="128"/>
      <w:bookmarkStart w:id="129" w:name="_Toc184314468"/>
      <w:bookmarkEnd w:id="129"/>
      <w:bookmarkStart w:id="130" w:name="_Toc184313307"/>
      <w:bookmarkEnd w:id="130"/>
      <w:bookmarkStart w:id="131" w:name="_Toc184310293"/>
      <w:bookmarkEnd w:id="131"/>
      <w:bookmarkStart w:id="132" w:name="_Toc184310341"/>
      <w:bookmarkEnd w:id="132"/>
      <w:bookmarkStart w:id="133" w:name="_Toc184308084"/>
      <w:bookmarkEnd w:id="133"/>
      <w:bookmarkStart w:id="134" w:name="_Toc184314446"/>
      <w:bookmarkEnd w:id="134"/>
      <w:bookmarkStart w:id="135" w:name="_Toc184314448"/>
      <w:bookmarkEnd w:id="135"/>
      <w:bookmarkStart w:id="136" w:name="_Toc184314447"/>
      <w:bookmarkEnd w:id="136"/>
      <w:bookmarkStart w:id="137" w:name="_Toc184312097"/>
      <w:bookmarkEnd w:id="137"/>
      <w:bookmarkStart w:id="138" w:name="_Toc184310313"/>
      <w:bookmarkEnd w:id="138"/>
      <w:bookmarkStart w:id="139" w:name="_Toc184312118"/>
      <w:bookmarkEnd w:id="139"/>
      <w:bookmarkStart w:id="140" w:name="_Toc184312104"/>
      <w:bookmarkEnd w:id="140"/>
      <w:bookmarkStart w:id="141" w:name="_Toc184313288"/>
      <w:bookmarkEnd w:id="141"/>
      <w:bookmarkStart w:id="142" w:name="_Toc184312068"/>
      <w:bookmarkEnd w:id="142"/>
      <w:bookmarkStart w:id="143" w:name="_Toc184313241"/>
      <w:bookmarkEnd w:id="143"/>
      <w:bookmarkStart w:id="144" w:name="_Toc184313253"/>
      <w:bookmarkEnd w:id="144"/>
      <w:bookmarkStart w:id="145" w:name="_Toc184308065"/>
      <w:bookmarkEnd w:id="145"/>
      <w:bookmarkStart w:id="146" w:name="_Toc184310339"/>
      <w:bookmarkEnd w:id="146"/>
      <w:bookmarkStart w:id="147" w:name="_Toc184313284"/>
      <w:bookmarkEnd w:id="147"/>
      <w:bookmarkStart w:id="148" w:name="_Toc184308098"/>
      <w:bookmarkEnd w:id="148"/>
      <w:bookmarkStart w:id="149" w:name="_Toc184308093"/>
      <w:bookmarkEnd w:id="149"/>
      <w:bookmarkStart w:id="150" w:name="_Toc184314431"/>
      <w:bookmarkEnd w:id="150"/>
      <w:bookmarkStart w:id="151" w:name="_Toc184313251"/>
      <w:bookmarkEnd w:id="151"/>
      <w:bookmarkStart w:id="152" w:name="_Toc184308103"/>
      <w:bookmarkEnd w:id="152"/>
      <w:bookmarkStart w:id="153" w:name="_Toc184312093"/>
      <w:bookmarkEnd w:id="153"/>
      <w:bookmarkStart w:id="154" w:name="_Toc184310292"/>
      <w:bookmarkEnd w:id="154"/>
      <w:bookmarkStart w:id="155" w:name="_Toc184312075"/>
      <w:bookmarkEnd w:id="155"/>
      <w:bookmarkStart w:id="156" w:name="_Toc184308038"/>
      <w:bookmarkEnd w:id="156"/>
      <w:bookmarkStart w:id="157" w:name="_Toc184314441"/>
      <w:bookmarkEnd w:id="157"/>
      <w:bookmarkStart w:id="158" w:name="_Toc184310301"/>
      <w:bookmarkEnd w:id="158"/>
      <w:bookmarkStart w:id="159" w:name="_Toc184310334"/>
      <w:bookmarkEnd w:id="159"/>
      <w:bookmarkStart w:id="160" w:name="_Toc184312090"/>
      <w:bookmarkEnd w:id="160"/>
      <w:bookmarkStart w:id="161" w:name="_Toc184312067"/>
      <w:bookmarkEnd w:id="161"/>
      <w:bookmarkStart w:id="162" w:name="_Toc184312073"/>
      <w:bookmarkEnd w:id="162"/>
      <w:bookmarkStart w:id="163" w:name="_Toc184313250"/>
      <w:bookmarkEnd w:id="163"/>
      <w:bookmarkStart w:id="164" w:name="_Toc184313298"/>
      <w:bookmarkEnd w:id="164"/>
      <w:bookmarkStart w:id="165" w:name="_Toc184308069"/>
      <w:bookmarkEnd w:id="165"/>
      <w:bookmarkStart w:id="166" w:name="_Toc184314458"/>
      <w:bookmarkEnd w:id="166"/>
      <w:bookmarkStart w:id="167" w:name="_Toc184310280"/>
      <w:bookmarkEnd w:id="167"/>
      <w:bookmarkStart w:id="168" w:name="_Toc184310342"/>
      <w:bookmarkEnd w:id="168"/>
      <w:bookmarkStart w:id="169" w:name="_Toc184314450"/>
      <w:bookmarkEnd w:id="169"/>
      <w:bookmarkStart w:id="170" w:name="_Toc184308066"/>
      <w:bookmarkEnd w:id="170"/>
      <w:bookmarkStart w:id="171" w:name="_Toc184313255"/>
      <w:bookmarkEnd w:id="171"/>
      <w:bookmarkStart w:id="172" w:name="_Toc184314416"/>
      <w:bookmarkEnd w:id="172"/>
      <w:bookmarkStart w:id="173" w:name="_Toc184313302"/>
      <w:bookmarkEnd w:id="173"/>
      <w:bookmarkStart w:id="174" w:name="_Toc184314463"/>
      <w:bookmarkEnd w:id="174"/>
      <w:bookmarkStart w:id="175" w:name="_Toc184312069"/>
      <w:bookmarkEnd w:id="175"/>
      <w:bookmarkStart w:id="176" w:name="_Toc184310298"/>
      <w:bookmarkEnd w:id="176"/>
      <w:bookmarkStart w:id="177" w:name="_Toc184308036"/>
      <w:bookmarkEnd w:id="177"/>
      <w:bookmarkStart w:id="178" w:name="_Toc184310275"/>
      <w:bookmarkEnd w:id="178"/>
      <w:bookmarkStart w:id="179" w:name="_Toc184308096"/>
      <w:bookmarkEnd w:id="179"/>
      <w:bookmarkStart w:id="180" w:name="_Toc184313286"/>
      <w:bookmarkEnd w:id="180"/>
      <w:bookmarkStart w:id="181" w:name="_Toc184308073"/>
      <w:bookmarkEnd w:id="181"/>
      <w:bookmarkStart w:id="182" w:name="_Toc184310282"/>
      <w:bookmarkEnd w:id="182"/>
      <w:bookmarkStart w:id="183" w:name="_Toc184314480"/>
      <w:bookmarkEnd w:id="183"/>
      <w:bookmarkStart w:id="184" w:name="_Toc184312122"/>
      <w:bookmarkEnd w:id="184"/>
      <w:bookmarkStart w:id="185" w:name="_Toc184310328"/>
      <w:bookmarkEnd w:id="185"/>
      <w:bookmarkStart w:id="186" w:name="_Toc184314422"/>
      <w:bookmarkEnd w:id="186"/>
      <w:bookmarkStart w:id="187" w:name="_Toc184308055"/>
      <w:bookmarkEnd w:id="187"/>
      <w:bookmarkStart w:id="188" w:name="_Toc184314436"/>
      <w:bookmarkEnd w:id="188"/>
      <w:bookmarkStart w:id="189" w:name="_Toc184310278"/>
      <w:bookmarkEnd w:id="189"/>
      <w:bookmarkStart w:id="190" w:name="_Toc184308088"/>
      <w:bookmarkEnd w:id="190"/>
      <w:bookmarkStart w:id="191" w:name="_Toc184310290"/>
      <w:bookmarkEnd w:id="191"/>
      <w:bookmarkStart w:id="192" w:name="_Toc184310296"/>
      <w:bookmarkEnd w:id="192"/>
      <w:bookmarkStart w:id="193" w:name="_Toc184313297"/>
      <w:bookmarkEnd w:id="193"/>
      <w:bookmarkStart w:id="194" w:name="_Toc184310314"/>
      <w:bookmarkEnd w:id="194"/>
      <w:bookmarkStart w:id="195" w:name="_Toc184313272"/>
      <w:bookmarkEnd w:id="195"/>
      <w:bookmarkStart w:id="196" w:name="_Toc184313310"/>
      <w:bookmarkEnd w:id="196"/>
      <w:bookmarkStart w:id="197" w:name="_Toc184310344"/>
      <w:bookmarkEnd w:id="197"/>
      <w:bookmarkStart w:id="198" w:name="_Toc184314411"/>
      <w:bookmarkEnd w:id="198"/>
      <w:bookmarkStart w:id="199" w:name="_Toc184314460"/>
      <w:bookmarkEnd w:id="199"/>
      <w:bookmarkStart w:id="200" w:name="_Toc184308076"/>
      <w:bookmarkEnd w:id="200"/>
      <w:bookmarkStart w:id="201" w:name="_Toc184312112"/>
      <w:bookmarkEnd w:id="201"/>
      <w:bookmarkStart w:id="202" w:name="_Toc184310294"/>
      <w:bookmarkEnd w:id="202"/>
      <w:bookmarkStart w:id="203" w:name="_Toc184310309"/>
      <w:bookmarkEnd w:id="203"/>
      <w:bookmarkStart w:id="204" w:name="_Toc184312138"/>
      <w:bookmarkEnd w:id="204"/>
      <w:bookmarkStart w:id="205" w:name="_Toc184312137"/>
      <w:bookmarkEnd w:id="205"/>
      <w:bookmarkStart w:id="206" w:name="_Toc184314452"/>
      <w:bookmarkEnd w:id="206"/>
      <w:bookmarkStart w:id="207" w:name="_Toc184314425"/>
      <w:bookmarkEnd w:id="207"/>
      <w:bookmarkStart w:id="208" w:name="_Toc184310291"/>
      <w:bookmarkEnd w:id="208"/>
      <w:bookmarkStart w:id="209" w:name="_Toc184313290"/>
      <w:bookmarkEnd w:id="209"/>
      <w:bookmarkStart w:id="210" w:name="_Toc184313259"/>
      <w:bookmarkEnd w:id="210"/>
      <w:bookmarkStart w:id="211" w:name="_Toc184313238"/>
      <w:bookmarkEnd w:id="211"/>
      <w:bookmarkStart w:id="212" w:name="_Toc184312107"/>
      <w:bookmarkEnd w:id="212"/>
      <w:bookmarkStart w:id="213" w:name="_Toc184308082"/>
      <w:bookmarkEnd w:id="213"/>
      <w:bookmarkStart w:id="214" w:name="_Toc184314457"/>
      <w:bookmarkEnd w:id="214"/>
      <w:bookmarkStart w:id="215" w:name="_Toc184313276"/>
      <w:bookmarkEnd w:id="215"/>
      <w:bookmarkStart w:id="216" w:name="_Toc184313271"/>
      <w:bookmarkEnd w:id="216"/>
      <w:bookmarkStart w:id="217" w:name="_Toc184312124"/>
      <w:bookmarkEnd w:id="217"/>
      <w:bookmarkStart w:id="218" w:name="_Toc184308099"/>
      <w:bookmarkEnd w:id="218"/>
      <w:bookmarkStart w:id="219" w:name="_Toc184313246"/>
      <w:bookmarkEnd w:id="219"/>
      <w:bookmarkStart w:id="220" w:name="_Toc184313281"/>
      <w:bookmarkEnd w:id="220"/>
      <w:bookmarkStart w:id="221" w:name="_Toc184313295"/>
      <w:bookmarkEnd w:id="221"/>
      <w:bookmarkStart w:id="222" w:name="_Toc184314424"/>
      <w:bookmarkEnd w:id="222"/>
      <w:bookmarkStart w:id="223" w:name="_Toc184312082"/>
      <w:bookmarkEnd w:id="223"/>
      <w:bookmarkStart w:id="224" w:name="_Toc184313292"/>
      <w:bookmarkEnd w:id="224"/>
      <w:bookmarkStart w:id="225" w:name="_Toc184308102"/>
      <w:bookmarkEnd w:id="225"/>
      <w:bookmarkStart w:id="226" w:name="_Toc184314429"/>
      <w:bookmarkEnd w:id="226"/>
      <w:bookmarkStart w:id="227" w:name="_Toc184313260"/>
      <w:bookmarkEnd w:id="227"/>
      <w:bookmarkStart w:id="228" w:name="_Toc184313269"/>
      <w:bookmarkEnd w:id="228"/>
      <w:bookmarkStart w:id="229" w:name="_Toc184312102"/>
      <w:bookmarkEnd w:id="229"/>
      <w:bookmarkStart w:id="230" w:name="_Toc184314415"/>
      <w:bookmarkEnd w:id="230"/>
      <w:bookmarkStart w:id="231" w:name="_Toc184313243"/>
      <w:bookmarkEnd w:id="231"/>
      <w:bookmarkStart w:id="232" w:name="_Toc184314470"/>
      <w:bookmarkEnd w:id="232"/>
      <w:bookmarkStart w:id="233" w:name="_Toc184310276"/>
      <w:bookmarkEnd w:id="233"/>
      <w:bookmarkStart w:id="234" w:name="_Toc184313245"/>
      <w:bookmarkEnd w:id="234"/>
      <w:bookmarkStart w:id="235" w:name="_Toc184310277"/>
      <w:bookmarkEnd w:id="235"/>
      <w:bookmarkStart w:id="236" w:name="_Toc184314476"/>
      <w:bookmarkEnd w:id="236"/>
      <w:bookmarkStart w:id="237" w:name="_Toc184312086"/>
      <w:bookmarkEnd w:id="237"/>
      <w:bookmarkStart w:id="238" w:name="_Toc184313305"/>
      <w:bookmarkEnd w:id="238"/>
      <w:bookmarkStart w:id="239" w:name="_Toc184314454"/>
      <w:bookmarkEnd w:id="239"/>
      <w:bookmarkStart w:id="240" w:name="_Toc184313254"/>
      <w:bookmarkEnd w:id="240"/>
      <w:bookmarkStart w:id="241" w:name="_Toc184313265"/>
      <w:bookmarkEnd w:id="241"/>
      <w:bookmarkStart w:id="242" w:name="_Toc184314444"/>
      <w:bookmarkEnd w:id="242"/>
      <w:bookmarkStart w:id="243" w:name="_Toc184313247"/>
      <w:bookmarkEnd w:id="243"/>
      <w:bookmarkStart w:id="244" w:name="_Toc184308041"/>
      <w:bookmarkEnd w:id="244"/>
      <w:bookmarkStart w:id="245" w:name="_Toc184312111"/>
      <w:bookmarkEnd w:id="245"/>
      <w:bookmarkStart w:id="246" w:name="_Toc184313285"/>
      <w:bookmarkEnd w:id="246"/>
      <w:bookmarkStart w:id="247" w:name="_Toc184313287"/>
      <w:bookmarkEnd w:id="247"/>
      <w:bookmarkStart w:id="248" w:name="_Toc184310306"/>
      <w:bookmarkEnd w:id="248"/>
      <w:bookmarkStart w:id="249" w:name="_Toc184313258"/>
      <w:bookmarkEnd w:id="249"/>
      <w:bookmarkStart w:id="250" w:name="_Toc184310324"/>
      <w:bookmarkEnd w:id="250"/>
      <w:bookmarkStart w:id="251" w:name="_Toc184312120"/>
      <w:bookmarkEnd w:id="251"/>
      <w:bookmarkStart w:id="252" w:name="_Toc184314433"/>
      <w:bookmarkEnd w:id="252"/>
      <w:bookmarkStart w:id="253" w:name="_Toc184308081"/>
      <w:bookmarkEnd w:id="253"/>
      <w:bookmarkStart w:id="254" w:name="_Toc184308067"/>
      <w:bookmarkEnd w:id="254"/>
      <w:bookmarkStart w:id="255" w:name="_Toc184308075"/>
      <w:bookmarkEnd w:id="255"/>
      <w:bookmarkStart w:id="256" w:name="_Toc184314456"/>
      <w:bookmarkEnd w:id="256"/>
      <w:bookmarkStart w:id="257" w:name="_Toc184310336"/>
      <w:bookmarkEnd w:id="257"/>
      <w:bookmarkStart w:id="258" w:name="_Toc184312110"/>
      <w:bookmarkEnd w:id="258"/>
      <w:bookmarkStart w:id="259" w:name="_Toc184312077"/>
      <w:bookmarkEnd w:id="259"/>
      <w:bookmarkStart w:id="260" w:name="_Toc184312106"/>
      <w:bookmarkEnd w:id="260"/>
      <w:bookmarkStart w:id="261" w:name="_Toc184314434"/>
      <w:bookmarkEnd w:id="261"/>
      <w:bookmarkStart w:id="262" w:name="_Toc184310332"/>
      <w:bookmarkEnd w:id="262"/>
      <w:bookmarkStart w:id="263" w:name="_Toc184310274"/>
      <w:bookmarkEnd w:id="263"/>
      <w:bookmarkStart w:id="264" w:name="_Toc184313289"/>
      <w:bookmarkEnd w:id="264"/>
      <w:bookmarkStart w:id="265" w:name="_Toc184308100"/>
      <w:bookmarkEnd w:id="265"/>
      <w:bookmarkStart w:id="266" w:name="_Toc184314421"/>
      <w:bookmarkEnd w:id="266"/>
      <w:bookmarkStart w:id="267" w:name="_Toc184314420"/>
      <w:bookmarkEnd w:id="267"/>
      <w:bookmarkStart w:id="268" w:name="_Toc184310316"/>
      <w:bookmarkEnd w:id="268"/>
      <w:bookmarkStart w:id="269" w:name="_Toc184310318"/>
      <w:bookmarkEnd w:id="269"/>
      <w:bookmarkStart w:id="270" w:name="_Toc184308080"/>
      <w:bookmarkEnd w:id="270"/>
      <w:bookmarkStart w:id="271" w:name="_Toc184308050"/>
      <w:bookmarkEnd w:id="271"/>
      <w:bookmarkStart w:id="272" w:name="_Toc184308092"/>
      <w:bookmarkEnd w:id="272"/>
      <w:bookmarkStart w:id="273" w:name="_Toc184314473"/>
      <w:bookmarkEnd w:id="273"/>
      <w:bookmarkStart w:id="274" w:name="_Toc184312089"/>
      <w:bookmarkEnd w:id="274"/>
      <w:bookmarkStart w:id="275" w:name="_Toc184313239"/>
      <w:bookmarkEnd w:id="275"/>
      <w:bookmarkStart w:id="276" w:name="_Toc184314435"/>
      <w:bookmarkEnd w:id="276"/>
      <w:bookmarkStart w:id="277" w:name="_Toc184313257"/>
      <w:bookmarkEnd w:id="277"/>
      <w:bookmarkStart w:id="278" w:name="_Toc184308047"/>
      <w:bookmarkEnd w:id="278"/>
      <w:bookmarkStart w:id="279" w:name="_Toc184314467"/>
      <w:bookmarkEnd w:id="279"/>
      <w:bookmarkStart w:id="280" w:name="_Toc184310315"/>
      <w:bookmarkEnd w:id="280"/>
      <w:bookmarkStart w:id="281" w:name="_Toc184308085"/>
      <w:bookmarkEnd w:id="281"/>
      <w:bookmarkStart w:id="282" w:name="_Toc184310297"/>
      <w:bookmarkEnd w:id="282"/>
      <w:bookmarkStart w:id="283" w:name="_Toc184310317"/>
      <w:bookmarkEnd w:id="283"/>
      <w:bookmarkStart w:id="284" w:name="_Toc184308061"/>
      <w:bookmarkEnd w:id="284"/>
      <w:bookmarkStart w:id="285" w:name="_Toc184314445"/>
      <w:bookmarkEnd w:id="285"/>
      <w:bookmarkStart w:id="286" w:name="_Toc184310337"/>
      <w:bookmarkEnd w:id="286"/>
      <w:bookmarkStart w:id="287" w:name="_Toc184312096"/>
      <w:bookmarkEnd w:id="287"/>
      <w:bookmarkStart w:id="288" w:name="_Toc184313249"/>
      <w:bookmarkEnd w:id="288"/>
      <w:bookmarkStart w:id="289" w:name="_Toc184313244"/>
      <w:bookmarkEnd w:id="289"/>
      <w:bookmarkStart w:id="290" w:name="_Toc184310283"/>
      <w:bookmarkEnd w:id="290"/>
      <w:bookmarkStart w:id="291" w:name="_Toc184313256"/>
      <w:bookmarkEnd w:id="291"/>
      <w:bookmarkStart w:id="292" w:name="_Toc184310279"/>
      <w:bookmarkEnd w:id="292"/>
      <w:bookmarkStart w:id="293" w:name="_Toc184312115"/>
      <w:bookmarkEnd w:id="293"/>
      <w:bookmarkStart w:id="294" w:name="_Toc184312128"/>
      <w:bookmarkEnd w:id="294"/>
      <w:bookmarkStart w:id="295" w:name="_Toc184314464"/>
      <w:bookmarkEnd w:id="295"/>
      <w:bookmarkStart w:id="296" w:name="_Toc184312099"/>
      <w:bookmarkEnd w:id="296"/>
      <w:bookmarkStart w:id="297" w:name="_Toc184314426"/>
      <w:bookmarkEnd w:id="297"/>
      <w:bookmarkStart w:id="298" w:name="_Toc184314477"/>
      <w:bookmarkEnd w:id="298"/>
      <w:bookmarkStart w:id="299" w:name="_Toc184312100"/>
      <w:bookmarkEnd w:id="299"/>
      <w:bookmarkStart w:id="300" w:name="_Toc184310311"/>
      <w:bookmarkEnd w:id="300"/>
      <w:bookmarkStart w:id="301" w:name="_Toc184308043"/>
      <w:bookmarkEnd w:id="301"/>
      <w:bookmarkStart w:id="302" w:name="_Toc184313306"/>
      <w:bookmarkEnd w:id="302"/>
      <w:bookmarkStart w:id="303" w:name="_Toc184313274"/>
      <w:bookmarkEnd w:id="303"/>
      <w:bookmarkStart w:id="304" w:name="_Toc184308086"/>
      <w:bookmarkEnd w:id="304"/>
      <w:bookmarkStart w:id="305" w:name="_Toc184308089"/>
      <w:bookmarkEnd w:id="305"/>
      <w:bookmarkStart w:id="306" w:name="_Toc184308091"/>
      <w:bookmarkEnd w:id="306"/>
      <w:bookmarkStart w:id="307" w:name="_Toc184312130"/>
      <w:bookmarkEnd w:id="307"/>
      <w:bookmarkStart w:id="308" w:name="_Toc184308045"/>
      <w:bookmarkEnd w:id="308"/>
      <w:bookmarkStart w:id="309" w:name="_Toc184310310"/>
      <w:bookmarkEnd w:id="309"/>
      <w:bookmarkStart w:id="310" w:name="_Toc184314453"/>
      <w:bookmarkEnd w:id="310"/>
      <w:bookmarkStart w:id="311" w:name="_Toc184310326"/>
      <w:bookmarkEnd w:id="311"/>
      <w:bookmarkStart w:id="312" w:name="_Toc184313263"/>
      <w:bookmarkEnd w:id="312"/>
      <w:bookmarkStart w:id="313" w:name="_Toc184310284"/>
      <w:bookmarkEnd w:id="313"/>
      <w:bookmarkStart w:id="314" w:name="_Toc184312119"/>
      <w:bookmarkEnd w:id="314"/>
      <w:bookmarkStart w:id="315" w:name="_Toc184310308"/>
      <w:bookmarkEnd w:id="315"/>
      <w:bookmarkStart w:id="316" w:name="_Toc184312078"/>
      <w:bookmarkEnd w:id="316"/>
      <w:bookmarkStart w:id="317" w:name="_Toc184312105"/>
      <w:bookmarkEnd w:id="317"/>
      <w:bookmarkStart w:id="318" w:name="_Toc184314443"/>
      <w:bookmarkEnd w:id="318"/>
      <w:bookmarkStart w:id="319" w:name="_Toc184314428"/>
      <w:bookmarkEnd w:id="319"/>
      <w:bookmarkStart w:id="320" w:name="_Toc184312092"/>
      <w:bookmarkEnd w:id="320"/>
      <w:bookmarkStart w:id="321" w:name="_Toc184314478"/>
      <w:bookmarkEnd w:id="321"/>
      <w:bookmarkStart w:id="322" w:name="_Toc184314414"/>
      <w:bookmarkEnd w:id="322"/>
      <w:bookmarkStart w:id="323" w:name="_Toc184310320"/>
      <w:bookmarkEnd w:id="323"/>
      <w:bookmarkStart w:id="324" w:name="_Toc184310295"/>
      <w:bookmarkEnd w:id="324"/>
      <w:bookmarkStart w:id="325" w:name="_Toc184313261"/>
      <w:bookmarkEnd w:id="325"/>
      <w:bookmarkStart w:id="326" w:name="_Toc184310286"/>
      <w:bookmarkEnd w:id="326"/>
      <w:bookmarkStart w:id="327" w:name="_Toc184312123"/>
      <w:bookmarkEnd w:id="327"/>
      <w:bookmarkStart w:id="328" w:name="_Toc184312091"/>
      <w:bookmarkEnd w:id="328"/>
      <w:bookmarkStart w:id="329" w:name="_Toc184310312"/>
      <w:bookmarkEnd w:id="329"/>
      <w:bookmarkStart w:id="330" w:name="_Toc184313270"/>
      <w:bookmarkEnd w:id="330"/>
      <w:bookmarkStart w:id="331" w:name="_Toc184312121"/>
      <w:bookmarkEnd w:id="331"/>
      <w:bookmarkStart w:id="332" w:name="_Toc184308068"/>
      <w:bookmarkEnd w:id="332"/>
      <w:bookmarkStart w:id="333" w:name="_Toc184314471"/>
      <w:bookmarkEnd w:id="333"/>
      <w:bookmarkStart w:id="334" w:name="_Toc184310287"/>
      <w:bookmarkEnd w:id="334"/>
      <w:bookmarkStart w:id="335" w:name="_Toc184310343"/>
      <w:bookmarkEnd w:id="335"/>
      <w:bookmarkStart w:id="336" w:name="_Toc184312113"/>
      <w:bookmarkEnd w:id="336"/>
      <w:bookmarkStart w:id="337" w:name="_Toc184308049"/>
      <w:bookmarkEnd w:id="337"/>
      <w:bookmarkStart w:id="338" w:name="_Toc184314469"/>
      <w:bookmarkEnd w:id="338"/>
      <w:bookmarkStart w:id="339" w:name="_Toc184308052"/>
      <w:bookmarkEnd w:id="339"/>
      <w:bookmarkStart w:id="340" w:name="_Toc184310288"/>
      <w:bookmarkEnd w:id="340"/>
      <w:bookmarkStart w:id="341" w:name="_Toc184312129"/>
      <w:bookmarkEnd w:id="341"/>
      <w:bookmarkStart w:id="342" w:name="_Toc184312070"/>
      <w:bookmarkEnd w:id="342"/>
      <w:bookmarkStart w:id="343" w:name="_Toc184313267"/>
      <w:bookmarkEnd w:id="343"/>
      <w:bookmarkStart w:id="344" w:name="_Toc184312132"/>
      <w:bookmarkEnd w:id="344"/>
      <w:bookmarkStart w:id="345" w:name="_Toc184314413"/>
      <w:bookmarkEnd w:id="345"/>
      <w:bookmarkStart w:id="346" w:name="_Toc184314474"/>
      <w:bookmarkEnd w:id="346"/>
      <w:bookmarkStart w:id="347" w:name="_Toc184310289"/>
      <w:bookmarkEnd w:id="347"/>
      <w:bookmarkStart w:id="348" w:name="_Toc184313268"/>
      <w:bookmarkEnd w:id="348"/>
      <w:bookmarkStart w:id="349" w:name="_Toc184312125"/>
      <w:bookmarkEnd w:id="349"/>
      <w:bookmarkStart w:id="350" w:name="_Toc184312127"/>
      <w:bookmarkEnd w:id="350"/>
      <w:bookmarkStart w:id="351" w:name="_Toc184314459"/>
      <w:bookmarkEnd w:id="351"/>
      <w:bookmarkStart w:id="352" w:name="_Toc184310333"/>
      <w:bookmarkEnd w:id="352"/>
      <w:bookmarkStart w:id="353" w:name="_Toc184308077"/>
      <w:bookmarkEnd w:id="353"/>
      <w:bookmarkStart w:id="354" w:name="_Toc184314481"/>
      <w:bookmarkEnd w:id="354"/>
      <w:bookmarkStart w:id="355" w:name="_Toc184308058"/>
      <w:bookmarkEnd w:id="355"/>
      <w:bookmarkStart w:id="356" w:name="_Toc184313294"/>
      <w:bookmarkEnd w:id="356"/>
      <w:bookmarkStart w:id="357" w:name="_Toc184314479"/>
      <w:bookmarkEnd w:id="357"/>
      <w:bookmarkStart w:id="358" w:name="_Toc184312109"/>
      <w:bookmarkEnd w:id="358"/>
      <w:bookmarkStart w:id="359" w:name="_Toc184310330"/>
      <w:bookmarkEnd w:id="359"/>
      <w:bookmarkStart w:id="360" w:name="_Toc184308054"/>
      <w:bookmarkEnd w:id="360"/>
      <w:bookmarkStart w:id="361" w:name="_Toc184312126"/>
      <w:bookmarkEnd w:id="361"/>
      <w:bookmarkStart w:id="362" w:name="_Toc184310319"/>
      <w:bookmarkEnd w:id="362"/>
      <w:bookmarkStart w:id="363" w:name="_Toc184308074"/>
      <w:bookmarkEnd w:id="363"/>
      <w:bookmarkStart w:id="364" w:name="_Toc184314437"/>
      <w:bookmarkEnd w:id="364"/>
      <w:bookmarkStart w:id="365" w:name="_Toc184314440"/>
      <w:bookmarkEnd w:id="365"/>
      <w:bookmarkStart w:id="366" w:name="_Toc184312076"/>
      <w:bookmarkEnd w:id="366"/>
      <w:bookmarkStart w:id="367" w:name="_Toc184312108"/>
      <w:bookmarkEnd w:id="367"/>
      <w:bookmarkStart w:id="368" w:name="_Toc184308059"/>
      <w:bookmarkEnd w:id="368"/>
      <w:bookmarkStart w:id="369" w:name="_Toc184314430"/>
      <w:bookmarkEnd w:id="369"/>
      <w:bookmarkStart w:id="370" w:name="_Toc184308042"/>
      <w:bookmarkEnd w:id="370"/>
      <w:bookmarkStart w:id="371" w:name="_Toc184313273"/>
      <w:bookmarkEnd w:id="371"/>
      <w:bookmarkStart w:id="372" w:name="_Toc184308060"/>
      <w:bookmarkEnd w:id="372"/>
      <w:bookmarkStart w:id="373" w:name="_Toc184313301"/>
      <w:bookmarkEnd w:id="373"/>
      <w:bookmarkStart w:id="374" w:name="_Toc184314472"/>
      <w:bookmarkEnd w:id="374"/>
      <w:bookmarkStart w:id="375" w:name="_Toc184312074"/>
      <w:bookmarkEnd w:id="375"/>
      <w:bookmarkStart w:id="376" w:name="_Toc184314455"/>
      <w:bookmarkEnd w:id="376"/>
      <w:bookmarkStart w:id="377" w:name="_Toc184314466"/>
      <w:bookmarkEnd w:id="377"/>
      <w:bookmarkStart w:id="378" w:name="_Toc184312133"/>
      <w:bookmarkEnd w:id="378"/>
      <w:bookmarkStart w:id="379" w:name="_Toc184313277"/>
      <w:bookmarkEnd w:id="379"/>
      <w:bookmarkStart w:id="380" w:name="_Toc184312095"/>
      <w:bookmarkEnd w:id="380"/>
      <w:bookmarkStart w:id="381" w:name="_Toc184308083"/>
      <w:bookmarkEnd w:id="381"/>
      <w:bookmarkStart w:id="382" w:name="_Toc184313303"/>
      <w:bookmarkEnd w:id="382"/>
      <w:bookmarkStart w:id="383" w:name="_Toc184308039"/>
      <w:bookmarkEnd w:id="383"/>
      <w:bookmarkStart w:id="384" w:name="_Toc184308106"/>
      <w:bookmarkEnd w:id="384"/>
      <w:bookmarkStart w:id="385" w:name="_Toc184312081"/>
      <w:bookmarkEnd w:id="385"/>
      <w:bookmarkStart w:id="386" w:name="_Toc184313280"/>
      <w:bookmarkEnd w:id="386"/>
      <w:bookmarkStart w:id="387" w:name="_Toc184313279"/>
      <w:bookmarkEnd w:id="387"/>
      <w:bookmarkStart w:id="388" w:name="_Toc184314475"/>
      <w:bookmarkEnd w:id="388"/>
      <w:bookmarkStart w:id="389" w:name="_Toc184308095"/>
      <w:bookmarkEnd w:id="389"/>
      <w:bookmarkStart w:id="390" w:name="_Toc184308087"/>
      <w:bookmarkEnd w:id="390"/>
      <w:bookmarkStart w:id="391" w:name="_Toc184312103"/>
      <w:bookmarkEnd w:id="391"/>
      <w:bookmarkStart w:id="392" w:name="_Toc184313240"/>
      <w:bookmarkEnd w:id="392"/>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spacing w:line="360" w:lineRule="auto"/>
        <w:contextualSpacing/>
        <w:jc w:val="both"/>
        <w:rPr>
          <w:color w:val="auto"/>
          <w:highlight w:val="none"/>
        </w:rPr>
      </w:pPr>
      <w:r>
        <w:rPr>
          <w:rFonts w:hint="eastAsia" w:ascii="仿宋" w:hAnsi="仿宋" w:eastAsia="仿宋" w:cs="仿宋"/>
          <w:b/>
          <w:color w:val="auto"/>
          <w:sz w:val="24"/>
          <w:szCs w:val="24"/>
          <w:highlight w:val="none"/>
          <w:lang w:val="en-US" w:eastAsia="zh-CN"/>
        </w:rPr>
        <w:t>标项一：温室气体手工监测及移动监测服务项目项目</w:t>
      </w:r>
    </w:p>
    <w:tbl>
      <w:tblPr>
        <w:tblStyle w:val="64"/>
        <w:tblpPr w:leftFromText="180" w:rightFromText="180" w:vertAnchor="text" w:horzAnchor="page" w:tblpXSpec="center" w:tblpY="126"/>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560"/>
        <w:gridCol w:w="81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56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评标标准</w:t>
            </w:r>
          </w:p>
        </w:tc>
        <w:tc>
          <w:tcPr>
            <w:tcW w:w="81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权重</w:t>
            </w:r>
          </w:p>
        </w:tc>
        <w:tc>
          <w:tcPr>
            <w:tcW w:w="1956"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投标文件中评标标准相应的商务技术资料目录</w:t>
            </w:r>
            <w:r>
              <w:rPr>
                <w:rFonts w:hint="eastAsia" w:ascii="仿宋" w:hAnsi="仿宋" w:eastAsia="仿宋" w:cs="仿宋"/>
                <w:b/>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的总体理解：对本项目的总体思路明确，对项目内容认知客观，符合用户实际需求，所涉及的工作思路清晰、技术路线把握准确的得5分；总体理解基本合理但欠缺的，得3分；总体理解存在明显缺陷的，得1分；未提供的得0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项目总体理解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项目服务方案</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手工采样方案</w:t>
            </w:r>
            <w:r>
              <w:rPr>
                <w:rFonts w:hint="eastAsia" w:ascii="仿宋" w:hAnsi="仿宋" w:eastAsia="仿宋" w:cs="仿宋"/>
                <w:color w:val="auto"/>
                <w:sz w:val="24"/>
                <w:szCs w:val="24"/>
                <w:highlight w:val="none"/>
              </w:rPr>
              <w:t>科学、合理、有针对性的，得5分；方案基本合理但欠缺的得3分，未提供方案的得0分。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实验室分析方案</w:t>
            </w:r>
            <w:r>
              <w:rPr>
                <w:rFonts w:hint="eastAsia" w:ascii="仿宋" w:hAnsi="仿宋" w:eastAsia="仿宋" w:cs="仿宋"/>
                <w:color w:val="auto"/>
                <w:sz w:val="24"/>
                <w:szCs w:val="24"/>
                <w:highlight w:val="none"/>
              </w:rPr>
              <w:t>科学、合理、有针对性的，得5分；方案基本合理但欠缺的得3分，未提供方案的得0分。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走航及无人机监测方案</w:t>
            </w:r>
            <w:r>
              <w:rPr>
                <w:rFonts w:hint="eastAsia" w:ascii="仿宋" w:hAnsi="仿宋" w:eastAsia="仿宋" w:cs="仿宋"/>
                <w:color w:val="auto"/>
                <w:sz w:val="24"/>
                <w:szCs w:val="24"/>
                <w:highlight w:val="none"/>
              </w:rPr>
              <w:t>科学、合理、有针对性的，得5分；方案基本合理但欠缺的得3分，未提供方案的得0分。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数据分析方案</w:t>
            </w:r>
            <w:r>
              <w:rPr>
                <w:rFonts w:hint="eastAsia" w:ascii="仿宋" w:hAnsi="仿宋" w:eastAsia="仿宋" w:cs="仿宋"/>
                <w:color w:val="auto"/>
                <w:sz w:val="24"/>
                <w:szCs w:val="24"/>
                <w:highlight w:val="none"/>
              </w:rPr>
              <w:t>科学、合理、有针对性的，得5分；方案基本合理但欠缺的得3分，未提供方案的得0分。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质量保证方案</w:t>
            </w:r>
            <w:r>
              <w:rPr>
                <w:rFonts w:hint="eastAsia" w:ascii="仿宋" w:hAnsi="仿宋" w:eastAsia="仿宋" w:cs="仿宋"/>
                <w:color w:val="auto"/>
                <w:sz w:val="24"/>
                <w:szCs w:val="24"/>
                <w:highlight w:val="none"/>
              </w:rPr>
              <w:t>科学、合理、有针对性的，得5分；方案基本合理但欠缺的得3分，未提供方案的得0分。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项目组成员情况</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本项目组成员应不少于15人，不足15人不得分。具备人为活动温室气体（二氧化碳、甲烷、氧化亚氮、氢氟碳化合物、全氟化碳、六氟化硫、三氟化氮）分析能力一种以上的1人得1分，最高得4分。需提供人员履历表及劳动合同等证明材料，不提供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项目负责人具有环保类、检测分析类等相关环境检测专业高级职称的得3分，中级职称得2分，初级职称及以下不得分。提供证书复印件及劳动合同，不提供不得分。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项目组其他成员：</w:t>
            </w:r>
            <w:r>
              <w:rPr>
                <w:rFonts w:hint="eastAsia" w:ascii="仿宋" w:hAnsi="仿宋" w:eastAsia="仿宋" w:cs="仿宋"/>
                <w:bCs/>
                <w:color w:val="auto"/>
                <w:sz w:val="24"/>
                <w:szCs w:val="24"/>
                <w:highlight w:val="none"/>
              </w:rPr>
              <w:t>样品分析技术人员和数据分析技术人员</w:t>
            </w:r>
            <w:r>
              <w:rPr>
                <w:rFonts w:hint="eastAsia" w:ascii="仿宋" w:hAnsi="仿宋" w:eastAsia="仿宋" w:cs="仿宋"/>
                <w:color w:val="auto"/>
                <w:sz w:val="24"/>
                <w:szCs w:val="24"/>
                <w:highlight w:val="none"/>
              </w:rPr>
              <w:t>具有中级及以上职称的，每有一人得1分，满分4分。提供证书复印件及劳动合同，不提供不得分。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配备1名专职工作人员，工作地点为甲方指定地点，负责与甲方进行任务对接、工作协调、数据汇总、整理与报送工作，中级职称得3分，初级职称得1分，初级以下不得分。</w:t>
            </w:r>
          </w:p>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注：与3.1至3.3所述人员不得重复计算。</w:t>
            </w:r>
            <w:r>
              <w:rPr>
                <w:rFonts w:hint="eastAsia" w:ascii="仿宋" w:hAnsi="仿宋" w:eastAsia="仿宋" w:cs="仿宋"/>
                <w:color w:val="auto"/>
                <w:sz w:val="24"/>
                <w:szCs w:val="24"/>
                <w:highlight w:val="none"/>
              </w:rPr>
              <w:t>提供证书复印件及劳动合同，不提供不得分。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分析检测能力。</w:t>
            </w:r>
          </w:p>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投标人提供承诺书（承诺书格式自拟），承诺内容至少包括：检测项目的数量达到多少项；承诺的检测项目清单与投标人的资质认定证书内容一致。如发现承诺与实际情况不符的，将以虚假应标处理。</w:t>
            </w:r>
          </w:p>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实验室检测能力以市场监督管理部门颁发的检验检测机构资质认定证书上的能力附表信息为准，证书、证明材料复印件或扫描件加盖公章编入投标文件，否则不得分。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投标人具有检验检测机构资质认定证书（CMA）得2分，提供证书复印件，不提供不得分。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56" w:type="dxa"/>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投标人环境检测类CMA 检测能力包含四氟化碳、三氟化氮、三氟甲烷、八氟丙烷、六氟化硫、二氧化碳、甲烷、氧化亚氮、氢氟碳化合物、全氟化碳、六氟化硫、三氟化氮，每具备一种物质检测能力得1.5分，最高得18分。</w:t>
            </w:r>
          </w:p>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提供检测能力资质认定证书等证明材料，不提供不得分。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956" w:type="dxa"/>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投标实验室仪器设备（提供有效期内第三方检测机构出具的检定证书或校准证书，加盖公章，否则不得分）。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投标实验室配备空气预浓缩仪-气相色谱质谱联用仪，2台或2台以上得3分，1台得2分，未配置不得分。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投标实验室配备傅里叶红外光谱仪，1台或1台以上得2分，未配置不得分。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投标实验室配备ECD检测器-气相色谱仪，2台或2台以上得2分，1台得1分，未配置不得分。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投标实验室配备双FID检测器-气相色谱仪，1台得1分，2台及以上得2分，未配置不得分。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投标实验室配备环境空气采样苏码罐，30个或30个以上得2分，20（含）~30（不含）个得1分，20个以下不得分。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投标实验室配备环境空气正压采样器，6台及以上得2分；5台得1分；0~4台不得分。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投标人用于走航监测的走航车及监测仪器设备情况：</w:t>
            </w:r>
          </w:p>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1.具备能够立即开展走航监测任务车辆及仪器的得4分，需提供车辆及仪器购买或租赁合同等相关证明材料，以及承诺函。（4分）</w:t>
            </w:r>
          </w:p>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2.承诺中标后一个月内能够开展走航监测任务的得2分，以投标文件提供的承诺函为准。（2分）</w:t>
            </w:r>
          </w:p>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其他不得分。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走航监测车辆及仪器情况</w:t>
            </w:r>
          </w:p>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无人机要求：投标人承诺中标后一个月内能够开展无人机监测任务的得2分，以投标文件提供的承诺函为准。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无人机要求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车辆（除走航车外）：</w:t>
            </w:r>
            <w:bookmarkStart w:id="393" w:name="_Hlk112189902"/>
            <w:r>
              <w:rPr>
                <w:rFonts w:hint="eastAsia" w:ascii="仿宋" w:hAnsi="仿宋" w:eastAsia="仿宋" w:cs="仿宋"/>
                <w:color w:val="auto"/>
                <w:sz w:val="24"/>
                <w:szCs w:val="24"/>
                <w:highlight w:val="none"/>
              </w:rPr>
              <w:t>投标人具备运维车辆数量6辆及以上的得4分，5辆的得2分，其他不得分。至少5辆</w:t>
            </w:r>
            <w:bookmarkEnd w:id="393"/>
            <w:r>
              <w:rPr>
                <w:rFonts w:hint="eastAsia" w:ascii="仿宋" w:hAnsi="仿宋" w:eastAsia="仿宋" w:cs="仿宋"/>
                <w:color w:val="auto"/>
                <w:sz w:val="24"/>
                <w:szCs w:val="24"/>
                <w:highlight w:val="none"/>
              </w:rPr>
              <w:t>，每增加1辆得2分；最高得4分。</w:t>
            </w:r>
          </w:p>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提供投标人针对本项目配置的车辆的行驶证、购置或租赁合同复印件、车辆外观照片。</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560" w:type="dxa"/>
            <w:vAlign w:val="center"/>
          </w:tcPr>
          <w:p>
            <w:pPr>
              <w:keepNext w:val="0"/>
              <w:keepLines w:val="0"/>
              <w:pageBreakBefore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合理化建议：针对本项目的重点、难点，提出合理化建议，且所提建议确实能对项目的实施产生有益作用的，根据建议内容打分。</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7"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560" w:type="dxa"/>
          </w:tcPr>
          <w:p>
            <w:pPr>
              <w:keepNext w:val="0"/>
              <w:keepLines w:val="0"/>
              <w:pageBreakBefore w:val="0"/>
              <w:kinsoku/>
              <w:wordWrap/>
              <w:overflowPunct/>
              <w:topLinePunct w:val="0"/>
              <w:autoSpaceDE/>
              <w:autoSpaceDN/>
              <w:bidi w:val="0"/>
              <w:adjustRightInd w:val="0"/>
              <w:snapToGrid/>
              <w:spacing w:line="360" w:lineRule="auto"/>
              <w:contextualSpacing/>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有效投标报价的最低价作为评标基准价，其最低报价为满分；按［投标报价得分=（评标基准价/投标报价）*10］的计算公式计算。</w:t>
            </w:r>
          </w:p>
          <w:p>
            <w:pPr>
              <w:keepNext w:val="0"/>
              <w:keepLines w:val="0"/>
              <w:pageBreakBefore w:val="0"/>
              <w:widowControl/>
              <w:shd w:val="clear" w:color="auto" w:fill="FFFFFF"/>
              <w:kinsoku/>
              <w:wordWrap/>
              <w:overflowPunct/>
              <w:topLinePunct w:val="0"/>
              <w:autoSpaceDE/>
              <w:autoSpaceDN/>
              <w:bidi w:val="0"/>
              <w:adjustRightInd w:val="0"/>
              <w:snapToGrid/>
              <w:spacing w:line="360" w:lineRule="auto"/>
              <w:ind w:firstLine="420"/>
              <w:contextualSpacing/>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val="0"/>
              <w:snapToGrid/>
              <w:spacing w:line="360" w:lineRule="auto"/>
              <w:ind w:firstLine="420"/>
              <w:contextualSpacing/>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810" w:type="dxa"/>
            <w:vAlign w:val="center"/>
          </w:tcPr>
          <w:p>
            <w:pPr>
              <w:keepNext w:val="0"/>
              <w:keepLines w:val="0"/>
              <w:pageBreakBefore w:val="0"/>
              <w:kinsoku/>
              <w:wordWrap/>
              <w:overflowPunct/>
              <w:topLinePunct w:val="0"/>
              <w:autoSpaceDE/>
              <w:autoSpaceDN/>
              <w:bidi w:val="0"/>
              <w:adjustRightInd w:val="0"/>
              <w:snapToGrid/>
              <w:spacing w:line="360" w:lineRule="auto"/>
              <w:ind w:firstLine="120" w:firstLineChars="5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956"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w:t>
            </w:r>
          </w:p>
        </w:tc>
      </w:tr>
    </w:tbl>
    <w:p>
      <w:pP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br w:type="page"/>
      </w:r>
    </w:p>
    <w:p>
      <w:pPr>
        <w:rPr>
          <w:rFonts w:hint="eastAsia" w:ascii="仿宋" w:hAnsi="仿宋" w:eastAsia="仿宋" w:cs="仿宋_GB2312"/>
          <w:b/>
          <w:color w:val="auto"/>
          <w:sz w:val="24"/>
          <w:szCs w:val="24"/>
          <w:highlight w:val="none"/>
          <w:lang w:val="en-US" w:eastAsia="zh-CN"/>
        </w:rPr>
      </w:pPr>
      <w:r>
        <w:rPr>
          <w:rFonts w:hint="eastAsia" w:ascii="仿宋" w:hAnsi="仿宋" w:eastAsia="仿宋" w:cs="仿宋_GB2312"/>
          <w:b/>
          <w:color w:val="auto"/>
          <w:sz w:val="24"/>
          <w:szCs w:val="24"/>
          <w:highlight w:val="none"/>
          <w:lang w:val="en-US" w:eastAsia="zh-CN"/>
        </w:rPr>
        <w:t>标项二：杭州市温室气体同化反演及通量核算服务</w:t>
      </w:r>
    </w:p>
    <w:tbl>
      <w:tblPr>
        <w:tblStyle w:val="6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6183"/>
        <w:gridCol w:w="93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评标标准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投标人自2019年1月1日以来承担过温室气体同化反演及通量核算相关项目的业绩，每提供一项得1分，满分1分。（根据投标文件提供的合同复印件打分，提供一个合同得1分，不提供不得分。）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 </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根据投标人针对本项目“二、技术要求”，针对指标逐条响应情况进行逐条对照打分，完全满足招标文件所有技术要求的得20分，每负偏离一项扣2分，扣完为止。</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技术指标</w:t>
            </w:r>
            <w:r>
              <w:rPr>
                <w:rFonts w:hint="eastAsia" w:ascii="仿宋" w:hAnsi="仿宋" w:eastAsia="仿宋" w:cs="仿宋"/>
                <w:bCs/>
                <w:color w:val="auto"/>
                <w:kern w:val="0"/>
                <w:sz w:val="24"/>
                <w:szCs w:val="24"/>
                <w:highlight w:val="none"/>
                <w:lang w:val="en-US" w:eastAsia="zh-CN"/>
              </w:rPr>
              <w:t>条款</w:t>
            </w:r>
            <w:r>
              <w:rPr>
                <w:rFonts w:hint="eastAsia" w:ascii="仿宋" w:hAnsi="仿宋" w:eastAsia="仿宋" w:cs="仿宋"/>
                <w:bCs/>
                <w:color w:val="auto"/>
                <w:kern w:val="0"/>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技术方案</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w:t>
            </w:r>
          </w:p>
        </w:tc>
        <w:tc>
          <w:tcPr>
            <w:tcW w:w="6183"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RF模型建设技术方案，主要考察高分辨率气象模型构建能力，方案需包含气象同化、网格设置、垂直插值、模型本地化模拟等内容，上述内容全部涵盖且符合需求的得5分；方案略有欠缺但合理的得3分；方案缺乏详尽内容，描述简单的得1分；未提供的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w:t>
            </w:r>
          </w:p>
        </w:tc>
        <w:tc>
          <w:tcPr>
            <w:tcW w:w="6183"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多模式集合反演技术方案，主要考察温室气体同化反演能力，方案需包含</w:t>
            </w:r>
            <w:r>
              <w:rPr>
                <w:rFonts w:hint="eastAsia" w:ascii="仿宋" w:hAnsi="仿宋" w:eastAsia="仿宋" w:cs="仿宋"/>
                <w:bCs/>
                <w:color w:val="auto"/>
                <w:kern w:val="24"/>
                <w:sz w:val="24"/>
                <w:szCs w:val="24"/>
                <w:highlight w:val="none"/>
              </w:rPr>
              <w:t>化学传输模型构建、同化反演算法构建等内容，</w:t>
            </w:r>
            <w:r>
              <w:rPr>
                <w:rFonts w:hint="eastAsia" w:ascii="仿宋" w:hAnsi="仿宋" w:eastAsia="仿宋" w:cs="仿宋"/>
                <w:bCs/>
                <w:color w:val="auto"/>
                <w:sz w:val="24"/>
                <w:szCs w:val="24"/>
                <w:highlight w:val="none"/>
              </w:rPr>
              <w:t>上述内容全部涵盖且符合需求的得5分；方案略有欠缺但合理的得3分；方案缺乏详尽内容，描述简单的得1分；未提供的不得分。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w:t>
            </w:r>
          </w:p>
        </w:tc>
        <w:tc>
          <w:tcPr>
            <w:tcW w:w="6183"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生态系统碳通量模型建设技术方案，主要考察生态系统模型构建能力，方案需包含</w:t>
            </w:r>
            <w:r>
              <w:rPr>
                <w:rFonts w:hint="eastAsia" w:ascii="仿宋" w:hAnsi="仿宋" w:eastAsia="仿宋" w:cs="仿宋"/>
                <w:bCs/>
                <w:color w:val="auto"/>
                <w:kern w:val="24"/>
                <w:sz w:val="24"/>
                <w:szCs w:val="24"/>
                <w:highlight w:val="none"/>
              </w:rPr>
              <w:t>生态系统参数敏感性分析、多源遥感地表参数同化及模型网格设置等内容，</w:t>
            </w:r>
            <w:r>
              <w:rPr>
                <w:rFonts w:hint="eastAsia" w:ascii="仿宋" w:hAnsi="仿宋" w:eastAsia="仿宋" w:cs="仿宋"/>
                <w:bCs/>
                <w:color w:val="auto"/>
                <w:sz w:val="24"/>
                <w:szCs w:val="24"/>
                <w:highlight w:val="none"/>
              </w:rPr>
              <w:t>上述内容全部涵盖且符合需求的得5分；方案略有欠缺但合理的得3分；方案缺乏详尽内容，描述简单的得1分；未提供的不得分。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w:t>
            </w:r>
          </w:p>
        </w:tc>
        <w:tc>
          <w:tcPr>
            <w:tcW w:w="6183"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据集成管理建设方案，主要考察监测数据集成及汇总能力，方案需包含站点列表、仪器在线监控、原始数据、审核数据等详细设计方案，上述内容全部涵盖且符合需求的得5分；方案略有欠缺但合理的得3分；方案缺乏详尽内容，描述简单的得1分；未提供的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3.5</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据分析建设方案，主要考察多源监测数据对比分析展示能力，方案需包含温室气体在线监测数据、温室气体通量监测数据及气象数据综合分析详细设计方案，上述内容全部涵盖且符合需求的得5分；方案略有欠缺但合理的得3分；方案缺乏详尽内容，描述简单的得1分；未提供的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室气体排放展示建设方案，主要考察基础清单及反演产品的展示能力,方案需包含基础清单更新编制、网格化动态反演产品构建详细设计方案，上述内容全部涵盖且符合需求的得5分；方案略有欠缺但合理的得3分；方案缺乏详尽内容，描述简单的得1分；未提供的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生态系统通量分析和展示建设方案，主要考察生态系统碳通量模拟与评估展示能力，方案需包含网格化碳通量时空分布特征、区域碳通量排名评估展示详细设计方案，上述内容全部涵盖且符合需求的得5分；方案略有欠缺但合理的得3分；方案缺乏详尽内容，描述简单的得1分；未提供的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3.8</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单位对典型城市的人为源碳排放时空分布特征的了解程度进行打分。要求针对浙江省碳排放时空变化特征、重点区域和时段变化特征进行分析，上述内容全部涵盖且符合需求的得5分；方案略有欠缺但合理的得3分；方案缺乏详尽内容，描述简单的得1分；未提供的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3.9</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根据投标人针对本项目编制方案的总体目标、思路、方案成果等进行打分。</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项目方案总体思路清晰、全面，目标明确，满足项目实际需求，方案成果内容齐全、结构完整、表述准确，合理可行的得5分；</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项目方案总体思路比较全面，基本满足项目实际需求，方案成果内容表述比较完善、合理的得3分；</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项目方案总体思路较简单，目标设定简单，较片面，方案成果缺乏详尽内容，描述简单的得1分；</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未提及项目编制思路，没有明确项目目标和项目成果的，该项不得分。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为保证项目顺利完成，提供合理可行的项目实施进度计划安排及对项目质量的保证措施。</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计划进度方案需包含详细的进度安排(细化到每周)、人员架构（模型模拟、人员工作经验等）、计算机资源保障措施，上述内容全部涵盖且符合需求的得5分；方案略有欠缺但合理的得3分；方案缺乏详尽内容，不具可操作性的得1分；未提供的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根据投标人提供的成果报告大纲及框架进行打分，内容详细丰富、分析方法合理得4分，基本合理得2分，未提供不得分。</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成果报告大纲及框架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项目团队</w:t>
            </w:r>
          </w:p>
        </w:tc>
        <w:tc>
          <w:tcPr>
            <w:tcW w:w="93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w:t>
            </w:r>
          </w:p>
        </w:tc>
        <w:tc>
          <w:tcPr>
            <w:tcW w:w="6183"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为保证项目实施质量，拟派本项目技术负责人具有副高级职称，得1分，具有正高级职称，得2分，本项最高2分。（根据投标文件提供的职称证书及劳动合同等相关证明材料打分，不提供不得分。）</w:t>
            </w:r>
          </w:p>
        </w:tc>
        <w:tc>
          <w:tcPr>
            <w:tcW w:w="93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6.2</w:t>
            </w:r>
          </w:p>
        </w:tc>
        <w:tc>
          <w:tcPr>
            <w:tcW w:w="6183"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为保证项目实施进度，拟派本项目工作小组人员（除技术负责人外）需具备1年以上相关工作经验，拟派本项目工作小组人员达到6人的得1分， 8人及以上得2分，最高得2分。（根据投标文件提供的履历表及劳务合同打分。）</w:t>
            </w:r>
          </w:p>
        </w:tc>
        <w:tc>
          <w:tcPr>
            <w:tcW w:w="93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6.3</w:t>
            </w:r>
          </w:p>
        </w:tc>
        <w:tc>
          <w:tcPr>
            <w:tcW w:w="6183"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拟派本项目工作小组人员有气象学专业背景的，提供3人及以上的得2分，少于3人不得分。（根据投标文件提供的学历证书、劳动合同等相关证明材料打分）</w:t>
            </w:r>
          </w:p>
        </w:tc>
        <w:tc>
          <w:tcPr>
            <w:tcW w:w="93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根据售后服务状况，响应是否及时，解决问题是否迅速。提供的售后服务方案和服务承诺情况，以及服务承诺的可行性、完整性以及服务承诺落实的保障措施等方面情况进行打分。</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售后服务方案科学合理、人员专业素质高，服务措施完善和服务承诺对项目后续保障有意义和必要性，服务响应时间便利、及时的得5分；</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售后服务方案基本合理，技术人员数量和专业性一般，有服务承诺的得3分；</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rPr>
              <w:t>售后服务方案简单，对项目后续服务保障性有欠缺，服务响应时间缺乏及时性的得1分；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未提供售后服务方案及相应的服务人员和服务承诺措施的，该项不得分。</w:t>
            </w:r>
          </w:p>
        </w:tc>
        <w:tc>
          <w:tcPr>
            <w:tcW w:w="93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0"/>
                <w:sz w:val="24"/>
                <w:szCs w:val="24"/>
                <w:highlight w:val="none"/>
              </w:rPr>
              <w:t>售后服务</w:t>
            </w:r>
            <w:r>
              <w:rPr>
                <w:rFonts w:hint="eastAsia" w:ascii="仿宋" w:hAnsi="仿宋" w:eastAsia="仿宋" w:cs="仿宋"/>
                <w:bCs/>
                <w:color w:val="auto"/>
                <w:kern w:val="0"/>
                <w:sz w:val="24"/>
                <w:szCs w:val="24"/>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8</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根据投标方拟定的培训计划进行比对打分，拟定的培训计划需包含培训内容、培训时间、培训人数、培训地点，培训安排达到2天10人次培训，得1分，培训安排达到5天10人次及以上的，得2分，本项最高2分。</w:t>
            </w:r>
          </w:p>
        </w:tc>
        <w:tc>
          <w:tcPr>
            <w:tcW w:w="93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培训</w:t>
            </w:r>
            <w:r>
              <w:rPr>
                <w:rFonts w:hint="eastAsia" w:ascii="仿宋" w:hAnsi="仿宋" w:eastAsia="仿宋" w:cs="仿宋"/>
                <w:bCs/>
                <w:color w:val="auto"/>
                <w:kern w:val="0"/>
                <w:sz w:val="24"/>
                <w:szCs w:val="24"/>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合理化建议：针对本项目的重点、难点，提出合理化建议，且所提建议确实能对项目的实施产生有益作用的，根据建议内容打分。</w:t>
            </w:r>
          </w:p>
        </w:tc>
        <w:tc>
          <w:tcPr>
            <w:tcW w:w="93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0"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10</w:t>
            </w:r>
          </w:p>
        </w:tc>
        <w:tc>
          <w:tcPr>
            <w:tcW w:w="6183" w:type="dxa"/>
            <w:vAlign w:val="center"/>
          </w:tcPr>
          <w:p>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有效投标报价的最低价作为评标基准价，其最低报价为满分；其他投标人的价格分统一按照下列公式计算［投标报价得分=（评标基准价/投标报价）*10］的计算公式计算。</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2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评标过程中，不得去掉报价中的最高报价和最低报价。</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因落实政府采购政策需要进行价格调整的，以调整后的价格计算评标基准价和投标报价。</w:t>
            </w:r>
          </w:p>
        </w:tc>
        <w:tc>
          <w:tcPr>
            <w:tcW w:w="930" w:type="dxa"/>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905" w:type="dxa"/>
            <w:vAlign w:val="center"/>
          </w:tcPr>
          <w:p>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价格</w:t>
            </w:r>
          </w:p>
        </w:tc>
      </w:tr>
    </w:tbl>
    <w:p>
      <w:pP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br w:type="page"/>
      </w:r>
    </w:p>
    <w:p>
      <w:pPr>
        <w:spacing w:line="360" w:lineRule="auto"/>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spacing w:line="360" w:lineRule="auto"/>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三、评标程序</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30"/>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3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u w:val="single"/>
        </w:rPr>
        <w:t>2</w:t>
      </w:r>
      <w:r>
        <w:rPr>
          <w:rFonts w:ascii="仿宋" w:hAnsi="仿宋" w:eastAsia="仿宋" w:cs="仿宋"/>
          <w:color w:val="auto"/>
          <w:kern w:val="0"/>
          <w:szCs w:val="24"/>
          <w:highlight w:val="none"/>
          <w:u w:val="single"/>
        </w:rPr>
        <w:t>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u w:val="single"/>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pPr>
        <w:pStyle w:val="130"/>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4.2.2投标文件未按照招标文件要求签署、盖章的；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color w:val="auto"/>
          <w:kern w:val="0"/>
          <w:sz w:val="24"/>
          <w:highlight w:val="none"/>
        </w:rPr>
        <w:t>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4.2.4投标文件含有采购人不能接受的附加条件的；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4.2.5投标文件中承诺的投标有效期少于招标文件中载明的投标有效期的；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4.2.6投标文件出现不是唯一的、有选择性投标报价的;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4.2.9投标人对根据修正原则修正后的报价不确认的；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4.2.10投标人提供虚假材料投标的；</w:t>
      </w:r>
    </w:p>
    <w:p>
      <w:pPr>
        <w:spacing w:line="360" w:lineRule="auto"/>
        <w:ind w:firstLine="240" w:firstLineChars="100"/>
        <w:rPr>
          <w:rFonts w:ascii="仿宋" w:hAnsi="仿宋" w:eastAsia="仿宋" w:cs="Arial"/>
          <w:color w:val="auto"/>
          <w:kern w:val="0"/>
          <w:sz w:val="24"/>
          <w:highlight w:val="none"/>
        </w:rPr>
      </w:pPr>
      <w:r>
        <w:rPr>
          <w:rFonts w:ascii="仿宋" w:hAnsi="仿宋" w:eastAsia="仿宋"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4.2.12投标人仅提交备份投标文件，没有在电子交易平台传输递交投标文件的，投标无效；</w:t>
      </w:r>
    </w:p>
    <w:p>
      <w:pPr>
        <w:pStyle w:val="3"/>
        <w:ind w:left="862" w:leftChars="205"/>
        <w:rPr>
          <w:rFonts w:ascii="仿宋" w:eastAsia="仿宋" w:cs="Arial"/>
          <w:b w:val="0"/>
          <w:bCs w:val="0"/>
          <w:color w:val="auto"/>
          <w:kern w:val="0"/>
          <w:sz w:val="24"/>
          <w:szCs w:val="24"/>
          <w:highlight w:val="none"/>
          <w:lang w:val="en-US"/>
        </w:rPr>
      </w:pPr>
      <w:r>
        <w:rPr>
          <w:rFonts w:ascii="仿宋" w:eastAsia="仿宋" w:cs="Arial"/>
          <w:b w:val="0"/>
          <w:bCs w:val="0"/>
          <w:color w:val="auto"/>
          <w:kern w:val="0"/>
          <w:sz w:val="24"/>
          <w:szCs w:val="24"/>
          <w:highlight w:val="none"/>
          <w:lang w:val="en-US"/>
        </w:rPr>
        <w:t xml:space="preserve">4.2.13 </w:t>
      </w:r>
      <w:r>
        <w:rPr>
          <w:rFonts w:hint="eastAsia" w:ascii="仿宋" w:eastAsia="仿宋"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pPr>
        <w:pStyle w:val="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pPr>
        <w:pStyle w:val="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pPr>
        <w:pStyle w:val="6"/>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6"/>
        <w:snapToGrid w:val="0"/>
        <w:spacing w:line="360" w:lineRule="auto"/>
        <w:rPr>
          <w:rFonts w:ascii="仿宋_GB2312" w:hAnsi="仿宋" w:eastAsia="仿宋_GB2312" w:cs="仿宋_GB2312"/>
          <w:b/>
          <w:color w:val="auto"/>
          <w:sz w:val="36"/>
          <w:szCs w:val="36"/>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bookmarkEnd w:id="26"/>
      <w:bookmarkStart w:id="394" w:name="第五部分"/>
      <w:bookmarkStart w:id="395" w:name="_Toc86217003"/>
      <w:r>
        <w:rPr>
          <w:rFonts w:ascii="仿宋_GB2312" w:hAnsi="仿宋" w:eastAsia="仿宋_GB2312" w:cs="仿宋_GB2312"/>
          <w:b/>
          <w:color w:val="auto"/>
          <w:sz w:val="36"/>
          <w:szCs w:val="36"/>
          <w:highlight w:val="none"/>
        </w:rPr>
        <w:br w:type="page"/>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p>
    <w:p>
      <w:pPr>
        <w:pStyle w:val="5"/>
        <w:ind w:left="0" w:leftChars="0" w:firstLine="0" w:firstLineChars="0"/>
        <w:rPr>
          <w:rFonts w:ascii="仿宋" w:hAnsi="仿宋" w:eastAsia="仿宋"/>
          <w:color w:val="auto"/>
          <w:szCs w:val="24"/>
          <w:highlight w:val="none"/>
        </w:rPr>
      </w:pPr>
    </w:p>
    <w:p>
      <w:pPr>
        <w:pStyle w:val="5"/>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pStyle w:val="5"/>
        <w:rPr>
          <w:rFonts w:ascii="仿宋" w:hAnsi="仿宋" w:eastAsia="仿宋"/>
          <w:color w:val="auto"/>
          <w:szCs w:val="24"/>
          <w:highlight w:val="none"/>
        </w:rPr>
      </w:pPr>
    </w:p>
    <w:p>
      <w:pPr>
        <w:pStyle w:val="5"/>
        <w:rPr>
          <w:rFonts w:ascii="仿宋" w:hAnsi="仿宋" w:eastAsia="仿宋"/>
          <w:color w:val="auto"/>
          <w:szCs w:val="24"/>
          <w:highlight w:val="none"/>
        </w:rPr>
      </w:pPr>
    </w:p>
    <w:p>
      <w:pPr>
        <w:pStyle w:val="5"/>
        <w:jc w:val="center"/>
        <w:rPr>
          <w:rFonts w:ascii="仿宋" w:hAnsi="仿宋" w:eastAsia="仿宋"/>
          <w:color w:val="auto"/>
          <w:szCs w:val="24"/>
          <w:highlight w:val="none"/>
        </w:rPr>
      </w:pPr>
    </w:p>
    <w:p>
      <w:pPr>
        <w:pStyle w:val="5"/>
        <w:rPr>
          <w:rFonts w:ascii="仿宋" w:hAnsi="仿宋" w:eastAsia="仿宋"/>
          <w:color w:val="auto"/>
          <w:szCs w:val="24"/>
          <w:highlight w:val="none"/>
        </w:rPr>
      </w:pPr>
    </w:p>
    <w:p>
      <w:pPr>
        <w:pStyle w:val="5"/>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p>
    <w:p>
      <w:pPr>
        <w:pStyle w:val="598"/>
        <w:spacing w:before="120" w:line="22" w:lineRule="atLeast"/>
        <w:rPr>
          <w:rFonts w:ascii="仿宋" w:hAnsi="仿宋" w:eastAsia="仿宋"/>
          <w:color w:val="auto"/>
          <w:szCs w:val="24"/>
          <w:highlight w:val="none"/>
        </w:rPr>
      </w:pPr>
    </w:p>
    <w:p>
      <w:pPr>
        <w:pStyle w:val="598"/>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p>
    <w:p>
      <w:pPr>
        <w:spacing w:before="120" w:line="22" w:lineRule="atLeast"/>
        <w:rPr>
          <w:rFonts w:ascii="仿宋" w:hAnsi="仿宋" w:eastAsia="仿宋"/>
          <w:color w:val="auto"/>
          <w:sz w:val="24"/>
          <w:highlight w:val="none"/>
        </w:rPr>
      </w:pPr>
    </w:p>
    <w:p>
      <w:pPr>
        <w:widowControl/>
        <w:adjustRightInd/>
        <w:spacing w:line="360" w:lineRule="auto"/>
        <w:ind w:firstLine="960" w:firstLineChars="400"/>
        <w:contextualSpacing/>
        <w:jc w:val="left"/>
        <w:rPr>
          <w:rFonts w:ascii="仿宋" w:hAnsi="仿宋" w:eastAsia="仿宋"/>
          <w:color w:val="auto"/>
          <w:sz w:val="24"/>
          <w:highlight w:val="none"/>
        </w:rPr>
      </w:pPr>
      <w:r>
        <w:rPr>
          <w:rFonts w:hint="eastAsia" w:ascii="仿宋" w:hAnsi="仿宋" w:eastAsia="仿宋"/>
          <w:color w:val="auto"/>
          <w:sz w:val="24"/>
          <w:highlight w:val="none"/>
        </w:rPr>
        <w:t>签订日期：  年  月  日</w:t>
      </w:r>
    </w:p>
    <w:bookmarkEnd w:id="394"/>
    <w:bookmarkEnd w:id="395"/>
    <w:p>
      <w:pP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jc w:val="both"/>
        <w:rPr>
          <w:rFonts w:hint="default" w:asciiTheme="minorEastAsia" w:hAnsiTheme="minorEastAsia" w:eastAsiaTheme="minorEastAsia"/>
          <w:b/>
          <w:color w:val="auto"/>
          <w:highlight w:val="none"/>
          <w:lang w:val="en-US" w:eastAsia="zh-CN"/>
        </w:rPr>
      </w:pPr>
      <w:r>
        <w:rPr>
          <w:rFonts w:hint="eastAsia" w:ascii="仿宋" w:hAnsi="仿宋" w:eastAsia="仿宋" w:cs="仿宋"/>
          <w:b/>
          <w:color w:val="auto"/>
          <w:sz w:val="24"/>
          <w:szCs w:val="24"/>
          <w:highlight w:val="none"/>
          <w:lang w:val="en-US" w:eastAsia="zh-CN"/>
        </w:rPr>
        <w:t>标项一：温室气体手工监测及移动监测服务项目项目</w:t>
      </w:r>
    </w:p>
    <w:p>
      <w:pPr>
        <w:jc w:val="center"/>
        <w:rPr>
          <w:rFonts w:hint="eastAsia" w:asciiTheme="minorEastAsia" w:hAnsiTheme="minorEastAsia" w:eastAsiaTheme="minorEastAsia"/>
          <w:b/>
          <w:color w:val="auto"/>
          <w:highlight w:val="none"/>
        </w:rPr>
      </w:pPr>
    </w:p>
    <w:p>
      <w:pPr>
        <w:adjustRightInd w:val="0"/>
        <w:snapToGri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甲、乙双方根据杭州意信招标代理有限公司关于</w:t>
      </w:r>
      <w:r>
        <w:rPr>
          <w:rFonts w:hint="eastAsia" w:ascii="仿宋" w:hAnsi="仿宋" w:eastAsia="仿宋" w:cs="仿宋"/>
          <w:color w:val="auto"/>
          <w:spacing w:val="-6"/>
          <w:sz w:val="24"/>
          <w:szCs w:val="24"/>
          <w:highlight w:val="none"/>
          <w:u w:val="single"/>
        </w:rPr>
        <w:t xml:space="preserve">                        服务</w:t>
      </w:r>
      <w:r>
        <w:rPr>
          <w:rFonts w:hint="eastAsia" w:ascii="仿宋" w:hAnsi="仿宋" w:eastAsia="仿宋" w:cs="仿宋"/>
          <w:color w:val="auto"/>
          <w:spacing w:val="-6"/>
          <w:sz w:val="24"/>
          <w:szCs w:val="24"/>
          <w:highlight w:val="none"/>
        </w:rPr>
        <w:t>项目</w:t>
      </w:r>
      <w:r>
        <w:rPr>
          <w:rFonts w:hint="eastAsia" w:ascii="仿宋" w:hAnsi="仿宋" w:eastAsia="仿宋" w:cs="仿宋"/>
          <w:color w:val="auto"/>
          <w:spacing w:val="-6"/>
          <w:sz w:val="24"/>
          <w:szCs w:val="24"/>
          <w:highlight w:val="none"/>
          <w:u w:val="single"/>
        </w:rPr>
        <w:t>公开招标</w:t>
      </w:r>
      <w:r>
        <w:rPr>
          <w:rFonts w:hint="eastAsia" w:ascii="仿宋" w:hAnsi="仿宋" w:eastAsia="仿宋" w:cs="仿宋"/>
          <w:color w:val="auto"/>
          <w:spacing w:val="-6"/>
          <w:sz w:val="24"/>
          <w:szCs w:val="24"/>
          <w:highlight w:val="none"/>
        </w:rPr>
        <w:t>的结果，签署本合同。</w:t>
      </w:r>
    </w:p>
    <w:p>
      <w:pPr>
        <w:adjustRightInd w:val="0"/>
        <w:spacing w:line="360" w:lineRule="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第一条：服务内容及合同价格</w:t>
      </w:r>
    </w:p>
    <w:tbl>
      <w:tblPr>
        <w:tblStyle w:val="64"/>
        <w:tblW w:w="93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1"/>
        <w:gridCol w:w="708"/>
        <w:gridCol w:w="709"/>
        <w:gridCol w:w="1794"/>
        <w:gridCol w:w="146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vAlign w:val="center"/>
          </w:tcPr>
          <w:p>
            <w:pPr>
              <w:adjustRightIn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序号</w:t>
            </w:r>
          </w:p>
        </w:tc>
        <w:tc>
          <w:tcPr>
            <w:tcW w:w="2541" w:type="dxa"/>
            <w:vAlign w:val="center"/>
          </w:tcPr>
          <w:p>
            <w:pPr>
              <w:adjustRightIn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服务内容</w:t>
            </w:r>
          </w:p>
        </w:tc>
        <w:tc>
          <w:tcPr>
            <w:tcW w:w="708" w:type="dxa"/>
            <w:vAlign w:val="center"/>
          </w:tcPr>
          <w:p>
            <w:pPr>
              <w:adjustRightIn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数量</w:t>
            </w:r>
          </w:p>
        </w:tc>
        <w:tc>
          <w:tcPr>
            <w:tcW w:w="709" w:type="dxa"/>
            <w:vAlign w:val="center"/>
          </w:tcPr>
          <w:p>
            <w:pPr>
              <w:adjustRightIn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w:t>
            </w:r>
          </w:p>
        </w:tc>
        <w:tc>
          <w:tcPr>
            <w:tcW w:w="1794" w:type="dxa"/>
            <w:vAlign w:val="center"/>
          </w:tcPr>
          <w:p>
            <w:pPr>
              <w:adjustRightIn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描述</w:t>
            </w:r>
          </w:p>
        </w:tc>
        <w:tc>
          <w:tcPr>
            <w:tcW w:w="1466" w:type="dxa"/>
            <w:vAlign w:val="center"/>
          </w:tcPr>
          <w:p>
            <w:pPr>
              <w:adjustRightIn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单价</w:t>
            </w:r>
          </w:p>
          <w:p>
            <w:pPr>
              <w:adjustRightIn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（人民币元）</w:t>
            </w:r>
          </w:p>
        </w:tc>
        <w:tc>
          <w:tcPr>
            <w:tcW w:w="1414" w:type="dxa"/>
            <w:vAlign w:val="center"/>
          </w:tcPr>
          <w:p>
            <w:pPr>
              <w:adjustRightIn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合计</w:t>
            </w:r>
          </w:p>
          <w:p>
            <w:pPr>
              <w:adjustRightInd w:val="0"/>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vAlign w:val="center"/>
          </w:tcPr>
          <w:p>
            <w:pPr>
              <w:adjustRightInd w:val="0"/>
              <w:spacing w:line="360" w:lineRule="auto"/>
              <w:jc w:val="center"/>
              <w:rPr>
                <w:rFonts w:hint="eastAsia" w:ascii="仿宋" w:hAnsi="仿宋" w:eastAsia="仿宋" w:cs="仿宋"/>
                <w:color w:val="auto"/>
                <w:spacing w:val="-6"/>
                <w:sz w:val="24"/>
                <w:szCs w:val="24"/>
                <w:highlight w:val="none"/>
              </w:rPr>
            </w:pPr>
          </w:p>
        </w:tc>
        <w:tc>
          <w:tcPr>
            <w:tcW w:w="2541" w:type="dxa"/>
            <w:vAlign w:val="center"/>
          </w:tcPr>
          <w:p>
            <w:pPr>
              <w:adjustRightInd w:val="0"/>
              <w:spacing w:line="360" w:lineRule="auto"/>
              <w:ind w:left="178" w:leftChars="85"/>
              <w:jc w:val="center"/>
              <w:rPr>
                <w:rFonts w:hint="eastAsia" w:ascii="仿宋" w:hAnsi="仿宋" w:eastAsia="仿宋" w:cs="仿宋"/>
                <w:color w:val="auto"/>
                <w:spacing w:val="-6"/>
                <w:sz w:val="24"/>
                <w:szCs w:val="24"/>
                <w:highlight w:val="none"/>
              </w:rPr>
            </w:pPr>
          </w:p>
        </w:tc>
        <w:tc>
          <w:tcPr>
            <w:tcW w:w="708" w:type="dxa"/>
            <w:vAlign w:val="center"/>
          </w:tcPr>
          <w:p>
            <w:pPr>
              <w:adjustRightInd w:val="0"/>
              <w:spacing w:line="360" w:lineRule="auto"/>
              <w:jc w:val="center"/>
              <w:rPr>
                <w:rFonts w:hint="eastAsia" w:ascii="仿宋" w:hAnsi="仿宋" w:eastAsia="仿宋" w:cs="仿宋"/>
                <w:color w:val="auto"/>
                <w:spacing w:val="-6"/>
                <w:sz w:val="24"/>
                <w:szCs w:val="24"/>
                <w:highlight w:val="none"/>
              </w:rPr>
            </w:pPr>
          </w:p>
        </w:tc>
        <w:tc>
          <w:tcPr>
            <w:tcW w:w="709" w:type="dxa"/>
            <w:vAlign w:val="center"/>
          </w:tcPr>
          <w:p>
            <w:pPr>
              <w:adjustRightInd w:val="0"/>
              <w:spacing w:line="360" w:lineRule="auto"/>
              <w:jc w:val="center"/>
              <w:rPr>
                <w:rFonts w:hint="eastAsia" w:ascii="仿宋" w:hAnsi="仿宋" w:eastAsia="仿宋" w:cs="仿宋"/>
                <w:color w:val="auto"/>
                <w:spacing w:val="-6"/>
                <w:sz w:val="24"/>
                <w:szCs w:val="24"/>
                <w:highlight w:val="none"/>
              </w:rPr>
            </w:pPr>
          </w:p>
        </w:tc>
        <w:tc>
          <w:tcPr>
            <w:tcW w:w="1794" w:type="dxa"/>
            <w:vAlign w:val="center"/>
          </w:tcPr>
          <w:p>
            <w:pPr>
              <w:adjustRightInd w:val="0"/>
              <w:spacing w:line="360" w:lineRule="auto"/>
              <w:jc w:val="center"/>
              <w:rPr>
                <w:rFonts w:hint="eastAsia" w:ascii="仿宋" w:hAnsi="仿宋" w:eastAsia="仿宋" w:cs="仿宋"/>
                <w:color w:val="auto"/>
                <w:spacing w:val="-6"/>
                <w:sz w:val="24"/>
                <w:szCs w:val="24"/>
                <w:highlight w:val="none"/>
              </w:rPr>
            </w:pPr>
          </w:p>
        </w:tc>
        <w:tc>
          <w:tcPr>
            <w:tcW w:w="1466" w:type="dxa"/>
            <w:vAlign w:val="center"/>
          </w:tcPr>
          <w:p>
            <w:pPr>
              <w:adjustRightInd w:val="0"/>
              <w:spacing w:line="360" w:lineRule="auto"/>
              <w:jc w:val="center"/>
              <w:rPr>
                <w:rFonts w:hint="eastAsia" w:ascii="仿宋" w:hAnsi="仿宋" w:eastAsia="仿宋" w:cs="仿宋"/>
                <w:color w:val="auto"/>
                <w:spacing w:val="-6"/>
                <w:sz w:val="24"/>
                <w:szCs w:val="24"/>
                <w:highlight w:val="none"/>
              </w:rPr>
            </w:pPr>
          </w:p>
        </w:tc>
        <w:tc>
          <w:tcPr>
            <w:tcW w:w="1414" w:type="dxa"/>
            <w:vAlign w:val="center"/>
          </w:tcPr>
          <w:p>
            <w:pPr>
              <w:adjustRightInd w:val="0"/>
              <w:spacing w:line="360" w:lineRule="auto"/>
              <w:rPr>
                <w:rFonts w:hint="eastAsia" w:ascii="仿宋" w:hAnsi="仿宋" w:eastAsia="仿宋" w:cs="仿宋"/>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52" w:type="dxa"/>
            <w:gridSpan w:val="7"/>
            <w:vAlign w:val="center"/>
          </w:tcPr>
          <w:p>
            <w:pPr>
              <w:adjustRightInd w:val="0"/>
              <w:spacing w:line="360" w:lineRule="auto"/>
              <w:rPr>
                <w:rFonts w:hint="eastAsia" w:ascii="仿宋" w:hAnsi="仿宋" w:eastAsia="仿宋" w:cs="仿宋"/>
                <w:color w:val="auto"/>
                <w:spacing w:val="-6"/>
                <w:sz w:val="24"/>
                <w:szCs w:val="24"/>
                <w:highlight w:val="none"/>
              </w:rPr>
            </w:pPr>
          </w:p>
          <w:p>
            <w:pPr>
              <w:adjustRightIn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合同总价（人民币元）：</w:t>
            </w:r>
          </w:p>
          <w:p>
            <w:pPr>
              <w:adjustRightInd w:val="0"/>
              <w:spacing w:line="360" w:lineRule="auto"/>
              <w:rPr>
                <w:rFonts w:hint="eastAsia" w:ascii="仿宋" w:hAnsi="仿宋" w:eastAsia="仿宋" w:cs="仿宋"/>
                <w:color w:val="auto"/>
                <w:spacing w:val="-6"/>
                <w:sz w:val="24"/>
                <w:szCs w:val="24"/>
                <w:highlight w:val="none"/>
              </w:rPr>
            </w:pPr>
          </w:p>
          <w:p>
            <w:pPr>
              <w:adjustRightIn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注：1.以上合同总价包括履行本项目服务的一切费用。</w:t>
            </w:r>
          </w:p>
        </w:tc>
      </w:tr>
    </w:tbl>
    <w:p>
      <w:pPr>
        <w:adjustRightInd w:val="0"/>
        <w:spacing w:line="360" w:lineRule="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第二条：服务时间、地点</w:t>
      </w:r>
    </w:p>
    <w:p>
      <w:pPr>
        <w:adjustRightInd w:val="0"/>
        <w:spacing w:line="360" w:lineRule="auto"/>
        <w:ind w:right="-514" w:rightChars="-245"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1.服务时间：合同签订之日起2年；</w:t>
      </w:r>
    </w:p>
    <w:p>
      <w:pPr>
        <w:adjustRightInd w:val="0"/>
        <w:spacing w:line="360" w:lineRule="auto"/>
        <w:ind w:right="-514" w:rightChars="-245"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2.服务地点：甲方指定地点；</w:t>
      </w:r>
    </w:p>
    <w:p>
      <w:pPr>
        <w:adjustRightInd w:val="0"/>
        <w:spacing w:line="360" w:lineRule="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第三条：履约保证金和付款方式</w:t>
      </w:r>
    </w:p>
    <w:p>
      <w:pPr>
        <w:adjustRightIn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1.合同签订后一周内，乙方向甲方提交合同金额</w:t>
      </w:r>
      <w:r>
        <w:rPr>
          <w:rFonts w:hint="eastAsia" w:ascii="仿宋" w:hAnsi="仿宋" w:eastAsia="仿宋" w:cs="仿宋"/>
          <w:color w:val="auto"/>
          <w:spacing w:val="-6"/>
          <w:sz w:val="24"/>
          <w:szCs w:val="24"/>
          <w:highlight w:val="none"/>
          <w:u w:val="single"/>
        </w:rPr>
        <w:t>1%</w:t>
      </w:r>
      <w:r>
        <w:rPr>
          <w:rFonts w:hint="eastAsia" w:ascii="仿宋" w:hAnsi="仿宋" w:eastAsia="仿宋" w:cs="仿宋"/>
          <w:color w:val="auto"/>
          <w:spacing w:val="-6"/>
          <w:sz w:val="24"/>
          <w:szCs w:val="24"/>
          <w:highlight w:val="none"/>
        </w:rPr>
        <w:t>的履约保证金，履约保证金在服务期内无质量问题和维护问题，服务期满后，于一周内退还（不计息）；</w:t>
      </w:r>
    </w:p>
    <w:p>
      <w:pPr>
        <w:adjustRightIn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2.提交方式：金融机构、担保机构出具的保函等非现金形式。</w:t>
      </w:r>
    </w:p>
    <w:p>
      <w:pPr>
        <w:adjustRightIn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3.付款方式：</w:t>
      </w:r>
    </w:p>
    <w:p>
      <w:pPr>
        <w:adjustRightIn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3.1合同签订后5个工作日内，甲方向乙方支付合同金额的70%；</w:t>
      </w:r>
    </w:p>
    <w:p>
      <w:pPr>
        <w:adjustRightIn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3.2 2022年12月10日前，甲方向乙方支付合同金额的25%。</w:t>
      </w:r>
    </w:p>
    <w:p>
      <w:pPr>
        <w:adjustRightIn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3.3 验收合格后支付合同金额的5%。</w:t>
      </w:r>
    </w:p>
    <w:p>
      <w:pPr>
        <w:adjustRightIn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3.4 付款按财政政策执行，因乙方未按合同履行任务或不符合财政资金支付时间要求等原因造成不能及时付款的，甲方不承担责任。</w:t>
      </w:r>
    </w:p>
    <w:p>
      <w:pPr>
        <w:adjustRightInd w:val="0"/>
        <w:spacing w:line="360" w:lineRule="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第四条：</w:t>
      </w:r>
      <w:r>
        <w:rPr>
          <w:rFonts w:hint="eastAsia" w:ascii="仿宋" w:hAnsi="仿宋" w:eastAsia="仿宋" w:cs="仿宋"/>
          <w:b/>
          <w:color w:val="auto"/>
          <w:spacing w:val="-6"/>
          <w:sz w:val="24"/>
          <w:szCs w:val="24"/>
          <w:highlight w:val="none"/>
          <w:lang w:val="en-US" w:eastAsia="zh-CN"/>
        </w:rPr>
        <w:t>保密要求、</w:t>
      </w:r>
      <w:r>
        <w:rPr>
          <w:rFonts w:hint="eastAsia" w:ascii="仿宋" w:hAnsi="仿宋" w:eastAsia="仿宋" w:cs="仿宋"/>
          <w:b/>
          <w:color w:val="auto"/>
          <w:spacing w:val="-6"/>
          <w:sz w:val="24"/>
          <w:szCs w:val="24"/>
          <w:highlight w:val="none"/>
        </w:rPr>
        <w:t>技术资料及知识产权</w:t>
      </w:r>
    </w:p>
    <w:p>
      <w:pPr>
        <w:adjustRightInd w:val="0"/>
        <w:snapToGrid w:val="0"/>
        <w:spacing w:line="360" w:lineRule="auto"/>
        <w:ind w:firstLine="456" w:firstLineChars="200"/>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4.1保密要求：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需对所有监测数据及相关信息资料保密，未经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书面许可不得以任何方式公开展示、发表或透露给第三方。参与本项目服务的</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及所有人员，对工作中所涉的数据、资料及文件等负有保密义务，任何情况不得向第三方泄露。如存在上述情况，将按严重违约行为依法追究</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相关责任。</w:t>
      </w:r>
    </w:p>
    <w:p>
      <w:pPr>
        <w:adjustRightIn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4.2知识产权归属：</w:t>
      </w:r>
      <w:r>
        <w:rPr>
          <w:rFonts w:hint="eastAsia" w:ascii="仿宋" w:hAnsi="仿宋" w:eastAsia="仿宋" w:cs="仿宋"/>
          <w:color w:val="auto"/>
          <w:spacing w:val="-6"/>
          <w:sz w:val="24"/>
          <w:szCs w:val="24"/>
          <w:highlight w:val="none"/>
        </w:rPr>
        <w:t>本项目执行过程中所产生的数据资料和技术报告均为甲方所有，乙方未经同意不得擅自使用，由此产生的一切后果由乙方承担。</w:t>
      </w:r>
    </w:p>
    <w:p>
      <w:pPr>
        <w:adjustRightInd w:val="0"/>
        <w:spacing w:line="360" w:lineRule="auto"/>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第五条：服务保证</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1.乙方应保证按照有关国际或国家或行业技术标准规范，对项目手工监测及移动监测工作等各个环节进行严格的质量把关。</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2.在服务期内乙方应保证承包区域内的设施、设备良好的运行状况和环境状况。</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3.项目服务期内应严格做好安全防范措施，如乙方项目服务人员在实施中违反操作规定造成人员伤亡事故或实施现场防范措施设置不明造成人员伤害事故，一切责任均由乙方负责。</w:t>
      </w:r>
    </w:p>
    <w:p>
      <w:pPr>
        <w:adjustRightInd w:val="0"/>
        <w:spacing w:line="360" w:lineRule="auto"/>
        <w:ind w:firstLine="480" w:firstLineChars="200"/>
        <w:contextualSpacing/>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4.乙方应为本配备项目组工作人员至少15人，其中包括项目负责人1名，现场采样技术人员10名，样品分析技术人员2名，数据分析技术人员2名。</w:t>
      </w:r>
      <w:r>
        <w:rPr>
          <w:rFonts w:hint="eastAsia" w:ascii="仿宋" w:hAnsi="仿宋" w:eastAsia="仿宋" w:cs="仿宋"/>
          <w:bCs/>
          <w:color w:val="auto"/>
          <w:sz w:val="24"/>
          <w:szCs w:val="24"/>
          <w:highlight w:val="none"/>
        </w:rPr>
        <w:t>若服务期间人员产生变动，须经甲方同意。</w:t>
      </w:r>
    </w:p>
    <w:p>
      <w:pPr>
        <w:adjustRightInd w:val="0"/>
        <w:spacing w:line="360" w:lineRule="auto"/>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第六条：乙方的责任与义务</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1.根据投标文件的承诺向甲方委派项目负责人、技术负责人和专业技术人员。</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2.在履行本合同义务的期间，应运用合理的技能，认真、勤奋的工作。</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3.在本合同期内或合同终止后，未征得甲方同意，不得泄露与本项目、本合同有关的技术、资料等，不得以任何形式侵害甲方的知识产权。</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4.负责本项目监测工作，负责处理好与其它项目实施单位的协调。</w:t>
      </w:r>
    </w:p>
    <w:p>
      <w:pPr>
        <w:adjustRightInd w:val="0"/>
        <w:spacing w:line="360" w:lineRule="auto"/>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第七条：甲方的责任与义务</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1.应当主要负责项目的所有外部关系的联系与协调，为乙方工作提供良好的外部条件。</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2.应当按合同专用条款双方约定的内容和时间，向乙方提供与项目有关资料。</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3.应当按合同专用条款预定的时间就乙方书面提交并要求做出决定的一切事宜做出书面决定。</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4.应授权一名熟悉本项目情况、能迅速做出决定的项目代表，负责与乙方联系。</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5.有与乙方订立补充合同的签订权。</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6.有对项目监测、方案、规范操作和设计使用功能要求的认定权，以及对项目监测、方案变更的审批权。</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7.有权要求乙方提交工作进度报告及专项报告等。</w:t>
      </w:r>
    </w:p>
    <w:p>
      <w:pPr>
        <w:adjustRightInd w:val="0"/>
        <w:spacing w:line="360" w:lineRule="auto"/>
        <w:ind w:firstLine="480" w:firstLineChars="200"/>
        <w:contextualSpacing/>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8.有权对乙方进行考核及处罚。</w:t>
      </w:r>
    </w:p>
    <w:p>
      <w:pPr>
        <w:adjustRightInd w:val="0"/>
        <w:spacing w:line="360" w:lineRule="auto"/>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第八条：履约验收</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1.履约验收根据本次项目招标文件中相关采购要求进行，验收由甲方负责实施。</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2.履约验收的依据：（1）国家强制标准（2）合同和招标文件、投标文件（及投标时的相关承诺）。（3）符合</w:t>
      </w:r>
      <w:bookmarkStart w:id="396" w:name="_Hlk63156334"/>
      <w:r>
        <w:rPr>
          <w:rFonts w:hint="eastAsia" w:ascii="仿宋" w:hAnsi="仿宋" w:eastAsia="仿宋" w:cs="仿宋"/>
          <w:color w:val="auto"/>
          <w:sz w:val="24"/>
          <w:szCs w:val="24"/>
          <w:highlight w:val="none"/>
        </w:rPr>
        <w:t>杭财采监﹝2019﹞10号文件</w:t>
      </w:r>
      <w:bookmarkEnd w:id="396"/>
      <w:r>
        <w:rPr>
          <w:rFonts w:hint="eastAsia" w:ascii="仿宋" w:hAnsi="仿宋" w:eastAsia="仿宋" w:cs="仿宋"/>
          <w:color w:val="auto"/>
          <w:sz w:val="24"/>
          <w:szCs w:val="24"/>
          <w:highlight w:val="none"/>
        </w:rPr>
        <w:t>规定。</w:t>
      </w:r>
    </w:p>
    <w:p>
      <w:pPr>
        <w:autoSpaceDE w:val="0"/>
        <w:autoSpaceDN w:val="0"/>
        <w:adjustRightIn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3.验收内容：按合同及招标文件、投标文件约定开展相关手工采样、分析和移动监测工作，按时提交原始记录、工作报告和数据分析报告等。</w:t>
      </w:r>
    </w:p>
    <w:p>
      <w:pPr>
        <w:adjustRightInd w:val="0"/>
        <w:spacing w:line="360" w:lineRule="auto"/>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第九条：违约处理</w:t>
      </w:r>
    </w:p>
    <w:p>
      <w:pPr>
        <w:adjustRightInd w:val="0"/>
        <w:spacing w:line="360" w:lineRule="auto"/>
        <w:ind w:firstLine="480" w:firstLineChars="200"/>
        <w:contextualSpacing/>
        <w:rPr>
          <w:rFonts w:hint="eastAsia" w:ascii="仿宋" w:hAnsi="仿宋" w:eastAsia="仿宋" w:cs="仿宋"/>
          <w:color w:val="auto"/>
          <w:sz w:val="24"/>
          <w:szCs w:val="24"/>
          <w:highlight w:val="none"/>
        </w:rPr>
      </w:pPr>
      <w:bookmarkStart w:id="397" w:name="_Hlk113484110"/>
      <w:r>
        <w:rPr>
          <w:rFonts w:hint="eastAsia" w:ascii="仿宋" w:hAnsi="仿宋" w:eastAsia="仿宋" w:cs="仿宋"/>
          <w:color w:val="auto"/>
          <w:sz w:val="24"/>
          <w:szCs w:val="24"/>
          <w:highlight w:val="none"/>
        </w:rPr>
        <w:t>甲乙双方应当履行合同约定的义务，如有违反，须承担相应的违约责任。</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不可抗力外，如果乙方没有按照本合同约定的期限、地点和方式完成约定服务内容，那么甲方有权要求乙方支付违约金，违约金按每迟延一日为合同总价的1%计算，最高限额为本合同总价的20%；超过约定日期的违约金计算数额达到前述最高限额之日起，甲方有权在要求乙方支付违约金的同时，书面通知乙方解除本合同，索回前期已支付的相应费用。</w:t>
      </w:r>
      <w:bookmarkEnd w:id="397"/>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2.乙方出现以下行为的，甲方有权终止合同，情节严重者，将予以通报，给甲方造成损失的，按实际损失进行赔偿：</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（1）未经甲方书面许可公开展示、发表或透露监测结果给第三方的；</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（2）出现调整数据等弄虚作假行为的；</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（3）其他有损采购方利益的行为。</w:t>
      </w:r>
    </w:p>
    <w:p>
      <w:pPr>
        <w:adjustRightInd w:val="0"/>
        <w:spacing w:line="360" w:lineRule="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第十条：不可抗力事件处理</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1.不可抗力事故系指甲乙双方在缔结合同时所不能预见的，并且它的发生及其后果无法避免和无法克服的事故。</w:t>
      </w:r>
    </w:p>
    <w:p>
      <w:pPr>
        <w:adjustRightInd w:val="0"/>
        <w:spacing w:line="360" w:lineRule="auto"/>
        <w:ind w:firstLine="480" w:firstLineChars="200"/>
        <w:contextualSpacing/>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adjustRightInd w:val="0"/>
        <w:spacing w:line="360" w:lineRule="auto"/>
        <w:ind w:right="-514" w:rightChars="-245"/>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第十一条：争议解决</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1.在本合同履行过程中发生争议，双方应当协商解决。双方不愿协商、调解解决或者协商、调解不成的，可按有关规定向杭州仲裁委员会提起仲裁。</w:t>
      </w:r>
    </w:p>
    <w:p>
      <w:pPr>
        <w:adjustRightInd w:val="0"/>
        <w:spacing w:line="360" w:lineRule="auto"/>
        <w:ind w:firstLine="480" w:firstLineChars="200"/>
        <w:contextualSpacing/>
        <w:rPr>
          <w:rFonts w:hint="eastAsia" w:ascii="仿宋" w:hAnsi="仿宋" w:eastAsia="仿宋" w:cs="仿宋"/>
          <w:snapToGrid w:val="0"/>
          <w:color w:val="auto"/>
          <w:spacing w:val="-6"/>
          <w:sz w:val="24"/>
          <w:szCs w:val="24"/>
          <w:highlight w:val="none"/>
        </w:rPr>
      </w:pPr>
      <w:r>
        <w:rPr>
          <w:rFonts w:hint="eastAsia" w:ascii="仿宋" w:hAnsi="仿宋" w:eastAsia="仿宋" w:cs="仿宋"/>
          <w:snapToGrid w:val="0"/>
          <w:color w:val="auto"/>
          <w:sz w:val="24"/>
          <w:szCs w:val="24"/>
          <w:highlight w:val="none"/>
        </w:rPr>
        <w:t>2.在仲裁期间，除正在进行仲裁的部分外，本合同其他部分应继续执行。</w:t>
      </w:r>
    </w:p>
    <w:p>
      <w:pPr>
        <w:adjustRightInd w:val="0"/>
        <w:spacing w:line="360" w:lineRule="auto"/>
        <w:ind w:right="-514" w:rightChars="-245"/>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第十二条：合同生效</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1.本次招标文件（招标编号：</w:t>
      </w:r>
      <w:r>
        <w:rPr>
          <w:rFonts w:hint="eastAsia" w:ascii="仿宋" w:hAnsi="仿宋" w:eastAsia="仿宋" w:cs="仿宋"/>
          <w:snapToGrid w:val="0"/>
          <w:color w:val="auto"/>
          <w:sz w:val="24"/>
          <w:szCs w:val="24"/>
          <w:highlight w:val="none"/>
          <w:lang w:val="en-US" w:eastAsia="zh-CN"/>
        </w:rPr>
        <w:t xml:space="preserve">    </w:t>
      </w:r>
      <w:r>
        <w:rPr>
          <w:rFonts w:hint="eastAsia" w:ascii="仿宋" w:hAnsi="仿宋" w:eastAsia="仿宋" w:cs="仿宋"/>
          <w:snapToGrid w:val="0"/>
          <w:color w:val="auto"/>
          <w:sz w:val="24"/>
          <w:szCs w:val="24"/>
          <w:highlight w:val="none"/>
        </w:rPr>
        <w:t>）、投标文件及评标过程中形成的文字资料、询标纪要均作为本合同的组成部分，具有同等效力。</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 xml:space="preserve">2.前述文件内容如与本合同发生冲突，以本合同为准，本合同没有约定的，前述文件作为补充和解释。        </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bCs/>
          <w:snapToGrid w:val="0"/>
          <w:color w:val="auto"/>
          <w:sz w:val="24"/>
          <w:szCs w:val="24"/>
          <w:highlight w:val="none"/>
        </w:rPr>
        <w:t>3.</w:t>
      </w:r>
      <w:r>
        <w:rPr>
          <w:rFonts w:hint="eastAsia" w:ascii="仿宋" w:hAnsi="仿宋" w:eastAsia="仿宋" w:cs="仿宋"/>
          <w:snapToGrid w:val="0"/>
          <w:color w:val="auto"/>
          <w:sz w:val="24"/>
          <w:szCs w:val="24"/>
          <w:highlight w:val="none"/>
        </w:rPr>
        <w:t>本合同经甲乙双方法定代表人或其授权代表签字并加盖双方公章后生效。</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 xml:space="preserve">4.本合同一式五份，甲方、乙方各执二份，杭州意信招标代理有限公司一份。 </w:t>
      </w:r>
    </w:p>
    <w:p>
      <w:pPr>
        <w:adjustRightInd w:val="0"/>
        <w:spacing w:line="360" w:lineRule="auto"/>
        <w:contextualSpacing/>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第十三条：合同修改</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bCs/>
          <w:snapToGrid w:val="0"/>
          <w:color w:val="auto"/>
          <w:sz w:val="24"/>
          <w:szCs w:val="24"/>
          <w:highlight w:val="none"/>
        </w:rPr>
        <w:t>1.</w:t>
      </w:r>
      <w:r>
        <w:rPr>
          <w:rFonts w:hint="eastAsia" w:ascii="仿宋" w:hAnsi="仿宋" w:eastAsia="仿宋" w:cs="仿宋"/>
          <w:snapToGrid w:val="0"/>
          <w:color w:val="auto"/>
          <w:sz w:val="24"/>
          <w:szCs w:val="24"/>
          <w:highlight w:val="none"/>
        </w:rPr>
        <w:t>合同履行期内甲乙双方均不得随意变更或解除合同。合同若有未尽事宜，需经双方共同协商，订立补充协议，补充协议与本合同有同等法律效力。</w:t>
      </w:r>
    </w:p>
    <w:p>
      <w:pPr>
        <w:adjustRightInd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pPr>
        <w:adjustRightInd w:val="0"/>
        <w:spacing w:line="360" w:lineRule="auto"/>
        <w:contextualSpacing/>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第十四条：其他</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1.未经过甲方的书面同意，乙方不得转让其应履行的合同项下的义务，和将部分合同项下的义务分包给其他单位完成。</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2.乙方不得参与可能与合同规定的与甲方的利益相冲突的任何活动。</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3.乙方人员在甲方场地工作时，应遵守甲方相关规章、制度。</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4.本合同任何一方给另一方的通知，都应以书面或传真的形式发送，而另一方应以书面形式确认并发送到对方明确的地址。</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5.适用法律：本合同应按照中华人民共和国的法律进行解释。</w:t>
      </w:r>
    </w:p>
    <w:p>
      <w:pPr>
        <w:widowControl/>
        <w:adjustRightInd w:val="0"/>
        <w:spacing w:line="360" w:lineRule="auto"/>
        <w:contextualSpacing/>
        <w:jc w:val="left"/>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第十五条：未尽事宜</w:t>
      </w:r>
    </w:p>
    <w:p>
      <w:pPr>
        <w:adjustRightInd w:val="0"/>
        <w:spacing w:line="360" w:lineRule="auto"/>
        <w:ind w:firstLine="480" w:firstLineChars="200"/>
        <w:contextualSpacing/>
        <w:rPr>
          <w:rFonts w:hint="eastAsia" w:ascii="仿宋" w:hAnsi="仿宋" w:eastAsia="仿宋" w:cs="仿宋"/>
          <w:snapToGrid w:val="0"/>
          <w:color w:val="auto"/>
          <w:sz w:val="24"/>
          <w:szCs w:val="24"/>
          <w:highlight w:val="none"/>
        </w:rPr>
      </w:pPr>
      <w:r>
        <w:rPr>
          <w:rFonts w:hint="eastAsia" w:ascii="仿宋" w:hAnsi="仿宋" w:eastAsia="仿宋" w:cs="仿宋"/>
          <w:bCs/>
          <w:snapToGrid w:val="0"/>
          <w:color w:val="auto"/>
          <w:sz w:val="24"/>
          <w:szCs w:val="24"/>
          <w:highlight w:val="none"/>
        </w:rPr>
        <w:t xml:space="preserve">  未尽事宜，双方协商解决。</w:t>
      </w:r>
    </w:p>
    <w:tbl>
      <w:tblPr>
        <w:tblStyle w:val="64"/>
        <w:tblpPr w:leftFromText="180" w:rightFromText="180" w:vertAnchor="text" w:horzAnchor="page" w:tblpX="1436" w:tblpY="447"/>
        <w:tblOverlap w:val="never"/>
        <w:tblW w:w="9458" w:type="dxa"/>
        <w:tblInd w:w="0" w:type="dxa"/>
        <w:tblLayout w:type="fixed"/>
        <w:tblCellMar>
          <w:top w:w="0" w:type="dxa"/>
          <w:left w:w="108" w:type="dxa"/>
          <w:bottom w:w="0" w:type="dxa"/>
          <w:right w:w="108" w:type="dxa"/>
        </w:tblCellMar>
      </w:tblPr>
      <w:tblGrid>
        <w:gridCol w:w="4729"/>
        <w:gridCol w:w="4729"/>
      </w:tblGrid>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hint="eastAsia" w:ascii="仿宋" w:hAnsi="仿宋" w:eastAsia="仿宋" w:cs="仿宋"/>
                <w:snapToGrid w:val="0"/>
                <w:color w:val="auto"/>
                <w:sz w:val="24"/>
                <w:szCs w:val="24"/>
                <w:highlight w:val="none"/>
                <w:lang w:val="en-GB"/>
              </w:rPr>
            </w:pPr>
            <w:r>
              <w:rPr>
                <w:rFonts w:hint="eastAsia" w:ascii="仿宋" w:hAnsi="仿宋" w:eastAsia="仿宋" w:cs="仿宋"/>
                <w:snapToGrid w:val="0"/>
                <w:color w:val="auto"/>
                <w:sz w:val="24"/>
                <w:szCs w:val="24"/>
                <w:highlight w:val="none"/>
              </w:rPr>
              <w:t>甲方（盖章）：</w:t>
            </w:r>
          </w:p>
        </w:tc>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乙方（盖章）：</w:t>
            </w:r>
          </w:p>
        </w:tc>
      </w:tr>
      <w:tr>
        <w:tblPrEx>
          <w:tblCellMar>
            <w:top w:w="0" w:type="dxa"/>
            <w:left w:w="108" w:type="dxa"/>
            <w:bottom w:w="0" w:type="dxa"/>
            <w:right w:w="108" w:type="dxa"/>
          </w:tblCellMar>
        </w:tblPrEx>
        <w:trPr>
          <w:trHeight w:val="769" w:hRule="atLeast"/>
        </w:trPr>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法定代表人：</w:t>
            </w:r>
          </w:p>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或授权代表（签字）：</w:t>
            </w:r>
          </w:p>
        </w:tc>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法定代表人：</w:t>
            </w:r>
          </w:p>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或授权代表（签字）：</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联系人：</w:t>
            </w:r>
          </w:p>
        </w:tc>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联系人：</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地址：</w:t>
            </w:r>
          </w:p>
        </w:tc>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地址：</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电话：</w:t>
            </w:r>
          </w:p>
        </w:tc>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电话：</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传真：</w:t>
            </w:r>
          </w:p>
        </w:tc>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传真：</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开户银行：</w:t>
            </w:r>
          </w:p>
        </w:tc>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开户银行：</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账号：</w:t>
            </w:r>
          </w:p>
        </w:tc>
        <w:tc>
          <w:tcPr>
            <w:tcW w:w="4729" w:type="dxa"/>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账号：</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2" w:firstLineChars="200"/>
              <w:rPr>
                <w:rFonts w:hint="eastAsia" w:ascii="仿宋" w:hAnsi="仿宋" w:eastAsia="仿宋" w:cs="仿宋"/>
                <w:snapToGrid w:val="0"/>
                <w:color w:val="auto"/>
                <w:sz w:val="24"/>
                <w:szCs w:val="24"/>
                <w:highlight w:val="none"/>
              </w:rPr>
            </w:pPr>
            <w:r>
              <w:rPr>
                <w:rFonts w:hint="eastAsia" w:ascii="仿宋" w:hAnsi="仿宋" w:eastAsia="仿宋" w:cs="仿宋"/>
                <w:b/>
                <w:snapToGrid w:val="0"/>
                <w:color w:val="auto"/>
                <w:sz w:val="24"/>
                <w:szCs w:val="24"/>
                <w:highlight w:val="none"/>
              </w:rPr>
              <w:t>鉴证方</w:t>
            </w:r>
            <w:r>
              <w:rPr>
                <w:rFonts w:hint="eastAsia" w:ascii="仿宋" w:hAnsi="仿宋" w:eastAsia="仿宋" w:cs="仿宋"/>
                <w:snapToGrid w:val="0"/>
                <w:color w:val="auto"/>
                <w:sz w:val="24"/>
                <w:szCs w:val="24"/>
                <w:highlight w:val="none"/>
              </w:rPr>
              <w:t>（盖章）：杭州意信招标代理有限公司</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法定代表人：</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或授权代表（签字）：</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联系人：</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地址：</w:t>
            </w:r>
            <w:r>
              <w:rPr>
                <w:rFonts w:hint="eastAsia" w:ascii="仿宋" w:hAnsi="仿宋" w:eastAsia="仿宋" w:cs="仿宋"/>
                <w:snapToGrid w:val="0"/>
                <w:color w:val="auto"/>
                <w:kern w:val="0"/>
                <w:sz w:val="24"/>
                <w:szCs w:val="24"/>
                <w:highlight w:val="none"/>
              </w:rPr>
              <w:t>杭州市教工路1号，西湖数源软件园，17号楼5层509室</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电话：0571-87211505</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传真：0571-87211507</w:t>
            </w:r>
          </w:p>
        </w:tc>
      </w:tr>
    </w:tbl>
    <w:p>
      <w:pPr>
        <w:adjustRightInd w:val="0"/>
        <w:rPr>
          <w:rFonts w:hint="eastAsia" w:ascii="仿宋" w:hAnsi="仿宋" w:eastAsia="仿宋" w:cs="仿宋"/>
          <w:color w:val="auto"/>
          <w:sz w:val="24"/>
          <w:szCs w:val="24"/>
          <w:highlight w:val="none"/>
        </w:rPr>
      </w:pPr>
    </w:p>
    <w:p>
      <w:pPr>
        <w:pStyle w:val="26"/>
        <w:rPr>
          <w:rFonts w:hint="eastAsia"/>
          <w:color w:val="auto"/>
          <w:highlight w:val="none"/>
        </w:rPr>
      </w:pPr>
    </w:p>
    <w:p>
      <w:pPr>
        <w:spacing w:line="560" w:lineRule="exact"/>
        <w:ind w:firstLine="480" w:firstLineChars="200"/>
        <w:rPr>
          <w:rFonts w:ascii="仿宋" w:hAnsi="仿宋" w:eastAsia="仿宋"/>
          <w:color w:val="auto"/>
          <w:sz w:val="24"/>
          <w:highlight w:val="none"/>
        </w:rPr>
      </w:pPr>
    </w:p>
    <w:p>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0"/>
        <w:rPr>
          <w:rFonts w:hint="eastAsia" w:ascii="仿宋" w:hAnsi="仿宋" w:eastAsia="仿宋" w:cs="仿宋_GB2312"/>
          <w:b/>
          <w:color w:val="auto"/>
          <w:sz w:val="24"/>
          <w:szCs w:val="24"/>
          <w:highlight w:val="none"/>
          <w:lang w:val="en-US" w:eastAsia="zh-CN"/>
        </w:rPr>
      </w:pPr>
      <w:r>
        <w:rPr>
          <w:rFonts w:hint="eastAsia" w:ascii="仿宋" w:hAnsi="仿宋" w:eastAsia="仿宋" w:cs="仿宋_GB2312"/>
          <w:b/>
          <w:color w:val="auto"/>
          <w:sz w:val="24"/>
          <w:szCs w:val="24"/>
          <w:highlight w:val="none"/>
          <w:lang w:val="en-US" w:eastAsia="zh-CN"/>
        </w:rPr>
        <w:t>标项二：杭州市温室气体同化反演及通量核算服务</w:t>
      </w:r>
    </w:p>
    <w:p>
      <w:pPr>
        <w:keepNext w:val="0"/>
        <w:keepLines w:val="0"/>
        <w:pageBreakBefore w:val="0"/>
        <w:widowControl w:val="0"/>
        <w:kinsoku/>
        <w:wordWrap/>
        <w:overflowPunct/>
        <w:topLinePunct w:val="0"/>
        <w:autoSpaceDE/>
        <w:autoSpaceDN/>
        <w:bidi w:val="0"/>
        <w:adjustRightInd w:val="0"/>
        <w:snapToGrid/>
        <w:spacing w:line="360" w:lineRule="auto"/>
        <w:ind w:firstLine="456" w:firstLineChars="200"/>
        <w:textAlignment w:val="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甲、乙双方根据杭州意信招标代理有限公司关于</w:t>
      </w:r>
      <w:r>
        <w:rPr>
          <w:rFonts w:hint="eastAsia" w:ascii="仿宋" w:hAnsi="仿宋" w:eastAsia="仿宋" w:cs="仿宋"/>
          <w:color w:val="auto"/>
          <w:spacing w:val="-6"/>
          <w:sz w:val="24"/>
          <w:highlight w:val="none"/>
          <w:u w:val="single"/>
        </w:rPr>
        <w:t>杭州市温室气体同化反演及通量核算服务</w:t>
      </w:r>
      <w:r>
        <w:rPr>
          <w:rFonts w:hint="eastAsia" w:ascii="仿宋" w:hAnsi="仿宋" w:eastAsia="仿宋" w:cs="仿宋"/>
          <w:color w:val="auto"/>
          <w:spacing w:val="-6"/>
          <w:sz w:val="24"/>
          <w:highlight w:val="none"/>
        </w:rPr>
        <w:t>项目</w:t>
      </w:r>
      <w:r>
        <w:rPr>
          <w:rFonts w:hint="eastAsia" w:ascii="仿宋" w:hAnsi="仿宋" w:eastAsia="仿宋" w:cs="仿宋"/>
          <w:color w:val="auto"/>
          <w:spacing w:val="-6"/>
          <w:sz w:val="24"/>
          <w:highlight w:val="none"/>
          <w:u w:val="single"/>
        </w:rPr>
        <w:t>公开招标</w:t>
      </w:r>
      <w:r>
        <w:rPr>
          <w:rFonts w:hint="eastAsia" w:ascii="仿宋" w:hAnsi="仿宋" w:eastAsia="仿宋" w:cs="仿宋"/>
          <w:color w:val="auto"/>
          <w:spacing w:val="-6"/>
          <w:sz w:val="24"/>
          <w:highlight w:val="none"/>
        </w:rPr>
        <w:t>的结果，签署本合同。</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第一条：服务内容及合同价格</w:t>
      </w:r>
    </w:p>
    <w:tbl>
      <w:tblPr>
        <w:tblStyle w:val="64"/>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808"/>
        <w:gridCol w:w="851"/>
        <w:gridCol w:w="2976"/>
        <w:gridCol w:w="160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vAlign w:val="center"/>
          </w:tcPr>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标项</w:t>
            </w:r>
          </w:p>
        </w:tc>
        <w:tc>
          <w:tcPr>
            <w:tcW w:w="1843" w:type="dxa"/>
            <w:vAlign w:val="center"/>
          </w:tcPr>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服务内容</w:t>
            </w:r>
          </w:p>
        </w:tc>
        <w:tc>
          <w:tcPr>
            <w:tcW w:w="808" w:type="dxa"/>
            <w:vAlign w:val="center"/>
          </w:tcPr>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数量</w:t>
            </w:r>
          </w:p>
        </w:tc>
        <w:tc>
          <w:tcPr>
            <w:tcW w:w="851" w:type="dxa"/>
            <w:vAlign w:val="center"/>
          </w:tcPr>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单位</w:t>
            </w:r>
          </w:p>
        </w:tc>
        <w:tc>
          <w:tcPr>
            <w:tcW w:w="2976" w:type="dxa"/>
            <w:vAlign w:val="center"/>
          </w:tcPr>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描述</w:t>
            </w:r>
          </w:p>
        </w:tc>
        <w:tc>
          <w:tcPr>
            <w:tcW w:w="1602" w:type="dxa"/>
            <w:vAlign w:val="center"/>
          </w:tcPr>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单价</w:t>
            </w:r>
          </w:p>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（人民币元）</w:t>
            </w:r>
          </w:p>
        </w:tc>
        <w:tc>
          <w:tcPr>
            <w:tcW w:w="1559" w:type="dxa"/>
            <w:vAlign w:val="center"/>
          </w:tcPr>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合计</w:t>
            </w:r>
          </w:p>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vAlign w:val="center"/>
          </w:tcPr>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4</w:t>
            </w:r>
          </w:p>
        </w:tc>
        <w:tc>
          <w:tcPr>
            <w:tcW w:w="1843" w:type="dxa"/>
            <w:vAlign w:val="center"/>
          </w:tcPr>
          <w:p>
            <w:pPr>
              <w:adjustRightInd w:val="0"/>
              <w:spacing w:line="360" w:lineRule="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温室气体多源监测数据集成管理及对比分析；温室气体排放反演及生态碳通量反演；数据分析结果及模型反演产品展示</w:t>
            </w:r>
          </w:p>
        </w:tc>
        <w:tc>
          <w:tcPr>
            <w:tcW w:w="808" w:type="dxa"/>
            <w:vAlign w:val="center"/>
          </w:tcPr>
          <w:p>
            <w:pPr>
              <w:adjustRightInd w:val="0"/>
              <w:spacing w:line="360" w:lineRule="auto"/>
              <w:jc w:val="center"/>
              <w:rPr>
                <w:rFonts w:ascii="仿宋" w:hAnsi="仿宋" w:eastAsia="仿宋" w:cs="仿宋"/>
                <w:color w:val="auto"/>
                <w:spacing w:val="-6"/>
                <w:sz w:val="24"/>
                <w:highlight w:val="none"/>
              </w:rPr>
            </w:pPr>
            <w:r>
              <w:rPr>
                <w:rFonts w:ascii="仿宋" w:hAnsi="仿宋" w:eastAsia="仿宋" w:cs="仿宋"/>
                <w:color w:val="auto"/>
                <w:spacing w:val="-6"/>
                <w:sz w:val="24"/>
                <w:highlight w:val="none"/>
              </w:rPr>
              <w:t>1</w:t>
            </w:r>
          </w:p>
        </w:tc>
        <w:tc>
          <w:tcPr>
            <w:tcW w:w="851" w:type="dxa"/>
            <w:vAlign w:val="center"/>
          </w:tcPr>
          <w:p>
            <w:pPr>
              <w:adjustRightInd w:val="0"/>
              <w:spacing w:line="360" w:lineRule="auto"/>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w:t>
            </w:r>
          </w:p>
        </w:tc>
        <w:tc>
          <w:tcPr>
            <w:tcW w:w="2976" w:type="dxa"/>
            <w:vAlign w:val="center"/>
          </w:tcPr>
          <w:p>
            <w:pPr>
              <w:adjustRightInd w:val="0"/>
              <w:spacing w:line="360" w:lineRule="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业务化运行温室气体反演模式；以月报、季报及年报的形式递交《杭州市温室气体多源监测数据分析及同化反演结果》；集成管理温室气体监测数据、展示相关分析统计结果、基础清单及动态反演产品。</w:t>
            </w:r>
          </w:p>
        </w:tc>
        <w:tc>
          <w:tcPr>
            <w:tcW w:w="1602" w:type="dxa"/>
            <w:vAlign w:val="center"/>
          </w:tcPr>
          <w:p>
            <w:pPr>
              <w:adjustRightInd w:val="0"/>
              <w:spacing w:line="360" w:lineRule="auto"/>
              <w:jc w:val="center"/>
              <w:rPr>
                <w:rFonts w:ascii="仿宋" w:hAnsi="仿宋" w:eastAsia="仿宋" w:cs="仿宋"/>
                <w:color w:val="auto"/>
                <w:spacing w:val="-6"/>
                <w:sz w:val="24"/>
                <w:highlight w:val="none"/>
              </w:rPr>
            </w:pPr>
          </w:p>
        </w:tc>
        <w:tc>
          <w:tcPr>
            <w:tcW w:w="1559" w:type="dxa"/>
            <w:vAlign w:val="center"/>
          </w:tcPr>
          <w:p>
            <w:pPr>
              <w:adjustRightInd w:val="0"/>
              <w:spacing w:line="360" w:lineRule="auto"/>
              <w:jc w:val="center"/>
              <w:rPr>
                <w:rFonts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90" w:type="dxa"/>
            <w:gridSpan w:val="7"/>
            <w:vAlign w:val="center"/>
          </w:tcPr>
          <w:p>
            <w:pPr>
              <w:adjustRightInd w:val="0"/>
              <w:spacing w:line="360" w:lineRule="auto"/>
              <w:rPr>
                <w:rFonts w:ascii="仿宋" w:hAnsi="仿宋" w:eastAsia="仿宋" w:cs="仿宋"/>
                <w:color w:val="auto"/>
                <w:spacing w:val="-6"/>
                <w:sz w:val="24"/>
                <w:highlight w:val="none"/>
              </w:rPr>
            </w:pPr>
          </w:p>
          <w:p>
            <w:pPr>
              <w:spacing w:line="360" w:lineRule="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合同总价（人民币元）：</w:t>
            </w:r>
          </w:p>
          <w:p>
            <w:pPr>
              <w:adjustRightInd w:val="0"/>
              <w:spacing w:line="360" w:lineRule="auto"/>
              <w:rPr>
                <w:rFonts w:ascii="仿宋" w:hAnsi="仿宋" w:eastAsia="仿宋" w:cs="仿宋"/>
                <w:color w:val="auto"/>
                <w:spacing w:val="-6"/>
                <w:sz w:val="24"/>
                <w:highlight w:val="none"/>
              </w:rPr>
            </w:pPr>
          </w:p>
          <w:p>
            <w:pPr>
              <w:adjustRightInd w:val="0"/>
              <w:spacing w:line="360" w:lineRule="auto"/>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注：1.以上合同总价包括履行本项目服务的一切费用。</w:t>
            </w:r>
          </w:p>
        </w:tc>
      </w:tr>
    </w:tbl>
    <w:p>
      <w:pPr>
        <w:adjustRightInd w:val="0"/>
        <w:spacing w:line="36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第二条：服务时间、地点</w:t>
      </w:r>
    </w:p>
    <w:p>
      <w:pPr>
        <w:adjustRightInd w:val="0"/>
        <w:spacing w:line="360" w:lineRule="auto"/>
        <w:ind w:right="-514" w:rightChars="-245"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1.服务时间：合同签订之日至2022年12月10日前提交《杭州市温室气体监测数据分析及同化反演结果报告》。模型维护期为验收合格后2年。</w:t>
      </w:r>
    </w:p>
    <w:p>
      <w:pPr>
        <w:adjustRightInd w:val="0"/>
        <w:spacing w:line="360" w:lineRule="auto"/>
        <w:ind w:right="-514" w:rightChars="-245"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2.服务地点：甲方指定地点。</w:t>
      </w:r>
    </w:p>
    <w:p>
      <w:pPr>
        <w:adjustRightInd w:val="0"/>
        <w:spacing w:line="36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第三条：履约保证金和付款方式</w:t>
      </w:r>
    </w:p>
    <w:p>
      <w:pPr>
        <w:adjustRightInd w:val="0"/>
        <w:spacing w:line="360" w:lineRule="auto"/>
        <w:ind w:firstLine="456"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1.合同签订后一周内，乙方向甲方提交合同金额</w:t>
      </w:r>
      <w:r>
        <w:rPr>
          <w:rFonts w:hint="eastAsia" w:ascii="仿宋" w:hAnsi="仿宋" w:eastAsia="仿宋" w:cs="仿宋"/>
          <w:color w:val="auto"/>
          <w:spacing w:val="-6"/>
          <w:sz w:val="24"/>
          <w:highlight w:val="none"/>
          <w:u w:val="single"/>
        </w:rPr>
        <w:t>1%</w:t>
      </w:r>
      <w:r>
        <w:rPr>
          <w:rFonts w:hint="eastAsia" w:ascii="仿宋" w:hAnsi="仿宋" w:eastAsia="仿宋" w:cs="仿宋"/>
          <w:color w:val="auto"/>
          <w:spacing w:val="-6"/>
          <w:sz w:val="24"/>
          <w:highlight w:val="none"/>
        </w:rPr>
        <w:t>的履约保证金，本项目需提供2年模型维护服务，履约保证金在维护服务期内无质量问题和维护问题，服务期满后，于一周内退还（不计息）。</w:t>
      </w:r>
    </w:p>
    <w:p>
      <w:pPr>
        <w:adjustRightInd w:val="0"/>
        <w:spacing w:line="360" w:lineRule="auto"/>
        <w:ind w:firstLine="456"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2.提交方式：金融机构、担保机构出具的保函等非现金形式。</w:t>
      </w:r>
    </w:p>
    <w:p>
      <w:pPr>
        <w:adjustRightInd w:val="0"/>
        <w:spacing w:line="360" w:lineRule="auto"/>
        <w:ind w:firstLine="456"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3.付款方式：</w:t>
      </w:r>
    </w:p>
    <w:p>
      <w:pPr>
        <w:adjustRightInd w:val="0"/>
        <w:spacing w:line="360" w:lineRule="auto"/>
        <w:ind w:firstLine="456"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3.1合同签订之后，</w:t>
      </w:r>
      <w:r>
        <w:rPr>
          <w:rFonts w:hint="eastAsia" w:ascii="仿宋" w:hAnsi="仿宋" w:eastAsia="仿宋" w:cs="仿宋"/>
          <w:color w:val="auto"/>
          <w:spacing w:val="-6"/>
          <w:sz w:val="24"/>
          <w:szCs w:val="24"/>
          <w:highlight w:val="none"/>
        </w:rPr>
        <w:t>甲方向乙方支付合同金额</w:t>
      </w:r>
      <w:r>
        <w:rPr>
          <w:rFonts w:hint="eastAsia" w:ascii="仿宋" w:hAnsi="仿宋" w:eastAsia="仿宋" w:cs="仿宋"/>
          <w:color w:val="auto"/>
          <w:spacing w:val="-6"/>
          <w:sz w:val="24"/>
          <w:highlight w:val="none"/>
        </w:rPr>
        <w:t>的</w:t>
      </w:r>
      <w:r>
        <w:rPr>
          <w:rFonts w:hint="eastAsia" w:ascii="仿宋" w:hAnsi="仿宋" w:eastAsia="仿宋" w:cs="仿宋"/>
          <w:color w:val="auto"/>
          <w:spacing w:val="-6"/>
          <w:sz w:val="24"/>
          <w:highlight w:val="none"/>
          <w:u w:val="single"/>
        </w:rPr>
        <w:t>70%</w:t>
      </w:r>
      <w:r>
        <w:rPr>
          <w:rFonts w:hint="eastAsia" w:ascii="仿宋" w:hAnsi="仿宋" w:eastAsia="仿宋" w:cs="仿宋"/>
          <w:color w:val="auto"/>
          <w:spacing w:val="-6"/>
          <w:sz w:val="24"/>
          <w:highlight w:val="none"/>
        </w:rPr>
        <w:t>作为预付款；</w:t>
      </w:r>
    </w:p>
    <w:p>
      <w:pPr>
        <w:adjustRightInd w:val="0"/>
        <w:spacing w:line="360" w:lineRule="auto"/>
        <w:ind w:firstLine="456"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3.2乙方完成项目验收经甲方确认验收合格后向乙方支付</w:t>
      </w:r>
      <w:r>
        <w:rPr>
          <w:rFonts w:hint="eastAsia" w:ascii="仿宋" w:hAnsi="仿宋" w:eastAsia="仿宋" w:cs="仿宋"/>
          <w:color w:val="auto"/>
          <w:spacing w:val="-6"/>
          <w:sz w:val="24"/>
          <w:szCs w:val="24"/>
          <w:highlight w:val="none"/>
        </w:rPr>
        <w:t>合同金额</w:t>
      </w:r>
      <w:r>
        <w:rPr>
          <w:rFonts w:hint="eastAsia" w:ascii="仿宋" w:hAnsi="仿宋" w:eastAsia="仿宋" w:cs="仿宋"/>
          <w:color w:val="auto"/>
          <w:spacing w:val="-6"/>
          <w:sz w:val="24"/>
          <w:szCs w:val="24"/>
          <w:highlight w:val="none"/>
          <w:lang w:val="en-US" w:eastAsia="zh-CN"/>
        </w:rPr>
        <w:t>的</w:t>
      </w:r>
      <w:r>
        <w:rPr>
          <w:rFonts w:hint="eastAsia" w:ascii="仿宋" w:hAnsi="仿宋" w:eastAsia="仿宋" w:cs="仿宋"/>
          <w:color w:val="auto"/>
          <w:spacing w:val="-6"/>
          <w:sz w:val="24"/>
          <w:highlight w:val="none"/>
        </w:rPr>
        <w:t>剩余</w:t>
      </w:r>
      <w:r>
        <w:rPr>
          <w:rFonts w:hint="eastAsia" w:ascii="仿宋" w:hAnsi="仿宋" w:eastAsia="仿宋" w:cs="仿宋"/>
          <w:color w:val="auto"/>
          <w:spacing w:val="-6"/>
          <w:sz w:val="24"/>
          <w:highlight w:val="none"/>
          <w:u w:val="single"/>
        </w:rPr>
        <w:t>30%</w:t>
      </w:r>
      <w:r>
        <w:rPr>
          <w:rFonts w:hint="eastAsia" w:ascii="仿宋" w:hAnsi="仿宋" w:eastAsia="仿宋" w:cs="仿宋"/>
          <w:color w:val="auto"/>
          <w:spacing w:val="-6"/>
          <w:sz w:val="24"/>
          <w:highlight w:val="none"/>
        </w:rPr>
        <w:t>。</w:t>
      </w:r>
    </w:p>
    <w:p>
      <w:pPr>
        <w:adjustRightInd w:val="0"/>
        <w:spacing w:line="360" w:lineRule="auto"/>
        <w:ind w:firstLine="456"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4.付款按财政政策执行，因乙方未按合同履行任务或考核不合格以及不符合财政资金支付时间要求等原因造成不能及时付款的，甲方不承担责任。</w:t>
      </w:r>
    </w:p>
    <w:p>
      <w:pPr>
        <w:adjustRightInd w:val="0"/>
        <w:spacing w:line="36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第四条：保密要求</w:t>
      </w:r>
      <w:r>
        <w:rPr>
          <w:rFonts w:hint="eastAsia" w:ascii="仿宋" w:hAnsi="仿宋" w:eastAsia="仿宋" w:cs="仿宋"/>
          <w:b/>
          <w:color w:val="auto"/>
          <w:spacing w:val="-6"/>
          <w:sz w:val="24"/>
          <w:highlight w:val="none"/>
          <w:lang w:eastAsia="zh-CN"/>
        </w:rPr>
        <w:t>、</w:t>
      </w:r>
      <w:r>
        <w:rPr>
          <w:rFonts w:hint="eastAsia" w:ascii="仿宋" w:hAnsi="仿宋" w:eastAsia="仿宋" w:cs="仿宋"/>
          <w:b/>
          <w:color w:val="auto"/>
          <w:spacing w:val="-6"/>
          <w:sz w:val="24"/>
          <w:highlight w:val="none"/>
        </w:rPr>
        <w:t>知识产权归属、处理方式</w:t>
      </w:r>
    </w:p>
    <w:p>
      <w:pPr>
        <w:numPr>
          <w:ilvl w:val="0"/>
          <w:numId w:val="1"/>
        </w:numPr>
        <w:adjustRightInd w:val="0"/>
        <w:spacing w:line="360" w:lineRule="auto"/>
        <w:ind w:firstLine="480" w:firstLineChars="200"/>
        <w:jc w:val="lef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保密要求：乙方需对所有监测数据及相关信息资料保密，未经甲方书面许可不得以任何方式公开展示、发表或透露给第三方。参与本项目服务的乙方及所有人员，对工作中所涉的数据、资料及文件等负有保密义务，任何情况不得向第三方泄露。如存在上述情况，将按严重违约行为依法追究乙方相关责任。</w:t>
      </w:r>
    </w:p>
    <w:p>
      <w:pPr>
        <w:adjustRightInd w:val="0"/>
        <w:spacing w:line="360" w:lineRule="auto"/>
        <w:ind w:firstLine="480" w:firstLineChars="200"/>
        <w:jc w:val="left"/>
        <w:rPr>
          <w:rFonts w:ascii="仿宋" w:hAnsi="仿宋" w:eastAsia="仿宋" w:cs="仿宋"/>
          <w:iCs/>
          <w:color w:val="auto"/>
          <w:sz w:val="24"/>
          <w:highlight w:val="none"/>
        </w:rPr>
      </w:pPr>
      <w:r>
        <w:rPr>
          <w:rFonts w:hint="eastAsia" w:ascii="仿宋" w:hAnsi="仿宋" w:eastAsia="仿宋" w:cs="仿宋"/>
          <w:iCs/>
          <w:color w:val="auto"/>
          <w:sz w:val="24"/>
          <w:highlight w:val="none"/>
          <w:lang w:val="en-US" w:eastAsia="zh-CN"/>
        </w:rPr>
        <w:t>2</w:t>
      </w:r>
      <w:r>
        <w:rPr>
          <w:rFonts w:hint="eastAsia" w:ascii="仿宋" w:hAnsi="仿宋" w:eastAsia="仿宋" w:cs="仿宋"/>
          <w:iCs/>
          <w:color w:val="auto"/>
          <w:sz w:val="24"/>
          <w:highlight w:val="none"/>
        </w:rPr>
        <w:t>.双方确认，对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pPr>
        <w:adjustRightInd w:val="0"/>
        <w:spacing w:line="360" w:lineRule="auto"/>
        <w:ind w:firstLine="480" w:firstLineChars="200"/>
        <w:jc w:val="left"/>
        <w:rPr>
          <w:rFonts w:ascii="仿宋" w:hAnsi="仿宋" w:eastAsia="仿宋" w:cs="仿宋"/>
          <w:iCs/>
          <w:color w:val="auto"/>
          <w:sz w:val="24"/>
          <w:highlight w:val="none"/>
        </w:rPr>
      </w:pPr>
      <w:r>
        <w:rPr>
          <w:rFonts w:hint="eastAsia" w:ascii="仿宋" w:hAnsi="仿宋" w:eastAsia="仿宋" w:cs="仿宋"/>
          <w:iCs/>
          <w:color w:val="auto"/>
          <w:sz w:val="24"/>
          <w:highlight w:val="none"/>
          <w:lang w:val="en-US" w:eastAsia="zh-CN"/>
        </w:rPr>
        <w:t>3</w:t>
      </w:r>
      <w:r>
        <w:rPr>
          <w:rFonts w:hint="eastAsia" w:ascii="仿宋" w:hAnsi="仿宋" w:eastAsia="仿宋" w:cs="仿宋"/>
          <w:iCs/>
          <w:color w:val="auto"/>
          <w:sz w:val="24"/>
          <w:highlight w:val="none"/>
        </w:rPr>
        <w:t>.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adjustRightInd w:val="0"/>
        <w:spacing w:line="360" w:lineRule="auto"/>
        <w:ind w:firstLine="480" w:firstLineChars="200"/>
        <w:jc w:val="left"/>
        <w:rPr>
          <w:rFonts w:ascii="仿宋" w:hAnsi="仿宋" w:eastAsia="仿宋" w:cs="仿宋"/>
          <w:iCs/>
          <w:color w:val="auto"/>
          <w:sz w:val="24"/>
          <w:highlight w:val="none"/>
        </w:rPr>
      </w:pPr>
      <w:r>
        <w:rPr>
          <w:rFonts w:hint="eastAsia" w:ascii="仿宋" w:hAnsi="仿宋" w:eastAsia="仿宋" w:cs="仿宋"/>
          <w:iCs/>
          <w:color w:val="auto"/>
          <w:sz w:val="24"/>
          <w:highlight w:val="none"/>
          <w:lang w:val="en-US" w:eastAsia="zh-CN"/>
        </w:rPr>
        <w:t>4</w:t>
      </w:r>
      <w:r>
        <w:rPr>
          <w:rFonts w:hint="eastAsia" w:ascii="仿宋" w:hAnsi="仿宋" w:eastAsia="仿宋" w:cs="仿宋"/>
          <w:iCs/>
          <w:color w:val="auto"/>
          <w:sz w:val="24"/>
          <w:highlight w:val="none"/>
        </w:rPr>
        <w:t>.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adjustRightInd w:val="0"/>
        <w:spacing w:line="360" w:lineRule="auto"/>
        <w:ind w:firstLine="480" w:firstLineChars="200"/>
        <w:jc w:val="left"/>
        <w:rPr>
          <w:rFonts w:ascii="仿宋" w:hAnsi="仿宋" w:eastAsia="仿宋" w:cs="仿宋"/>
          <w:iCs/>
          <w:color w:val="auto"/>
          <w:sz w:val="24"/>
          <w:highlight w:val="none"/>
        </w:rPr>
      </w:pPr>
      <w:r>
        <w:rPr>
          <w:rFonts w:hint="eastAsia" w:ascii="仿宋" w:hAnsi="仿宋" w:eastAsia="仿宋" w:cs="仿宋"/>
          <w:iCs/>
          <w:color w:val="auto"/>
          <w:sz w:val="24"/>
          <w:highlight w:val="none"/>
          <w:lang w:val="en-US" w:eastAsia="zh-CN"/>
        </w:rPr>
        <w:t>5</w:t>
      </w:r>
      <w:r>
        <w:rPr>
          <w:rFonts w:hint="eastAsia" w:ascii="仿宋" w:hAnsi="仿宋" w:eastAsia="仿宋" w:cs="仿宋"/>
          <w:iCs/>
          <w:color w:val="auto"/>
          <w:sz w:val="24"/>
          <w:highlight w:val="none"/>
        </w:rPr>
        <w:t>.如乙方发现任何交付成果的知识产权可能有瑕疵，应立即书面通知甲方，并立即采取一切必要措施使交付成果合法化。</w:t>
      </w:r>
    </w:p>
    <w:p>
      <w:pPr>
        <w:adjustRightInd w:val="0"/>
        <w:spacing w:line="360" w:lineRule="auto"/>
        <w:ind w:firstLine="480" w:firstLineChars="200"/>
        <w:jc w:val="left"/>
        <w:rPr>
          <w:rFonts w:ascii="仿宋" w:hAnsi="仿宋" w:eastAsia="仿宋" w:cs="仿宋"/>
          <w:iCs/>
          <w:color w:val="auto"/>
          <w:sz w:val="24"/>
          <w:highlight w:val="none"/>
        </w:rPr>
      </w:pPr>
      <w:r>
        <w:rPr>
          <w:rFonts w:hint="eastAsia" w:ascii="仿宋" w:hAnsi="仿宋" w:eastAsia="仿宋" w:cs="仿宋"/>
          <w:iCs/>
          <w:color w:val="auto"/>
          <w:sz w:val="24"/>
          <w:highlight w:val="none"/>
          <w:lang w:val="en-US" w:eastAsia="zh-CN"/>
        </w:rPr>
        <w:t>6</w:t>
      </w:r>
      <w:r>
        <w:rPr>
          <w:rFonts w:hint="eastAsia" w:ascii="仿宋" w:hAnsi="仿宋" w:eastAsia="仿宋" w:cs="仿宋"/>
          <w:iCs/>
          <w:color w:val="auto"/>
          <w:sz w:val="24"/>
          <w:highlight w:val="none"/>
        </w:rPr>
        <w:t>.本条规定自本合同生效之日起即应履行，长期有效，并且不受本合同届满、提前终止或本合同中其他条款的无效或履行完毕等情形的影响。</w:t>
      </w:r>
    </w:p>
    <w:p>
      <w:pPr>
        <w:adjustRightInd w:val="0"/>
        <w:spacing w:line="360" w:lineRule="auto"/>
        <w:contextualSpacing/>
        <w:rPr>
          <w:rFonts w:ascii="仿宋" w:hAnsi="仿宋" w:eastAsia="仿宋"/>
          <w:b/>
          <w:bCs/>
          <w:color w:val="auto"/>
          <w:sz w:val="24"/>
          <w:highlight w:val="none"/>
        </w:rPr>
      </w:pPr>
      <w:r>
        <w:rPr>
          <w:rFonts w:hint="eastAsia" w:ascii="仿宋" w:hAnsi="仿宋" w:eastAsia="仿宋"/>
          <w:b/>
          <w:bCs/>
          <w:color w:val="auto"/>
          <w:sz w:val="24"/>
          <w:highlight w:val="none"/>
        </w:rPr>
        <w:t>第五条：服务保证</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1.乙方应保证按照有关国际或国家或行业技术标准规范，对项目工作等各个环节进行严格的质量把关。</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2.在服务期内乙方应保证承包区域内的设施、设备良好的运行状况和环境状况。</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3.项目服务期内应严格做好安全防范措施，如乙方项目服务人员在实施中违反操作规定造成人员伤亡事故或实施现场防范措施设置不明造成人员伤害事故，一切责任均由乙方负责。</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4.乙方应为本项目配备至少</w:t>
      </w:r>
      <w:r>
        <w:rPr>
          <w:rFonts w:ascii="仿宋" w:hAnsi="仿宋" w:eastAsia="仿宋"/>
          <w:color w:val="auto"/>
          <w:sz w:val="24"/>
          <w:highlight w:val="none"/>
        </w:rPr>
        <w:t>8</w:t>
      </w:r>
      <w:r>
        <w:rPr>
          <w:rFonts w:hint="eastAsia" w:ascii="仿宋" w:hAnsi="仿宋" w:eastAsia="仿宋"/>
          <w:color w:val="auto"/>
          <w:sz w:val="24"/>
          <w:highlight w:val="none"/>
        </w:rPr>
        <w:t>名高素质专业技术人员，若服务期间人员产生变动，须经甲方同意。</w:t>
      </w:r>
    </w:p>
    <w:p>
      <w:pPr>
        <w:adjustRightInd w:val="0"/>
        <w:spacing w:line="360" w:lineRule="auto"/>
        <w:ind w:firstLine="480" w:firstLineChars="200"/>
        <w:contextualSpacing/>
        <w:rPr>
          <w:rFonts w:hint="eastAsia" w:ascii="仿宋" w:hAnsi="仿宋" w:eastAsia="仿宋"/>
          <w:color w:val="auto"/>
          <w:sz w:val="24"/>
          <w:highlight w:val="none"/>
        </w:rPr>
      </w:pPr>
      <w:r>
        <w:rPr>
          <w:rFonts w:hint="eastAsia" w:ascii="仿宋" w:hAnsi="仿宋" w:eastAsia="仿宋"/>
          <w:color w:val="auto"/>
          <w:sz w:val="24"/>
          <w:highlight w:val="none"/>
        </w:rPr>
        <w:t>5.模型维护期2年，期间乙方（1）</w:t>
      </w:r>
      <w:bookmarkStart w:id="398" w:name="_Hlk112317315"/>
      <w:r>
        <w:rPr>
          <w:rFonts w:hint="eastAsia" w:ascii="仿宋" w:hAnsi="仿宋" w:eastAsia="仿宋"/>
          <w:color w:val="auto"/>
          <w:sz w:val="24"/>
          <w:highlight w:val="none"/>
        </w:rPr>
        <w:t>需</w:t>
      </w:r>
      <w:bookmarkEnd w:id="398"/>
      <w:r>
        <w:rPr>
          <w:rFonts w:hint="eastAsia" w:ascii="仿宋" w:hAnsi="仿宋" w:eastAsia="仿宋"/>
          <w:color w:val="auto"/>
          <w:sz w:val="24"/>
          <w:highlight w:val="none"/>
        </w:rPr>
        <w:t>及时响应</w:t>
      </w: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rPr>
        <w:t>需求，做到24小时在线响应，如需现场服务支撑，在接到</w:t>
      </w: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rPr>
        <w:t>通知后，24小时内到达现场；（2）需提供临时性的技术指导及模型分析等服务，配合</w:t>
      </w: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rPr>
        <w:t>进行温室气体数据分析、模型模拟反演相关服务；（3）应根据本项目特点，拟定有关培训计划并组织实施，开展至少包含</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天10人次的培训。维护期内，如</w:t>
      </w:r>
      <w:r>
        <w:rPr>
          <w:rFonts w:hint="eastAsia" w:ascii="仿宋" w:hAnsi="仿宋" w:eastAsia="仿宋"/>
          <w:color w:val="auto"/>
          <w:sz w:val="24"/>
          <w:highlight w:val="none"/>
          <w:lang w:val="en-US" w:eastAsia="zh-CN"/>
        </w:rPr>
        <w:t>乙方</w:t>
      </w:r>
      <w:r>
        <w:rPr>
          <w:rFonts w:hint="eastAsia" w:ascii="仿宋" w:hAnsi="仿宋" w:eastAsia="仿宋"/>
          <w:color w:val="auto"/>
          <w:sz w:val="24"/>
          <w:highlight w:val="none"/>
        </w:rPr>
        <w:t>无法达到以上服务响应要求的，每发生一次向采</w:t>
      </w: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rPr>
        <w:t>支付违约金</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000元。</w:t>
      </w:r>
    </w:p>
    <w:p>
      <w:pPr>
        <w:adjustRightInd w:val="0"/>
        <w:spacing w:line="360" w:lineRule="auto"/>
        <w:contextualSpacing/>
        <w:rPr>
          <w:rFonts w:ascii="仿宋" w:hAnsi="仿宋" w:eastAsia="仿宋"/>
          <w:b/>
          <w:bCs/>
          <w:color w:val="auto"/>
          <w:sz w:val="24"/>
          <w:highlight w:val="none"/>
        </w:rPr>
      </w:pPr>
      <w:r>
        <w:rPr>
          <w:rFonts w:hint="eastAsia" w:ascii="仿宋" w:hAnsi="仿宋" w:eastAsia="仿宋"/>
          <w:b/>
          <w:bCs/>
          <w:color w:val="auto"/>
          <w:sz w:val="24"/>
          <w:highlight w:val="none"/>
        </w:rPr>
        <w:t>第六条：乙方的责任与义务</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1.根据投标文件的承诺向甲方委派项目负责人、技术负责人和专业技术人员。</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2.在履行本合同义务的期间，应运用合理的技能，认真、勤奋的工作。</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3.在本合同期内或合同终止后，未征得甲方同意，不得泄露与本项目、本合同有关的技术、资料等，不得以任何形式侵害甲方的知识产权。</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4.负责本项目具体工作，负责处理好与其它项目实施单位的协调。</w:t>
      </w:r>
    </w:p>
    <w:p>
      <w:pPr>
        <w:adjustRightInd w:val="0"/>
        <w:spacing w:line="360" w:lineRule="auto"/>
        <w:contextualSpacing/>
        <w:rPr>
          <w:rFonts w:ascii="仿宋" w:hAnsi="仿宋" w:eastAsia="仿宋"/>
          <w:b/>
          <w:bCs/>
          <w:color w:val="auto"/>
          <w:sz w:val="24"/>
          <w:highlight w:val="none"/>
        </w:rPr>
      </w:pPr>
      <w:r>
        <w:rPr>
          <w:rFonts w:hint="eastAsia" w:ascii="仿宋" w:hAnsi="仿宋" w:eastAsia="仿宋"/>
          <w:b/>
          <w:bCs/>
          <w:color w:val="auto"/>
          <w:sz w:val="24"/>
          <w:highlight w:val="none"/>
        </w:rPr>
        <w:t>第七条：甲方的责任与义务</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1.应当主要负责项目的所有外部关系的联系与协调，为乙方工作提供良好的外部条件。</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2.应当按合同专用条款双方约定的内容和时间，向乙方提供与项目有关资料。</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3.应当按合同专用条款预定的时间就乙方书面提交并要求做出决定的一切事宜做出书面决定。</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4.应授权一名熟悉本项目情况、能迅速做出决定的项目代表，负责与乙方联系。</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5.有与乙方订立补充合同的签订权。</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6.有对项目监测、方案、规范操作和设计使用功能要求的认定权，以及对项目监测、方案变更的审批权。</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7.有权要求乙方提交工作进度报告及专项报告等。</w:t>
      </w:r>
    </w:p>
    <w:p>
      <w:pPr>
        <w:adjustRightInd w:val="0"/>
        <w:spacing w:line="360" w:lineRule="auto"/>
        <w:ind w:firstLine="480" w:firstLineChars="200"/>
        <w:contextualSpacing/>
        <w:rPr>
          <w:rFonts w:ascii="仿宋" w:hAnsi="仿宋" w:eastAsia="仿宋" w:cs="仿宋"/>
          <w:b/>
          <w:color w:val="auto"/>
          <w:spacing w:val="-6"/>
          <w:sz w:val="24"/>
          <w:highlight w:val="none"/>
        </w:rPr>
      </w:pPr>
      <w:r>
        <w:rPr>
          <w:rFonts w:hint="eastAsia" w:ascii="仿宋" w:hAnsi="仿宋" w:eastAsia="仿宋"/>
          <w:color w:val="auto"/>
          <w:sz w:val="24"/>
          <w:highlight w:val="none"/>
        </w:rPr>
        <w:t>8.有权对乙方进行考核及处罚。</w:t>
      </w:r>
    </w:p>
    <w:p>
      <w:pPr>
        <w:adjustRightInd w:val="0"/>
        <w:spacing w:line="360" w:lineRule="auto"/>
        <w:contextualSpacing/>
        <w:rPr>
          <w:rFonts w:ascii="仿宋" w:hAnsi="仿宋" w:eastAsia="仿宋"/>
          <w:b/>
          <w:bCs/>
          <w:color w:val="auto"/>
          <w:sz w:val="24"/>
          <w:highlight w:val="none"/>
        </w:rPr>
      </w:pPr>
      <w:r>
        <w:rPr>
          <w:rFonts w:hint="eastAsia" w:ascii="仿宋" w:hAnsi="仿宋" w:eastAsia="仿宋"/>
          <w:b/>
          <w:bCs/>
          <w:color w:val="auto"/>
          <w:sz w:val="24"/>
          <w:highlight w:val="none"/>
        </w:rPr>
        <w:t>第八条：履约验收、交付标准和方法</w:t>
      </w:r>
    </w:p>
    <w:p>
      <w:pPr>
        <w:adjustRightInd w:val="0"/>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验收方式：本项目按照《杭州市政府采购履约验收暂行办法》（杭财采监〔2019〕10号）等规定组织验收。履约验收根据本次项目招标文件中相关采购要求进行，验收由甲方负责实施。本项目采用专家评审方式验收，由验收组出具验收证明。项目验收、评审等相关费用由甲方负责。因乙方原因，验收未通过，余款没收。</w:t>
      </w:r>
    </w:p>
    <w:p>
      <w:pPr>
        <w:adjustRightInd w:val="0"/>
        <w:snapToGrid w:val="0"/>
        <w:spacing w:line="360" w:lineRule="auto"/>
        <w:ind w:firstLine="480" w:firstLineChars="200"/>
        <w:jc w:val="left"/>
        <w:rPr>
          <w:rFonts w:ascii="仿宋" w:hAnsi="仿宋" w:eastAsia="仿宋" w:cs="仿宋"/>
          <w:bCs/>
          <w:color w:val="auto"/>
          <w:sz w:val="24"/>
          <w:szCs w:val="22"/>
          <w:highlight w:val="none"/>
        </w:rPr>
      </w:pPr>
      <w:r>
        <w:rPr>
          <w:rFonts w:hint="eastAsia" w:ascii="仿宋" w:hAnsi="仿宋" w:eastAsia="仿宋" w:cs="仿宋"/>
          <w:bCs/>
          <w:color w:val="auto"/>
          <w:sz w:val="24"/>
          <w:highlight w:val="none"/>
        </w:rPr>
        <w:t>2</w:t>
      </w:r>
      <w:r>
        <w:rPr>
          <w:rFonts w:ascii="仿宋" w:hAnsi="仿宋" w:eastAsia="仿宋" w:cs="仿宋"/>
          <w:bCs/>
          <w:color w:val="auto"/>
          <w:sz w:val="24"/>
          <w:highlight w:val="none"/>
        </w:rPr>
        <w:t>.</w:t>
      </w:r>
      <w:r>
        <w:rPr>
          <w:rFonts w:hint="eastAsia" w:ascii="仿宋" w:hAnsi="仿宋" w:eastAsia="仿宋" w:cs="仿宋"/>
          <w:bCs/>
          <w:color w:val="auto"/>
          <w:sz w:val="24"/>
          <w:highlight w:val="none"/>
        </w:rPr>
        <w:t>验收标准：提供一份《杭州市温室气体监测数据分析及同化反演结果报告》，主要内容包括温室气体排放反演模型构建，结合已产生的温室气体数据进行分析反演并获得结果，数据集成管理技术研发。</w:t>
      </w:r>
    </w:p>
    <w:p>
      <w:pPr>
        <w:adjustRightInd w:val="0"/>
        <w:spacing w:line="360" w:lineRule="auto"/>
        <w:ind w:firstLine="480" w:firstLineChars="200"/>
        <w:contextualSpacing/>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.甲方在乙方提供服务的过程中，有权不定期对服务内容和质量进行考核。乙方应当配合进行。</w:t>
      </w:r>
    </w:p>
    <w:p>
      <w:pPr>
        <w:adjustRightInd w:val="0"/>
        <w:spacing w:line="360" w:lineRule="auto"/>
        <w:ind w:firstLine="480" w:firstLineChars="200"/>
        <w:contextualSpacing/>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.乙方在项目完成后，应当及时向甲方发出验收申请，内容包括书面验收申请、相关说明、报告等，甲方收到乙方申请后，组织进行验收考核，乙方应当协助进行。验收结果可以作为甲方付款的考虑依据。</w:t>
      </w:r>
    </w:p>
    <w:p>
      <w:pPr>
        <w:adjustRightInd w:val="0"/>
        <w:spacing w:line="360" w:lineRule="auto"/>
        <w:ind w:firstLine="480" w:firstLineChars="200"/>
        <w:contextualSpacing/>
        <w:rPr>
          <w:rFonts w:ascii="仿宋" w:hAnsi="仿宋" w:eastAsia="仿宋" w:cs="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.乙方在提供服务过程中如存在违反合同相关约定情况的，甲方有权要求乙方立即整改，乙方未按甲方要求整改的，甲方有权拒绝验收，并可中止合同履行，乙方承担因此发生的一切损失、费用及延误责任。</w:t>
      </w:r>
    </w:p>
    <w:p>
      <w:pPr>
        <w:adjustRightInd w:val="0"/>
        <w:spacing w:line="360" w:lineRule="auto"/>
        <w:ind w:firstLine="480" w:firstLineChars="200"/>
        <w:contextualSpacing/>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pPr>
        <w:adjustRightInd w:val="0"/>
        <w:spacing w:line="360" w:lineRule="auto"/>
        <w:contextualSpacing/>
        <w:rPr>
          <w:rFonts w:ascii="仿宋" w:hAnsi="仿宋" w:eastAsia="仿宋"/>
          <w:b/>
          <w:bCs/>
          <w:color w:val="auto"/>
          <w:sz w:val="24"/>
          <w:highlight w:val="none"/>
        </w:rPr>
      </w:pPr>
      <w:r>
        <w:rPr>
          <w:rFonts w:hint="eastAsia" w:ascii="仿宋" w:hAnsi="仿宋" w:eastAsia="仿宋"/>
          <w:b/>
          <w:bCs/>
          <w:color w:val="auto"/>
          <w:sz w:val="24"/>
          <w:highlight w:val="none"/>
        </w:rPr>
        <w:t>第九条：违约处理</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除不可抗力外，如果乙方没有按照本合同约定的期限、地点和方式完成约定服务内容，那么甲方有权要求乙方支付违约金，违约金按每迟延一日为合同总价的1%计算，最高限额为本合同总价的20%；超过约定日期的违约金计算数额达到前述最高限额之日起，甲方有权在要求乙方支付违约金的同时，书面通知乙方解除本合同，索回前期已支付的相应费用。</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甲方付款按照财政政策执行，因乙方提交的发票等请款材料不符合财政要求或财政拨款等原因造成甲方不能及时支付项目经费款项的，甲方不承担责任，乙方不得以此为由怠于履行本合同义务。如甲方无其他正当理由未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6.如果出现政府采购监督管理部门在处理投诉事项期间，书面通知甲方暂停采购活动的情形，或者询问或质疑事项可能影响中标结果的，导致甲方中止履行合同的情形，均不视为甲方违约。</w:t>
      </w:r>
    </w:p>
    <w:p>
      <w:pPr>
        <w:adjustRightInd w:val="0"/>
        <w:spacing w:line="36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第十条：不可抗力事件处理</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1.不可抗力事故系指甲乙双方在缔结合同时所不能预见的，并且它的发生及其后果无法避免和无法克服的事故。</w:t>
      </w:r>
    </w:p>
    <w:p>
      <w:pPr>
        <w:adjustRightInd w:val="0"/>
        <w:spacing w:line="360" w:lineRule="auto"/>
        <w:ind w:firstLine="480" w:firstLineChars="200"/>
        <w:contextualSpacing/>
        <w:rPr>
          <w:rFonts w:ascii="仿宋" w:hAnsi="仿宋" w:eastAsia="仿宋" w:cs="仿宋"/>
          <w:color w:val="auto"/>
          <w:spacing w:val="-6"/>
          <w:sz w:val="24"/>
          <w:highlight w:val="none"/>
        </w:rPr>
      </w:pPr>
      <w:r>
        <w:rPr>
          <w:rFonts w:hint="eastAsia" w:ascii="仿宋" w:hAnsi="仿宋" w:eastAsia="仿宋"/>
          <w:color w:val="auto"/>
          <w:sz w:val="24"/>
          <w:highlight w:val="none"/>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adjustRightInd w:val="0"/>
        <w:spacing w:line="360" w:lineRule="auto"/>
        <w:ind w:right="-514" w:rightChars="-245"/>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第十一条：争议解决</w:t>
      </w:r>
    </w:p>
    <w:p>
      <w:pPr>
        <w:adjustRightInd w:val="0"/>
        <w:spacing w:line="360" w:lineRule="auto"/>
        <w:ind w:firstLine="456" w:firstLineChars="200"/>
        <w:contextualSpacing/>
        <w:rPr>
          <w:rFonts w:ascii="仿宋" w:hAnsi="仿宋" w:eastAsia="仿宋" w:cs="仿宋"/>
          <w:snapToGrid w:val="0"/>
          <w:color w:val="auto"/>
          <w:spacing w:val="-6"/>
          <w:sz w:val="24"/>
          <w:highlight w:val="none"/>
        </w:rPr>
      </w:pPr>
      <w:r>
        <w:rPr>
          <w:rFonts w:hint="eastAsia" w:ascii="仿宋" w:hAnsi="仿宋" w:eastAsia="仿宋" w:cs="仿宋"/>
          <w:snapToGrid w:val="0"/>
          <w:color w:val="auto"/>
          <w:spacing w:val="-6"/>
          <w:sz w:val="24"/>
          <w:highlight w:val="none"/>
        </w:rPr>
        <w:t>1.在本合同履行过程中发生争议，双方应当协商解决。双方不愿协商、调解解决或者协商、调解不成的，可按有关规定向杭州仲裁委员会提起仲裁。</w:t>
      </w:r>
    </w:p>
    <w:p>
      <w:pPr>
        <w:adjustRightInd w:val="0"/>
        <w:spacing w:line="360" w:lineRule="auto"/>
        <w:ind w:firstLine="456" w:firstLineChars="200"/>
        <w:contextualSpacing/>
        <w:rPr>
          <w:rFonts w:ascii="仿宋" w:hAnsi="仿宋" w:eastAsia="仿宋" w:cs="仿宋"/>
          <w:snapToGrid w:val="0"/>
          <w:color w:val="auto"/>
          <w:spacing w:val="-6"/>
          <w:sz w:val="24"/>
          <w:highlight w:val="none"/>
        </w:rPr>
      </w:pPr>
      <w:r>
        <w:rPr>
          <w:rFonts w:hint="eastAsia" w:ascii="仿宋" w:hAnsi="仿宋" w:eastAsia="仿宋" w:cs="仿宋"/>
          <w:snapToGrid w:val="0"/>
          <w:color w:val="auto"/>
          <w:spacing w:val="-6"/>
          <w:sz w:val="24"/>
          <w:highlight w:val="none"/>
        </w:rPr>
        <w:t>2.在仲裁期间，除正在进行仲裁的部分外，本合同其他部分应继续执行。</w:t>
      </w:r>
    </w:p>
    <w:p>
      <w:pPr>
        <w:adjustRightInd w:val="0"/>
        <w:spacing w:line="360" w:lineRule="auto"/>
        <w:ind w:right="-514" w:rightChars="-245"/>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第十二条：合同生效</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1.本次招标文件（招标编号：</w:t>
      </w:r>
      <w:r>
        <w:rPr>
          <w:rFonts w:hint="eastAsia" w:ascii="仿宋" w:hAnsi="仿宋" w:eastAsia="仿宋" w:cs="Arial"/>
          <w:snapToGrid w:val="0"/>
          <w:color w:val="auto"/>
          <w:sz w:val="24"/>
          <w:szCs w:val="21"/>
          <w:highlight w:val="none"/>
        </w:rPr>
        <w:t xml:space="preserve">     ）</w:t>
      </w:r>
      <w:r>
        <w:rPr>
          <w:rFonts w:hint="eastAsia" w:ascii="仿宋" w:hAnsi="仿宋" w:eastAsia="仿宋" w:cs="Arial"/>
          <w:snapToGrid w:val="0"/>
          <w:color w:val="auto"/>
          <w:sz w:val="24"/>
          <w:highlight w:val="none"/>
        </w:rPr>
        <w:t>、投标文件及评标过程中形成的文字资料、询标纪要均作为本合同的组成部分，具有同等效力。</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 xml:space="preserve">2.前述文件内容如与本合同发生冲突，以本合同为准，本合同没有约定的，前述文件作为补充和解释。        </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bCs/>
          <w:snapToGrid w:val="0"/>
          <w:color w:val="auto"/>
          <w:sz w:val="24"/>
          <w:highlight w:val="none"/>
        </w:rPr>
        <w:t>3.</w:t>
      </w:r>
      <w:r>
        <w:rPr>
          <w:rFonts w:hint="eastAsia" w:ascii="仿宋" w:hAnsi="仿宋" w:eastAsia="仿宋" w:cs="Arial"/>
          <w:snapToGrid w:val="0"/>
          <w:color w:val="auto"/>
          <w:sz w:val="24"/>
          <w:highlight w:val="none"/>
        </w:rPr>
        <w:t>本合同经甲乙双方法定代表人或其授权代表签字并加盖双方公章后生效。</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 xml:space="preserve">4.本合同一式五份，甲方、乙方各执二份，杭州意信招标代理有限公司一份。 </w:t>
      </w:r>
    </w:p>
    <w:p>
      <w:pPr>
        <w:adjustRightInd w:val="0"/>
        <w:spacing w:line="360" w:lineRule="auto"/>
        <w:contextualSpacing/>
        <w:rPr>
          <w:rFonts w:ascii="仿宋" w:hAnsi="仿宋" w:eastAsia="仿宋" w:cs="Arial"/>
          <w:b/>
          <w:bCs/>
          <w:snapToGrid w:val="0"/>
          <w:color w:val="auto"/>
          <w:sz w:val="24"/>
          <w:highlight w:val="none"/>
        </w:rPr>
      </w:pPr>
      <w:r>
        <w:rPr>
          <w:rFonts w:hint="eastAsia" w:ascii="仿宋" w:hAnsi="仿宋" w:eastAsia="仿宋" w:cs="Arial"/>
          <w:b/>
          <w:bCs/>
          <w:snapToGrid w:val="0"/>
          <w:color w:val="auto"/>
          <w:sz w:val="24"/>
          <w:highlight w:val="none"/>
        </w:rPr>
        <w:t>第十三条：合同修改</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bCs/>
          <w:snapToGrid w:val="0"/>
          <w:color w:val="auto"/>
          <w:sz w:val="24"/>
          <w:szCs w:val="21"/>
          <w:highlight w:val="none"/>
        </w:rPr>
        <w:t>1.</w:t>
      </w:r>
      <w:r>
        <w:rPr>
          <w:rFonts w:hint="eastAsia" w:ascii="仿宋" w:hAnsi="仿宋" w:eastAsia="仿宋" w:cs="Arial"/>
          <w:snapToGrid w:val="0"/>
          <w:color w:val="auto"/>
          <w:sz w:val="24"/>
          <w:highlight w:val="none"/>
        </w:rPr>
        <w:t>合同履行期内甲乙双方均不得随意变更或解除合同。合同若有未尽事宜，需经双方共同协商，订立补充协议，补充协议与本合同有同等法律效力。</w:t>
      </w:r>
    </w:p>
    <w:p>
      <w:pPr>
        <w:adjustRightIn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pPr>
        <w:adjustRightInd w:val="0"/>
        <w:spacing w:line="360" w:lineRule="auto"/>
        <w:contextualSpacing/>
        <w:rPr>
          <w:rFonts w:ascii="仿宋" w:hAnsi="仿宋" w:eastAsia="仿宋" w:cs="Arial"/>
          <w:b/>
          <w:bCs/>
          <w:snapToGrid w:val="0"/>
          <w:color w:val="auto"/>
          <w:sz w:val="24"/>
          <w:highlight w:val="none"/>
        </w:rPr>
      </w:pPr>
      <w:r>
        <w:rPr>
          <w:rFonts w:hint="eastAsia" w:ascii="仿宋" w:hAnsi="仿宋" w:eastAsia="仿宋" w:cs="Arial"/>
          <w:b/>
          <w:bCs/>
          <w:snapToGrid w:val="0"/>
          <w:color w:val="auto"/>
          <w:sz w:val="24"/>
          <w:highlight w:val="none"/>
        </w:rPr>
        <w:t>第十四条：其他</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1.未经过甲方的书面同意，乙方不得转让其应履行的合同项下的义务，和将部分合同项下的义务分包给其他单位完成。</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2.乙方不得参与可能与合同规定的与甲方的利益相冲突的任何活动。</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3.乙方人员在甲方场地工作时，应遵守甲方相关规章、制度。</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4.本合同任何一方给另一方的通知，都应以书面或传真的形式发送，而另一方应以书面形式确认并发送到对方明确的地址。</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5.适用法律：本合同应按照中华人民共和国的法律进行解释。</w:t>
      </w:r>
    </w:p>
    <w:p>
      <w:pPr>
        <w:widowControl/>
        <w:adjustRightInd w:val="0"/>
        <w:spacing w:line="360" w:lineRule="auto"/>
        <w:contextualSpacing/>
        <w:jc w:val="left"/>
        <w:rPr>
          <w:rFonts w:ascii="仿宋" w:hAnsi="仿宋" w:eastAsia="仿宋" w:cs="Arial"/>
          <w:b/>
          <w:snapToGrid w:val="0"/>
          <w:color w:val="auto"/>
          <w:sz w:val="24"/>
          <w:szCs w:val="21"/>
          <w:highlight w:val="none"/>
        </w:rPr>
      </w:pPr>
      <w:r>
        <w:rPr>
          <w:rFonts w:hint="eastAsia" w:ascii="仿宋" w:hAnsi="仿宋" w:eastAsia="仿宋" w:cs="Arial"/>
          <w:b/>
          <w:snapToGrid w:val="0"/>
          <w:color w:val="auto"/>
          <w:sz w:val="24"/>
          <w:szCs w:val="21"/>
          <w:highlight w:val="none"/>
        </w:rPr>
        <w:t>第十五条：未尽事宜</w:t>
      </w:r>
    </w:p>
    <w:p>
      <w:pPr>
        <w:adjustRightInd w:val="0"/>
        <w:spacing w:line="360" w:lineRule="auto"/>
        <w:ind w:firstLine="480" w:firstLineChars="200"/>
        <w:contextualSpacing/>
        <w:rPr>
          <w:rFonts w:ascii="仿宋" w:hAnsi="仿宋" w:eastAsia="仿宋" w:cs="Arial"/>
          <w:snapToGrid w:val="0"/>
          <w:color w:val="auto"/>
          <w:sz w:val="24"/>
          <w:highlight w:val="none"/>
        </w:rPr>
      </w:pPr>
      <w:r>
        <w:rPr>
          <w:rFonts w:hint="eastAsia" w:ascii="仿宋" w:hAnsi="仿宋" w:eastAsia="仿宋" w:cs="Arial"/>
          <w:bCs/>
          <w:snapToGrid w:val="0"/>
          <w:color w:val="auto"/>
          <w:sz w:val="24"/>
          <w:szCs w:val="21"/>
          <w:highlight w:val="none"/>
        </w:rPr>
        <w:t xml:space="preserve">  未尽事宜，双方协商解决。</w:t>
      </w:r>
    </w:p>
    <w:tbl>
      <w:tblPr>
        <w:tblStyle w:val="64"/>
        <w:tblpPr w:leftFromText="180" w:rightFromText="180" w:vertAnchor="text" w:horzAnchor="page" w:tblpX="1436" w:tblpY="447"/>
        <w:tblOverlap w:val="never"/>
        <w:tblW w:w="9458" w:type="dxa"/>
        <w:tblInd w:w="0" w:type="dxa"/>
        <w:tblLayout w:type="fixed"/>
        <w:tblCellMar>
          <w:top w:w="0" w:type="dxa"/>
          <w:left w:w="108" w:type="dxa"/>
          <w:bottom w:w="0" w:type="dxa"/>
          <w:right w:w="108" w:type="dxa"/>
        </w:tblCellMar>
      </w:tblPr>
      <w:tblGrid>
        <w:gridCol w:w="4729"/>
        <w:gridCol w:w="4729"/>
      </w:tblGrid>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ascii="仿宋" w:hAnsi="仿宋" w:eastAsia="仿宋" w:cs="Arial"/>
                <w:snapToGrid w:val="0"/>
                <w:color w:val="auto"/>
                <w:sz w:val="24"/>
                <w:highlight w:val="none"/>
                <w:lang w:val="en-GB"/>
              </w:rPr>
            </w:pPr>
            <w:r>
              <w:rPr>
                <w:rFonts w:hint="eastAsia" w:ascii="仿宋" w:hAnsi="仿宋" w:eastAsia="仿宋" w:cs="Arial"/>
                <w:snapToGrid w:val="0"/>
                <w:color w:val="auto"/>
                <w:sz w:val="24"/>
                <w:highlight w:val="none"/>
              </w:rPr>
              <w:t>甲方（盖章）：</w:t>
            </w:r>
          </w:p>
        </w:tc>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乙方（盖章）：</w:t>
            </w:r>
          </w:p>
        </w:tc>
      </w:tr>
      <w:tr>
        <w:tblPrEx>
          <w:tblCellMar>
            <w:top w:w="0" w:type="dxa"/>
            <w:left w:w="108" w:type="dxa"/>
            <w:bottom w:w="0" w:type="dxa"/>
            <w:right w:w="108" w:type="dxa"/>
          </w:tblCellMar>
        </w:tblPrEx>
        <w:trPr>
          <w:trHeight w:val="769" w:hRule="atLeast"/>
        </w:trPr>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法定代表人：</w:t>
            </w:r>
          </w:p>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或授权代表（签字）：</w:t>
            </w:r>
          </w:p>
        </w:tc>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法定代表人：</w:t>
            </w:r>
          </w:p>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或授权代表（签字）：</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联系人：</w:t>
            </w:r>
          </w:p>
        </w:tc>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联系人：</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地址：</w:t>
            </w:r>
          </w:p>
        </w:tc>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地址：</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电话：</w:t>
            </w:r>
          </w:p>
        </w:tc>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电话：</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传真：</w:t>
            </w:r>
          </w:p>
        </w:tc>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传真：</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开户银行：</w:t>
            </w:r>
          </w:p>
        </w:tc>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开户银行：</w:t>
            </w:r>
          </w:p>
        </w:tc>
      </w:tr>
      <w:tr>
        <w:tblPrEx>
          <w:tblCellMar>
            <w:top w:w="0" w:type="dxa"/>
            <w:left w:w="108" w:type="dxa"/>
            <w:bottom w:w="0" w:type="dxa"/>
            <w:right w:w="108" w:type="dxa"/>
          </w:tblCellMar>
        </w:tblPrEx>
        <w:trPr>
          <w:trHeight w:val="510" w:hRule="atLeast"/>
        </w:trPr>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账号：</w:t>
            </w:r>
          </w:p>
        </w:tc>
        <w:tc>
          <w:tcPr>
            <w:tcW w:w="4729" w:type="dxa"/>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highlight w:val="none"/>
              </w:rPr>
              <w:t>账号：</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2" w:firstLineChars="200"/>
              <w:rPr>
                <w:rFonts w:ascii="仿宋" w:hAnsi="仿宋" w:eastAsia="仿宋" w:cs="Arial"/>
                <w:snapToGrid w:val="0"/>
                <w:color w:val="auto"/>
                <w:sz w:val="24"/>
                <w:highlight w:val="none"/>
              </w:rPr>
            </w:pPr>
            <w:r>
              <w:rPr>
                <w:rFonts w:hint="eastAsia" w:ascii="仿宋" w:hAnsi="仿宋" w:eastAsia="仿宋" w:cs="Arial"/>
                <w:b/>
                <w:snapToGrid w:val="0"/>
                <w:color w:val="auto"/>
                <w:sz w:val="24"/>
                <w:szCs w:val="21"/>
                <w:highlight w:val="none"/>
              </w:rPr>
              <w:t>鉴证方</w:t>
            </w:r>
            <w:r>
              <w:rPr>
                <w:rFonts w:hint="eastAsia" w:ascii="仿宋" w:hAnsi="仿宋" w:eastAsia="仿宋" w:cs="Arial"/>
                <w:snapToGrid w:val="0"/>
                <w:color w:val="auto"/>
                <w:sz w:val="24"/>
                <w:szCs w:val="21"/>
                <w:highlight w:val="none"/>
              </w:rPr>
              <w:t>（盖章）：杭州意信招标代理有限公司</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szCs w:val="21"/>
                <w:highlight w:val="none"/>
              </w:rPr>
              <w:t>法定代表人：</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szCs w:val="21"/>
                <w:highlight w:val="none"/>
              </w:rPr>
              <w:t>或</w:t>
            </w:r>
            <w:r>
              <w:rPr>
                <w:rFonts w:hint="eastAsia" w:ascii="仿宋" w:hAnsi="仿宋" w:eastAsia="仿宋" w:cs="Arial"/>
                <w:snapToGrid w:val="0"/>
                <w:color w:val="auto"/>
                <w:sz w:val="24"/>
                <w:highlight w:val="none"/>
              </w:rPr>
              <w:t>授权代表</w:t>
            </w:r>
            <w:r>
              <w:rPr>
                <w:rFonts w:hint="eastAsia" w:ascii="仿宋" w:hAnsi="仿宋" w:eastAsia="仿宋" w:cs="Arial"/>
                <w:snapToGrid w:val="0"/>
                <w:color w:val="auto"/>
                <w:sz w:val="24"/>
                <w:szCs w:val="21"/>
                <w:highlight w:val="none"/>
              </w:rPr>
              <w:t>（签字）：</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szCs w:val="21"/>
                <w:highlight w:val="none"/>
              </w:rPr>
              <w:t>联系人：</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szCs w:val="21"/>
                <w:highlight w:val="none"/>
              </w:rPr>
              <w:t>地址：</w:t>
            </w:r>
            <w:r>
              <w:rPr>
                <w:rFonts w:hint="eastAsia" w:ascii="仿宋" w:hAnsi="仿宋" w:eastAsia="仿宋" w:cs="宋体"/>
                <w:snapToGrid w:val="0"/>
                <w:color w:val="auto"/>
                <w:kern w:val="0"/>
                <w:sz w:val="24"/>
                <w:szCs w:val="21"/>
                <w:highlight w:val="none"/>
              </w:rPr>
              <w:t>杭州市教工路1号，西湖数源软件园，17号楼5层509室</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szCs w:val="21"/>
                <w:highlight w:val="none"/>
              </w:rPr>
              <w:t>电话：0571-87211505</w:t>
            </w:r>
          </w:p>
        </w:tc>
      </w:tr>
      <w:tr>
        <w:tblPrEx>
          <w:tblCellMar>
            <w:top w:w="0" w:type="dxa"/>
            <w:left w:w="108" w:type="dxa"/>
            <w:bottom w:w="0" w:type="dxa"/>
            <w:right w:w="108" w:type="dxa"/>
          </w:tblCellMar>
        </w:tblPrEx>
        <w:trPr>
          <w:trHeight w:val="510" w:hRule="atLeast"/>
        </w:trPr>
        <w:tc>
          <w:tcPr>
            <w:tcW w:w="9458" w:type="dxa"/>
            <w:gridSpan w:val="2"/>
          </w:tcPr>
          <w:p>
            <w:pPr>
              <w:adjustRightInd w:val="0"/>
              <w:ind w:firstLine="480" w:firstLineChars="200"/>
              <w:rPr>
                <w:rFonts w:ascii="仿宋" w:hAnsi="仿宋" w:eastAsia="仿宋" w:cs="Arial"/>
                <w:snapToGrid w:val="0"/>
                <w:color w:val="auto"/>
                <w:sz w:val="24"/>
                <w:highlight w:val="none"/>
              </w:rPr>
            </w:pPr>
            <w:r>
              <w:rPr>
                <w:rFonts w:hint="eastAsia" w:ascii="仿宋" w:hAnsi="仿宋" w:eastAsia="仿宋" w:cs="Arial"/>
                <w:snapToGrid w:val="0"/>
                <w:color w:val="auto"/>
                <w:sz w:val="24"/>
                <w:szCs w:val="21"/>
                <w:highlight w:val="none"/>
              </w:rPr>
              <w:t>传真：0571-87211507</w:t>
            </w:r>
          </w:p>
        </w:tc>
      </w:tr>
    </w:tbl>
    <w:p>
      <w:pPr>
        <w:spacing w:line="560" w:lineRule="exact"/>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ind w:left="720" w:firstLine="723"/>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 应提交的有关格式范例</w:t>
      </w: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w:t>
      </w:r>
      <w:r>
        <w:rPr>
          <w:rFonts w:hint="eastAsia" w:ascii="仿宋" w:hAnsi="仿宋" w:eastAsia="仿宋" w:cs="仿宋_GB2312"/>
          <w:color w:val="auto"/>
          <w:sz w:val="24"/>
          <w:highlight w:val="none"/>
        </w:rPr>
        <w:t>落实政府采购政策需满足的资格要求</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pPr>
        <w:spacing w:line="360" w:lineRule="auto"/>
        <w:ind w:firstLine="480" w:firstLineChars="200"/>
        <w:rPr>
          <w:rFonts w:ascii="仿宋_GB2312" w:hAnsi="仿宋" w:eastAsia="仿宋_GB2312" w:cs="仿宋_GB2312"/>
          <w:color w:val="auto"/>
          <w:sz w:val="24"/>
          <w:highlight w:val="none"/>
        </w:rPr>
      </w:pPr>
    </w:p>
    <w:p>
      <w:pPr>
        <w:jc w:val="center"/>
        <w:rPr>
          <w:rFonts w:ascii="仿宋" w:eastAsia="仿宋"/>
          <w:color w:val="auto"/>
          <w:highlight w:val="none"/>
        </w:rPr>
      </w:pPr>
      <w:r>
        <w:rPr>
          <w:rFonts w:ascii="仿宋_GB2312" w:hAnsi="仿宋" w:eastAsia="仿宋_GB2312" w:cs="仿宋_GB2312"/>
          <w:color w:val="auto"/>
          <w:kern w:val="0"/>
          <w:sz w:val="24"/>
          <w:highlight w:val="none"/>
        </w:rPr>
        <w:br w:type="page"/>
      </w: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w:t>
      </w:r>
      <w:r>
        <w:rPr>
          <w:rFonts w:ascii="仿宋" w:hAnsi="仿宋" w:eastAsia="仿宋" w:cs="仿宋_GB2312"/>
          <w:b/>
          <w:color w:val="auto"/>
          <w:kern w:val="0"/>
          <w:sz w:val="32"/>
          <w:szCs w:val="32"/>
          <w:highlight w:val="none"/>
        </w:rPr>
        <w:t>、 符合参加政府采购活动应当具备的一般条件的承诺函</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b/>
          <w:color w:val="auto"/>
          <w:sz w:val="24"/>
          <w:highlight w:val="none"/>
          <w:lang w:eastAsia="zh-CN"/>
        </w:rPr>
        <w:t>浙江省杭州生态环境监测中心</w:t>
      </w:r>
      <w:r>
        <w:rPr>
          <w:rFonts w:hint="eastAsia" w:ascii="仿宋" w:hAnsi="仿宋" w:eastAsia="仿宋" w:cs="仿宋_GB2312"/>
          <w:color w:val="auto"/>
          <w:sz w:val="24"/>
          <w:highlight w:val="none"/>
        </w:rPr>
        <w:t>、</w:t>
      </w:r>
      <w:r>
        <w:rPr>
          <w:rFonts w:hint="eastAsia" w:ascii="仿宋" w:hAnsi="仿宋" w:eastAsia="仿宋"/>
          <w:b/>
          <w:color w:val="auto"/>
          <w:sz w:val="24"/>
          <w:highlight w:val="none"/>
        </w:rPr>
        <w:t>杭州意信招标代理有限公司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u w:val="single"/>
        </w:rPr>
        <w:t>（项目名称）</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color w:val="auto"/>
          <w:kern w:val="0"/>
          <w:sz w:val="24"/>
          <w:highlight w:val="none"/>
          <w:lang w:val="zh-CN"/>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en-US" w:eastAsia="zh-CN"/>
        </w:rPr>
        <w:t xml:space="preserve">  </w:t>
      </w:r>
      <w:r>
        <w:rPr>
          <w:rFonts w:hint="eastAsia" w:ascii="仿宋" w:hAnsi="仿宋" w:eastAsia="仿宋" w:cs="仿宋_GB2312"/>
          <w:color w:val="auto"/>
          <w:kern w:val="0"/>
          <w:sz w:val="24"/>
          <w:highlight w:val="none"/>
          <w:lang w:val="zh-CN"/>
        </w:rPr>
        <w:t>日</w:t>
      </w:r>
    </w:p>
    <w:p>
      <w:pPr>
        <w:pStyle w:val="3"/>
        <w:rPr>
          <w:color w:val="auto"/>
          <w:highlight w:val="none"/>
        </w:rPr>
      </w:pP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t>二、</w:t>
      </w:r>
      <w:r>
        <w:rPr>
          <w:rFonts w:hint="eastAsia" w:ascii="仿宋" w:hAnsi="仿宋" w:eastAsia="仿宋" w:cs="仿宋_GB2312"/>
          <w:b/>
          <w:color w:val="auto"/>
          <w:kern w:val="0"/>
          <w:sz w:val="32"/>
          <w:szCs w:val="32"/>
          <w:highlight w:val="none"/>
        </w:rPr>
        <w:t>落实政府采购政策需满足的资格要求</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仿宋" w:hAnsi="仿宋" w:eastAsia="仿宋" w:cs="仿宋_GB2312"/>
          <w:b/>
          <w:bCs/>
          <w:snapToGrid w:val="0"/>
          <w:color w:val="auto"/>
          <w:kern w:val="28"/>
          <w:sz w:val="24"/>
          <w:szCs w:val="20"/>
          <w:highlight w:val="none"/>
          <w:lang w:val="en-US" w:eastAsia="zh-CN" w:bidi="ar-SA"/>
        </w:rPr>
      </w:pPr>
      <w:r>
        <w:rPr>
          <w:rFonts w:hint="eastAsia" w:ascii="仿宋" w:hAnsi="仿宋" w:eastAsia="仿宋" w:cs="仿宋_GB2312"/>
          <w:b/>
          <w:bCs/>
          <w:snapToGrid w:val="0"/>
          <w:color w:val="auto"/>
          <w:kern w:val="28"/>
          <w:sz w:val="24"/>
          <w:szCs w:val="20"/>
          <w:highlight w:val="none"/>
          <w:lang w:val="en-US" w:eastAsia="zh-CN" w:bidi="ar-SA"/>
        </w:rPr>
        <w:t>标项一：温室气体手工监测及移动监测服务项目</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标项二：杭州市温室气体同化反演及通量核算服务</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专门面向中小企业，服务全部由符合政策要求的小微企业承接，提供相应的中小企业声明函。</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b/>
          <w:color w:val="auto"/>
          <w:sz w:val="32"/>
          <w:szCs w:val="32"/>
          <w:highlight w:val="none"/>
          <w:lang w:val="en-US" w:eastAsia="zh-CN"/>
        </w:rPr>
        <w:t>服务</w:t>
      </w:r>
      <w:r>
        <w:rPr>
          <w:rFonts w:hint="eastAsia" w:ascii="仿宋" w:hAnsi="仿宋" w:eastAsia="仿宋" w:cs="仿宋"/>
          <w:b/>
          <w:color w:val="auto"/>
          <w:sz w:val="32"/>
          <w:szCs w:val="32"/>
          <w:highlight w:val="none"/>
        </w:rPr>
        <w:t>）</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本公司郑重声明，根据《政府采购促进中小企业发展管理办法》（财库﹝2020﹞46 号）的规定，本公司参加</w:t>
      </w:r>
      <w:r>
        <w:rPr>
          <w:rFonts w:hint="eastAsia" w:ascii="仿宋" w:hAnsi="仿宋" w:eastAsia="仿宋" w:cs="仿宋"/>
          <w:color w:val="auto"/>
          <w:sz w:val="24"/>
          <w:highlight w:val="none"/>
          <w:u w:val="single"/>
        </w:rPr>
        <w:t>浙江省杭州生态环境监测中心</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杭州市温室气体手工监测及碳通量评估项目</w:t>
      </w:r>
      <w:r>
        <w:rPr>
          <w:rFonts w:hint="eastAsia" w:ascii="仿宋" w:hAnsi="仿宋" w:eastAsia="仿宋" w:cs="仿宋"/>
          <w:color w:val="auto"/>
          <w:sz w:val="24"/>
          <w:highlight w:val="none"/>
        </w:rPr>
        <w:t>采购活动，服务全部由符合政策要求的中小企业承接。具体情况如下：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标项二：杭州市温室气体同化反演及通量核算服务</w:t>
      </w:r>
      <w:r>
        <w:rPr>
          <w:rFonts w:hint="eastAsia" w:ascii="仿宋" w:hAnsi="仿宋" w:eastAsia="仿宋" w:cs="仿宋"/>
          <w:color w:val="auto"/>
          <w:sz w:val="24"/>
          <w:highlight w:val="none"/>
        </w:rPr>
        <w:t>，属于</w:t>
      </w:r>
      <w:r>
        <w:rPr>
          <w:rFonts w:hint="eastAsia" w:ascii="仿宋" w:hAnsi="仿宋" w:eastAsia="仿宋" w:cs="仿宋"/>
          <w:color w:val="auto"/>
          <w:kern w:val="0"/>
          <w:sz w:val="24"/>
          <w:highlight w:val="none"/>
          <w:u w:val="single"/>
        </w:rPr>
        <w:t>（十六）其他未列明行业</w:t>
      </w:r>
      <w:r>
        <w:rPr>
          <w:rFonts w:hint="eastAsia" w:ascii="仿宋" w:hAnsi="仿宋" w:eastAsia="仿宋" w:cs="仿宋"/>
          <w:color w:val="auto"/>
          <w:sz w:val="24"/>
          <w:highlight w:val="none"/>
        </w:rPr>
        <w:t xml:space="preserve">；承接企业为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b/>
          <w:bCs/>
          <w:color w:val="auto"/>
          <w:sz w:val="24"/>
          <w:highlight w:val="none"/>
          <w:u w:val="single"/>
        </w:rPr>
        <w:t>（</w:t>
      </w:r>
      <w:bookmarkStart w:id="406" w:name="_GoBack"/>
      <w:bookmarkEnd w:id="406"/>
      <w:r>
        <w:rPr>
          <w:rFonts w:hint="eastAsia" w:ascii="仿宋" w:hAnsi="仿宋" w:eastAsia="仿宋" w:cs="仿宋"/>
          <w:b/>
          <w:bCs/>
          <w:color w:val="auto"/>
          <w:sz w:val="24"/>
          <w:highlight w:val="none"/>
          <w:u w:val="single"/>
        </w:rPr>
        <w:t>小型企业、微型企业）填写其中一个</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ind w:firstLine="310" w:firstLineChars="147"/>
        <w:jc w:val="left"/>
        <w:rPr>
          <w:rFonts w:ascii="仿宋" w:hAnsi="仿宋" w:eastAsia="仿宋" w:cs="仿宋"/>
          <w:b/>
          <w:color w:val="auto"/>
          <w:szCs w:val="21"/>
          <w:highlight w:val="none"/>
        </w:rPr>
      </w:pP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ascii="仿宋_GB2312" w:hAnsi="仿宋" w:eastAsia="仿宋_GB2312" w:cs="仿宋_GB2312"/>
          <w:b/>
          <w:color w:val="auto"/>
          <w:kern w:val="0"/>
          <w:sz w:val="32"/>
          <w:szCs w:val="32"/>
          <w:highlight w:val="none"/>
        </w:rPr>
        <w:t>备注：</w:t>
      </w:r>
      <w:r>
        <w:rPr>
          <w:rFonts w:hint="eastAsia" w:ascii="仿宋_GB2312" w:hAnsi="仿宋" w:eastAsia="仿宋_GB2312" w:cs="仿宋_GB2312"/>
          <w:b/>
          <w:color w:val="auto"/>
          <w:kern w:val="0"/>
          <w:sz w:val="32"/>
          <w:szCs w:val="32"/>
          <w:highlight w:val="none"/>
        </w:rPr>
        <w:t>（十六）其他未列明行业，</w:t>
      </w:r>
      <w:r>
        <w:rPr>
          <w:rFonts w:ascii="仿宋_GB2312" w:hAnsi="仿宋" w:eastAsia="仿宋_GB2312" w:cs="仿宋_GB2312"/>
          <w:b/>
          <w:color w:val="auto"/>
          <w:kern w:val="0"/>
          <w:sz w:val="32"/>
          <w:szCs w:val="32"/>
          <w:highlight w:val="none"/>
        </w:rPr>
        <w:t>小型企业的认定标准为从业人员</w:t>
      </w:r>
      <w:r>
        <w:rPr>
          <w:rFonts w:hint="eastAsia" w:ascii="仿宋_GB2312" w:hAnsi="仿宋" w:eastAsia="仿宋_GB2312" w:cs="仿宋_GB2312"/>
          <w:b/>
          <w:color w:val="auto"/>
          <w:kern w:val="0"/>
          <w:sz w:val="32"/>
          <w:szCs w:val="32"/>
          <w:highlight w:val="none"/>
        </w:rPr>
        <w:t>10人及以上至100人（不含100人）；微型企业的认定标准为从业人员10人以下。</w:t>
      </w:r>
    </w:p>
    <w:p>
      <w:pPr>
        <w:widowControl/>
        <w:adjustRightInd/>
        <w:spacing w:line="360" w:lineRule="auto"/>
        <w:ind w:firstLine="480" w:firstLineChars="200"/>
        <w:jc w:val="left"/>
        <w:rPr>
          <w:rFonts w:hint="eastAsia" w:ascii="仿宋" w:hAnsi="仿宋" w:eastAsia="仿宋" w:cs="仿宋"/>
          <w:color w:val="auto"/>
          <w:sz w:val="24"/>
          <w:highlight w:val="none"/>
        </w:rPr>
      </w:pP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ind w:firstLine="723" w:firstLineChars="200"/>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3）联合协议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4）分包意向协议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5）符合性审查资料</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6）评标标准相应的商务技术资料</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7）商务技术偏离表</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 w:val="24"/>
          <w:highlight w:val="none"/>
        </w:rPr>
      </w:pPr>
      <w:r>
        <w:rPr>
          <w:rFonts w:hint="eastAsia" w:ascii="仿宋" w:hAnsi="仿宋" w:eastAsia="仿宋"/>
          <w:b/>
          <w:color w:val="auto"/>
          <w:sz w:val="24"/>
          <w:highlight w:val="none"/>
          <w:lang w:eastAsia="zh-CN"/>
        </w:rPr>
        <w:t>浙江省杭州生态环境监测中心</w:t>
      </w:r>
      <w:r>
        <w:rPr>
          <w:rFonts w:hint="eastAsia" w:ascii="仿宋" w:hAnsi="仿宋" w:eastAsia="仿宋"/>
          <w:b/>
          <w:color w:val="auto"/>
          <w:sz w:val="24"/>
          <w:highlight w:val="none"/>
        </w:rPr>
        <w:t>、杭州意信招标代理有限公司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w:t>
      </w:r>
      <w:r>
        <w:rPr>
          <w:rFonts w:hint="eastAsia" w:ascii="仿宋" w:hAnsi="仿宋" w:eastAsia="仿宋" w:cs="仿宋_GB2312"/>
          <w:color w:val="auto"/>
          <w:sz w:val="24"/>
          <w:highlight w:val="none"/>
          <w:u w:val="single"/>
        </w:rPr>
        <w:t>（项目名称）</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我方承诺投标有效期从提交投标文件的截止之日起</w:t>
      </w:r>
      <w:r>
        <w:rPr>
          <w:rFonts w:ascii="仿宋" w:hAnsi="仿宋" w:eastAsia="仿宋" w:cs="仿宋_GB2312"/>
          <w:color w:val="auto"/>
          <w:sz w:val="24"/>
          <w:highlight w:val="none"/>
          <w:u w:val="single"/>
        </w:rPr>
        <w:t xml:space="preserve"> 90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我方的投标文件包括以下内容：</w:t>
      </w:r>
    </w:p>
    <w:p>
      <w:pPr>
        <w:snapToGrid w:val="0"/>
        <w:spacing w:line="360" w:lineRule="auto"/>
        <w:ind w:left="210" w:leftChars="100" w:firstLine="480" w:firstLineChars="200"/>
        <w:rPr>
          <w:rFonts w:ascii="仿宋" w:hAnsi="仿宋" w:eastAsia="仿宋" w:cs="仿宋_GB2312"/>
          <w:b/>
          <w:bCs/>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2.1.</w:t>
      </w:r>
      <w:r>
        <w:rPr>
          <w:rFonts w:hint="eastAsia" w:ascii="仿宋" w:hAnsi="仿宋" w:eastAsia="仿宋" w:cs="仿宋_GB2312"/>
          <w:color w:val="auto"/>
          <w:sz w:val="24"/>
          <w:highlight w:val="none"/>
        </w:rPr>
        <w:t>1承诺函；</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2.1.2落实政府采购政策需满足的资格要求；</w:t>
      </w:r>
    </w:p>
    <w:p>
      <w:pPr>
        <w:snapToGrid w:val="0"/>
        <w:spacing w:line="360" w:lineRule="auto"/>
        <w:ind w:left="210" w:leftChars="1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2.2.3联合协议</w:t>
      </w:r>
      <w:r>
        <w:rPr>
          <w:rFonts w:hint="eastAsia" w:ascii="仿宋" w:hAnsi="仿宋" w:eastAsia="仿宋" w:cs="仿宋_GB2312"/>
          <w:color w:val="auto"/>
          <w:sz w:val="24"/>
          <w:highlight w:val="none"/>
        </w:rPr>
        <w:t>（如果有）；</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2.2.4分包意向协议</w:t>
      </w:r>
      <w:r>
        <w:rPr>
          <w:rFonts w:hint="eastAsia" w:ascii="仿宋" w:hAnsi="仿宋" w:eastAsia="仿宋" w:cs="仿宋_GB2312"/>
          <w:color w:val="auto"/>
          <w:sz w:val="24"/>
          <w:highlight w:val="none"/>
        </w:rPr>
        <w:t>（如果有）；</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2.2.5符合性审查资料；</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2.2.6评标标准相应的商务技术资料；</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2.2.7商务技术偏离表；</w:t>
      </w:r>
    </w:p>
    <w:p>
      <w:pPr>
        <w:snapToGrid w:val="0"/>
        <w:spacing w:line="360" w:lineRule="auto"/>
        <w:ind w:left="420" w:leftChars="2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3报价文件</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2.3.1开标一览表（报价表）；</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2.3.2中小企业声明函</w:t>
      </w:r>
      <w:r>
        <w:rPr>
          <w:rFonts w:hint="eastAsia" w:ascii="仿宋" w:hAnsi="仿宋" w:eastAsia="仿宋" w:cs="仿宋_GB2312"/>
          <w:color w:val="auto"/>
          <w:sz w:val="24"/>
          <w:highlight w:val="none"/>
        </w:rPr>
        <w:t>（如果有）；</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w:t>
      </w:r>
      <w:r>
        <w:rPr>
          <w:rFonts w:hint="eastAsia" w:ascii="仿宋" w:hAnsi="仿宋" w:eastAsia="仿宋" w:cs="仿宋_GB2312"/>
          <w:color w:val="auto"/>
          <w:sz w:val="24"/>
          <w:highlight w:val="none"/>
        </w:rPr>
        <w:t>代理服务费支付承诺书。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我方承诺除商务技术偏离表列出的偏离外，我方响应招标文件的全部要求。</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4</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如我方中标，我方承诺：</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其他补充说明:</w:t>
      </w:r>
      <w:r>
        <w:rPr>
          <w:rFonts w:hint="eastAsia" w:ascii="仿宋" w:hAnsi="仿宋" w:eastAsia="仿宋" w:cs="仿宋_GB2312"/>
          <w:color w:val="auto"/>
          <w:sz w:val="24"/>
          <w:highlight w:val="none"/>
        </w:rPr>
        <w:t>。</w:t>
      </w:r>
    </w:p>
    <w:p>
      <w:pPr>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投标人名称（电子签名）：</w:t>
      </w:r>
    </w:p>
    <w:p>
      <w:pPr>
        <w:spacing w:line="360" w:lineRule="auto"/>
        <w:jc w:val="center"/>
        <w:rPr>
          <w:rFonts w:ascii="仿宋_GB2312" w:hAnsi="仿宋" w:eastAsia="仿宋_GB2312" w:cs="仿宋_GB2312"/>
          <w:color w:val="auto"/>
          <w:sz w:val="24"/>
          <w:highlight w:val="none"/>
        </w:rPr>
      </w:pPr>
      <w:r>
        <w:rPr>
          <w:rFonts w:ascii="仿宋" w:hAnsi="仿宋" w:eastAsia="仿宋"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widowControl/>
        <w:adjustRightInd/>
        <w:jc w:val="left"/>
        <w:rPr>
          <w:rFonts w:ascii="仿宋" w:hAnsi="仿宋" w:eastAsia="仿宋" w:cs="仿宋_GB2312"/>
          <w:b/>
          <w:color w:val="auto"/>
          <w:kern w:val="0"/>
          <w:sz w:val="32"/>
          <w:szCs w:val="32"/>
          <w:highlight w:val="none"/>
          <w:lang w:val="zh-CN"/>
        </w:rPr>
      </w:pPr>
      <w:r>
        <w:rPr>
          <w:rFonts w:ascii="仿宋" w:hAnsi="仿宋" w:eastAsia="仿宋" w:cs="仿宋_GB2312"/>
          <w:b/>
          <w:color w:val="auto"/>
          <w:kern w:val="0"/>
          <w:sz w:val="32"/>
          <w:szCs w:val="32"/>
          <w:highlight w:val="none"/>
          <w:lang w:val="zh-CN"/>
        </w:rPr>
        <w:br w:type="page"/>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ind w:firstLine="2872" w:firstLineChars="894"/>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（采购人）、（采购代理机构）</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委托（姓名）为我方代理人（身份证号码：，手机：），以我方名义处理</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（采购人）、（采购代理机构）</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委托（姓名）为我方代理人（身份证号码：，手机：），以我方名义处理</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jc w:val="left"/>
        <w:rPr>
          <w:rFonts w:ascii="仿宋" w:hAnsi="仿宋" w:eastAsia="仿宋" w:cs="仿宋_GB2312"/>
          <w:b/>
          <w:color w:val="auto"/>
          <w:kern w:val="0"/>
          <w:sz w:val="32"/>
          <w:szCs w:val="32"/>
          <w:highlight w:val="none"/>
          <w:lang w:val="zh-CN"/>
        </w:rPr>
      </w:pPr>
      <w:r>
        <w:rPr>
          <w:rFonts w:ascii="仿宋" w:hAnsi="仿宋" w:eastAsia="仿宋" w:cs="仿宋_GB2312"/>
          <w:b/>
          <w:color w:val="auto"/>
          <w:kern w:val="0"/>
          <w:sz w:val="32"/>
          <w:szCs w:val="32"/>
          <w:highlight w:val="none"/>
          <w:lang w:val="zh-CN"/>
        </w:rPr>
        <w:br w:type="page"/>
      </w: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148"/>
        <w:spacing w:line="360" w:lineRule="auto"/>
        <w:rPr>
          <w:rFonts w:ascii="仿宋_GB2312" w:hAnsi="仿宋" w:eastAsia="仿宋_GB2312"/>
          <w:bCs/>
          <w:color w:val="auto"/>
          <w:sz w:val="24"/>
          <w:highlight w:val="none"/>
        </w:rPr>
      </w:pPr>
      <w:r>
        <w:rPr>
          <w:rFonts w:hint="eastAsia" w:ascii="仿宋" w:hAnsi="仿宋" w:eastAsia="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正面：反面：</w:t>
            </w:r>
          </w:p>
          <w:p>
            <w:pPr>
              <w:pStyle w:val="148"/>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三、</w:t>
      </w:r>
      <w:r>
        <w:rPr>
          <w:rFonts w:hint="eastAsia" w:ascii="仿宋" w:hAnsi="仿宋" w:eastAsia="仿宋" w:cs="仿宋_GB2312"/>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组成一个联合体，以一个投标人的身份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投标。</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rPr>
        <w:t>提供的全部货物由小微企业制造，其合同份额占到合同总金额</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，对联合体报价给予6</w:t>
      </w:r>
      <w:r>
        <w:rPr>
          <w:rFonts w:ascii="仿宋" w:hAnsi="仿宋" w:eastAsia="仿宋" w:cs="仿宋_GB2312"/>
          <w:b/>
          <w:color w:val="auto"/>
          <w:kern w:val="0"/>
          <w:sz w:val="24"/>
          <w:highlight w:val="none"/>
          <w:lang w:val="zh-CN"/>
        </w:rPr>
        <w:t>%的扣除</w:t>
      </w:r>
      <w:r>
        <w:rPr>
          <w:rFonts w:hint="eastAsia" w:ascii="仿宋" w:hAnsi="仿宋" w:eastAsia="仿宋" w:cs="仿宋_GB2312"/>
          <w:b/>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四、分包意向协议</w:t>
      </w:r>
    </w:p>
    <w:p>
      <w:pPr>
        <w:widowControl/>
        <w:spacing w:line="360" w:lineRule="auto"/>
        <w:ind w:firstLine="120" w:firstLineChars="5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pStyle w:val="3"/>
        <w:ind w:left="664" w:leftChars="316" w:firstLine="229" w:firstLineChars="95"/>
        <w:rPr>
          <w:rFonts w:ascii="仿宋" w:eastAsia="仿宋"/>
          <w:color w:val="auto"/>
          <w:highlight w:val="none"/>
        </w:rPr>
      </w:pPr>
      <w:r>
        <w:rPr>
          <w:rFonts w:hint="eastAsia" w:ascii="仿宋" w:eastAsia="仿宋" w:cs="仿宋_GB2312"/>
          <w:color w:val="auto"/>
          <w:kern w:val="0"/>
          <w:sz w:val="24"/>
          <w:szCs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ind w:left="573" w:leftChars="273"/>
        <w:rPr>
          <w:rFonts w:ascii="仿宋" w:hAnsi="仿宋" w:eastAsia="仿宋" w:cs="仿宋_GB2312"/>
          <w:color w:val="auto"/>
          <w:kern w:val="0"/>
          <w:sz w:val="24"/>
          <w:highlight w:val="none"/>
          <w:lang w:val="zh-CN"/>
        </w:rPr>
      </w:pPr>
    </w:p>
    <w:p>
      <w:pPr>
        <w:snapToGrid w:val="0"/>
        <w:spacing w:line="360" w:lineRule="auto"/>
        <w:ind w:left="573" w:leftChars="273"/>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u w:val="single"/>
        </w:rPr>
        <w:t>（分包供应商名称）提供的货物全部由小微企业制造，</w:t>
      </w:r>
      <w:r>
        <w:rPr>
          <w:rFonts w:hint="eastAsia" w:ascii="仿宋" w:hAnsi="仿宋" w:eastAsia="仿宋" w:cs="仿宋_GB2312"/>
          <w:color w:val="auto"/>
          <w:kern w:val="0"/>
          <w:sz w:val="24"/>
          <w:highlight w:val="none"/>
        </w:rPr>
        <w:t>其合同份额占到合同总金额</w:t>
      </w:r>
      <w:r>
        <w:rPr>
          <w:rFonts w:ascii="仿宋" w:hAnsi="仿宋" w:eastAsia="仿宋" w:cs="仿宋_GB2312"/>
          <w:color w:val="auto"/>
          <w:kern w:val="0"/>
          <w:sz w:val="24"/>
          <w:highlight w:val="none"/>
        </w:rPr>
        <w:t>%以上</w:t>
      </w:r>
      <w:r>
        <w:rPr>
          <w:rFonts w:hint="eastAsia" w:ascii="仿宋" w:hAnsi="仿宋" w:eastAsia="仿宋"/>
          <w:color w:val="auto"/>
          <w:highlight w:val="none"/>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的，对大中型企业的报价给予6</w:t>
      </w:r>
      <w:r>
        <w:rPr>
          <w:rFonts w:ascii="仿宋" w:hAnsi="仿宋" w:eastAsia="仿宋" w:cs="仿宋_GB2312"/>
          <w:b/>
          <w:color w:val="auto"/>
          <w:kern w:val="0"/>
          <w:sz w:val="24"/>
          <w:highlight w:val="none"/>
          <w:lang w:val="zh-CN"/>
        </w:rPr>
        <w:t>%的扣除</w:t>
      </w:r>
      <w:r>
        <w:rPr>
          <w:rFonts w:hint="eastAsia" w:ascii="仿宋" w:hAnsi="仿宋" w:eastAsia="仿宋" w:cs="仿宋_GB2312"/>
          <w:b/>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ind w:firstLine="5640" w:firstLineChars="23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jc w:val="center"/>
        <w:rPr>
          <w:rFonts w:ascii="仿宋" w:hAnsi="仿宋" w:eastAsia="仿宋"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rPr>
        <w:t>五、符合性审查资料</w:t>
      </w:r>
    </w:p>
    <w:p>
      <w:pPr>
        <w:jc w:val="center"/>
        <w:rPr>
          <w:rFonts w:ascii="仿宋" w:hAnsi="仿宋" w:eastAsia="仿宋"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rFonts w:ascii="仿宋" w:hAnsi="仿宋" w:eastAsia="仿宋"/>
                <w:color w:val="auto"/>
                <w:highlight w:val="none"/>
              </w:rPr>
            </w:pPr>
            <w:r>
              <w:rPr>
                <w:rFonts w:hint="eastAsia" w:ascii="仿宋" w:hAnsi="仿宋" w:eastAsia="仿宋" w:cs="仿宋_GB2312"/>
                <w:color w:val="auto"/>
                <w:sz w:val="24"/>
                <w:highlight w:val="none"/>
              </w:rPr>
              <w:t>第</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2</w:t>
            </w:r>
          </w:p>
        </w:tc>
        <w:tc>
          <w:tcPr>
            <w:tcW w:w="499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 w:hAnsi="仿宋" w:eastAsia="仿宋" w:cs="仿宋_GB2312"/>
                <w:color w:val="auto"/>
                <w:sz w:val="24"/>
                <w:highlight w:val="none"/>
              </w:rPr>
              <w:t>节能产品认证证书（本项目</w:t>
            </w:r>
            <w:r>
              <w:rPr>
                <w:rFonts w:hint="eastAsia" w:ascii="仿宋" w:hAnsi="仿宋" w:eastAsia="仿宋"/>
                <w:color w:val="auto"/>
                <w:sz w:val="24"/>
                <w:highlight w:val="none"/>
              </w:rPr>
              <w:t>拟采购的产品不属于政府强制采购的节能产品品目清单范围的</w:t>
            </w:r>
            <w:r>
              <w:rPr>
                <w:rFonts w:hint="eastAsia" w:ascii="仿宋" w:hAnsi="仿宋" w:eastAsia="仿宋" w:cs="仿宋_GB2312"/>
                <w:color w:val="auto"/>
                <w:sz w:val="24"/>
                <w:highlight w:val="none"/>
              </w:rPr>
              <w:t>，无需提供）</w:t>
            </w:r>
          </w:p>
        </w:tc>
        <w:tc>
          <w:tcPr>
            <w:tcW w:w="1418" w:type="dxa"/>
          </w:tcPr>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3"/>
              <w:rPr>
                <w:rFonts w:ascii="仿宋" w:eastAsia="仿宋"/>
                <w:color w:val="auto"/>
                <w:highlight w:val="none"/>
                <w:lang w:val="en-US"/>
              </w:rPr>
            </w:pPr>
            <w:r>
              <w:rPr>
                <w:rFonts w:hint="eastAsia" w:ascii="仿宋" w:eastAsia="仿宋" w:cs="仿宋_GB2312"/>
                <w:b w:val="0"/>
                <w:bCs w:val="0"/>
                <w:color w:val="auto"/>
                <w:sz w:val="24"/>
                <w:szCs w:val="24"/>
                <w:highlight w:val="none"/>
                <w:lang w:val="en-US"/>
              </w:rPr>
              <w:t>第</w:t>
            </w:r>
            <w:r>
              <w:rPr>
                <w:rFonts w:hint="eastAsia" w:ascii="仿宋" w:eastAsia="仿宋" w:cs="仿宋_GB2312"/>
                <w:b w:val="0"/>
                <w:bCs w:val="0"/>
                <w:color w:val="auto"/>
                <w:sz w:val="24"/>
                <w:szCs w:val="24"/>
                <w:highlight w:val="none"/>
                <w:u w:val="single"/>
                <w:lang w:val="en-US" w:eastAsia="zh-CN"/>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rFonts w:ascii="仿宋" w:hAnsi="仿宋" w:eastAsia="仿宋"/>
                <w:color w:val="auto"/>
                <w:highlight w:val="none"/>
              </w:rPr>
            </w:pPr>
            <w:r>
              <w:rPr>
                <w:rFonts w:hint="eastAsia" w:ascii="仿宋" w:hAnsi="仿宋" w:eastAsia="仿宋" w:cs="仿宋_GB2312"/>
                <w:color w:val="auto"/>
                <w:sz w:val="24"/>
                <w:highlight w:val="none"/>
              </w:rPr>
              <w:t>见投标文件第</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 w:hAnsi="仿宋" w:eastAsia="仿宋" w:cs="仿宋_GB2312"/>
                <w:color w:val="auto"/>
                <w:kern w:val="0"/>
                <w:sz w:val="24"/>
                <w:highlight w:val="none"/>
              </w:rPr>
              <w:t>招标文件其它实质性要求相应的材料（“▲”系指实质性要求条款，招标文件无其它实质性要求的，无需提供）</w:t>
            </w:r>
          </w:p>
        </w:tc>
        <w:tc>
          <w:tcPr>
            <w:tcW w:w="1418" w:type="dxa"/>
          </w:tcPr>
          <w:p>
            <w:pPr>
              <w:rPr>
                <w:rFonts w:ascii="仿宋" w:hAnsi="仿宋" w:eastAsia="仿宋"/>
                <w:color w:val="auto"/>
                <w:highlight w:val="none"/>
              </w:rPr>
            </w:pPr>
            <w:r>
              <w:rPr>
                <w:rFonts w:hint="eastAsia" w:ascii="仿宋" w:hAnsi="仿宋" w:eastAsia="仿宋" w:cs="仿宋_GB2312"/>
                <w:color w:val="auto"/>
                <w:sz w:val="24"/>
                <w:highlight w:val="none"/>
              </w:rPr>
              <w:t>见投标文件第</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 w:hAnsi="仿宋" w:eastAsia="仿宋" w:cs="仿宋_GB2312"/>
          <w:b/>
          <w:color w:val="auto"/>
          <w:sz w:val="24"/>
          <w:highlight w:val="none"/>
        </w:rPr>
        <w:t>（按招标文件第四部分评标办法前附表中“投标文件中评标标准相应的商务技术资料目录”提供资料）</w:t>
      </w:r>
    </w:p>
    <w:p>
      <w:pPr>
        <w:spacing w:line="360" w:lineRule="auto"/>
        <w:rPr>
          <w:rFonts w:hint="eastAsia" w:ascii="仿宋" w:hAnsi="仿宋" w:eastAsia="仿宋"/>
          <w:b/>
          <w:bCs/>
          <w:color w:val="auto"/>
          <w:sz w:val="24"/>
          <w:highlight w:val="none"/>
        </w:rPr>
      </w:pPr>
    </w:p>
    <w:p>
      <w:pPr>
        <w:spacing w:line="36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（由投标人根据采购需求自行编制）</w:t>
      </w:r>
    </w:p>
    <w:p>
      <w:pPr>
        <w:pStyle w:val="26"/>
        <w:rPr>
          <w:rFonts w:hint="default" w:eastAsia="仿宋"/>
          <w:color w:val="auto"/>
          <w:highlight w:val="none"/>
          <w:lang w:val="en-US" w:eastAsia="zh-CN"/>
        </w:rPr>
      </w:pPr>
      <w:r>
        <w:rPr>
          <w:rFonts w:hint="eastAsia" w:ascii="仿宋" w:hAnsi="仿宋" w:eastAsia="仿宋"/>
          <w:b/>
          <w:bCs/>
          <w:color w:val="auto"/>
          <w:sz w:val="24"/>
          <w:highlight w:val="none"/>
          <w:lang w:val="en-US" w:eastAsia="zh-CN"/>
        </w:rPr>
        <w:t>标项一：温室气体手工监测及移动监测服务项目</w:t>
      </w:r>
    </w:p>
    <w:p>
      <w:pPr>
        <w:pStyle w:val="966"/>
        <w:numPr>
          <w:ilvl w:val="0"/>
          <w:numId w:val="2"/>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项目总体理解</w:t>
      </w:r>
      <w:r>
        <w:rPr>
          <w:rStyle w:val="965"/>
          <w:rFonts w:ascii="仿宋" w:hAnsi="仿宋" w:eastAsia="仿宋"/>
          <w:color w:val="auto"/>
          <w:sz w:val="24"/>
          <w:highlight w:val="none"/>
        </w:rPr>
        <w:t>……………………………………………………………………页码</w:t>
      </w:r>
    </w:p>
    <w:p>
      <w:pPr>
        <w:pStyle w:val="966"/>
        <w:numPr>
          <w:ilvl w:val="0"/>
          <w:numId w:val="2"/>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lang w:val="en-US" w:eastAsia="zh-CN"/>
        </w:rPr>
        <w:t>项目</w:t>
      </w:r>
      <w:r>
        <w:rPr>
          <w:rStyle w:val="965"/>
          <w:rFonts w:hint="eastAsia" w:ascii="仿宋" w:hAnsi="仿宋" w:eastAsia="仿宋"/>
          <w:color w:val="auto"/>
          <w:sz w:val="24"/>
          <w:highlight w:val="none"/>
        </w:rPr>
        <w:t>服务方案</w:t>
      </w:r>
      <w:r>
        <w:rPr>
          <w:rStyle w:val="965"/>
          <w:rFonts w:ascii="仿宋" w:hAnsi="仿宋" w:eastAsia="仿宋"/>
          <w:color w:val="auto"/>
          <w:sz w:val="24"/>
          <w:highlight w:val="none"/>
        </w:rPr>
        <w:t>……………………………………………………………………页码</w:t>
      </w:r>
    </w:p>
    <w:p>
      <w:pPr>
        <w:pStyle w:val="966"/>
        <w:numPr>
          <w:ilvl w:val="0"/>
          <w:numId w:val="2"/>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项目组成员情况</w:t>
      </w:r>
      <w:r>
        <w:rPr>
          <w:rStyle w:val="965"/>
          <w:rFonts w:ascii="仿宋" w:hAnsi="仿宋" w:eastAsia="仿宋"/>
          <w:color w:val="auto"/>
          <w:sz w:val="24"/>
          <w:highlight w:val="none"/>
        </w:rPr>
        <w:t>…………………………………………………………………页码</w:t>
      </w:r>
    </w:p>
    <w:p>
      <w:pPr>
        <w:pStyle w:val="966"/>
        <w:numPr>
          <w:ilvl w:val="0"/>
          <w:numId w:val="2"/>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分析检测能力</w:t>
      </w:r>
      <w:r>
        <w:rPr>
          <w:rStyle w:val="965"/>
          <w:rFonts w:ascii="仿宋" w:hAnsi="仿宋" w:eastAsia="仿宋"/>
          <w:color w:val="auto"/>
          <w:sz w:val="24"/>
          <w:highlight w:val="none"/>
        </w:rPr>
        <w:t>……………………………………………………………………页码</w:t>
      </w:r>
    </w:p>
    <w:p>
      <w:pPr>
        <w:pStyle w:val="966"/>
        <w:numPr>
          <w:ilvl w:val="0"/>
          <w:numId w:val="2"/>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实验室仪器设备</w:t>
      </w:r>
      <w:r>
        <w:rPr>
          <w:rStyle w:val="965"/>
          <w:rFonts w:ascii="仿宋" w:hAnsi="仿宋" w:eastAsia="仿宋"/>
          <w:color w:val="auto"/>
          <w:sz w:val="24"/>
          <w:highlight w:val="none"/>
        </w:rPr>
        <w:t>…………………………………………………………………页码</w:t>
      </w:r>
    </w:p>
    <w:p>
      <w:pPr>
        <w:pStyle w:val="966"/>
        <w:numPr>
          <w:ilvl w:val="0"/>
          <w:numId w:val="2"/>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走航监测车辆及仪器情况</w:t>
      </w:r>
      <w:r>
        <w:rPr>
          <w:rStyle w:val="965"/>
          <w:rFonts w:ascii="仿宋" w:hAnsi="仿宋" w:eastAsia="仿宋"/>
          <w:color w:val="auto"/>
          <w:sz w:val="24"/>
          <w:highlight w:val="none"/>
        </w:rPr>
        <w:t>………………………………………………………页码</w:t>
      </w:r>
    </w:p>
    <w:p>
      <w:pPr>
        <w:pStyle w:val="966"/>
        <w:numPr>
          <w:ilvl w:val="0"/>
          <w:numId w:val="2"/>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无人机要求</w:t>
      </w:r>
      <w:r>
        <w:rPr>
          <w:rStyle w:val="965"/>
          <w:rFonts w:ascii="仿宋" w:hAnsi="仿宋" w:eastAsia="仿宋"/>
          <w:color w:val="auto"/>
          <w:sz w:val="24"/>
          <w:highlight w:val="none"/>
        </w:rPr>
        <w:t>………………………………………………………………………页码</w:t>
      </w:r>
    </w:p>
    <w:p>
      <w:pPr>
        <w:pStyle w:val="966"/>
        <w:numPr>
          <w:ilvl w:val="0"/>
          <w:numId w:val="2"/>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车辆配置情况</w:t>
      </w:r>
      <w:r>
        <w:rPr>
          <w:rStyle w:val="965"/>
          <w:rFonts w:ascii="仿宋" w:hAnsi="仿宋" w:eastAsia="仿宋"/>
          <w:color w:val="auto"/>
          <w:sz w:val="24"/>
          <w:highlight w:val="none"/>
        </w:rPr>
        <w:t>……………………………………………………………………页码</w:t>
      </w:r>
    </w:p>
    <w:p>
      <w:pPr>
        <w:pStyle w:val="966"/>
        <w:numPr>
          <w:ilvl w:val="0"/>
          <w:numId w:val="2"/>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合理化建议</w:t>
      </w:r>
      <w:r>
        <w:rPr>
          <w:rStyle w:val="965"/>
          <w:rFonts w:ascii="仿宋" w:hAnsi="仿宋" w:eastAsia="仿宋"/>
          <w:color w:val="auto"/>
          <w:sz w:val="24"/>
          <w:highlight w:val="none"/>
        </w:rPr>
        <w:t>………………………………………………………………………页码</w:t>
      </w:r>
    </w:p>
    <w:p>
      <w:pPr>
        <w:jc w:val="center"/>
        <w:rPr>
          <w:rFonts w:ascii="仿宋_GB2312" w:hAnsi="仿宋" w:eastAsia="仿宋_GB2312" w:cs="仿宋_GB2312"/>
          <w:b/>
          <w:color w:val="auto"/>
          <w:kern w:val="0"/>
          <w:sz w:val="32"/>
          <w:szCs w:val="32"/>
          <w:highlight w:val="none"/>
        </w:rPr>
      </w:pPr>
    </w:p>
    <w:p>
      <w:pPr>
        <w:pStyle w:val="26"/>
        <w:rPr>
          <w:rFonts w:hint="default" w:eastAsia="仿宋"/>
          <w:color w:val="auto"/>
          <w:highlight w:val="none"/>
          <w:lang w:val="en-US" w:eastAsia="zh-CN"/>
        </w:rPr>
      </w:pPr>
      <w:r>
        <w:rPr>
          <w:rFonts w:hint="eastAsia" w:ascii="仿宋" w:hAnsi="仿宋" w:eastAsia="仿宋"/>
          <w:b/>
          <w:bCs/>
          <w:color w:val="auto"/>
          <w:sz w:val="24"/>
          <w:highlight w:val="none"/>
          <w:lang w:val="en-US" w:eastAsia="zh-CN"/>
        </w:rPr>
        <w:t>标项二：杭州市温室气体同化反演及通量核算服务</w:t>
      </w:r>
    </w:p>
    <w:p>
      <w:pPr>
        <w:pStyle w:val="966"/>
        <w:numPr>
          <w:ilvl w:val="0"/>
          <w:numId w:val="3"/>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lang w:val="en-US" w:eastAsia="zh-CN"/>
        </w:rPr>
        <w:t>主要业绩证明</w:t>
      </w:r>
      <w:r>
        <w:rPr>
          <w:rStyle w:val="965"/>
          <w:rFonts w:ascii="仿宋" w:hAnsi="仿宋" w:eastAsia="仿宋"/>
          <w:color w:val="auto"/>
          <w:sz w:val="24"/>
          <w:highlight w:val="none"/>
        </w:rPr>
        <w:t>……………………………………………………………………页码</w:t>
      </w:r>
    </w:p>
    <w:p>
      <w:pPr>
        <w:pStyle w:val="966"/>
        <w:numPr>
          <w:ilvl w:val="0"/>
          <w:numId w:val="3"/>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技术指标条款响应情况</w:t>
      </w:r>
      <w:r>
        <w:rPr>
          <w:rStyle w:val="965"/>
          <w:rFonts w:ascii="仿宋" w:hAnsi="仿宋" w:eastAsia="仿宋"/>
          <w:color w:val="auto"/>
          <w:sz w:val="24"/>
          <w:highlight w:val="none"/>
        </w:rPr>
        <w:t>…………………………………………………………页码</w:t>
      </w:r>
    </w:p>
    <w:p>
      <w:pPr>
        <w:pStyle w:val="966"/>
        <w:numPr>
          <w:ilvl w:val="0"/>
          <w:numId w:val="3"/>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项目技术方案</w:t>
      </w:r>
      <w:r>
        <w:rPr>
          <w:rStyle w:val="965"/>
          <w:rFonts w:ascii="仿宋" w:hAnsi="仿宋" w:eastAsia="仿宋"/>
          <w:color w:val="auto"/>
          <w:sz w:val="24"/>
          <w:highlight w:val="none"/>
        </w:rPr>
        <w:t>……………………………………………………………………页码</w:t>
      </w:r>
    </w:p>
    <w:p>
      <w:pPr>
        <w:pStyle w:val="966"/>
        <w:numPr>
          <w:ilvl w:val="0"/>
          <w:numId w:val="3"/>
        </w:numPr>
        <w:snapToGrid w:val="0"/>
        <w:ind w:left="210" w:leftChars="0" w:firstLineChars="0"/>
        <w:jc w:val="left"/>
        <w:rPr>
          <w:rStyle w:val="965"/>
          <w:rFonts w:ascii="仿宋" w:hAnsi="仿宋" w:eastAsia="仿宋"/>
          <w:color w:val="auto"/>
          <w:sz w:val="24"/>
          <w:highlight w:val="none"/>
        </w:rPr>
      </w:pPr>
      <w:r>
        <w:rPr>
          <w:rFonts w:hint="eastAsia" w:ascii="仿宋" w:hAnsi="仿宋" w:eastAsia="仿宋" w:cs="仿宋"/>
          <w:bCs/>
          <w:color w:val="auto"/>
          <w:sz w:val="24"/>
          <w:highlight w:val="none"/>
        </w:rPr>
        <w:t>组织实施方案</w:t>
      </w:r>
      <w:r>
        <w:rPr>
          <w:rStyle w:val="965"/>
          <w:rFonts w:ascii="仿宋" w:hAnsi="仿宋" w:eastAsia="仿宋"/>
          <w:color w:val="auto"/>
          <w:sz w:val="24"/>
          <w:highlight w:val="none"/>
        </w:rPr>
        <w:t>……………………………………………………………………页码</w:t>
      </w:r>
    </w:p>
    <w:p>
      <w:pPr>
        <w:pStyle w:val="966"/>
        <w:numPr>
          <w:ilvl w:val="0"/>
          <w:numId w:val="3"/>
        </w:numPr>
        <w:snapToGrid w:val="0"/>
        <w:ind w:left="210" w:leftChars="0" w:firstLineChars="0"/>
        <w:jc w:val="left"/>
        <w:rPr>
          <w:rStyle w:val="965"/>
          <w:rFonts w:ascii="仿宋" w:hAnsi="仿宋" w:eastAsia="仿宋"/>
          <w:color w:val="auto"/>
          <w:sz w:val="24"/>
          <w:highlight w:val="none"/>
        </w:rPr>
      </w:pPr>
      <w:r>
        <w:rPr>
          <w:rFonts w:hint="eastAsia" w:ascii="仿宋" w:hAnsi="仿宋" w:eastAsia="仿宋" w:cs="仿宋"/>
          <w:bCs/>
          <w:color w:val="auto"/>
          <w:sz w:val="24"/>
          <w:highlight w:val="none"/>
        </w:rPr>
        <w:t>成果报告大纲及框架</w:t>
      </w:r>
      <w:r>
        <w:rPr>
          <w:rStyle w:val="965"/>
          <w:rFonts w:ascii="仿宋" w:hAnsi="仿宋" w:eastAsia="仿宋"/>
          <w:color w:val="auto"/>
          <w:sz w:val="24"/>
          <w:highlight w:val="none"/>
        </w:rPr>
        <w:t>……………………………………………………………页码</w:t>
      </w:r>
    </w:p>
    <w:p>
      <w:pPr>
        <w:pStyle w:val="966"/>
        <w:numPr>
          <w:ilvl w:val="0"/>
          <w:numId w:val="3"/>
        </w:numPr>
        <w:snapToGrid w:val="0"/>
        <w:ind w:left="210" w:leftChars="0" w:firstLineChars="0"/>
        <w:jc w:val="left"/>
        <w:rPr>
          <w:rStyle w:val="965"/>
          <w:rFonts w:ascii="仿宋" w:hAnsi="仿宋" w:eastAsia="仿宋"/>
          <w:color w:val="auto"/>
          <w:sz w:val="24"/>
          <w:highlight w:val="none"/>
        </w:rPr>
      </w:pPr>
      <w:r>
        <w:rPr>
          <w:rFonts w:hint="eastAsia" w:ascii="仿宋" w:hAnsi="仿宋" w:eastAsia="仿宋" w:cs="仿宋"/>
          <w:bCs/>
          <w:color w:val="auto"/>
          <w:sz w:val="24"/>
          <w:highlight w:val="none"/>
        </w:rPr>
        <w:t>项目团队</w:t>
      </w:r>
      <w:r>
        <w:rPr>
          <w:rStyle w:val="965"/>
          <w:rFonts w:ascii="仿宋" w:hAnsi="仿宋" w:eastAsia="仿宋"/>
          <w:color w:val="auto"/>
          <w:sz w:val="24"/>
          <w:highlight w:val="none"/>
        </w:rPr>
        <w:t>…………………………………………………………………………页码</w:t>
      </w:r>
    </w:p>
    <w:p>
      <w:pPr>
        <w:pStyle w:val="966"/>
        <w:numPr>
          <w:ilvl w:val="0"/>
          <w:numId w:val="3"/>
        </w:numPr>
        <w:snapToGrid w:val="0"/>
        <w:ind w:left="210" w:leftChars="0" w:firstLineChars="0"/>
        <w:jc w:val="left"/>
        <w:rPr>
          <w:rStyle w:val="965"/>
          <w:rFonts w:ascii="仿宋" w:hAnsi="仿宋" w:eastAsia="仿宋"/>
          <w:color w:val="auto"/>
          <w:sz w:val="24"/>
          <w:highlight w:val="none"/>
        </w:rPr>
      </w:pPr>
      <w:r>
        <w:rPr>
          <w:rFonts w:hint="eastAsia" w:ascii="仿宋" w:hAnsi="仿宋" w:eastAsia="仿宋" w:cs="仿宋"/>
          <w:bCs/>
          <w:color w:val="auto"/>
          <w:kern w:val="0"/>
          <w:sz w:val="24"/>
          <w:highlight w:val="none"/>
        </w:rPr>
        <w:t>售后服务</w:t>
      </w:r>
      <w:r>
        <w:rPr>
          <w:rFonts w:hint="eastAsia" w:ascii="仿宋" w:hAnsi="仿宋" w:eastAsia="仿宋" w:cs="仿宋"/>
          <w:bCs/>
          <w:color w:val="auto"/>
          <w:kern w:val="0"/>
          <w:sz w:val="24"/>
          <w:highlight w:val="none"/>
          <w:lang w:val="en-US" w:eastAsia="zh-CN"/>
        </w:rPr>
        <w:t>方案</w:t>
      </w:r>
      <w:r>
        <w:rPr>
          <w:rStyle w:val="965"/>
          <w:rFonts w:ascii="仿宋" w:hAnsi="仿宋" w:eastAsia="仿宋"/>
          <w:color w:val="auto"/>
          <w:sz w:val="24"/>
          <w:highlight w:val="none"/>
        </w:rPr>
        <w:t>……………………………………………………………………页码</w:t>
      </w:r>
    </w:p>
    <w:p>
      <w:pPr>
        <w:pStyle w:val="966"/>
        <w:numPr>
          <w:ilvl w:val="0"/>
          <w:numId w:val="3"/>
        </w:numPr>
        <w:snapToGrid w:val="0"/>
        <w:ind w:left="210" w:leftChars="0" w:firstLineChars="0"/>
        <w:jc w:val="left"/>
        <w:rPr>
          <w:rStyle w:val="965"/>
          <w:rFonts w:ascii="仿宋" w:hAnsi="仿宋" w:eastAsia="仿宋"/>
          <w:color w:val="auto"/>
          <w:sz w:val="24"/>
          <w:highlight w:val="none"/>
        </w:rPr>
      </w:pPr>
      <w:r>
        <w:rPr>
          <w:rStyle w:val="965"/>
          <w:rFonts w:hint="eastAsia" w:ascii="仿宋" w:hAnsi="仿宋" w:eastAsia="仿宋"/>
          <w:color w:val="auto"/>
          <w:sz w:val="24"/>
          <w:highlight w:val="none"/>
        </w:rPr>
        <w:t>培训</w:t>
      </w:r>
      <w:r>
        <w:rPr>
          <w:rStyle w:val="965"/>
          <w:rFonts w:hint="eastAsia" w:ascii="仿宋" w:hAnsi="仿宋" w:eastAsia="仿宋"/>
          <w:color w:val="auto"/>
          <w:sz w:val="24"/>
          <w:highlight w:val="none"/>
          <w:lang w:val="en-US" w:eastAsia="zh-CN"/>
        </w:rPr>
        <w:t>方案</w:t>
      </w:r>
      <w:r>
        <w:rPr>
          <w:rStyle w:val="965"/>
          <w:rFonts w:ascii="仿宋" w:hAnsi="仿宋" w:eastAsia="仿宋"/>
          <w:color w:val="auto"/>
          <w:sz w:val="24"/>
          <w:highlight w:val="none"/>
        </w:rPr>
        <w:t>…………………………………………………………………………页码</w:t>
      </w:r>
    </w:p>
    <w:p>
      <w:pPr>
        <w:pStyle w:val="966"/>
        <w:numPr>
          <w:ilvl w:val="0"/>
          <w:numId w:val="3"/>
        </w:numPr>
        <w:snapToGrid w:val="0"/>
        <w:ind w:left="210" w:leftChars="0" w:firstLineChars="0"/>
        <w:jc w:val="left"/>
        <w:rPr>
          <w:rStyle w:val="965"/>
          <w:rFonts w:ascii="仿宋" w:hAnsi="仿宋" w:eastAsia="仿宋"/>
          <w:color w:val="auto"/>
          <w:sz w:val="24"/>
          <w:highlight w:val="none"/>
        </w:rPr>
      </w:pPr>
      <w:r>
        <w:rPr>
          <w:rFonts w:hint="eastAsia" w:ascii="仿宋" w:hAnsi="仿宋" w:eastAsia="仿宋" w:cs="仿宋"/>
          <w:bCs/>
          <w:color w:val="auto"/>
          <w:kern w:val="0"/>
          <w:sz w:val="24"/>
          <w:highlight w:val="none"/>
        </w:rPr>
        <w:t>合理化建议</w:t>
      </w:r>
      <w:r>
        <w:rPr>
          <w:rStyle w:val="965"/>
          <w:rFonts w:ascii="仿宋" w:hAnsi="仿宋" w:eastAsia="仿宋"/>
          <w:color w:val="auto"/>
          <w:sz w:val="24"/>
          <w:highlight w:val="none"/>
        </w:rPr>
        <w:t>………………………………………………………………………页码</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投标人保证：除商务技术偏离表列出的偏离外，投标人响应招标文件的全部要求。</w:t>
      </w: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ind w:firstLine="1911" w:firstLineChars="595"/>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八、</w:t>
      </w:r>
      <w:r>
        <w:rPr>
          <w:rFonts w:hint="eastAsia" w:ascii="仿宋" w:hAnsi="仿宋" w:eastAsia="仿宋" w:cs="仿宋_GB2312"/>
          <w:b/>
          <w:color w:val="auto"/>
          <w:kern w:val="0"/>
          <w:sz w:val="32"/>
          <w:szCs w:val="32"/>
          <w:highlight w:val="none"/>
          <w:lang w:val="zh-CN"/>
        </w:rPr>
        <w:t>政府采购供应商廉洁自律承诺书</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b/>
          <w:color w:val="auto"/>
          <w:sz w:val="24"/>
          <w:highlight w:val="none"/>
          <w:lang w:eastAsia="zh-CN"/>
        </w:rPr>
        <w:t>浙江省杭州生态环境监测中心</w:t>
      </w:r>
      <w:r>
        <w:rPr>
          <w:rFonts w:hint="eastAsia" w:ascii="仿宋" w:hAnsi="仿宋" w:eastAsia="仿宋" w:cs="仿宋_GB2312"/>
          <w:color w:val="auto"/>
          <w:sz w:val="24"/>
          <w:highlight w:val="none"/>
        </w:rPr>
        <w:t>、</w:t>
      </w:r>
      <w:r>
        <w:rPr>
          <w:rFonts w:hint="eastAsia" w:ascii="仿宋" w:hAnsi="仿宋" w:eastAsia="仿宋"/>
          <w:b/>
          <w:color w:val="auto"/>
          <w:sz w:val="24"/>
          <w:highlight w:val="none"/>
        </w:rPr>
        <w:t>杭州意信招标代理有限公司</w:t>
      </w:r>
      <w:r>
        <w:rPr>
          <w:rFonts w:hint="eastAsia" w:ascii="仿宋" w:hAnsi="仿宋" w:eastAsia="仿宋"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招标投标</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pPr>
        <w:spacing w:line="360" w:lineRule="auto"/>
        <w:ind w:left="4620" w:leftChars="2200"/>
        <w:rPr>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2）中小企业声明函……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代理服务费支付承诺书………………………………………………………（页码）</w:t>
      </w:r>
    </w:p>
    <w:p>
      <w:pPr>
        <w:pStyle w:val="3"/>
        <w:rPr>
          <w:color w:val="auto"/>
          <w:highlight w:val="none"/>
          <w:lang w:val="en-US"/>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b/>
          <w:color w:val="auto"/>
          <w:sz w:val="24"/>
          <w:highlight w:val="none"/>
          <w:lang w:eastAsia="zh-CN"/>
        </w:rPr>
        <w:t>浙江省杭州生态环境监测中心</w:t>
      </w:r>
      <w:r>
        <w:rPr>
          <w:rFonts w:hint="eastAsia" w:ascii="仿宋" w:hAnsi="仿宋" w:eastAsia="仿宋" w:cs="仿宋_GB2312"/>
          <w:color w:val="auto"/>
          <w:sz w:val="24"/>
          <w:highlight w:val="none"/>
        </w:rPr>
        <w:t>、</w:t>
      </w:r>
      <w:r>
        <w:rPr>
          <w:rFonts w:hint="eastAsia" w:ascii="仿宋" w:hAnsi="仿宋" w:eastAsia="仿宋"/>
          <w:b/>
          <w:color w:val="auto"/>
          <w:sz w:val="24"/>
          <w:highlight w:val="none"/>
        </w:rPr>
        <w:t xml:space="preserve">杭州意信招标代理有限公司 </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（项目名称：</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r>
        <w:rPr>
          <w:rFonts w:ascii="仿宋" w:hAnsi="仿宋" w:eastAsia="仿宋" w:cs="仿宋_GB2312"/>
          <w:b/>
          <w:color w:val="auto"/>
          <w:kern w:val="0"/>
          <w:sz w:val="24"/>
          <w:highlight w:val="none"/>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013"/>
        <w:gridCol w:w="2948"/>
        <w:gridCol w:w="1134"/>
        <w:gridCol w:w="1418"/>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17"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2013" w:type="dxa"/>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品牌（如果有）</w:t>
            </w:r>
          </w:p>
        </w:tc>
        <w:tc>
          <w:tcPr>
            <w:tcW w:w="2948"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具体服务</w:t>
            </w:r>
          </w:p>
        </w:tc>
        <w:tc>
          <w:tcPr>
            <w:tcW w:w="11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418"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3119" w:type="dxa"/>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服务要求（年限）</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w:t>
            </w: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w:t>
            </w: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ascii="仿宋" w:hAnsi="仿宋" w:eastAsia="仿宋" w:cs="仿宋_GB2312"/>
                <w:color w:val="auto"/>
                <w:sz w:val="24"/>
                <w:highlight w:val="none"/>
              </w:rPr>
            </w:pP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ascii="仿宋" w:hAnsi="仿宋" w:eastAsia="仿宋" w:cs="仿宋_GB2312"/>
                <w:color w:val="auto"/>
                <w:sz w:val="24"/>
                <w:highlight w:val="none"/>
              </w:rPr>
            </w:pP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ascii="仿宋" w:hAnsi="仿宋" w:eastAsia="仿宋" w:cs="仿宋_GB2312"/>
                <w:color w:val="auto"/>
                <w:sz w:val="24"/>
                <w:highlight w:val="none"/>
              </w:rPr>
            </w:pP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7655" w:type="dxa"/>
            <w:gridSpan w:val="4"/>
            <w:vAlign w:val="center"/>
          </w:tcPr>
          <w:p>
            <w:pPr>
              <w:spacing w:line="360" w:lineRule="auto"/>
              <w:jc w:val="center"/>
              <w:rPr>
                <w:rFonts w:ascii="仿宋" w:hAnsi="仿宋" w:eastAsia="仿宋"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7655" w:type="dxa"/>
            <w:gridSpan w:val="4"/>
            <w:vAlign w:val="center"/>
          </w:tcPr>
          <w:p>
            <w:pPr>
              <w:spacing w:line="360" w:lineRule="auto"/>
              <w:jc w:val="center"/>
              <w:rPr>
                <w:rFonts w:ascii="仿宋" w:hAnsi="仿宋" w:eastAsia="仿宋" w:cs="仿宋_GB2312"/>
                <w:color w:val="auto"/>
                <w:sz w:val="24"/>
                <w:highlight w:val="none"/>
                <w:u w:val="single"/>
              </w:rPr>
            </w:pPr>
          </w:p>
        </w:tc>
      </w:tr>
    </w:tbl>
    <w:p>
      <w:pPr>
        <w:snapToGrid w:val="0"/>
        <w:spacing w:line="360" w:lineRule="auto"/>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pacing w:line="360" w:lineRule="auto"/>
        <w:ind w:left="-2" w:leftChars="-1"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1、投标人需按本表格式填写，不得自行更改。</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不得出现“</w:t>
      </w:r>
      <w:r>
        <w:rPr>
          <w:rFonts w:ascii="仿宋" w:hAnsi="仿宋" w:eastAsia="仿宋" w:cs="仿宋_GB2312"/>
          <w:b/>
          <w:color w:val="auto"/>
          <w:kern w:val="0"/>
          <w:sz w:val="24"/>
          <w:highlight w:val="none"/>
          <w:lang w:val="zh-CN"/>
        </w:rPr>
        <w:t>0元”“免费赠送”等形式的无偿报价</w:t>
      </w:r>
      <w:r>
        <w:rPr>
          <w:rFonts w:hint="eastAsia" w:ascii="仿宋" w:hAnsi="仿宋" w:eastAsia="仿宋" w:cs="仿宋_GB2312"/>
          <w:b/>
          <w:color w:val="auto"/>
          <w:kern w:val="0"/>
          <w:sz w:val="24"/>
          <w:highlight w:val="none"/>
          <w:lang w:val="zh-CN"/>
        </w:rPr>
        <w:t>，</w:t>
      </w:r>
      <w:r>
        <w:rPr>
          <w:rFonts w:hint="eastAsia" w:ascii="仿宋" w:hAnsi="仿宋" w:eastAsia="仿宋" w:cs="仿宋_GB2312"/>
          <w:b/>
          <w:color w:val="auto"/>
          <w:kern w:val="0"/>
          <w:sz w:val="24"/>
          <w:highlight w:val="none"/>
        </w:rPr>
        <w:t>否则视为</w:t>
      </w:r>
      <w:r>
        <w:rPr>
          <w:rFonts w:hint="eastAsia" w:ascii="仿宋" w:hAnsi="仿宋" w:eastAsia="仿宋"/>
          <w:b/>
          <w:color w:val="auto"/>
          <w:sz w:val="24"/>
          <w:highlight w:val="none"/>
        </w:rPr>
        <w:t>投标文件含有采购人不能接受的附加条件的，投标无效</w:t>
      </w:r>
      <w:r>
        <w:rPr>
          <w:rFonts w:hint="eastAsia" w:ascii="仿宋" w:hAnsi="仿宋" w:eastAsia="仿宋" w:cs="仿宋_GB2312"/>
          <w:b/>
          <w:color w:val="auto"/>
          <w:kern w:val="0"/>
          <w:sz w:val="24"/>
          <w:highlight w:val="none"/>
          <w:lang w:val="zh-CN"/>
        </w:rPr>
        <w:t>。</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w:t>
      </w:r>
      <w:r>
        <w:rPr>
          <w:rFonts w:ascii="仿宋" w:hAnsi="仿宋" w:eastAsia="仿宋" w:cs="仿宋_GB2312"/>
          <w:b/>
          <w:color w:val="auto"/>
          <w:kern w:val="0"/>
          <w:sz w:val="24"/>
          <w:highlight w:val="none"/>
          <w:lang w:val="zh-CN"/>
        </w:rPr>
        <w:t>以上表格要求细分项目及报价</w:t>
      </w:r>
      <w:r>
        <w:rPr>
          <w:rFonts w:ascii="仿宋" w:hAnsi="仿宋" w:eastAsia="仿宋" w:cs="仿宋_GB2312"/>
          <w:color w:val="auto"/>
          <w:kern w:val="0"/>
          <w:sz w:val="24"/>
          <w:highlight w:val="none"/>
          <w:lang w:val="zh-CN"/>
        </w:rPr>
        <w:t>，在“规格型号（或具体服务）”一栏中，货物类项目填写规格型号，服务类项目填写具体服务。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4、特别提示：采购机构将对项目名称和项目编号，中标供应商名称、地址和中标金额，主要中标标的</w:t>
      </w:r>
      <w:r>
        <w:rPr>
          <w:rFonts w:hint="eastAsia" w:ascii="仿宋" w:hAnsi="仿宋" w:eastAsia="仿宋"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szCs w:val="22"/>
          <w:highlight w:val="none"/>
          <w:lang w:val="zh-CN"/>
        </w:rPr>
        <w:t>5、</w:t>
      </w:r>
      <w:r>
        <w:rPr>
          <w:rFonts w:hint="eastAsia" w:ascii="仿宋" w:hAnsi="仿宋" w:eastAsia="仿宋" w:cs="仿宋_GB2312"/>
          <w:color w:val="auto"/>
          <w:kern w:val="0"/>
          <w:sz w:val="24"/>
          <w:highlight w:val="none"/>
          <w:lang w:val="zh-CN"/>
        </w:rPr>
        <w:t>符合招标文件中列明的可享受中小企业扶持政策的投标人，请填写中小企业声明函。注：投标人</w:t>
      </w:r>
      <w:r>
        <w:rPr>
          <w:rFonts w:ascii="仿宋" w:hAnsi="仿宋" w:eastAsia="仿宋" w:cs="仿宋_GB2312"/>
          <w:color w:val="auto"/>
          <w:kern w:val="0"/>
          <w:sz w:val="24"/>
          <w:highlight w:val="none"/>
          <w:lang w:val="zh-CN"/>
        </w:rPr>
        <w:t>提供</w:t>
      </w:r>
      <w:r>
        <w:rPr>
          <w:rFonts w:hint="eastAsia" w:ascii="仿宋" w:hAnsi="仿宋" w:eastAsia="仿宋" w:cs="仿宋_GB2312"/>
          <w:color w:val="auto"/>
          <w:kern w:val="0"/>
          <w:sz w:val="24"/>
          <w:highlight w:val="none"/>
          <w:lang w:val="zh-CN"/>
        </w:rPr>
        <w:t>的中小企业</w:t>
      </w:r>
      <w:r>
        <w:rPr>
          <w:rFonts w:ascii="仿宋" w:hAnsi="仿宋" w:eastAsia="仿宋" w:cs="仿宋_GB2312"/>
          <w:color w:val="auto"/>
          <w:kern w:val="0"/>
          <w:sz w:val="24"/>
          <w:highlight w:val="none"/>
          <w:lang w:val="zh-CN"/>
        </w:rPr>
        <w:t>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olor w:val="auto"/>
          <w:sz w:val="32"/>
          <w:szCs w:val="32"/>
          <w:highlight w:val="none"/>
        </w:rPr>
      </w:pPr>
      <w:r>
        <w:rPr>
          <w:rFonts w:hint="eastAsia" w:ascii="仿宋" w:hAnsi="仿宋" w:eastAsia="仿宋" w:cs="仿宋_GB2312"/>
          <w:color w:val="auto"/>
          <w:kern w:val="2"/>
          <w:sz w:val="32"/>
          <w:szCs w:val="32"/>
          <w:highlight w:val="none"/>
        </w:rPr>
        <w:t>二、</w:t>
      </w:r>
      <w:r>
        <w:rPr>
          <w:rFonts w:hint="eastAsia" w:ascii="仿宋" w:hAnsi="仿宋" w:eastAsia="仿宋"/>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 w:hAnsi="仿宋" w:eastAsia="仿宋"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pPr>
        <w:pStyle w:val="3"/>
        <w:rPr>
          <w:color w:val="auto"/>
          <w:highlight w:val="none"/>
        </w:rPr>
      </w:pPr>
      <w:r>
        <w:rPr>
          <w:color w:val="auto"/>
          <w:highlight w:val="none"/>
        </w:rPr>
        <w:br w:type="page"/>
      </w:r>
    </w:p>
    <w:p>
      <w:pPr>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三、代理服务费支付承诺书</w:t>
      </w:r>
    </w:p>
    <w:p>
      <w:pPr>
        <w:snapToGrid w:val="0"/>
        <w:spacing w:before="50" w:after="50"/>
        <w:rPr>
          <w:rFonts w:ascii="宋体" w:hAnsi="宋体"/>
          <w:color w:val="auto"/>
          <w:spacing w:val="20"/>
          <w:sz w:val="24"/>
          <w:highlight w:val="none"/>
          <w:u w:val="single"/>
        </w:rPr>
      </w:pPr>
    </w:p>
    <w:p>
      <w:pPr>
        <w:spacing w:line="360" w:lineRule="auto"/>
        <w:contextualSpacing/>
        <w:rPr>
          <w:rFonts w:ascii="仿宋" w:hAnsi="仿宋" w:eastAsia="仿宋"/>
          <w:color w:val="auto"/>
          <w:spacing w:val="20"/>
          <w:sz w:val="24"/>
          <w:highlight w:val="none"/>
        </w:rPr>
      </w:pPr>
      <w:r>
        <w:rPr>
          <w:rFonts w:hint="eastAsia" w:ascii="仿宋" w:hAnsi="仿宋" w:eastAsia="仿宋"/>
          <w:color w:val="auto"/>
          <w:spacing w:val="20"/>
          <w:sz w:val="24"/>
          <w:highlight w:val="none"/>
        </w:rPr>
        <w:t>致：</w:t>
      </w:r>
      <w:r>
        <w:rPr>
          <w:rFonts w:ascii="仿宋" w:hAnsi="仿宋" w:eastAsia="仿宋"/>
          <w:color w:val="auto"/>
          <w:spacing w:val="20"/>
          <w:sz w:val="24"/>
          <w:highlight w:val="none"/>
        </w:rPr>
        <w:t>杭州意信招标代理有限公司</w:t>
      </w:r>
    </w:p>
    <w:p>
      <w:pPr>
        <w:spacing w:line="360" w:lineRule="auto"/>
        <w:contextualSpacing/>
        <w:rPr>
          <w:rFonts w:ascii="仿宋" w:hAnsi="仿宋" w:eastAsia="仿宋"/>
          <w:color w:val="auto"/>
          <w:spacing w:val="20"/>
          <w:sz w:val="24"/>
          <w:highlight w:val="none"/>
        </w:rPr>
      </w:pPr>
    </w:p>
    <w:p>
      <w:pPr>
        <w:spacing w:line="360" w:lineRule="auto"/>
        <w:ind w:firstLine="630"/>
        <w:contextualSpacing/>
        <w:rPr>
          <w:rFonts w:ascii="仿宋" w:hAnsi="仿宋" w:eastAsia="仿宋"/>
          <w:color w:val="auto"/>
          <w:spacing w:val="20"/>
          <w:sz w:val="24"/>
          <w:highlight w:val="none"/>
        </w:rPr>
      </w:pPr>
      <w:r>
        <w:rPr>
          <w:rFonts w:hint="eastAsia" w:ascii="仿宋" w:hAnsi="仿宋" w:eastAsia="仿宋"/>
          <w:color w:val="auto"/>
          <w:spacing w:val="20"/>
          <w:sz w:val="24"/>
          <w:highlight w:val="none"/>
        </w:rPr>
        <w:t>我公司已认真阅读了招标文件（</w:t>
      </w:r>
      <w:r>
        <w:rPr>
          <w:rFonts w:ascii="仿宋" w:hAnsi="仿宋" w:eastAsia="仿宋"/>
          <w:color w:val="auto"/>
          <w:spacing w:val="20"/>
          <w:sz w:val="24"/>
          <w:highlight w:val="none"/>
        </w:rPr>
        <w:t>招标编号</w:t>
      </w:r>
      <w:r>
        <w:rPr>
          <w:rFonts w:hint="eastAsia" w:ascii="仿宋" w:hAnsi="仿宋" w:eastAsia="仿宋"/>
          <w:color w:val="auto"/>
          <w:spacing w:val="20"/>
          <w:sz w:val="24"/>
          <w:highlight w:val="none"/>
        </w:rPr>
        <w:t>：          ）并在此承诺：</w:t>
      </w:r>
    </w:p>
    <w:p>
      <w:pPr>
        <w:spacing w:line="360" w:lineRule="auto"/>
        <w:ind w:firstLine="630"/>
        <w:contextualSpacing/>
        <w:rPr>
          <w:rFonts w:ascii="仿宋" w:hAnsi="仿宋" w:eastAsia="仿宋"/>
          <w:color w:val="auto"/>
          <w:sz w:val="24"/>
          <w:highlight w:val="none"/>
        </w:rPr>
      </w:pPr>
      <w:r>
        <w:rPr>
          <w:rFonts w:hint="eastAsia" w:ascii="仿宋" w:hAnsi="仿宋" w:eastAsia="仿宋"/>
          <w:color w:val="auto"/>
          <w:sz w:val="24"/>
          <w:highlight w:val="none"/>
        </w:rPr>
        <w:t>如中标，我公司将自中标公告发布之日起5个工作日内按招标文件规定的标准（详见</w:t>
      </w:r>
      <w:r>
        <w:rPr>
          <w:rFonts w:ascii="仿宋" w:hAnsi="仿宋" w:eastAsia="仿宋"/>
          <w:color w:val="auto"/>
          <w:sz w:val="24"/>
          <w:highlight w:val="none"/>
        </w:rPr>
        <w:t>第</w:t>
      </w:r>
      <w:r>
        <w:rPr>
          <w:rFonts w:hint="eastAsia" w:ascii="仿宋" w:hAnsi="仿宋" w:eastAsia="仿宋"/>
          <w:color w:val="auto"/>
          <w:sz w:val="24"/>
          <w:highlight w:val="none"/>
        </w:rPr>
        <w:t>二部分 投标人须知 前附表）一次性向采购代理机构支付代理服务费。</w:t>
      </w:r>
    </w:p>
    <w:p>
      <w:pPr>
        <w:spacing w:line="360" w:lineRule="auto"/>
        <w:ind w:firstLine="630"/>
        <w:contextualSpacing/>
        <w:rPr>
          <w:rFonts w:ascii="仿宋" w:hAnsi="仿宋" w:eastAsia="仿宋"/>
          <w:color w:val="auto"/>
          <w:sz w:val="24"/>
          <w:highlight w:val="none"/>
        </w:rPr>
      </w:pPr>
    </w:p>
    <w:p>
      <w:pPr>
        <w:spacing w:line="360" w:lineRule="auto"/>
        <w:ind w:firstLine="630"/>
        <w:contextualSpacing/>
        <w:rPr>
          <w:rFonts w:ascii="仿宋" w:hAnsi="仿宋" w:eastAsia="仿宋"/>
          <w:color w:val="auto"/>
          <w:sz w:val="24"/>
          <w:highlight w:val="none"/>
        </w:rPr>
      </w:pPr>
    </w:p>
    <w:p>
      <w:pPr>
        <w:spacing w:line="360" w:lineRule="auto"/>
        <w:ind w:firstLine="630"/>
        <w:contextualSpacing/>
        <w:rPr>
          <w:rFonts w:ascii="仿宋" w:hAnsi="仿宋" w:eastAsia="仿宋"/>
          <w:color w:val="auto"/>
          <w:sz w:val="24"/>
          <w:highlight w:val="none"/>
        </w:rPr>
      </w:pPr>
    </w:p>
    <w:p>
      <w:pPr>
        <w:spacing w:line="360" w:lineRule="auto"/>
        <w:ind w:firstLine="630"/>
        <w:contextualSpacing/>
        <w:rPr>
          <w:rFonts w:ascii="仿宋" w:hAnsi="仿宋" w:eastAsia="仿宋"/>
          <w:color w:val="auto"/>
          <w:sz w:val="24"/>
          <w:highlight w:val="none"/>
        </w:rPr>
      </w:pPr>
    </w:p>
    <w:p>
      <w:pPr>
        <w:spacing w:line="360" w:lineRule="auto"/>
        <w:contextualSpacing/>
        <w:rPr>
          <w:rFonts w:ascii="仿宋" w:hAnsi="仿宋" w:eastAsia="仿宋"/>
          <w:color w:val="auto"/>
          <w:sz w:val="24"/>
          <w:szCs w:val="20"/>
          <w:highlight w:val="none"/>
        </w:rPr>
      </w:pPr>
      <w:r>
        <w:rPr>
          <w:rFonts w:hint="eastAsia" w:ascii="仿宋" w:hAnsi="仿宋" w:eastAsia="仿宋"/>
          <w:color w:val="auto"/>
          <w:sz w:val="24"/>
          <w:highlight w:val="none"/>
        </w:rPr>
        <w:t>承诺方（投标人）名称</w:t>
      </w:r>
      <w:r>
        <w:rPr>
          <w:rFonts w:ascii="仿宋" w:hAnsi="仿宋" w:eastAsia="仿宋"/>
          <w:color w:val="auto"/>
          <w:spacing w:val="20"/>
          <w:sz w:val="24"/>
          <w:highlight w:val="none"/>
        </w:rPr>
        <w:t>（公章）</w:t>
      </w:r>
      <w:r>
        <w:rPr>
          <w:rFonts w:ascii="仿宋" w:hAnsi="仿宋" w:eastAsia="仿宋"/>
          <w:color w:val="auto"/>
          <w:sz w:val="24"/>
          <w:highlight w:val="none"/>
        </w:rPr>
        <w:t>:___________________</w:t>
      </w:r>
    </w:p>
    <w:p>
      <w:pPr>
        <w:spacing w:line="360" w:lineRule="auto"/>
        <w:contextualSpacing/>
        <w:rPr>
          <w:rFonts w:ascii="仿宋" w:hAnsi="仿宋" w:eastAsia="仿宋"/>
          <w:color w:val="auto"/>
          <w:sz w:val="24"/>
          <w:highlight w:val="none"/>
        </w:rPr>
      </w:pPr>
      <w:r>
        <w:rPr>
          <w:rFonts w:ascii="仿宋" w:hAnsi="仿宋" w:eastAsia="仿宋"/>
          <w:color w:val="auto"/>
          <w:spacing w:val="20"/>
          <w:sz w:val="24"/>
          <w:highlight w:val="none"/>
        </w:rPr>
        <w:t>法定代表人或</w:t>
      </w:r>
      <w:r>
        <w:rPr>
          <w:rFonts w:hint="eastAsia" w:ascii="仿宋" w:hAnsi="仿宋" w:eastAsia="仿宋"/>
          <w:color w:val="auto"/>
          <w:sz w:val="24"/>
          <w:highlight w:val="none"/>
        </w:rPr>
        <w:t>授权代表</w:t>
      </w:r>
      <w:r>
        <w:rPr>
          <w:rFonts w:ascii="仿宋" w:hAnsi="仿宋" w:eastAsia="仿宋"/>
          <w:color w:val="auto"/>
          <w:spacing w:val="20"/>
          <w:sz w:val="24"/>
          <w:highlight w:val="none"/>
        </w:rPr>
        <w:t>（签字）</w:t>
      </w:r>
      <w:r>
        <w:rPr>
          <w:rFonts w:ascii="仿宋" w:hAnsi="仿宋" w:eastAsia="仿宋"/>
          <w:color w:val="auto"/>
          <w:sz w:val="24"/>
          <w:highlight w:val="none"/>
        </w:rPr>
        <w:t>:___________</w:t>
      </w:r>
    </w:p>
    <w:p>
      <w:pPr>
        <w:spacing w:line="360" w:lineRule="auto"/>
        <w:contextualSpacing/>
        <w:rPr>
          <w:rFonts w:ascii="仿宋" w:hAnsi="仿宋" w:eastAsia="仿宋"/>
          <w:color w:val="auto"/>
          <w:sz w:val="24"/>
          <w:highlight w:val="none"/>
        </w:rPr>
      </w:pPr>
      <w:r>
        <w:rPr>
          <w:rFonts w:hint="eastAsia" w:ascii="仿宋" w:hAnsi="仿宋" w:eastAsia="仿宋"/>
          <w:color w:val="auto"/>
          <w:sz w:val="24"/>
          <w:highlight w:val="none"/>
        </w:rPr>
        <w:t>承诺方（投标人）地址</w:t>
      </w:r>
      <w:r>
        <w:rPr>
          <w:rFonts w:ascii="仿宋" w:hAnsi="仿宋" w:eastAsia="仿宋"/>
          <w:color w:val="auto"/>
          <w:sz w:val="24"/>
          <w:highlight w:val="none"/>
        </w:rPr>
        <w:t xml:space="preserve">:_______________ </w:t>
      </w:r>
    </w:p>
    <w:p>
      <w:pPr>
        <w:spacing w:line="360" w:lineRule="auto"/>
        <w:contextualSpacing/>
        <w:rPr>
          <w:rFonts w:ascii="仿宋" w:hAnsi="仿宋" w:eastAsia="仿宋"/>
          <w:color w:val="auto"/>
          <w:sz w:val="24"/>
          <w:highlight w:val="none"/>
          <w:u w:val="single"/>
        </w:rPr>
      </w:pPr>
      <w:r>
        <w:rPr>
          <w:rFonts w:hint="eastAsia" w:ascii="仿宋" w:hAnsi="仿宋" w:eastAsia="仿宋"/>
          <w:color w:val="auto"/>
          <w:sz w:val="24"/>
          <w:highlight w:val="none"/>
        </w:rPr>
        <w:t>联系电话：    联系传真：</w:t>
      </w:r>
    </w:p>
    <w:p>
      <w:pPr>
        <w:widowControl/>
        <w:spacing w:line="360" w:lineRule="auto"/>
        <w:contextualSpacing/>
        <w:jc w:val="left"/>
        <w:rPr>
          <w:rFonts w:ascii="仿宋" w:hAnsi="仿宋" w:eastAsia="仿宋" w:cs="仿宋_GB2312"/>
          <w:b/>
          <w:color w:val="auto"/>
          <w:sz w:val="24"/>
          <w:highlight w:val="none"/>
        </w:rPr>
      </w:pPr>
      <w:r>
        <w:rPr>
          <w:rFonts w:hint="eastAsia" w:ascii="仿宋" w:hAnsi="仿宋" w:eastAsia="仿宋"/>
          <w:color w:val="auto"/>
          <w:sz w:val="24"/>
          <w:highlight w:val="none"/>
        </w:rPr>
        <w:t>承诺日期</w:t>
      </w:r>
      <w:r>
        <w:rPr>
          <w:rFonts w:ascii="仿宋" w:hAnsi="仿宋" w:eastAsia="仿宋"/>
          <w:color w:val="auto"/>
          <w:sz w:val="24"/>
          <w:highlight w:val="none"/>
        </w:rPr>
        <w:t>:_____</w:t>
      </w:r>
      <w:r>
        <w:rPr>
          <w:rFonts w:hint="eastAsia" w:ascii="仿宋" w:hAnsi="仿宋" w:eastAsia="仿宋"/>
          <w:color w:val="auto"/>
          <w:sz w:val="24"/>
          <w:highlight w:val="none"/>
        </w:rPr>
        <w:t>年</w:t>
      </w:r>
      <w:r>
        <w:rPr>
          <w:rFonts w:ascii="仿宋" w:hAnsi="仿宋" w:eastAsia="仿宋"/>
          <w:color w:val="auto"/>
          <w:sz w:val="24"/>
          <w:highlight w:val="none"/>
        </w:rPr>
        <w:t>___</w:t>
      </w:r>
      <w:r>
        <w:rPr>
          <w:rFonts w:hint="eastAsia" w:ascii="仿宋" w:hAnsi="仿宋" w:eastAsia="仿宋"/>
          <w:color w:val="auto"/>
          <w:sz w:val="24"/>
          <w:highlight w:val="none"/>
        </w:rPr>
        <w:t>月</w:t>
      </w:r>
      <w:r>
        <w:rPr>
          <w:rFonts w:ascii="仿宋" w:hAnsi="仿宋" w:eastAsia="仿宋"/>
          <w:color w:val="auto"/>
          <w:sz w:val="24"/>
          <w:highlight w:val="none"/>
        </w:rPr>
        <w:t>___</w:t>
      </w:r>
      <w:r>
        <w:rPr>
          <w:rFonts w:hint="eastAsia" w:ascii="仿宋" w:hAnsi="仿宋" w:eastAsia="仿宋"/>
          <w:color w:val="auto"/>
          <w:sz w:val="24"/>
          <w:highlight w:val="none"/>
        </w:rPr>
        <w:t>日</w:t>
      </w:r>
    </w:p>
    <w:p>
      <w:pPr>
        <w:pStyle w:val="692"/>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widowControl/>
        <w:adjustRightInd/>
        <w:jc w:val="left"/>
        <w:rPr>
          <w:rFonts w:ascii="仿宋_GB2312" w:hAnsi="仿宋" w:eastAsia="仿宋_GB2312" w:cs="仿宋_GB2312"/>
          <w:b/>
          <w:color w:val="auto"/>
          <w:sz w:val="32"/>
          <w:szCs w:val="32"/>
          <w:highlight w:val="none"/>
        </w:rPr>
      </w:pPr>
      <w:r>
        <w:rPr>
          <w:rFonts w:ascii="仿宋_GB2312" w:hAnsi="仿宋" w:eastAsia="仿宋_GB2312" w:cs="仿宋_GB2312"/>
          <w:b/>
          <w:color w:val="auto"/>
          <w:sz w:val="32"/>
          <w:szCs w:val="32"/>
          <w:highlight w:val="none"/>
        </w:rPr>
        <w:br w:type="page"/>
      </w:r>
    </w:p>
    <w:p>
      <w:pPr>
        <w:tabs>
          <w:tab w:val="left" w:pos="8085"/>
        </w:tabs>
        <w:spacing w:line="360" w:lineRule="auto"/>
        <w:ind w:firstLine="1285" w:firstLineChars="400"/>
        <w:jc w:val="left"/>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3"/>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3"/>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olor w:val="auto"/>
          <w:highlight w:val="none"/>
        </w:rPr>
      </w:pPr>
      <w:bookmarkStart w:id="399" w:name="_Toc465665161"/>
      <w:r>
        <w:rPr>
          <w:rFonts w:hint="eastAsia" w:ascii="仿宋" w:hAnsi="仿宋" w:eastAsia="仿宋"/>
          <w:color w:val="auto"/>
          <w:highlight w:val="none"/>
        </w:rPr>
        <w:t>附件</w:t>
      </w:r>
      <w:bookmarkEnd w:id="399"/>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1：</w:t>
      </w:r>
    </w:p>
    <w:p>
      <w:pPr>
        <w:spacing w:line="360" w:lineRule="auto"/>
        <w:jc w:val="center"/>
        <w:rPr>
          <w:rFonts w:ascii="仿宋" w:hAnsi="仿宋" w:eastAsia="仿宋"/>
          <w:b/>
          <w:color w:val="auto"/>
          <w:spacing w:val="6"/>
          <w:sz w:val="32"/>
          <w:szCs w:val="32"/>
          <w:highlight w:val="none"/>
        </w:rPr>
      </w:pPr>
      <w:bookmarkStart w:id="400" w:name="OLE_LINK14"/>
      <w:bookmarkStart w:id="401" w:name="OLE_LINK13"/>
      <w:r>
        <w:rPr>
          <w:rFonts w:hint="eastAsia" w:ascii="仿宋" w:hAnsi="仿宋" w:eastAsia="仿宋"/>
          <w:b/>
          <w:color w:val="auto"/>
          <w:spacing w:val="6"/>
          <w:sz w:val="32"/>
          <w:szCs w:val="32"/>
          <w:highlight w:val="none"/>
        </w:rPr>
        <w:t>残疾人福利性单位声明函</w:t>
      </w:r>
    </w:p>
    <w:bookmarkEnd w:id="400"/>
    <w:bookmarkEnd w:id="401"/>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投标人名称（电子签名）</w:t>
      </w:r>
      <w:r>
        <w:rPr>
          <w:rFonts w:hint="eastAsia" w:ascii="仿宋" w:hAnsi="仿宋" w:eastAsia="仿宋" w:cs="仿宋_GB2312"/>
          <w:color w:val="auto"/>
          <w:sz w:val="24"/>
          <w:highlight w:val="none"/>
        </w:rPr>
        <w:t>：</w:t>
      </w: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widowControl/>
        <w:adjustRightInd/>
        <w:jc w:val="left"/>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投诉人于年月日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pPr>
        <w:spacing w:line="360" w:lineRule="auto"/>
        <w:rPr>
          <w:rFonts w:ascii="仿宋" w:hAnsi="仿宋" w:eastAsia="仿宋"/>
          <w:color w:val="auto"/>
          <w:sz w:val="24"/>
          <w:highlight w:val="none"/>
          <w:u w:val="dotted"/>
        </w:rPr>
      </w:pP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于年月日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pPr>
        <w:spacing w:line="360" w:lineRule="auto"/>
        <w:rPr>
          <w:rFonts w:ascii="仿宋" w:hAnsi="仿宋" w:eastAsia="仿宋"/>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widowControl/>
        <w:adjustRightInd/>
        <w:jc w:val="left"/>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pPr>
        <w:autoSpaceDE w:val="0"/>
        <w:autoSpaceDN w:val="0"/>
        <w:jc w:val="both"/>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hint="eastAsia"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你方组织的（项目名称）项目【招标编号：（采购编号）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ascii="仿宋" w:hAnsi="仿宋" w:eastAsia="仿宋"/>
          <w:b/>
          <w:bCs/>
          <w:color w:val="auto"/>
          <w:sz w:val="24"/>
          <w:highlight w:val="none"/>
        </w:rPr>
        <w:pict>
          <v:rect id="Rectangle 16" o:spid="_x0000_s3074"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both"/>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中小企业声明函（货物）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hint="eastAsia" w:ascii="仿宋" w:hAnsi="仿宋" w:eastAsia="仿宋" w:cs="宋体"/>
          <w:color w:val="auto"/>
          <w:sz w:val="24"/>
          <w:highlight w:val="none"/>
        </w:rPr>
        <w:t>﹝</w:t>
      </w:r>
      <w:r>
        <w:rPr>
          <w:rFonts w:ascii="仿宋" w:hAnsi="仿宋" w:eastAsia="仿宋"/>
          <w:color w:val="auto"/>
          <w:sz w:val="24"/>
          <w:highlight w:val="none"/>
        </w:rPr>
        <w:t>2020</w:t>
      </w:r>
      <w:r>
        <w:rPr>
          <w:rFonts w:hint="eastAsia" w:ascii="仿宋" w:hAnsi="仿宋" w:eastAsia="仿宋" w:cs="宋体"/>
          <w:color w:val="auto"/>
          <w:sz w:val="24"/>
          <w:highlight w:val="none"/>
        </w:rPr>
        <w:t>﹞</w:t>
      </w:r>
      <w:r>
        <w:rPr>
          <w:rFonts w:ascii="仿宋" w:hAnsi="仿宋" w:eastAsia="仿宋"/>
          <w:color w:val="auto"/>
          <w:sz w:val="24"/>
          <w:highlight w:val="none"/>
        </w:rPr>
        <w:t xml:space="preserve">46 </w:t>
      </w:r>
      <w:r>
        <w:rPr>
          <w:rFonts w:hint="eastAsia" w:ascii="仿宋" w:hAnsi="仿宋" w:eastAsia="仿宋"/>
          <w:color w:val="auto"/>
          <w:sz w:val="24"/>
          <w:highlight w:val="none"/>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color w:val="auto"/>
          <w:sz w:val="24"/>
          <w:highlight w:val="none"/>
        </w:rPr>
      </w:pPr>
    </w:p>
    <w:p>
      <w:pPr>
        <w:spacing w:line="360" w:lineRule="auto"/>
        <w:ind w:right="420" w:firstLine="480" w:firstLineChars="200"/>
        <w:rPr>
          <w:rFonts w:ascii="仿宋" w:hAnsi="仿宋" w:eastAsia="仿宋" w:cs="仿宋_GB2312"/>
          <w:color w:val="auto"/>
          <w:sz w:val="24"/>
          <w:highlight w:val="none"/>
        </w:rPr>
      </w:pPr>
    </w:p>
    <w:p>
      <w:pPr>
        <w:spacing w:line="360" w:lineRule="auto"/>
        <w:ind w:right="42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注：符合《关于促进残疾人就业政府采购政策的通知》（财库〔</w:t>
      </w:r>
      <w:r>
        <w:rPr>
          <w:rFonts w:ascii="仿宋" w:hAnsi="仿宋" w:eastAsia="仿宋"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_GB2312"/>
          <w:color w:val="auto"/>
          <w:sz w:val="24"/>
          <w:highlight w:val="none"/>
        </w:rPr>
      </w:pPr>
    </w:p>
    <w:p>
      <w:pPr>
        <w:spacing w:line="360" w:lineRule="auto"/>
        <w:ind w:right="420"/>
        <w:rPr>
          <w:color w:val="auto"/>
          <w:highlight w:val="none"/>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moder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0000000000000000000"/>
    <w:charset w:val="00"/>
    <w:family w:val="moder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rFonts w:hint="eastAsia"/>
        <w:lang w:val="zh-CN"/>
      </w:rPr>
      <w:t>浙江省杭州生态环境监测中心</w:t>
    </w:r>
    <w:r>
      <w:t>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eastAsia="zh-CN"/>
      </w:rPr>
      <w:t>浙江省杭州生态环境监测中心</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ab/>
    </w:r>
    <w:r>
      <w:tab/>
    </w:r>
    <w:r>
      <w:rPr>
        <w:rFonts w:hint="eastAsia"/>
        <w:lang w:val="zh-CN"/>
      </w:rPr>
      <w:t>浙江省杭州生态环境监测中心</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lang w:eastAsia="zh-CN"/>
      </w:rPr>
      <w:t>浙江省杭州生态环境监测中心</w:t>
    </w: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eastAsia="zh-CN"/>
      </w:rPr>
      <w:t>浙江省杭州生态环境监测中心</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lang w:eastAsia="zh-CN"/>
      </w:rPr>
      <w:t>浙江省杭州生态环境监测中心</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eastAsia="zh-CN"/>
      </w:rPr>
      <w:t>浙江省杭州生态环境监测中心</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lang w:eastAsia="zh-CN"/>
      </w:rPr>
      <w:t>浙江省杭州生态环境监测中心</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eastAsia="zh-CN"/>
      </w:rPr>
      <w:t>浙江省杭州生态环境监测中心</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rPr>
        <w:rFonts w:hint="eastAsia"/>
        <w:lang w:eastAsia="zh-CN"/>
      </w:rPr>
      <w:t>浙江省杭州生态环境监测中心</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40CCB"/>
    <w:multiLevelType w:val="singleLevel"/>
    <w:tmpl w:val="E7140CCB"/>
    <w:lvl w:ilvl="0" w:tentative="0">
      <w:start w:val="1"/>
      <w:numFmt w:val="decimal"/>
      <w:suff w:val="nothing"/>
      <w:lvlText w:val="（%1）"/>
      <w:lvlJc w:val="left"/>
      <w:pPr>
        <w:ind w:left="210"/>
      </w:pPr>
    </w:lvl>
  </w:abstractNum>
  <w:abstractNum w:abstractNumId="1">
    <w:nsid w:val="F0D468E8"/>
    <w:multiLevelType w:val="singleLevel"/>
    <w:tmpl w:val="F0D468E8"/>
    <w:lvl w:ilvl="0" w:tentative="0">
      <w:start w:val="1"/>
      <w:numFmt w:val="decimal"/>
      <w:suff w:val="nothing"/>
      <w:lvlText w:val="（%1）"/>
      <w:lvlJc w:val="left"/>
      <w:pPr>
        <w:ind w:left="210"/>
      </w:pPr>
    </w:lvl>
  </w:abstractNum>
  <w:abstractNum w:abstractNumId="2">
    <w:nsid w:val="1081EDEE"/>
    <w:multiLevelType w:val="singleLevel"/>
    <w:tmpl w:val="1081EDEE"/>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5MWI4N2QyMTFkMGU2NmI1NzFjNTU1YjA0YTQ5ZmYifQ=="/>
  </w:docVars>
  <w:rsids>
    <w:rsidRoot w:val="00172A27"/>
    <w:rsid w:val="00000451"/>
    <w:rsid w:val="0000108B"/>
    <w:rsid w:val="0000133D"/>
    <w:rsid w:val="00001509"/>
    <w:rsid w:val="000032B2"/>
    <w:rsid w:val="0000363B"/>
    <w:rsid w:val="00004C6C"/>
    <w:rsid w:val="000058BD"/>
    <w:rsid w:val="00006109"/>
    <w:rsid w:val="00006150"/>
    <w:rsid w:val="00006329"/>
    <w:rsid w:val="000063E8"/>
    <w:rsid w:val="00006725"/>
    <w:rsid w:val="0000675E"/>
    <w:rsid w:val="00007CAA"/>
    <w:rsid w:val="00010FE9"/>
    <w:rsid w:val="0001122F"/>
    <w:rsid w:val="00011A4B"/>
    <w:rsid w:val="00012251"/>
    <w:rsid w:val="00012BC3"/>
    <w:rsid w:val="0001337C"/>
    <w:rsid w:val="000138C4"/>
    <w:rsid w:val="00013C1F"/>
    <w:rsid w:val="00013F31"/>
    <w:rsid w:val="000140D8"/>
    <w:rsid w:val="00014530"/>
    <w:rsid w:val="00014BBC"/>
    <w:rsid w:val="00014D13"/>
    <w:rsid w:val="000150EE"/>
    <w:rsid w:val="000168D8"/>
    <w:rsid w:val="000170C8"/>
    <w:rsid w:val="000173F4"/>
    <w:rsid w:val="00020287"/>
    <w:rsid w:val="000202FE"/>
    <w:rsid w:val="00020B5F"/>
    <w:rsid w:val="000211BC"/>
    <w:rsid w:val="0002207B"/>
    <w:rsid w:val="000228A9"/>
    <w:rsid w:val="000232FD"/>
    <w:rsid w:val="00023323"/>
    <w:rsid w:val="000233E4"/>
    <w:rsid w:val="00023495"/>
    <w:rsid w:val="00023777"/>
    <w:rsid w:val="00024130"/>
    <w:rsid w:val="00024584"/>
    <w:rsid w:val="00024962"/>
    <w:rsid w:val="000249AA"/>
    <w:rsid w:val="00025350"/>
    <w:rsid w:val="000253E5"/>
    <w:rsid w:val="00025776"/>
    <w:rsid w:val="00026447"/>
    <w:rsid w:val="00026EAC"/>
    <w:rsid w:val="000270F2"/>
    <w:rsid w:val="00027540"/>
    <w:rsid w:val="00030572"/>
    <w:rsid w:val="00030A97"/>
    <w:rsid w:val="00030CB3"/>
    <w:rsid w:val="000311DD"/>
    <w:rsid w:val="0003206A"/>
    <w:rsid w:val="000326A7"/>
    <w:rsid w:val="00032EA0"/>
    <w:rsid w:val="000331B0"/>
    <w:rsid w:val="000336D4"/>
    <w:rsid w:val="00034FA7"/>
    <w:rsid w:val="0003533D"/>
    <w:rsid w:val="000357E4"/>
    <w:rsid w:val="00035ACA"/>
    <w:rsid w:val="00040447"/>
    <w:rsid w:val="00040494"/>
    <w:rsid w:val="000407F9"/>
    <w:rsid w:val="00040B70"/>
    <w:rsid w:val="00042441"/>
    <w:rsid w:val="00042533"/>
    <w:rsid w:val="00042DBB"/>
    <w:rsid w:val="00042E65"/>
    <w:rsid w:val="0004347C"/>
    <w:rsid w:val="00043907"/>
    <w:rsid w:val="00044F48"/>
    <w:rsid w:val="00047354"/>
    <w:rsid w:val="0004774C"/>
    <w:rsid w:val="00050656"/>
    <w:rsid w:val="00050A19"/>
    <w:rsid w:val="00050AC2"/>
    <w:rsid w:val="00050BBC"/>
    <w:rsid w:val="000510F0"/>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18C"/>
    <w:rsid w:val="00064278"/>
    <w:rsid w:val="000646CA"/>
    <w:rsid w:val="000665C4"/>
    <w:rsid w:val="00066DFF"/>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5F94"/>
    <w:rsid w:val="000760C7"/>
    <w:rsid w:val="00076159"/>
    <w:rsid w:val="0007616C"/>
    <w:rsid w:val="000763B5"/>
    <w:rsid w:val="000763F3"/>
    <w:rsid w:val="000766D2"/>
    <w:rsid w:val="00076801"/>
    <w:rsid w:val="00077577"/>
    <w:rsid w:val="00077607"/>
    <w:rsid w:val="00077756"/>
    <w:rsid w:val="00077B61"/>
    <w:rsid w:val="00077B7F"/>
    <w:rsid w:val="00080823"/>
    <w:rsid w:val="000808C1"/>
    <w:rsid w:val="00080970"/>
    <w:rsid w:val="00080EBB"/>
    <w:rsid w:val="00081671"/>
    <w:rsid w:val="000823C9"/>
    <w:rsid w:val="00082AD4"/>
    <w:rsid w:val="00083E07"/>
    <w:rsid w:val="000842E0"/>
    <w:rsid w:val="00084362"/>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FA"/>
    <w:rsid w:val="00092FE9"/>
    <w:rsid w:val="000936BF"/>
    <w:rsid w:val="0009382F"/>
    <w:rsid w:val="00093A30"/>
    <w:rsid w:val="00094342"/>
    <w:rsid w:val="000945BA"/>
    <w:rsid w:val="00095954"/>
    <w:rsid w:val="00095A13"/>
    <w:rsid w:val="000960BA"/>
    <w:rsid w:val="0009662A"/>
    <w:rsid w:val="0009690D"/>
    <w:rsid w:val="00096DFF"/>
    <w:rsid w:val="000A004F"/>
    <w:rsid w:val="000A0729"/>
    <w:rsid w:val="000A0E69"/>
    <w:rsid w:val="000A1A52"/>
    <w:rsid w:val="000A1F98"/>
    <w:rsid w:val="000A3D58"/>
    <w:rsid w:val="000A3FE3"/>
    <w:rsid w:val="000A47B0"/>
    <w:rsid w:val="000A4851"/>
    <w:rsid w:val="000A49BB"/>
    <w:rsid w:val="000A4F22"/>
    <w:rsid w:val="000A5674"/>
    <w:rsid w:val="000A5A46"/>
    <w:rsid w:val="000A5A94"/>
    <w:rsid w:val="000A5D3A"/>
    <w:rsid w:val="000A7299"/>
    <w:rsid w:val="000A752E"/>
    <w:rsid w:val="000B0E04"/>
    <w:rsid w:val="000B1AFD"/>
    <w:rsid w:val="000B268D"/>
    <w:rsid w:val="000B291B"/>
    <w:rsid w:val="000B456C"/>
    <w:rsid w:val="000B45B9"/>
    <w:rsid w:val="000B47CE"/>
    <w:rsid w:val="000B4B56"/>
    <w:rsid w:val="000B4C62"/>
    <w:rsid w:val="000B541D"/>
    <w:rsid w:val="000B54C1"/>
    <w:rsid w:val="000B5553"/>
    <w:rsid w:val="000B5FE8"/>
    <w:rsid w:val="000B666E"/>
    <w:rsid w:val="000B67C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23"/>
    <w:rsid w:val="000C5EC0"/>
    <w:rsid w:val="000C6162"/>
    <w:rsid w:val="000C64CC"/>
    <w:rsid w:val="000C6688"/>
    <w:rsid w:val="000C692E"/>
    <w:rsid w:val="000C6B28"/>
    <w:rsid w:val="000C7BEB"/>
    <w:rsid w:val="000D0124"/>
    <w:rsid w:val="000D0536"/>
    <w:rsid w:val="000D11E5"/>
    <w:rsid w:val="000D19E8"/>
    <w:rsid w:val="000D1FA1"/>
    <w:rsid w:val="000D2831"/>
    <w:rsid w:val="000D2834"/>
    <w:rsid w:val="000D2CAC"/>
    <w:rsid w:val="000D34C8"/>
    <w:rsid w:val="000D34FD"/>
    <w:rsid w:val="000D3BE5"/>
    <w:rsid w:val="000D3C37"/>
    <w:rsid w:val="000D453A"/>
    <w:rsid w:val="000D4861"/>
    <w:rsid w:val="000D4AFA"/>
    <w:rsid w:val="000D5568"/>
    <w:rsid w:val="000D5EA6"/>
    <w:rsid w:val="000D5F00"/>
    <w:rsid w:val="000D6C9F"/>
    <w:rsid w:val="000D6E3B"/>
    <w:rsid w:val="000D6F30"/>
    <w:rsid w:val="000D74E4"/>
    <w:rsid w:val="000D7C9D"/>
    <w:rsid w:val="000D7CE0"/>
    <w:rsid w:val="000E170D"/>
    <w:rsid w:val="000E2785"/>
    <w:rsid w:val="000E27BB"/>
    <w:rsid w:val="000E2D86"/>
    <w:rsid w:val="000E3153"/>
    <w:rsid w:val="000E3484"/>
    <w:rsid w:val="000E383D"/>
    <w:rsid w:val="000E386F"/>
    <w:rsid w:val="000E4051"/>
    <w:rsid w:val="000E4139"/>
    <w:rsid w:val="000E4765"/>
    <w:rsid w:val="000E5B7E"/>
    <w:rsid w:val="000E5FF9"/>
    <w:rsid w:val="000E6AE1"/>
    <w:rsid w:val="000E7142"/>
    <w:rsid w:val="000E7632"/>
    <w:rsid w:val="000E7737"/>
    <w:rsid w:val="000E7739"/>
    <w:rsid w:val="000E77EE"/>
    <w:rsid w:val="000F097C"/>
    <w:rsid w:val="000F1604"/>
    <w:rsid w:val="000F287A"/>
    <w:rsid w:val="000F2940"/>
    <w:rsid w:val="000F2AB3"/>
    <w:rsid w:val="000F30DE"/>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4B4"/>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681"/>
    <w:rsid w:val="00123B32"/>
    <w:rsid w:val="00123F7C"/>
    <w:rsid w:val="0012419E"/>
    <w:rsid w:val="001248EF"/>
    <w:rsid w:val="00124AC0"/>
    <w:rsid w:val="00124FC4"/>
    <w:rsid w:val="001252E9"/>
    <w:rsid w:val="001253AB"/>
    <w:rsid w:val="0012574C"/>
    <w:rsid w:val="001259B8"/>
    <w:rsid w:val="001264B9"/>
    <w:rsid w:val="0012693E"/>
    <w:rsid w:val="00126A3A"/>
    <w:rsid w:val="00126DCD"/>
    <w:rsid w:val="00127060"/>
    <w:rsid w:val="0012748E"/>
    <w:rsid w:val="00127B83"/>
    <w:rsid w:val="00131C2D"/>
    <w:rsid w:val="0013202C"/>
    <w:rsid w:val="00132704"/>
    <w:rsid w:val="001327E2"/>
    <w:rsid w:val="00132CBF"/>
    <w:rsid w:val="0013334C"/>
    <w:rsid w:val="00133707"/>
    <w:rsid w:val="00133742"/>
    <w:rsid w:val="00133B70"/>
    <w:rsid w:val="00133E97"/>
    <w:rsid w:val="00134255"/>
    <w:rsid w:val="001350F7"/>
    <w:rsid w:val="00135769"/>
    <w:rsid w:val="00135BE9"/>
    <w:rsid w:val="00135DBF"/>
    <w:rsid w:val="00135E5C"/>
    <w:rsid w:val="00136762"/>
    <w:rsid w:val="00136E33"/>
    <w:rsid w:val="0013773D"/>
    <w:rsid w:val="00137DF5"/>
    <w:rsid w:val="0014042F"/>
    <w:rsid w:val="00140693"/>
    <w:rsid w:val="00140CF8"/>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583"/>
    <w:rsid w:val="00161185"/>
    <w:rsid w:val="00161F4B"/>
    <w:rsid w:val="001620BA"/>
    <w:rsid w:val="001623AC"/>
    <w:rsid w:val="00162BAA"/>
    <w:rsid w:val="00163424"/>
    <w:rsid w:val="00163C40"/>
    <w:rsid w:val="0016488B"/>
    <w:rsid w:val="00165758"/>
    <w:rsid w:val="00165A65"/>
    <w:rsid w:val="00166317"/>
    <w:rsid w:val="00166CC2"/>
    <w:rsid w:val="0016709A"/>
    <w:rsid w:val="00167478"/>
    <w:rsid w:val="00167594"/>
    <w:rsid w:val="00167AB9"/>
    <w:rsid w:val="001702BE"/>
    <w:rsid w:val="001704B3"/>
    <w:rsid w:val="0017059C"/>
    <w:rsid w:val="00170A7A"/>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EFE"/>
    <w:rsid w:val="001741DC"/>
    <w:rsid w:val="00174C4F"/>
    <w:rsid w:val="00174F57"/>
    <w:rsid w:val="00175078"/>
    <w:rsid w:val="001755DC"/>
    <w:rsid w:val="00176271"/>
    <w:rsid w:val="00176AA6"/>
    <w:rsid w:val="00177063"/>
    <w:rsid w:val="00180A47"/>
    <w:rsid w:val="00181C06"/>
    <w:rsid w:val="00181CF1"/>
    <w:rsid w:val="001827B7"/>
    <w:rsid w:val="001827EF"/>
    <w:rsid w:val="00182982"/>
    <w:rsid w:val="001829BC"/>
    <w:rsid w:val="00182D68"/>
    <w:rsid w:val="00183031"/>
    <w:rsid w:val="00183468"/>
    <w:rsid w:val="0018397E"/>
    <w:rsid w:val="00184466"/>
    <w:rsid w:val="00184DBF"/>
    <w:rsid w:val="001852A8"/>
    <w:rsid w:val="0018620A"/>
    <w:rsid w:val="0018679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27"/>
    <w:rsid w:val="001A128B"/>
    <w:rsid w:val="001A1475"/>
    <w:rsid w:val="001A1F0E"/>
    <w:rsid w:val="001A228A"/>
    <w:rsid w:val="001A2B68"/>
    <w:rsid w:val="001A3335"/>
    <w:rsid w:val="001A473A"/>
    <w:rsid w:val="001A4ED9"/>
    <w:rsid w:val="001A55E4"/>
    <w:rsid w:val="001A5785"/>
    <w:rsid w:val="001A5FD7"/>
    <w:rsid w:val="001A66A6"/>
    <w:rsid w:val="001A6BAF"/>
    <w:rsid w:val="001A6BBB"/>
    <w:rsid w:val="001A79A2"/>
    <w:rsid w:val="001B06A6"/>
    <w:rsid w:val="001B0BA8"/>
    <w:rsid w:val="001B13BF"/>
    <w:rsid w:val="001B16F5"/>
    <w:rsid w:val="001B1C1F"/>
    <w:rsid w:val="001B219B"/>
    <w:rsid w:val="001B2703"/>
    <w:rsid w:val="001B3C01"/>
    <w:rsid w:val="001B3DCD"/>
    <w:rsid w:val="001B433E"/>
    <w:rsid w:val="001B45B9"/>
    <w:rsid w:val="001B46B2"/>
    <w:rsid w:val="001B4725"/>
    <w:rsid w:val="001B48B2"/>
    <w:rsid w:val="001B49DA"/>
    <w:rsid w:val="001B4CA8"/>
    <w:rsid w:val="001B4F9E"/>
    <w:rsid w:val="001B572D"/>
    <w:rsid w:val="001B576E"/>
    <w:rsid w:val="001B5B10"/>
    <w:rsid w:val="001B6025"/>
    <w:rsid w:val="001B6D58"/>
    <w:rsid w:val="001B6FA7"/>
    <w:rsid w:val="001B7A15"/>
    <w:rsid w:val="001B7B69"/>
    <w:rsid w:val="001B7DC1"/>
    <w:rsid w:val="001C08DB"/>
    <w:rsid w:val="001C10BD"/>
    <w:rsid w:val="001C1B5C"/>
    <w:rsid w:val="001C1F01"/>
    <w:rsid w:val="001C2092"/>
    <w:rsid w:val="001C232F"/>
    <w:rsid w:val="001C2544"/>
    <w:rsid w:val="001C2A17"/>
    <w:rsid w:val="001C31F5"/>
    <w:rsid w:val="001C6047"/>
    <w:rsid w:val="001C6698"/>
    <w:rsid w:val="001C6C5B"/>
    <w:rsid w:val="001C7399"/>
    <w:rsid w:val="001C7CE0"/>
    <w:rsid w:val="001D005B"/>
    <w:rsid w:val="001D0947"/>
    <w:rsid w:val="001D11A3"/>
    <w:rsid w:val="001D16F5"/>
    <w:rsid w:val="001D1970"/>
    <w:rsid w:val="001D1D55"/>
    <w:rsid w:val="001D1F13"/>
    <w:rsid w:val="001D21EF"/>
    <w:rsid w:val="001D29A4"/>
    <w:rsid w:val="001D2A27"/>
    <w:rsid w:val="001D2B73"/>
    <w:rsid w:val="001D3136"/>
    <w:rsid w:val="001D330D"/>
    <w:rsid w:val="001D4703"/>
    <w:rsid w:val="001D4AB6"/>
    <w:rsid w:val="001D4AD3"/>
    <w:rsid w:val="001D5281"/>
    <w:rsid w:val="001E17E3"/>
    <w:rsid w:val="001E2052"/>
    <w:rsid w:val="001E2492"/>
    <w:rsid w:val="001E257C"/>
    <w:rsid w:val="001E286C"/>
    <w:rsid w:val="001E2F23"/>
    <w:rsid w:val="001E2F34"/>
    <w:rsid w:val="001E35EE"/>
    <w:rsid w:val="001E3CD1"/>
    <w:rsid w:val="001E4B2C"/>
    <w:rsid w:val="001E504B"/>
    <w:rsid w:val="001E507F"/>
    <w:rsid w:val="001E56C2"/>
    <w:rsid w:val="001E59FB"/>
    <w:rsid w:val="001E798F"/>
    <w:rsid w:val="001E7D2A"/>
    <w:rsid w:val="001E7F81"/>
    <w:rsid w:val="001F0FD1"/>
    <w:rsid w:val="001F1526"/>
    <w:rsid w:val="001F19D1"/>
    <w:rsid w:val="001F1CB9"/>
    <w:rsid w:val="001F1F18"/>
    <w:rsid w:val="001F2F92"/>
    <w:rsid w:val="001F3365"/>
    <w:rsid w:val="001F359C"/>
    <w:rsid w:val="001F554D"/>
    <w:rsid w:val="001F5DA1"/>
    <w:rsid w:val="001F601E"/>
    <w:rsid w:val="001F612E"/>
    <w:rsid w:val="001F689A"/>
    <w:rsid w:val="001F6A92"/>
    <w:rsid w:val="001F77E8"/>
    <w:rsid w:val="002007B5"/>
    <w:rsid w:val="00201A0C"/>
    <w:rsid w:val="00201B0F"/>
    <w:rsid w:val="0020255A"/>
    <w:rsid w:val="00202800"/>
    <w:rsid w:val="00202D33"/>
    <w:rsid w:val="00202E58"/>
    <w:rsid w:val="00202F99"/>
    <w:rsid w:val="002037AA"/>
    <w:rsid w:val="00203C85"/>
    <w:rsid w:val="0020449A"/>
    <w:rsid w:val="00204E9B"/>
    <w:rsid w:val="00205298"/>
    <w:rsid w:val="002055C0"/>
    <w:rsid w:val="0020569E"/>
    <w:rsid w:val="00206698"/>
    <w:rsid w:val="00206736"/>
    <w:rsid w:val="00206854"/>
    <w:rsid w:val="00206C88"/>
    <w:rsid w:val="00210B9C"/>
    <w:rsid w:val="00211185"/>
    <w:rsid w:val="00211A94"/>
    <w:rsid w:val="00211AE1"/>
    <w:rsid w:val="002126F2"/>
    <w:rsid w:val="00212EB9"/>
    <w:rsid w:val="00213478"/>
    <w:rsid w:val="00213F2B"/>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6F6"/>
    <w:rsid w:val="00216E7B"/>
    <w:rsid w:val="00217E1F"/>
    <w:rsid w:val="002200A9"/>
    <w:rsid w:val="002204BC"/>
    <w:rsid w:val="00220966"/>
    <w:rsid w:val="00220F7B"/>
    <w:rsid w:val="002213CE"/>
    <w:rsid w:val="00221AF7"/>
    <w:rsid w:val="00222494"/>
    <w:rsid w:val="00222775"/>
    <w:rsid w:val="00222A31"/>
    <w:rsid w:val="00222CF6"/>
    <w:rsid w:val="00224037"/>
    <w:rsid w:val="002241D3"/>
    <w:rsid w:val="002244E4"/>
    <w:rsid w:val="00224D2A"/>
    <w:rsid w:val="00224D8D"/>
    <w:rsid w:val="0022555A"/>
    <w:rsid w:val="00227214"/>
    <w:rsid w:val="00227DDC"/>
    <w:rsid w:val="0023079F"/>
    <w:rsid w:val="00231135"/>
    <w:rsid w:val="0023142B"/>
    <w:rsid w:val="00231B0B"/>
    <w:rsid w:val="00232555"/>
    <w:rsid w:val="002329A1"/>
    <w:rsid w:val="00233538"/>
    <w:rsid w:val="00234248"/>
    <w:rsid w:val="0023449F"/>
    <w:rsid w:val="002344F5"/>
    <w:rsid w:val="0023454D"/>
    <w:rsid w:val="00234679"/>
    <w:rsid w:val="00235547"/>
    <w:rsid w:val="002359FC"/>
    <w:rsid w:val="002361C8"/>
    <w:rsid w:val="00236690"/>
    <w:rsid w:val="0023669D"/>
    <w:rsid w:val="00237EAE"/>
    <w:rsid w:val="00237FA2"/>
    <w:rsid w:val="002403D5"/>
    <w:rsid w:val="00240C1F"/>
    <w:rsid w:val="00240F55"/>
    <w:rsid w:val="00240F67"/>
    <w:rsid w:val="00241144"/>
    <w:rsid w:val="00241785"/>
    <w:rsid w:val="00242510"/>
    <w:rsid w:val="00242F79"/>
    <w:rsid w:val="0024415B"/>
    <w:rsid w:val="00245565"/>
    <w:rsid w:val="002458C1"/>
    <w:rsid w:val="00245E62"/>
    <w:rsid w:val="002460D0"/>
    <w:rsid w:val="00246357"/>
    <w:rsid w:val="00247101"/>
    <w:rsid w:val="00247422"/>
    <w:rsid w:val="00247BA2"/>
    <w:rsid w:val="002505D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1A3"/>
    <w:rsid w:val="0026119C"/>
    <w:rsid w:val="00261AFE"/>
    <w:rsid w:val="0026212A"/>
    <w:rsid w:val="002621D7"/>
    <w:rsid w:val="00262996"/>
    <w:rsid w:val="00263044"/>
    <w:rsid w:val="002635D0"/>
    <w:rsid w:val="00263759"/>
    <w:rsid w:val="002638BD"/>
    <w:rsid w:val="0026470B"/>
    <w:rsid w:val="0026486D"/>
    <w:rsid w:val="00264C4B"/>
    <w:rsid w:val="00264ED0"/>
    <w:rsid w:val="00265346"/>
    <w:rsid w:val="00266045"/>
    <w:rsid w:val="002660C3"/>
    <w:rsid w:val="00266245"/>
    <w:rsid w:val="00266C21"/>
    <w:rsid w:val="00266DE1"/>
    <w:rsid w:val="002676C2"/>
    <w:rsid w:val="00267A92"/>
    <w:rsid w:val="00267E43"/>
    <w:rsid w:val="00270282"/>
    <w:rsid w:val="00270780"/>
    <w:rsid w:val="00270CF6"/>
    <w:rsid w:val="00271097"/>
    <w:rsid w:val="00271C53"/>
    <w:rsid w:val="0027244F"/>
    <w:rsid w:val="00272A4E"/>
    <w:rsid w:val="00273052"/>
    <w:rsid w:val="002739CE"/>
    <w:rsid w:val="00273C5F"/>
    <w:rsid w:val="00273CF8"/>
    <w:rsid w:val="002741D4"/>
    <w:rsid w:val="002743AC"/>
    <w:rsid w:val="002748E0"/>
    <w:rsid w:val="0027499D"/>
    <w:rsid w:val="002751CA"/>
    <w:rsid w:val="0027544D"/>
    <w:rsid w:val="00276602"/>
    <w:rsid w:val="00277196"/>
    <w:rsid w:val="00277588"/>
    <w:rsid w:val="002775ED"/>
    <w:rsid w:val="002778AB"/>
    <w:rsid w:val="002802A5"/>
    <w:rsid w:val="00280CFB"/>
    <w:rsid w:val="00280D24"/>
    <w:rsid w:val="002815C4"/>
    <w:rsid w:val="00281BCB"/>
    <w:rsid w:val="00281C76"/>
    <w:rsid w:val="0028316D"/>
    <w:rsid w:val="00283296"/>
    <w:rsid w:val="0028526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71F"/>
    <w:rsid w:val="002A3ACA"/>
    <w:rsid w:val="002A4060"/>
    <w:rsid w:val="002A4868"/>
    <w:rsid w:val="002A4A05"/>
    <w:rsid w:val="002A4EB3"/>
    <w:rsid w:val="002A51D9"/>
    <w:rsid w:val="002A525A"/>
    <w:rsid w:val="002A5968"/>
    <w:rsid w:val="002A5CAB"/>
    <w:rsid w:val="002A5D40"/>
    <w:rsid w:val="002A5FCF"/>
    <w:rsid w:val="002A622E"/>
    <w:rsid w:val="002A6424"/>
    <w:rsid w:val="002A64E7"/>
    <w:rsid w:val="002A6AC0"/>
    <w:rsid w:val="002A6F9A"/>
    <w:rsid w:val="002A7748"/>
    <w:rsid w:val="002A7ED3"/>
    <w:rsid w:val="002A7F3B"/>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392"/>
    <w:rsid w:val="002C0A9F"/>
    <w:rsid w:val="002C1AB3"/>
    <w:rsid w:val="002C1BB7"/>
    <w:rsid w:val="002C1FB3"/>
    <w:rsid w:val="002C2665"/>
    <w:rsid w:val="002C28E1"/>
    <w:rsid w:val="002C2A13"/>
    <w:rsid w:val="002C327D"/>
    <w:rsid w:val="002C3890"/>
    <w:rsid w:val="002C3A03"/>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35"/>
    <w:rsid w:val="002D1593"/>
    <w:rsid w:val="002D1A1E"/>
    <w:rsid w:val="002D22A6"/>
    <w:rsid w:val="002D2819"/>
    <w:rsid w:val="002D2CD6"/>
    <w:rsid w:val="002D2F81"/>
    <w:rsid w:val="002D38A3"/>
    <w:rsid w:val="002D3BA3"/>
    <w:rsid w:val="002D43EE"/>
    <w:rsid w:val="002D4658"/>
    <w:rsid w:val="002D4892"/>
    <w:rsid w:val="002D4D06"/>
    <w:rsid w:val="002D4DDE"/>
    <w:rsid w:val="002D4EE7"/>
    <w:rsid w:val="002D4EED"/>
    <w:rsid w:val="002D596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505"/>
    <w:rsid w:val="002E201C"/>
    <w:rsid w:val="002E22CA"/>
    <w:rsid w:val="002E236F"/>
    <w:rsid w:val="002E37C5"/>
    <w:rsid w:val="002E3956"/>
    <w:rsid w:val="002E3C08"/>
    <w:rsid w:val="002E3CF2"/>
    <w:rsid w:val="002E3DD4"/>
    <w:rsid w:val="002E41B8"/>
    <w:rsid w:val="002E469E"/>
    <w:rsid w:val="002E4C01"/>
    <w:rsid w:val="002E4D50"/>
    <w:rsid w:val="002E55FF"/>
    <w:rsid w:val="002E587E"/>
    <w:rsid w:val="002E672A"/>
    <w:rsid w:val="002E6853"/>
    <w:rsid w:val="002E6AB3"/>
    <w:rsid w:val="002E763C"/>
    <w:rsid w:val="002E7EC1"/>
    <w:rsid w:val="002E7EE5"/>
    <w:rsid w:val="002F0323"/>
    <w:rsid w:val="002F0DFB"/>
    <w:rsid w:val="002F134F"/>
    <w:rsid w:val="002F1D0B"/>
    <w:rsid w:val="002F1E1D"/>
    <w:rsid w:val="002F1F02"/>
    <w:rsid w:val="002F27E5"/>
    <w:rsid w:val="002F2D81"/>
    <w:rsid w:val="002F2F66"/>
    <w:rsid w:val="002F39D4"/>
    <w:rsid w:val="002F4BA9"/>
    <w:rsid w:val="002F4F45"/>
    <w:rsid w:val="002F541B"/>
    <w:rsid w:val="002F5BFE"/>
    <w:rsid w:val="002F5DA5"/>
    <w:rsid w:val="002F5E17"/>
    <w:rsid w:val="002F63D0"/>
    <w:rsid w:val="002F647C"/>
    <w:rsid w:val="002F6C6B"/>
    <w:rsid w:val="002F6CB0"/>
    <w:rsid w:val="002F6EFF"/>
    <w:rsid w:val="002F7DF0"/>
    <w:rsid w:val="002F7FAF"/>
    <w:rsid w:val="00300573"/>
    <w:rsid w:val="003025FE"/>
    <w:rsid w:val="00302A27"/>
    <w:rsid w:val="0030341F"/>
    <w:rsid w:val="00303AB6"/>
    <w:rsid w:val="00304640"/>
    <w:rsid w:val="00304AC1"/>
    <w:rsid w:val="00305090"/>
    <w:rsid w:val="00305454"/>
    <w:rsid w:val="00305B9F"/>
    <w:rsid w:val="00305E21"/>
    <w:rsid w:val="003066C6"/>
    <w:rsid w:val="003066FA"/>
    <w:rsid w:val="00306AD6"/>
    <w:rsid w:val="003077F4"/>
    <w:rsid w:val="00307CEF"/>
    <w:rsid w:val="00307DC7"/>
    <w:rsid w:val="00307FF2"/>
    <w:rsid w:val="003102B4"/>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699"/>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8EF"/>
    <w:rsid w:val="00334927"/>
    <w:rsid w:val="00335FCB"/>
    <w:rsid w:val="003360AD"/>
    <w:rsid w:val="0033631D"/>
    <w:rsid w:val="003369C7"/>
    <w:rsid w:val="00336ACD"/>
    <w:rsid w:val="003373A6"/>
    <w:rsid w:val="00337409"/>
    <w:rsid w:val="00337E18"/>
    <w:rsid w:val="003405AF"/>
    <w:rsid w:val="0034088F"/>
    <w:rsid w:val="00340B3E"/>
    <w:rsid w:val="003413D2"/>
    <w:rsid w:val="00341525"/>
    <w:rsid w:val="00341B97"/>
    <w:rsid w:val="00342109"/>
    <w:rsid w:val="0034257E"/>
    <w:rsid w:val="003429A1"/>
    <w:rsid w:val="003429FC"/>
    <w:rsid w:val="00343079"/>
    <w:rsid w:val="00343127"/>
    <w:rsid w:val="00343320"/>
    <w:rsid w:val="00343D13"/>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E74"/>
    <w:rsid w:val="0035455F"/>
    <w:rsid w:val="00355D75"/>
    <w:rsid w:val="00355D8F"/>
    <w:rsid w:val="00356A73"/>
    <w:rsid w:val="00356FF0"/>
    <w:rsid w:val="003577EF"/>
    <w:rsid w:val="00357A60"/>
    <w:rsid w:val="00360304"/>
    <w:rsid w:val="00360A78"/>
    <w:rsid w:val="00360CE2"/>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67F0C"/>
    <w:rsid w:val="00370095"/>
    <w:rsid w:val="003703BB"/>
    <w:rsid w:val="003705EA"/>
    <w:rsid w:val="00370A56"/>
    <w:rsid w:val="00370BEE"/>
    <w:rsid w:val="00371213"/>
    <w:rsid w:val="00372842"/>
    <w:rsid w:val="00372864"/>
    <w:rsid w:val="003729A5"/>
    <w:rsid w:val="00372C89"/>
    <w:rsid w:val="00372E9A"/>
    <w:rsid w:val="00372F4C"/>
    <w:rsid w:val="003735B9"/>
    <w:rsid w:val="00373634"/>
    <w:rsid w:val="00373AB1"/>
    <w:rsid w:val="00374677"/>
    <w:rsid w:val="00374707"/>
    <w:rsid w:val="0037510C"/>
    <w:rsid w:val="00375850"/>
    <w:rsid w:val="0037632F"/>
    <w:rsid w:val="00377B26"/>
    <w:rsid w:val="00380966"/>
    <w:rsid w:val="00381014"/>
    <w:rsid w:val="00381604"/>
    <w:rsid w:val="00381C68"/>
    <w:rsid w:val="00381F60"/>
    <w:rsid w:val="00383204"/>
    <w:rsid w:val="00383AB0"/>
    <w:rsid w:val="003846E6"/>
    <w:rsid w:val="003847BB"/>
    <w:rsid w:val="00384814"/>
    <w:rsid w:val="00384C0A"/>
    <w:rsid w:val="00385B16"/>
    <w:rsid w:val="00385B96"/>
    <w:rsid w:val="0038637D"/>
    <w:rsid w:val="003868F6"/>
    <w:rsid w:val="003869DC"/>
    <w:rsid w:val="00386C07"/>
    <w:rsid w:val="00386F58"/>
    <w:rsid w:val="0038700D"/>
    <w:rsid w:val="003879CE"/>
    <w:rsid w:val="00387B88"/>
    <w:rsid w:val="00390420"/>
    <w:rsid w:val="00390B8F"/>
    <w:rsid w:val="00390C0D"/>
    <w:rsid w:val="00391447"/>
    <w:rsid w:val="003919D9"/>
    <w:rsid w:val="00391B70"/>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B0336"/>
    <w:rsid w:val="003B0A3A"/>
    <w:rsid w:val="003B0D79"/>
    <w:rsid w:val="003B1E5F"/>
    <w:rsid w:val="003B2554"/>
    <w:rsid w:val="003B2930"/>
    <w:rsid w:val="003B31A7"/>
    <w:rsid w:val="003B4587"/>
    <w:rsid w:val="003B4B51"/>
    <w:rsid w:val="003B4FE1"/>
    <w:rsid w:val="003B514E"/>
    <w:rsid w:val="003B5531"/>
    <w:rsid w:val="003B636A"/>
    <w:rsid w:val="003B68DE"/>
    <w:rsid w:val="003B69CE"/>
    <w:rsid w:val="003B7403"/>
    <w:rsid w:val="003C011C"/>
    <w:rsid w:val="003C0161"/>
    <w:rsid w:val="003C0705"/>
    <w:rsid w:val="003C0E32"/>
    <w:rsid w:val="003C11D7"/>
    <w:rsid w:val="003C16CB"/>
    <w:rsid w:val="003C1B97"/>
    <w:rsid w:val="003C247B"/>
    <w:rsid w:val="003C3292"/>
    <w:rsid w:val="003C3C1E"/>
    <w:rsid w:val="003C3D88"/>
    <w:rsid w:val="003C4134"/>
    <w:rsid w:val="003C435B"/>
    <w:rsid w:val="003C4EBE"/>
    <w:rsid w:val="003C5699"/>
    <w:rsid w:val="003C5F5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F92"/>
    <w:rsid w:val="003F01BD"/>
    <w:rsid w:val="003F0486"/>
    <w:rsid w:val="003F048E"/>
    <w:rsid w:val="003F09FA"/>
    <w:rsid w:val="003F0AFF"/>
    <w:rsid w:val="003F1AA2"/>
    <w:rsid w:val="003F26DC"/>
    <w:rsid w:val="003F42FF"/>
    <w:rsid w:val="003F4B48"/>
    <w:rsid w:val="003F4DDC"/>
    <w:rsid w:val="003F4E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8BA"/>
    <w:rsid w:val="00406745"/>
    <w:rsid w:val="0040674B"/>
    <w:rsid w:val="00406B32"/>
    <w:rsid w:val="004074FA"/>
    <w:rsid w:val="00407A56"/>
    <w:rsid w:val="00407E04"/>
    <w:rsid w:val="00407FCC"/>
    <w:rsid w:val="0041035A"/>
    <w:rsid w:val="00410463"/>
    <w:rsid w:val="00410CEF"/>
    <w:rsid w:val="00410E76"/>
    <w:rsid w:val="004112D1"/>
    <w:rsid w:val="00411320"/>
    <w:rsid w:val="004113C9"/>
    <w:rsid w:val="00411D1E"/>
    <w:rsid w:val="00411DF2"/>
    <w:rsid w:val="004120DF"/>
    <w:rsid w:val="004124B7"/>
    <w:rsid w:val="004126B5"/>
    <w:rsid w:val="00414886"/>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1"/>
    <w:rsid w:val="00424446"/>
    <w:rsid w:val="00424867"/>
    <w:rsid w:val="00425341"/>
    <w:rsid w:val="004255FE"/>
    <w:rsid w:val="00425674"/>
    <w:rsid w:val="00425A82"/>
    <w:rsid w:val="00425C60"/>
    <w:rsid w:val="00426B2C"/>
    <w:rsid w:val="00427FA8"/>
    <w:rsid w:val="0043009D"/>
    <w:rsid w:val="0043026B"/>
    <w:rsid w:val="00430299"/>
    <w:rsid w:val="004306D4"/>
    <w:rsid w:val="004306E3"/>
    <w:rsid w:val="00430B7D"/>
    <w:rsid w:val="00431976"/>
    <w:rsid w:val="00431A2A"/>
    <w:rsid w:val="00432ECA"/>
    <w:rsid w:val="00435499"/>
    <w:rsid w:val="0043554E"/>
    <w:rsid w:val="004355D4"/>
    <w:rsid w:val="00435771"/>
    <w:rsid w:val="004357B1"/>
    <w:rsid w:val="00435821"/>
    <w:rsid w:val="0043583E"/>
    <w:rsid w:val="00435B95"/>
    <w:rsid w:val="00436CCE"/>
    <w:rsid w:val="00436EAD"/>
    <w:rsid w:val="004375E1"/>
    <w:rsid w:val="00437A2F"/>
    <w:rsid w:val="00440262"/>
    <w:rsid w:val="004406BF"/>
    <w:rsid w:val="00440814"/>
    <w:rsid w:val="0044105D"/>
    <w:rsid w:val="00441424"/>
    <w:rsid w:val="00441592"/>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F34"/>
    <w:rsid w:val="004570EF"/>
    <w:rsid w:val="0045731A"/>
    <w:rsid w:val="00457517"/>
    <w:rsid w:val="00457CF7"/>
    <w:rsid w:val="00457D37"/>
    <w:rsid w:val="00460154"/>
    <w:rsid w:val="0046028A"/>
    <w:rsid w:val="004604A2"/>
    <w:rsid w:val="00460E3A"/>
    <w:rsid w:val="00460E68"/>
    <w:rsid w:val="004614BC"/>
    <w:rsid w:val="004619A5"/>
    <w:rsid w:val="00461B6D"/>
    <w:rsid w:val="00461F80"/>
    <w:rsid w:val="0046240D"/>
    <w:rsid w:val="00462898"/>
    <w:rsid w:val="00462D84"/>
    <w:rsid w:val="004630CC"/>
    <w:rsid w:val="00463208"/>
    <w:rsid w:val="00463576"/>
    <w:rsid w:val="004636D6"/>
    <w:rsid w:val="0046399D"/>
    <w:rsid w:val="00463EA4"/>
    <w:rsid w:val="00465A21"/>
    <w:rsid w:val="00465DE5"/>
    <w:rsid w:val="00466978"/>
    <w:rsid w:val="00466A21"/>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D93"/>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D00"/>
    <w:rsid w:val="00486F39"/>
    <w:rsid w:val="00487653"/>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80E"/>
    <w:rsid w:val="004A6110"/>
    <w:rsid w:val="004A61B8"/>
    <w:rsid w:val="004A6415"/>
    <w:rsid w:val="004A64F9"/>
    <w:rsid w:val="004A65F4"/>
    <w:rsid w:val="004A6D2C"/>
    <w:rsid w:val="004B026C"/>
    <w:rsid w:val="004B0271"/>
    <w:rsid w:val="004B0B2D"/>
    <w:rsid w:val="004B0BE8"/>
    <w:rsid w:val="004B0E4A"/>
    <w:rsid w:val="004B1020"/>
    <w:rsid w:val="004B18F4"/>
    <w:rsid w:val="004B1A98"/>
    <w:rsid w:val="004B2463"/>
    <w:rsid w:val="004B2E9D"/>
    <w:rsid w:val="004B305F"/>
    <w:rsid w:val="004B34C4"/>
    <w:rsid w:val="004B34E8"/>
    <w:rsid w:val="004B3981"/>
    <w:rsid w:val="004B3A03"/>
    <w:rsid w:val="004B419F"/>
    <w:rsid w:val="004B4EA9"/>
    <w:rsid w:val="004B5C96"/>
    <w:rsid w:val="004B6124"/>
    <w:rsid w:val="004B6987"/>
    <w:rsid w:val="004B6A46"/>
    <w:rsid w:val="004B6E50"/>
    <w:rsid w:val="004B728F"/>
    <w:rsid w:val="004B7317"/>
    <w:rsid w:val="004B75B2"/>
    <w:rsid w:val="004B75C6"/>
    <w:rsid w:val="004B78AF"/>
    <w:rsid w:val="004B7F87"/>
    <w:rsid w:val="004C02C5"/>
    <w:rsid w:val="004C0BF0"/>
    <w:rsid w:val="004C0D40"/>
    <w:rsid w:val="004C114F"/>
    <w:rsid w:val="004C11A9"/>
    <w:rsid w:val="004C1F69"/>
    <w:rsid w:val="004C27CF"/>
    <w:rsid w:val="004C2CA7"/>
    <w:rsid w:val="004C3592"/>
    <w:rsid w:val="004C45C8"/>
    <w:rsid w:val="004C4F8F"/>
    <w:rsid w:val="004C5F4B"/>
    <w:rsid w:val="004C612E"/>
    <w:rsid w:val="004C61B8"/>
    <w:rsid w:val="004C62FA"/>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3FF"/>
    <w:rsid w:val="004D3468"/>
    <w:rsid w:val="004D34D1"/>
    <w:rsid w:val="004D4523"/>
    <w:rsid w:val="004D4990"/>
    <w:rsid w:val="004D51D6"/>
    <w:rsid w:val="004D6603"/>
    <w:rsid w:val="004D6BF2"/>
    <w:rsid w:val="004D6F29"/>
    <w:rsid w:val="004D7BF5"/>
    <w:rsid w:val="004D7F9C"/>
    <w:rsid w:val="004E03F4"/>
    <w:rsid w:val="004E068F"/>
    <w:rsid w:val="004E0860"/>
    <w:rsid w:val="004E09CF"/>
    <w:rsid w:val="004E0B75"/>
    <w:rsid w:val="004E0C29"/>
    <w:rsid w:val="004E0DC4"/>
    <w:rsid w:val="004E109C"/>
    <w:rsid w:val="004E15D6"/>
    <w:rsid w:val="004E1D6F"/>
    <w:rsid w:val="004E1DF3"/>
    <w:rsid w:val="004E2393"/>
    <w:rsid w:val="004E3117"/>
    <w:rsid w:val="004E3A2A"/>
    <w:rsid w:val="004E3AB1"/>
    <w:rsid w:val="004E3D83"/>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22D"/>
    <w:rsid w:val="004F531B"/>
    <w:rsid w:val="004F560C"/>
    <w:rsid w:val="004F5690"/>
    <w:rsid w:val="004F5DBB"/>
    <w:rsid w:val="004F60B4"/>
    <w:rsid w:val="004F61A3"/>
    <w:rsid w:val="004F6874"/>
    <w:rsid w:val="004F7922"/>
    <w:rsid w:val="004F7A1F"/>
    <w:rsid w:val="004F7B47"/>
    <w:rsid w:val="0050079C"/>
    <w:rsid w:val="0050106A"/>
    <w:rsid w:val="005010BC"/>
    <w:rsid w:val="00501848"/>
    <w:rsid w:val="005025FD"/>
    <w:rsid w:val="00502B31"/>
    <w:rsid w:val="0050368B"/>
    <w:rsid w:val="00503BE4"/>
    <w:rsid w:val="0050434C"/>
    <w:rsid w:val="0050537D"/>
    <w:rsid w:val="0050591C"/>
    <w:rsid w:val="005059BD"/>
    <w:rsid w:val="005060AE"/>
    <w:rsid w:val="005076C3"/>
    <w:rsid w:val="0050790B"/>
    <w:rsid w:val="00507FDF"/>
    <w:rsid w:val="0051037C"/>
    <w:rsid w:val="0051050F"/>
    <w:rsid w:val="0051058B"/>
    <w:rsid w:val="00510DDC"/>
    <w:rsid w:val="00511126"/>
    <w:rsid w:val="00511166"/>
    <w:rsid w:val="00512217"/>
    <w:rsid w:val="00512459"/>
    <w:rsid w:val="005131A2"/>
    <w:rsid w:val="005137E4"/>
    <w:rsid w:val="00513BB9"/>
    <w:rsid w:val="0051440E"/>
    <w:rsid w:val="00514480"/>
    <w:rsid w:val="005148CD"/>
    <w:rsid w:val="005150A6"/>
    <w:rsid w:val="00515180"/>
    <w:rsid w:val="00515973"/>
    <w:rsid w:val="00516069"/>
    <w:rsid w:val="00516BC4"/>
    <w:rsid w:val="00517AC8"/>
    <w:rsid w:val="00517C3E"/>
    <w:rsid w:val="005207D8"/>
    <w:rsid w:val="0052091D"/>
    <w:rsid w:val="005212F4"/>
    <w:rsid w:val="00521908"/>
    <w:rsid w:val="0052219C"/>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58F"/>
    <w:rsid w:val="0053067C"/>
    <w:rsid w:val="00531064"/>
    <w:rsid w:val="005312CB"/>
    <w:rsid w:val="005313B2"/>
    <w:rsid w:val="00531911"/>
    <w:rsid w:val="00531E92"/>
    <w:rsid w:val="005324D7"/>
    <w:rsid w:val="005326F0"/>
    <w:rsid w:val="00532764"/>
    <w:rsid w:val="00532AA5"/>
    <w:rsid w:val="00532C5F"/>
    <w:rsid w:val="00532D0E"/>
    <w:rsid w:val="00533233"/>
    <w:rsid w:val="005335A2"/>
    <w:rsid w:val="00533D13"/>
    <w:rsid w:val="00533DEC"/>
    <w:rsid w:val="00534026"/>
    <w:rsid w:val="00534D55"/>
    <w:rsid w:val="00535B53"/>
    <w:rsid w:val="00536498"/>
    <w:rsid w:val="00536B03"/>
    <w:rsid w:val="00537456"/>
    <w:rsid w:val="00537591"/>
    <w:rsid w:val="0053790C"/>
    <w:rsid w:val="00537B3D"/>
    <w:rsid w:val="00537EDA"/>
    <w:rsid w:val="00540401"/>
    <w:rsid w:val="005405B2"/>
    <w:rsid w:val="0054076A"/>
    <w:rsid w:val="00540D47"/>
    <w:rsid w:val="00540EE7"/>
    <w:rsid w:val="00541A22"/>
    <w:rsid w:val="00541EAD"/>
    <w:rsid w:val="005424C2"/>
    <w:rsid w:val="005426B2"/>
    <w:rsid w:val="005426DD"/>
    <w:rsid w:val="00543519"/>
    <w:rsid w:val="00543640"/>
    <w:rsid w:val="00544019"/>
    <w:rsid w:val="005444C6"/>
    <w:rsid w:val="00544BF9"/>
    <w:rsid w:val="00544F05"/>
    <w:rsid w:val="00544FCC"/>
    <w:rsid w:val="00545051"/>
    <w:rsid w:val="005454B8"/>
    <w:rsid w:val="00545ACB"/>
    <w:rsid w:val="00545DB9"/>
    <w:rsid w:val="005462ED"/>
    <w:rsid w:val="00546585"/>
    <w:rsid w:val="0054680A"/>
    <w:rsid w:val="00546BF8"/>
    <w:rsid w:val="00546F94"/>
    <w:rsid w:val="00547BA2"/>
    <w:rsid w:val="00550AC5"/>
    <w:rsid w:val="00550B7E"/>
    <w:rsid w:val="00550DDB"/>
    <w:rsid w:val="00551052"/>
    <w:rsid w:val="005524ED"/>
    <w:rsid w:val="00553F91"/>
    <w:rsid w:val="00554007"/>
    <w:rsid w:val="00554C03"/>
    <w:rsid w:val="00554C58"/>
    <w:rsid w:val="00554D5D"/>
    <w:rsid w:val="005550F9"/>
    <w:rsid w:val="00555B4D"/>
    <w:rsid w:val="005560C6"/>
    <w:rsid w:val="00556338"/>
    <w:rsid w:val="00556441"/>
    <w:rsid w:val="00557031"/>
    <w:rsid w:val="00557DB6"/>
    <w:rsid w:val="00557F87"/>
    <w:rsid w:val="00560FCB"/>
    <w:rsid w:val="00561001"/>
    <w:rsid w:val="0056111C"/>
    <w:rsid w:val="00561140"/>
    <w:rsid w:val="0056134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0B1"/>
    <w:rsid w:val="00567623"/>
    <w:rsid w:val="005701C2"/>
    <w:rsid w:val="00570763"/>
    <w:rsid w:val="00571B62"/>
    <w:rsid w:val="0057200B"/>
    <w:rsid w:val="00572297"/>
    <w:rsid w:val="0057344A"/>
    <w:rsid w:val="0057345D"/>
    <w:rsid w:val="0057347D"/>
    <w:rsid w:val="00573560"/>
    <w:rsid w:val="00574B3F"/>
    <w:rsid w:val="00574E7B"/>
    <w:rsid w:val="00574F36"/>
    <w:rsid w:val="00576B5C"/>
    <w:rsid w:val="005770CC"/>
    <w:rsid w:val="00577A4D"/>
    <w:rsid w:val="005802F9"/>
    <w:rsid w:val="005806D5"/>
    <w:rsid w:val="00580DFC"/>
    <w:rsid w:val="0058134C"/>
    <w:rsid w:val="005815CD"/>
    <w:rsid w:val="00582022"/>
    <w:rsid w:val="005827A7"/>
    <w:rsid w:val="00583C39"/>
    <w:rsid w:val="00583D43"/>
    <w:rsid w:val="005846C3"/>
    <w:rsid w:val="00584F04"/>
    <w:rsid w:val="0058544C"/>
    <w:rsid w:val="00585623"/>
    <w:rsid w:val="005857F7"/>
    <w:rsid w:val="005865E9"/>
    <w:rsid w:val="005868FD"/>
    <w:rsid w:val="00587D7B"/>
    <w:rsid w:val="005904DB"/>
    <w:rsid w:val="005905ED"/>
    <w:rsid w:val="00590D11"/>
    <w:rsid w:val="00590E9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7C"/>
    <w:rsid w:val="005A4C20"/>
    <w:rsid w:val="005A4F48"/>
    <w:rsid w:val="005A54F1"/>
    <w:rsid w:val="005A57B8"/>
    <w:rsid w:val="005A5DDE"/>
    <w:rsid w:val="005A64A8"/>
    <w:rsid w:val="005A65C5"/>
    <w:rsid w:val="005A66F8"/>
    <w:rsid w:val="005A6875"/>
    <w:rsid w:val="005A7016"/>
    <w:rsid w:val="005A7A32"/>
    <w:rsid w:val="005A7F85"/>
    <w:rsid w:val="005B00DD"/>
    <w:rsid w:val="005B0378"/>
    <w:rsid w:val="005B03B1"/>
    <w:rsid w:val="005B07D5"/>
    <w:rsid w:val="005B1A8A"/>
    <w:rsid w:val="005B1AAB"/>
    <w:rsid w:val="005B2578"/>
    <w:rsid w:val="005B2930"/>
    <w:rsid w:val="005B2B87"/>
    <w:rsid w:val="005B2FAA"/>
    <w:rsid w:val="005B33C8"/>
    <w:rsid w:val="005B387B"/>
    <w:rsid w:val="005B3881"/>
    <w:rsid w:val="005B3B01"/>
    <w:rsid w:val="005B3FB1"/>
    <w:rsid w:val="005B4333"/>
    <w:rsid w:val="005B48BE"/>
    <w:rsid w:val="005B5028"/>
    <w:rsid w:val="005B58F7"/>
    <w:rsid w:val="005B592B"/>
    <w:rsid w:val="005B5981"/>
    <w:rsid w:val="005B5994"/>
    <w:rsid w:val="005B6474"/>
    <w:rsid w:val="005B666D"/>
    <w:rsid w:val="005B667A"/>
    <w:rsid w:val="005B6865"/>
    <w:rsid w:val="005B7355"/>
    <w:rsid w:val="005C039B"/>
    <w:rsid w:val="005C059F"/>
    <w:rsid w:val="005C07CE"/>
    <w:rsid w:val="005C0B8F"/>
    <w:rsid w:val="005C194E"/>
    <w:rsid w:val="005C1C3F"/>
    <w:rsid w:val="005C1C83"/>
    <w:rsid w:val="005C1DB1"/>
    <w:rsid w:val="005C226F"/>
    <w:rsid w:val="005C2294"/>
    <w:rsid w:val="005C23A2"/>
    <w:rsid w:val="005C2E48"/>
    <w:rsid w:val="005C3344"/>
    <w:rsid w:val="005C429E"/>
    <w:rsid w:val="005C4E4D"/>
    <w:rsid w:val="005C58F2"/>
    <w:rsid w:val="005C5A97"/>
    <w:rsid w:val="005C5F77"/>
    <w:rsid w:val="005C6AAB"/>
    <w:rsid w:val="005C6D5D"/>
    <w:rsid w:val="005C6FD0"/>
    <w:rsid w:val="005D01C3"/>
    <w:rsid w:val="005D05FF"/>
    <w:rsid w:val="005D0FB4"/>
    <w:rsid w:val="005D1176"/>
    <w:rsid w:val="005D1251"/>
    <w:rsid w:val="005D1747"/>
    <w:rsid w:val="005D266D"/>
    <w:rsid w:val="005D306D"/>
    <w:rsid w:val="005D3327"/>
    <w:rsid w:val="005D4854"/>
    <w:rsid w:val="005D5BCF"/>
    <w:rsid w:val="005D65BF"/>
    <w:rsid w:val="005D6CB0"/>
    <w:rsid w:val="005D6D84"/>
    <w:rsid w:val="005D70A1"/>
    <w:rsid w:val="005D79F2"/>
    <w:rsid w:val="005D7CB1"/>
    <w:rsid w:val="005D7F57"/>
    <w:rsid w:val="005E0067"/>
    <w:rsid w:val="005E0141"/>
    <w:rsid w:val="005E09CA"/>
    <w:rsid w:val="005E0FC8"/>
    <w:rsid w:val="005E1658"/>
    <w:rsid w:val="005E1AB4"/>
    <w:rsid w:val="005E255B"/>
    <w:rsid w:val="005E2CF7"/>
    <w:rsid w:val="005E39D7"/>
    <w:rsid w:val="005E4543"/>
    <w:rsid w:val="005E4A1C"/>
    <w:rsid w:val="005E56C9"/>
    <w:rsid w:val="005E5CF7"/>
    <w:rsid w:val="005E5FF0"/>
    <w:rsid w:val="005E63A1"/>
    <w:rsid w:val="005E642A"/>
    <w:rsid w:val="005E65A7"/>
    <w:rsid w:val="005E721E"/>
    <w:rsid w:val="005F0857"/>
    <w:rsid w:val="005F1470"/>
    <w:rsid w:val="005F15A9"/>
    <w:rsid w:val="005F2807"/>
    <w:rsid w:val="005F2CD5"/>
    <w:rsid w:val="005F327B"/>
    <w:rsid w:val="005F3382"/>
    <w:rsid w:val="005F3720"/>
    <w:rsid w:val="005F5506"/>
    <w:rsid w:val="005F5A0D"/>
    <w:rsid w:val="005F5CE4"/>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DA0"/>
    <w:rsid w:val="006042CD"/>
    <w:rsid w:val="0060456E"/>
    <w:rsid w:val="00605217"/>
    <w:rsid w:val="006054A5"/>
    <w:rsid w:val="006059E4"/>
    <w:rsid w:val="00605D60"/>
    <w:rsid w:val="00606050"/>
    <w:rsid w:val="006062A0"/>
    <w:rsid w:val="00607015"/>
    <w:rsid w:val="0061098D"/>
    <w:rsid w:val="00610B78"/>
    <w:rsid w:val="00611290"/>
    <w:rsid w:val="00611B59"/>
    <w:rsid w:val="00611FBA"/>
    <w:rsid w:val="00612098"/>
    <w:rsid w:val="0061272A"/>
    <w:rsid w:val="00612BE8"/>
    <w:rsid w:val="006130D0"/>
    <w:rsid w:val="0061355D"/>
    <w:rsid w:val="006139F7"/>
    <w:rsid w:val="00613AA2"/>
    <w:rsid w:val="00614906"/>
    <w:rsid w:val="0061517F"/>
    <w:rsid w:val="00615276"/>
    <w:rsid w:val="006155F1"/>
    <w:rsid w:val="00615846"/>
    <w:rsid w:val="006160F0"/>
    <w:rsid w:val="0061618F"/>
    <w:rsid w:val="0061624B"/>
    <w:rsid w:val="006166AD"/>
    <w:rsid w:val="00616939"/>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F91"/>
    <w:rsid w:val="00626360"/>
    <w:rsid w:val="00626710"/>
    <w:rsid w:val="00626930"/>
    <w:rsid w:val="00626AD3"/>
    <w:rsid w:val="00626BAC"/>
    <w:rsid w:val="006271C3"/>
    <w:rsid w:val="0062726D"/>
    <w:rsid w:val="00627B14"/>
    <w:rsid w:val="0063001E"/>
    <w:rsid w:val="00630023"/>
    <w:rsid w:val="006308EE"/>
    <w:rsid w:val="00630995"/>
    <w:rsid w:val="00630C70"/>
    <w:rsid w:val="00630D67"/>
    <w:rsid w:val="00631005"/>
    <w:rsid w:val="00631529"/>
    <w:rsid w:val="00631C79"/>
    <w:rsid w:val="00632727"/>
    <w:rsid w:val="0063283D"/>
    <w:rsid w:val="00633466"/>
    <w:rsid w:val="00633769"/>
    <w:rsid w:val="00633FE3"/>
    <w:rsid w:val="00634276"/>
    <w:rsid w:val="00634570"/>
    <w:rsid w:val="0063487C"/>
    <w:rsid w:val="00635B73"/>
    <w:rsid w:val="00635BB7"/>
    <w:rsid w:val="00636CC7"/>
    <w:rsid w:val="00637F27"/>
    <w:rsid w:val="006405EC"/>
    <w:rsid w:val="00640A4D"/>
    <w:rsid w:val="00640BF9"/>
    <w:rsid w:val="006418F2"/>
    <w:rsid w:val="00641A84"/>
    <w:rsid w:val="00641B05"/>
    <w:rsid w:val="00641DA1"/>
    <w:rsid w:val="00641E5B"/>
    <w:rsid w:val="006422D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A83"/>
    <w:rsid w:val="00652CF5"/>
    <w:rsid w:val="0065343E"/>
    <w:rsid w:val="006534EB"/>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61A"/>
    <w:rsid w:val="00663D15"/>
    <w:rsid w:val="00665030"/>
    <w:rsid w:val="00665670"/>
    <w:rsid w:val="006659EA"/>
    <w:rsid w:val="00665A41"/>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30F"/>
    <w:rsid w:val="006750BE"/>
    <w:rsid w:val="006753AC"/>
    <w:rsid w:val="00675430"/>
    <w:rsid w:val="006755F0"/>
    <w:rsid w:val="00675749"/>
    <w:rsid w:val="00675858"/>
    <w:rsid w:val="006759FE"/>
    <w:rsid w:val="00677382"/>
    <w:rsid w:val="0067772D"/>
    <w:rsid w:val="00677991"/>
    <w:rsid w:val="00677AD2"/>
    <w:rsid w:val="00680326"/>
    <w:rsid w:val="00680714"/>
    <w:rsid w:val="0068071D"/>
    <w:rsid w:val="00680BDF"/>
    <w:rsid w:val="00680C6B"/>
    <w:rsid w:val="006811F3"/>
    <w:rsid w:val="00681240"/>
    <w:rsid w:val="00683068"/>
    <w:rsid w:val="00683DAD"/>
    <w:rsid w:val="00683FF0"/>
    <w:rsid w:val="00684592"/>
    <w:rsid w:val="00684963"/>
    <w:rsid w:val="00685033"/>
    <w:rsid w:val="0068517F"/>
    <w:rsid w:val="00685D65"/>
    <w:rsid w:val="00685FC8"/>
    <w:rsid w:val="00686E80"/>
    <w:rsid w:val="00686FE6"/>
    <w:rsid w:val="006875BA"/>
    <w:rsid w:val="0068790B"/>
    <w:rsid w:val="00687AF2"/>
    <w:rsid w:val="006901AC"/>
    <w:rsid w:val="0069088A"/>
    <w:rsid w:val="00690C8D"/>
    <w:rsid w:val="00691890"/>
    <w:rsid w:val="00691AAD"/>
    <w:rsid w:val="00692416"/>
    <w:rsid w:val="0069296F"/>
    <w:rsid w:val="00692AFF"/>
    <w:rsid w:val="00692D2D"/>
    <w:rsid w:val="00693B73"/>
    <w:rsid w:val="006945A1"/>
    <w:rsid w:val="00694A53"/>
    <w:rsid w:val="006952DE"/>
    <w:rsid w:val="006957E0"/>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3A"/>
    <w:rsid w:val="006A4321"/>
    <w:rsid w:val="006A46C0"/>
    <w:rsid w:val="006A4E20"/>
    <w:rsid w:val="006A4F11"/>
    <w:rsid w:val="006A563C"/>
    <w:rsid w:val="006A5A6F"/>
    <w:rsid w:val="006A5F7E"/>
    <w:rsid w:val="006A6786"/>
    <w:rsid w:val="006A6C8F"/>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E83"/>
    <w:rsid w:val="006B7F74"/>
    <w:rsid w:val="006C0230"/>
    <w:rsid w:val="006C05C7"/>
    <w:rsid w:val="006C0E4A"/>
    <w:rsid w:val="006C1783"/>
    <w:rsid w:val="006C25AB"/>
    <w:rsid w:val="006C2DA6"/>
    <w:rsid w:val="006C3581"/>
    <w:rsid w:val="006C3887"/>
    <w:rsid w:val="006C39A0"/>
    <w:rsid w:val="006C3EFE"/>
    <w:rsid w:val="006C46C7"/>
    <w:rsid w:val="006C4767"/>
    <w:rsid w:val="006C4A1A"/>
    <w:rsid w:val="006C4D02"/>
    <w:rsid w:val="006C53A4"/>
    <w:rsid w:val="006C54DF"/>
    <w:rsid w:val="006C5D5D"/>
    <w:rsid w:val="006C627E"/>
    <w:rsid w:val="006C6303"/>
    <w:rsid w:val="006C6A51"/>
    <w:rsid w:val="006C6AC2"/>
    <w:rsid w:val="006C6EBD"/>
    <w:rsid w:val="006C7E04"/>
    <w:rsid w:val="006C7F79"/>
    <w:rsid w:val="006D0004"/>
    <w:rsid w:val="006D015F"/>
    <w:rsid w:val="006D060E"/>
    <w:rsid w:val="006D0681"/>
    <w:rsid w:val="006D0A80"/>
    <w:rsid w:val="006D0AE8"/>
    <w:rsid w:val="006D135C"/>
    <w:rsid w:val="006D2A92"/>
    <w:rsid w:val="006D2F72"/>
    <w:rsid w:val="006D43C1"/>
    <w:rsid w:val="006D538B"/>
    <w:rsid w:val="006D5442"/>
    <w:rsid w:val="006D5983"/>
    <w:rsid w:val="006D6E4E"/>
    <w:rsid w:val="006D7A7B"/>
    <w:rsid w:val="006D7A8E"/>
    <w:rsid w:val="006D7C59"/>
    <w:rsid w:val="006E00E3"/>
    <w:rsid w:val="006E045C"/>
    <w:rsid w:val="006E0569"/>
    <w:rsid w:val="006E065E"/>
    <w:rsid w:val="006E0849"/>
    <w:rsid w:val="006E11D6"/>
    <w:rsid w:val="006E17AC"/>
    <w:rsid w:val="006E189B"/>
    <w:rsid w:val="006E20D9"/>
    <w:rsid w:val="006E2461"/>
    <w:rsid w:val="006E27DC"/>
    <w:rsid w:val="006E2902"/>
    <w:rsid w:val="006E2EB7"/>
    <w:rsid w:val="006E2F9D"/>
    <w:rsid w:val="006E37C6"/>
    <w:rsid w:val="006E3CF3"/>
    <w:rsid w:val="006E41ED"/>
    <w:rsid w:val="006E4490"/>
    <w:rsid w:val="006E4667"/>
    <w:rsid w:val="006E46B7"/>
    <w:rsid w:val="006E475A"/>
    <w:rsid w:val="006E486D"/>
    <w:rsid w:val="006E4880"/>
    <w:rsid w:val="006E48BB"/>
    <w:rsid w:val="006E6332"/>
    <w:rsid w:val="006E727B"/>
    <w:rsid w:val="006E76C8"/>
    <w:rsid w:val="006E7A92"/>
    <w:rsid w:val="006F01FF"/>
    <w:rsid w:val="006F0CB2"/>
    <w:rsid w:val="006F1DE9"/>
    <w:rsid w:val="006F2046"/>
    <w:rsid w:val="006F2F59"/>
    <w:rsid w:val="006F311E"/>
    <w:rsid w:val="006F3442"/>
    <w:rsid w:val="006F36A5"/>
    <w:rsid w:val="006F41F4"/>
    <w:rsid w:val="006F440D"/>
    <w:rsid w:val="006F4576"/>
    <w:rsid w:val="006F5813"/>
    <w:rsid w:val="006F59A8"/>
    <w:rsid w:val="006F5A1D"/>
    <w:rsid w:val="006F71A6"/>
    <w:rsid w:val="006F7974"/>
    <w:rsid w:val="006F7C2C"/>
    <w:rsid w:val="006F7FD1"/>
    <w:rsid w:val="006F7FD5"/>
    <w:rsid w:val="007003CD"/>
    <w:rsid w:val="00700405"/>
    <w:rsid w:val="00700D18"/>
    <w:rsid w:val="0070168D"/>
    <w:rsid w:val="00701C36"/>
    <w:rsid w:val="00702F2D"/>
    <w:rsid w:val="0070353F"/>
    <w:rsid w:val="0070415E"/>
    <w:rsid w:val="00704631"/>
    <w:rsid w:val="00704B79"/>
    <w:rsid w:val="00704E7D"/>
    <w:rsid w:val="00705060"/>
    <w:rsid w:val="00705351"/>
    <w:rsid w:val="00705619"/>
    <w:rsid w:val="007058EA"/>
    <w:rsid w:val="00705E93"/>
    <w:rsid w:val="00705FB0"/>
    <w:rsid w:val="007062AF"/>
    <w:rsid w:val="007069AE"/>
    <w:rsid w:val="007069D4"/>
    <w:rsid w:val="00706C89"/>
    <w:rsid w:val="00706F49"/>
    <w:rsid w:val="00707967"/>
    <w:rsid w:val="00710257"/>
    <w:rsid w:val="00710587"/>
    <w:rsid w:val="007107D5"/>
    <w:rsid w:val="007107FC"/>
    <w:rsid w:val="007119DC"/>
    <w:rsid w:val="00711CC7"/>
    <w:rsid w:val="0071230A"/>
    <w:rsid w:val="0071294A"/>
    <w:rsid w:val="00712BDD"/>
    <w:rsid w:val="00712E1E"/>
    <w:rsid w:val="00712F37"/>
    <w:rsid w:val="00713A6B"/>
    <w:rsid w:val="00713CB5"/>
    <w:rsid w:val="0071499C"/>
    <w:rsid w:val="00714F9D"/>
    <w:rsid w:val="007154D8"/>
    <w:rsid w:val="00715577"/>
    <w:rsid w:val="00715DBF"/>
    <w:rsid w:val="0071604D"/>
    <w:rsid w:val="00716C67"/>
    <w:rsid w:val="007170AB"/>
    <w:rsid w:val="007171DB"/>
    <w:rsid w:val="0071779C"/>
    <w:rsid w:val="00717808"/>
    <w:rsid w:val="00720321"/>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3A7"/>
    <w:rsid w:val="007304F2"/>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4F5"/>
    <w:rsid w:val="00741136"/>
    <w:rsid w:val="007413EB"/>
    <w:rsid w:val="007413FB"/>
    <w:rsid w:val="00742D32"/>
    <w:rsid w:val="00742E9B"/>
    <w:rsid w:val="007444E6"/>
    <w:rsid w:val="0074592C"/>
    <w:rsid w:val="00745C91"/>
    <w:rsid w:val="00746098"/>
    <w:rsid w:val="00746D58"/>
    <w:rsid w:val="00747578"/>
    <w:rsid w:val="00750D12"/>
    <w:rsid w:val="00751073"/>
    <w:rsid w:val="007517E4"/>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FA7"/>
    <w:rsid w:val="00757029"/>
    <w:rsid w:val="007571FD"/>
    <w:rsid w:val="0075723D"/>
    <w:rsid w:val="007602D4"/>
    <w:rsid w:val="00760530"/>
    <w:rsid w:val="007609B7"/>
    <w:rsid w:val="00760A43"/>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F3F"/>
    <w:rsid w:val="0077710B"/>
    <w:rsid w:val="00777198"/>
    <w:rsid w:val="0077765A"/>
    <w:rsid w:val="00780032"/>
    <w:rsid w:val="00780636"/>
    <w:rsid w:val="00780A78"/>
    <w:rsid w:val="00780E86"/>
    <w:rsid w:val="0078108C"/>
    <w:rsid w:val="00781727"/>
    <w:rsid w:val="007823E8"/>
    <w:rsid w:val="00782CF3"/>
    <w:rsid w:val="00783959"/>
    <w:rsid w:val="00783BA5"/>
    <w:rsid w:val="007844A9"/>
    <w:rsid w:val="00785091"/>
    <w:rsid w:val="00785CBD"/>
    <w:rsid w:val="0078638C"/>
    <w:rsid w:val="007869F9"/>
    <w:rsid w:val="00786CBB"/>
    <w:rsid w:val="00786E21"/>
    <w:rsid w:val="00787BB2"/>
    <w:rsid w:val="0079038E"/>
    <w:rsid w:val="00790EBB"/>
    <w:rsid w:val="00791C6E"/>
    <w:rsid w:val="00791DD5"/>
    <w:rsid w:val="007921F7"/>
    <w:rsid w:val="00792909"/>
    <w:rsid w:val="00792BC6"/>
    <w:rsid w:val="00792C3F"/>
    <w:rsid w:val="00792EE2"/>
    <w:rsid w:val="00792EFD"/>
    <w:rsid w:val="007930D9"/>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FD6"/>
    <w:rsid w:val="007A130E"/>
    <w:rsid w:val="007A18B1"/>
    <w:rsid w:val="007A1BBD"/>
    <w:rsid w:val="007A1BE9"/>
    <w:rsid w:val="007A1F08"/>
    <w:rsid w:val="007A2184"/>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E61"/>
    <w:rsid w:val="007A649C"/>
    <w:rsid w:val="007A6D91"/>
    <w:rsid w:val="007A7618"/>
    <w:rsid w:val="007B00C9"/>
    <w:rsid w:val="007B02C7"/>
    <w:rsid w:val="007B0306"/>
    <w:rsid w:val="007B0833"/>
    <w:rsid w:val="007B08E4"/>
    <w:rsid w:val="007B0D86"/>
    <w:rsid w:val="007B0FBA"/>
    <w:rsid w:val="007B188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94"/>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DCC"/>
    <w:rsid w:val="007D2882"/>
    <w:rsid w:val="007D296C"/>
    <w:rsid w:val="007D2C31"/>
    <w:rsid w:val="007D2E50"/>
    <w:rsid w:val="007D395C"/>
    <w:rsid w:val="007D3D74"/>
    <w:rsid w:val="007D41DA"/>
    <w:rsid w:val="007D445F"/>
    <w:rsid w:val="007D4DED"/>
    <w:rsid w:val="007D57C3"/>
    <w:rsid w:val="007D5BA2"/>
    <w:rsid w:val="007D5ED3"/>
    <w:rsid w:val="007D682F"/>
    <w:rsid w:val="007D6FB9"/>
    <w:rsid w:val="007D7211"/>
    <w:rsid w:val="007D7B6F"/>
    <w:rsid w:val="007E0595"/>
    <w:rsid w:val="007E0A63"/>
    <w:rsid w:val="007E0C63"/>
    <w:rsid w:val="007E0E05"/>
    <w:rsid w:val="007E0F5D"/>
    <w:rsid w:val="007E23A1"/>
    <w:rsid w:val="007E259F"/>
    <w:rsid w:val="007E347E"/>
    <w:rsid w:val="007E3F53"/>
    <w:rsid w:val="007E41A4"/>
    <w:rsid w:val="007E43E3"/>
    <w:rsid w:val="007E54B8"/>
    <w:rsid w:val="007E5D12"/>
    <w:rsid w:val="007E6420"/>
    <w:rsid w:val="007E677F"/>
    <w:rsid w:val="007E6B25"/>
    <w:rsid w:val="007E6E06"/>
    <w:rsid w:val="007E6F4A"/>
    <w:rsid w:val="007E79CC"/>
    <w:rsid w:val="007F1124"/>
    <w:rsid w:val="007F152D"/>
    <w:rsid w:val="007F1761"/>
    <w:rsid w:val="007F2016"/>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31"/>
    <w:rsid w:val="00800B7F"/>
    <w:rsid w:val="008012B1"/>
    <w:rsid w:val="00801D63"/>
    <w:rsid w:val="0080348B"/>
    <w:rsid w:val="00803D82"/>
    <w:rsid w:val="00803D98"/>
    <w:rsid w:val="0080452A"/>
    <w:rsid w:val="008052CE"/>
    <w:rsid w:val="008058D0"/>
    <w:rsid w:val="00806A4C"/>
    <w:rsid w:val="0080705B"/>
    <w:rsid w:val="0080723C"/>
    <w:rsid w:val="00807F71"/>
    <w:rsid w:val="0081000F"/>
    <w:rsid w:val="0081090B"/>
    <w:rsid w:val="00812657"/>
    <w:rsid w:val="00812A1A"/>
    <w:rsid w:val="00812DFF"/>
    <w:rsid w:val="0081362F"/>
    <w:rsid w:val="0081383A"/>
    <w:rsid w:val="00813A43"/>
    <w:rsid w:val="0081497F"/>
    <w:rsid w:val="00814B90"/>
    <w:rsid w:val="00814FC7"/>
    <w:rsid w:val="008153F5"/>
    <w:rsid w:val="0081660C"/>
    <w:rsid w:val="00817195"/>
    <w:rsid w:val="00817416"/>
    <w:rsid w:val="00817658"/>
    <w:rsid w:val="008206AE"/>
    <w:rsid w:val="00821271"/>
    <w:rsid w:val="00821306"/>
    <w:rsid w:val="008213D9"/>
    <w:rsid w:val="008216CE"/>
    <w:rsid w:val="008218AE"/>
    <w:rsid w:val="00821C72"/>
    <w:rsid w:val="00821D85"/>
    <w:rsid w:val="00821E47"/>
    <w:rsid w:val="008220F6"/>
    <w:rsid w:val="0082240B"/>
    <w:rsid w:val="00822456"/>
    <w:rsid w:val="00823819"/>
    <w:rsid w:val="00823C4B"/>
    <w:rsid w:val="0082427D"/>
    <w:rsid w:val="00825441"/>
    <w:rsid w:val="00826855"/>
    <w:rsid w:val="00826A97"/>
    <w:rsid w:val="00827600"/>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C3"/>
    <w:rsid w:val="00836323"/>
    <w:rsid w:val="00837D3D"/>
    <w:rsid w:val="00837E9B"/>
    <w:rsid w:val="008404AA"/>
    <w:rsid w:val="008406D7"/>
    <w:rsid w:val="00840731"/>
    <w:rsid w:val="0084074F"/>
    <w:rsid w:val="008407BA"/>
    <w:rsid w:val="00840AA3"/>
    <w:rsid w:val="00840AAC"/>
    <w:rsid w:val="0084101C"/>
    <w:rsid w:val="0084181B"/>
    <w:rsid w:val="00841F29"/>
    <w:rsid w:val="008425CC"/>
    <w:rsid w:val="00842DC2"/>
    <w:rsid w:val="0084357B"/>
    <w:rsid w:val="00843A45"/>
    <w:rsid w:val="008465B4"/>
    <w:rsid w:val="00846D25"/>
    <w:rsid w:val="00850013"/>
    <w:rsid w:val="008500DD"/>
    <w:rsid w:val="00850A0A"/>
    <w:rsid w:val="00850A94"/>
    <w:rsid w:val="00850C18"/>
    <w:rsid w:val="00851E96"/>
    <w:rsid w:val="00851F1C"/>
    <w:rsid w:val="00852B80"/>
    <w:rsid w:val="00852FA5"/>
    <w:rsid w:val="00853F7D"/>
    <w:rsid w:val="0085517F"/>
    <w:rsid w:val="0085562D"/>
    <w:rsid w:val="00855A78"/>
    <w:rsid w:val="00856154"/>
    <w:rsid w:val="00856286"/>
    <w:rsid w:val="0085657E"/>
    <w:rsid w:val="00856F0E"/>
    <w:rsid w:val="00856FF7"/>
    <w:rsid w:val="008573AF"/>
    <w:rsid w:val="008576B0"/>
    <w:rsid w:val="00860296"/>
    <w:rsid w:val="008602E3"/>
    <w:rsid w:val="0086060E"/>
    <w:rsid w:val="00860DA4"/>
    <w:rsid w:val="00861146"/>
    <w:rsid w:val="008618EE"/>
    <w:rsid w:val="00861948"/>
    <w:rsid w:val="00862011"/>
    <w:rsid w:val="00862A15"/>
    <w:rsid w:val="00862CC9"/>
    <w:rsid w:val="00862D8E"/>
    <w:rsid w:val="00862EF2"/>
    <w:rsid w:val="00863E49"/>
    <w:rsid w:val="00864661"/>
    <w:rsid w:val="008651CE"/>
    <w:rsid w:val="0086598A"/>
    <w:rsid w:val="00865C3D"/>
    <w:rsid w:val="00865F4C"/>
    <w:rsid w:val="00866453"/>
    <w:rsid w:val="0086707F"/>
    <w:rsid w:val="00867501"/>
    <w:rsid w:val="00867523"/>
    <w:rsid w:val="00867D8E"/>
    <w:rsid w:val="008700C0"/>
    <w:rsid w:val="0087058B"/>
    <w:rsid w:val="0087079D"/>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8F3"/>
    <w:rsid w:val="00875E14"/>
    <w:rsid w:val="00876291"/>
    <w:rsid w:val="0087677E"/>
    <w:rsid w:val="0087712C"/>
    <w:rsid w:val="008776E7"/>
    <w:rsid w:val="00877746"/>
    <w:rsid w:val="00877C5D"/>
    <w:rsid w:val="00880354"/>
    <w:rsid w:val="0088093C"/>
    <w:rsid w:val="00880BC0"/>
    <w:rsid w:val="0088127A"/>
    <w:rsid w:val="00881D59"/>
    <w:rsid w:val="00882991"/>
    <w:rsid w:val="00882EC1"/>
    <w:rsid w:val="0088324E"/>
    <w:rsid w:val="00883774"/>
    <w:rsid w:val="00884272"/>
    <w:rsid w:val="0088434F"/>
    <w:rsid w:val="00884371"/>
    <w:rsid w:val="008848E2"/>
    <w:rsid w:val="00884B7A"/>
    <w:rsid w:val="00884D47"/>
    <w:rsid w:val="008856C5"/>
    <w:rsid w:val="00886112"/>
    <w:rsid w:val="008872B3"/>
    <w:rsid w:val="00887392"/>
    <w:rsid w:val="00890A64"/>
    <w:rsid w:val="00890C40"/>
    <w:rsid w:val="00890F44"/>
    <w:rsid w:val="0089122E"/>
    <w:rsid w:val="008912A7"/>
    <w:rsid w:val="0089183A"/>
    <w:rsid w:val="00891EBC"/>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97D95"/>
    <w:rsid w:val="008A0044"/>
    <w:rsid w:val="008A0BFE"/>
    <w:rsid w:val="008A1932"/>
    <w:rsid w:val="008A1BE9"/>
    <w:rsid w:val="008A21D9"/>
    <w:rsid w:val="008A232D"/>
    <w:rsid w:val="008A3182"/>
    <w:rsid w:val="008A3C76"/>
    <w:rsid w:val="008A3D54"/>
    <w:rsid w:val="008A3E10"/>
    <w:rsid w:val="008A411C"/>
    <w:rsid w:val="008A4630"/>
    <w:rsid w:val="008A4660"/>
    <w:rsid w:val="008A47CE"/>
    <w:rsid w:val="008A4DFA"/>
    <w:rsid w:val="008A5F2F"/>
    <w:rsid w:val="008A6BAE"/>
    <w:rsid w:val="008A7350"/>
    <w:rsid w:val="008A7A72"/>
    <w:rsid w:val="008B09F3"/>
    <w:rsid w:val="008B1094"/>
    <w:rsid w:val="008B111A"/>
    <w:rsid w:val="008B1463"/>
    <w:rsid w:val="008B16E6"/>
    <w:rsid w:val="008B178A"/>
    <w:rsid w:val="008B1AB2"/>
    <w:rsid w:val="008B1D9B"/>
    <w:rsid w:val="008B2042"/>
    <w:rsid w:val="008B25F1"/>
    <w:rsid w:val="008B3567"/>
    <w:rsid w:val="008B36D0"/>
    <w:rsid w:val="008B38AF"/>
    <w:rsid w:val="008B3D7F"/>
    <w:rsid w:val="008B3E1B"/>
    <w:rsid w:val="008B3F4B"/>
    <w:rsid w:val="008B48EC"/>
    <w:rsid w:val="008B4AF0"/>
    <w:rsid w:val="008B502E"/>
    <w:rsid w:val="008B518E"/>
    <w:rsid w:val="008B527B"/>
    <w:rsid w:val="008B5AB9"/>
    <w:rsid w:val="008B646F"/>
    <w:rsid w:val="008B67E6"/>
    <w:rsid w:val="008B69B8"/>
    <w:rsid w:val="008B7042"/>
    <w:rsid w:val="008B770C"/>
    <w:rsid w:val="008B7845"/>
    <w:rsid w:val="008C0325"/>
    <w:rsid w:val="008C094A"/>
    <w:rsid w:val="008C0BD9"/>
    <w:rsid w:val="008C1570"/>
    <w:rsid w:val="008C1792"/>
    <w:rsid w:val="008C17B2"/>
    <w:rsid w:val="008C1E3E"/>
    <w:rsid w:val="008C2059"/>
    <w:rsid w:val="008C21D0"/>
    <w:rsid w:val="008C2DBC"/>
    <w:rsid w:val="008C3A4E"/>
    <w:rsid w:val="008C5371"/>
    <w:rsid w:val="008C5A86"/>
    <w:rsid w:val="008C623D"/>
    <w:rsid w:val="008C65F4"/>
    <w:rsid w:val="008C6683"/>
    <w:rsid w:val="008C6E0C"/>
    <w:rsid w:val="008C7273"/>
    <w:rsid w:val="008C78F8"/>
    <w:rsid w:val="008D05DF"/>
    <w:rsid w:val="008D09E8"/>
    <w:rsid w:val="008D0E65"/>
    <w:rsid w:val="008D110A"/>
    <w:rsid w:val="008D1612"/>
    <w:rsid w:val="008D17F1"/>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55F"/>
    <w:rsid w:val="008D5806"/>
    <w:rsid w:val="008D5ED9"/>
    <w:rsid w:val="008D7247"/>
    <w:rsid w:val="008D7567"/>
    <w:rsid w:val="008E0EE4"/>
    <w:rsid w:val="008E12BE"/>
    <w:rsid w:val="008E13FD"/>
    <w:rsid w:val="008E1C24"/>
    <w:rsid w:val="008E2626"/>
    <w:rsid w:val="008E27A9"/>
    <w:rsid w:val="008E28A6"/>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528"/>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210D"/>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88E"/>
    <w:rsid w:val="00911D61"/>
    <w:rsid w:val="00911EC0"/>
    <w:rsid w:val="00912850"/>
    <w:rsid w:val="009128B8"/>
    <w:rsid w:val="009143D5"/>
    <w:rsid w:val="0091472C"/>
    <w:rsid w:val="00914DC9"/>
    <w:rsid w:val="00915351"/>
    <w:rsid w:val="00915679"/>
    <w:rsid w:val="009159C2"/>
    <w:rsid w:val="0091627F"/>
    <w:rsid w:val="00916E45"/>
    <w:rsid w:val="00916E76"/>
    <w:rsid w:val="00917C17"/>
    <w:rsid w:val="0092077A"/>
    <w:rsid w:val="00920DC0"/>
    <w:rsid w:val="009219F3"/>
    <w:rsid w:val="00921FAB"/>
    <w:rsid w:val="009221CB"/>
    <w:rsid w:val="00922320"/>
    <w:rsid w:val="00923643"/>
    <w:rsid w:val="00923E1A"/>
    <w:rsid w:val="009245CC"/>
    <w:rsid w:val="0092490A"/>
    <w:rsid w:val="00924BF0"/>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33B"/>
    <w:rsid w:val="00953573"/>
    <w:rsid w:val="009537C0"/>
    <w:rsid w:val="009544E9"/>
    <w:rsid w:val="0095496A"/>
    <w:rsid w:val="009557A9"/>
    <w:rsid w:val="00955C75"/>
    <w:rsid w:val="00956647"/>
    <w:rsid w:val="00957036"/>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0DF"/>
    <w:rsid w:val="009817BC"/>
    <w:rsid w:val="009819A7"/>
    <w:rsid w:val="0098220A"/>
    <w:rsid w:val="009829C3"/>
    <w:rsid w:val="00982E75"/>
    <w:rsid w:val="00983337"/>
    <w:rsid w:val="009836AA"/>
    <w:rsid w:val="009846BF"/>
    <w:rsid w:val="009851F5"/>
    <w:rsid w:val="0098534B"/>
    <w:rsid w:val="00986019"/>
    <w:rsid w:val="00986281"/>
    <w:rsid w:val="00986FC9"/>
    <w:rsid w:val="0098764E"/>
    <w:rsid w:val="00987683"/>
    <w:rsid w:val="009876D9"/>
    <w:rsid w:val="00987826"/>
    <w:rsid w:val="00987B4F"/>
    <w:rsid w:val="00987D58"/>
    <w:rsid w:val="00987EB3"/>
    <w:rsid w:val="0099034B"/>
    <w:rsid w:val="009906D4"/>
    <w:rsid w:val="00990A8E"/>
    <w:rsid w:val="00990EB7"/>
    <w:rsid w:val="00990F5F"/>
    <w:rsid w:val="009911A7"/>
    <w:rsid w:val="009913B8"/>
    <w:rsid w:val="009914E4"/>
    <w:rsid w:val="00992141"/>
    <w:rsid w:val="009921DB"/>
    <w:rsid w:val="00992285"/>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509"/>
    <w:rsid w:val="00997BC9"/>
    <w:rsid w:val="009A113D"/>
    <w:rsid w:val="009A1ECA"/>
    <w:rsid w:val="009A2BE9"/>
    <w:rsid w:val="009A2BF3"/>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1F2"/>
    <w:rsid w:val="009C03F7"/>
    <w:rsid w:val="009C10DA"/>
    <w:rsid w:val="009C19FC"/>
    <w:rsid w:val="009C27F7"/>
    <w:rsid w:val="009C3BC4"/>
    <w:rsid w:val="009C3C93"/>
    <w:rsid w:val="009C3E97"/>
    <w:rsid w:val="009C4017"/>
    <w:rsid w:val="009C424E"/>
    <w:rsid w:val="009C4708"/>
    <w:rsid w:val="009C4870"/>
    <w:rsid w:val="009C4C4E"/>
    <w:rsid w:val="009C4D37"/>
    <w:rsid w:val="009C54D9"/>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3FB3"/>
    <w:rsid w:val="009E514A"/>
    <w:rsid w:val="009E5177"/>
    <w:rsid w:val="009E5701"/>
    <w:rsid w:val="009E5711"/>
    <w:rsid w:val="009E5D4C"/>
    <w:rsid w:val="009E758E"/>
    <w:rsid w:val="009E7BFB"/>
    <w:rsid w:val="009E7D6B"/>
    <w:rsid w:val="009E7E81"/>
    <w:rsid w:val="009F020A"/>
    <w:rsid w:val="009F05AD"/>
    <w:rsid w:val="009F0659"/>
    <w:rsid w:val="009F1109"/>
    <w:rsid w:val="009F143E"/>
    <w:rsid w:val="009F1B81"/>
    <w:rsid w:val="009F1DE8"/>
    <w:rsid w:val="009F2186"/>
    <w:rsid w:val="009F227C"/>
    <w:rsid w:val="009F28DC"/>
    <w:rsid w:val="009F2EDB"/>
    <w:rsid w:val="009F33DC"/>
    <w:rsid w:val="009F3D30"/>
    <w:rsid w:val="009F446E"/>
    <w:rsid w:val="009F4550"/>
    <w:rsid w:val="009F56C0"/>
    <w:rsid w:val="009F5C76"/>
    <w:rsid w:val="009F7C9F"/>
    <w:rsid w:val="00A000C5"/>
    <w:rsid w:val="00A007B4"/>
    <w:rsid w:val="00A00930"/>
    <w:rsid w:val="00A00CA0"/>
    <w:rsid w:val="00A00E00"/>
    <w:rsid w:val="00A01221"/>
    <w:rsid w:val="00A012A8"/>
    <w:rsid w:val="00A012F1"/>
    <w:rsid w:val="00A016FF"/>
    <w:rsid w:val="00A01886"/>
    <w:rsid w:val="00A0207F"/>
    <w:rsid w:val="00A021AF"/>
    <w:rsid w:val="00A027B1"/>
    <w:rsid w:val="00A028AE"/>
    <w:rsid w:val="00A0307A"/>
    <w:rsid w:val="00A03A7C"/>
    <w:rsid w:val="00A044AA"/>
    <w:rsid w:val="00A04A4E"/>
    <w:rsid w:val="00A04F64"/>
    <w:rsid w:val="00A05F12"/>
    <w:rsid w:val="00A0700C"/>
    <w:rsid w:val="00A102F8"/>
    <w:rsid w:val="00A10A20"/>
    <w:rsid w:val="00A114DB"/>
    <w:rsid w:val="00A117D5"/>
    <w:rsid w:val="00A11814"/>
    <w:rsid w:val="00A11C11"/>
    <w:rsid w:val="00A12720"/>
    <w:rsid w:val="00A12ED1"/>
    <w:rsid w:val="00A13121"/>
    <w:rsid w:val="00A131F5"/>
    <w:rsid w:val="00A133C1"/>
    <w:rsid w:val="00A13414"/>
    <w:rsid w:val="00A13675"/>
    <w:rsid w:val="00A138B7"/>
    <w:rsid w:val="00A13F2D"/>
    <w:rsid w:val="00A14044"/>
    <w:rsid w:val="00A148A0"/>
    <w:rsid w:val="00A14AA8"/>
    <w:rsid w:val="00A14F81"/>
    <w:rsid w:val="00A1535F"/>
    <w:rsid w:val="00A15CB1"/>
    <w:rsid w:val="00A15DCC"/>
    <w:rsid w:val="00A15E7D"/>
    <w:rsid w:val="00A15E84"/>
    <w:rsid w:val="00A16021"/>
    <w:rsid w:val="00A16961"/>
    <w:rsid w:val="00A176DD"/>
    <w:rsid w:val="00A21838"/>
    <w:rsid w:val="00A22A79"/>
    <w:rsid w:val="00A22C3E"/>
    <w:rsid w:val="00A22C4D"/>
    <w:rsid w:val="00A22EAA"/>
    <w:rsid w:val="00A2334E"/>
    <w:rsid w:val="00A23442"/>
    <w:rsid w:val="00A246F1"/>
    <w:rsid w:val="00A2491E"/>
    <w:rsid w:val="00A249D2"/>
    <w:rsid w:val="00A24EC2"/>
    <w:rsid w:val="00A254AB"/>
    <w:rsid w:val="00A259F2"/>
    <w:rsid w:val="00A266CC"/>
    <w:rsid w:val="00A26DB4"/>
    <w:rsid w:val="00A27425"/>
    <w:rsid w:val="00A3023E"/>
    <w:rsid w:val="00A305C5"/>
    <w:rsid w:val="00A30919"/>
    <w:rsid w:val="00A31F05"/>
    <w:rsid w:val="00A31FD2"/>
    <w:rsid w:val="00A3404D"/>
    <w:rsid w:val="00A341AA"/>
    <w:rsid w:val="00A341AB"/>
    <w:rsid w:val="00A34290"/>
    <w:rsid w:val="00A355F9"/>
    <w:rsid w:val="00A357D3"/>
    <w:rsid w:val="00A35AA9"/>
    <w:rsid w:val="00A35F3C"/>
    <w:rsid w:val="00A367CD"/>
    <w:rsid w:val="00A36CF6"/>
    <w:rsid w:val="00A37309"/>
    <w:rsid w:val="00A37329"/>
    <w:rsid w:val="00A37558"/>
    <w:rsid w:val="00A3786A"/>
    <w:rsid w:val="00A4008C"/>
    <w:rsid w:val="00A402A8"/>
    <w:rsid w:val="00A40685"/>
    <w:rsid w:val="00A40E2F"/>
    <w:rsid w:val="00A41819"/>
    <w:rsid w:val="00A41C9A"/>
    <w:rsid w:val="00A41D73"/>
    <w:rsid w:val="00A422FF"/>
    <w:rsid w:val="00A42406"/>
    <w:rsid w:val="00A433E8"/>
    <w:rsid w:val="00A43A1D"/>
    <w:rsid w:val="00A43AB0"/>
    <w:rsid w:val="00A44854"/>
    <w:rsid w:val="00A44A45"/>
    <w:rsid w:val="00A4665D"/>
    <w:rsid w:val="00A46859"/>
    <w:rsid w:val="00A46D39"/>
    <w:rsid w:val="00A47019"/>
    <w:rsid w:val="00A47163"/>
    <w:rsid w:val="00A47270"/>
    <w:rsid w:val="00A472B8"/>
    <w:rsid w:val="00A5004A"/>
    <w:rsid w:val="00A5017C"/>
    <w:rsid w:val="00A502D6"/>
    <w:rsid w:val="00A502F5"/>
    <w:rsid w:val="00A504F4"/>
    <w:rsid w:val="00A507C4"/>
    <w:rsid w:val="00A508AA"/>
    <w:rsid w:val="00A50EE7"/>
    <w:rsid w:val="00A526CE"/>
    <w:rsid w:val="00A54909"/>
    <w:rsid w:val="00A549A4"/>
    <w:rsid w:val="00A54DC0"/>
    <w:rsid w:val="00A550C9"/>
    <w:rsid w:val="00A55228"/>
    <w:rsid w:val="00A552EB"/>
    <w:rsid w:val="00A55410"/>
    <w:rsid w:val="00A55A04"/>
    <w:rsid w:val="00A564D4"/>
    <w:rsid w:val="00A564DE"/>
    <w:rsid w:val="00A6054E"/>
    <w:rsid w:val="00A60799"/>
    <w:rsid w:val="00A607F2"/>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089"/>
    <w:rsid w:val="00A730B2"/>
    <w:rsid w:val="00A732FB"/>
    <w:rsid w:val="00A7463E"/>
    <w:rsid w:val="00A758E2"/>
    <w:rsid w:val="00A765B1"/>
    <w:rsid w:val="00A772F2"/>
    <w:rsid w:val="00A77828"/>
    <w:rsid w:val="00A77BAA"/>
    <w:rsid w:val="00A800F9"/>
    <w:rsid w:val="00A803A6"/>
    <w:rsid w:val="00A8073D"/>
    <w:rsid w:val="00A807A0"/>
    <w:rsid w:val="00A80D02"/>
    <w:rsid w:val="00A81056"/>
    <w:rsid w:val="00A8110F"/>
    <w:rsid w:val="00A815FB"/>
    <w:rsid w:val="00A818BD"/>
    <w:rsid w:val="00A81AEB"/>
    <w:rsid w:val="00A81CEE"/>
    <w:rsid w:val="00A82D32"/>
    <w:rsid w:val="00A82EAE"/>
    <w:rsid w:val="00A82FC7"/>
    <w:rsid w:val="00A847F9"/>
    <w:rsid w:val="00A84F27"/>
    <w:rsid w:val="00A8519C"/>
    <w:rsid w:val="00A855EE"/>
    <w:rsid w:val="00A8597A"/>
    <w:rsid w:val="00A85B87"/>
    <w:rsid w:val="00A85F83"/>
    <w:rsid w:val="00A86019"/>
    <w:rsid w:val="00A86EED"/>
    <w:rsid w:val="00A8733A"/>
    <w:rsid w:val="00A90CCF"/>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AD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B16"/>
    <w:rsid w:val="00AB02EA"/>
    <w:rsid w:val="00AB0BEA"/>
    <w:rsid w:val="00AB110C"/>
    <w:rsid w:val="00AB1891"/>
    <w:rsid w:val="00AB227A"/>
    <w:rsid w:val="00AB22BF"/>
    <w:rsid w:val="00AB256E"/>
    <w:rsid w:val="00AB3466"/>
    <w:rsid w:val="00AB38B2"/>
    <w:rsid w:val="00AB3BBB"/>
    <w:rsid w:val="00AB4069"/>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D76"/>
    <w:rsid w:val="00AC6E18"/>
    <w:rsid w:val="00AC7F64"/>
    <w:rsid w:val="00AD1065"/>
    <w:rsid w:val="00AD159E"/>
    <w:rsid w:val="00AD2AB1"/>
    <w:rsid w:val="00AD2F78"/>
    <w:rsid w:val="00AD3132"/>
    <w:rsid w:val="00AD3DA6"/>
    <w:rsid w:val="00AD3F3C"/>
    <w:rsid w:val="00AD447E"/>
    <w:rsid w:val="00AD4B2F"/>
    <w:rsid w:val="00AD5137"/>
    <w:rsid w:val="00AD5F0A"/>
    <w:rsid w:val="00AD6A5B"/>
    <w:rsid w:val="00AD6B4F"/>
    <w:rsid w:val="00AD6D19"/>
    <w:rsid w:val="00AD7812"/>
    <w:rsid w:val="00AD7C42"/>
    <w:rsid w:val="00AD7CFA"/>
    <w:rsid w:val="00AE06B0"/>
    <w:rsid w:val="00AE0BD6"/>
    <w:rsid w:val="00AE11C1"/>
    <w:rsid w:val="00AE163D"/>
    <w:rsid w:val="00AE1A42"/>
    <w:rsid w:val="00AE1C5C"/>
    <w:rsid w:val="00AE2D42"/>
    <w:rsid w:val="00AE315E"/>
    <w:rsid w:val="00AE319F"/>
    <w:rsid w:val="00AE31D9"/>
    <w:rsid w:val="00AE3CF0"/>
    <w:rsid w:val="00AE4546"/>
    <w:rsid w:val="00AE5A57"/>
    <w:rsid w:val="00AE6575"/>
    <w:rsid w:val="00AE7014"/>
    <w:rsid w:val="00AE71EE"/>
    <w:rsid w:val="00AE72F0"/>
    <w:rsid w:val="00AF03CF"/>
    <w:rsid w:val="00AF0A0A"/>
    <w:rsid w:val="00AF11F5"/>
    <w:rsid w:val="00AF14FC"/>
    <w:rsid w:val="00AF1ED2"/>
    <w:rsid w:val="00AF1F4E"/>
    <w:rsid w:val="00AF2302"/>
    <w:rsid w:val="00AF262A"/>
    <w:rsid w:val="00AF27C1"/>
    <w:rsid w:val="00AF3557"/>
    <w:rsid w:val="00AF3F86"/>
    <w:rsid w:val="00AF4CEE"/>
    <w:rsid w:val="00AF4F4A"/>
    <w:rsid w:val="00AF52BF"/>
    <w:rsid w:val="00AF584C"/>
    <w:rsid w:val="00AF5D84"/>
    <w:rsid w:val="00AF6476"/>
    <w:rsid w:val="00AF669D"/>
    <w:rsid w:val="00AF672C"/>
    <w:rsid w:val="00AF673E"/>
    <w:rsid w:val="00AF6ABE"/>
    <w:rsid w:val="00AF7072"/>
    <w:rsid w:val="00AF7389"/>
    <w:rsid w:val="00AF783A"/>
    <w:rsid w:val="00AF79DF"/>
    <w:rsid w:val="00AF7C37"/>
    <w:rsid w:val="00B00378"/>
    <w:rsid w:val="00B00D91"/>
    <w:rsid w:val="00B00E84"/>
    <w:rsid w:val="00B01DD9"/>
    <w:rsid w:val="00B01F0E"/>
    <w:rsid w:val="00B038F1"/>
    <w:rsid w:val="00B03AB2"/>
    <w:rsid w:val="00B03C1B"/>
    <w:rsid w:val="00B042E5"/>
    <w:rsid w:val="00B04678"/>
    <w:rsid w:val="00B047C9"/>
    <w:rsid w:val="00B04A04"/>
    <w:rsid w:val="00B04B78"/>
    <w:rsid w:val="00B04C37"/>
    <w:rsid w:val="00B04F00"/>
    <w:rsid w:val="00B05331"/>
    <w:rsid w:val="00B05BA6"/>
    <w:rsid w:val="00B066FE"/>
    <w:rsid w:val="00B06912"/>
    <w:rsid w:val="00B07316"/>
    <w:rsid w:val="00B07F74"/>
    <w:rsid w:val="00B10021"/>
    <w:rsid w:val="00B10174"/>
    <w:rsid w:val="00B10618"/>
    <w:rsid w:val="00B10B04"/>
    <w:rsid w:val="00B10CC6"/>
    <w:rsid w:val="00B1148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AD5"/>
    <w:rsid w:val="00B20760"/>
    <w:rsid w:val="00B2125C"/>
    <w:rsid w:val="00B21469"/>
    <w:rsid w:val="00B21676"/>
    <w:rsid w:val="00B219E1"/>
    <w:rsid w:val="00B21ECF"/>
    <w:rsid w:val="00B22150"/>
    <w:rsid w:val="00B226DE"/>
    <w:rsid w:val="00B22FB5"/>
    <w:rsid w:val="00B2357A"/>
    <w:rsid w:val="00B241D5"/>
    <w:rsid w:val="00B24BE9"/>
    <w:rsid w:val="00B2551D"/>
    <w:rsid w:val="00B25E7C"/>
    <w:rsid w:val="00B25F8C"/>
    <w:rsid w:val="00B260BE"/>
    <w:rsid w:val="00B26677"/>
    <w:rsid w:val="00B26A96"/>
    <w:rsid w:val="00B274E3"/>
    <w:rsid w:val="00B2765C"/>
    <w:rsid w:val="00B27BCE"/>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CC3"/>
    <w:rsid w:val="00B40222"/>
    <w:rsid w:val="00B404C3"/>
    <w:rsid w:val="00B41A04"/>
    <w:rsid w:val="00B42743"/>
    <w:rsid w:val="00B430E9"/>
    <w:rsid w:val="00B4311F"/>
    <w:rsid w:val="00B431AE"/>
    <w:rsid w:val="00B432FF"/>
    <w:rsid w:val="00B437A9"/>
    <w:rsid w:val="00B44288"/>
    <w:rsid w:val="00B4468B"/>
    <w:rsid w:val="00B448BF"/>
    <w:rsid w:val="00B45A59"/>
    <w:rsid w:val="00B45F9F"/>
    <w:rsid w:val="00B4627C"/>
    <w:rsid w:val="00B4641F"/>
    <w:rsid w:val="00B46793"/>
    <w:rsid w:val="00B46953"/>
    <w:rsid w:val="00B47455"/>
    <w:rsid w:val="00B47979"/>
    <w:rsid w:val="00B47A59"/>
    <w:rsid w:val="00B47ECD"/>
    <w:rsid w:val="00B47FF3"/>
    <w:rsid w:val="00B503D6"/>
    <w:rsid w:val="00B508A4"/>
    <w:rsid w:val="00B50E62"/>
    <w:rsid w:val="00B51520"/>
    <w:rsid w:val="00B515C3"/>
    <w:rsid w:val="00B51798"/>
    <w:rsid w:val="00B517C2"/>
    <w:rsid w:val="00B518CE"/>
    <w:rsid w:val="00B51D62"/>
    <w:rsid w:val="00B51F56"/>
    <w:rsid w:val="00B52234"/>
    <w:rsid w:val="00B52A7F"/>
    <w:rsid w:val="00B53623"/>
    <w:rsid w:val="00B53D1D"/>
    <w:rsid w:val="00B53E98"/>
    <w:rsid w:val="00B53F9B"/>
    <w:rsid w:val="00B54B19"/>
    <w:rsid w:val="00B55F64"/>
    <w:rsid w:val="00B56ECA"/>
    <w:rsid w:val="00B57093"/>
    <w:rsid w:val="00B57B5D"/>
    <w:rsid w:val="00B60613"/>
    <w:rsid w:val="00B61AEC"/>
    <w:rsid w:val="00B621B2"/>
    <w:rsid w:val="00B6244C"/>
    <w:rsid w:val="00B62A2F"/>
    <w:rsid w:val="00B62B7B"/>
    <w:rsid w:val="00B62F0A"/>
    <w:rsid w:val="00B63484"/>
    <w:rsid w:val="00B634B7"/>
    <w:rsid w:val="00B634F1"/>
    <w:rsid w:val="00B637EF"/>
    <w:rsid w:val="00B63EF6"/>
    <w:rsid w:val="00B6440A"/>
    <w:rsid w:val="00B65788"/>
    <w:rsid w:val="00B65844"/>
    <w:rsid w:val="00B65ED9"/>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AAD"/>
    <w:rsid w:val="00B76FCD"/>
    <w:rsid w:val="00B77315"/>
    <w:rsid w:val="00B7764D"/>
    <w:rsid w:val="00B804F8"/>
    <w:rsid w:val="00B8095A"/>
    <w:rsid w:val="00B809D6"/>
    <w:rsid w:val="00B81274"/>
    <w:rsid w:val="00B8154A"/>
    <w:rsid w:val="00B815D3"/>
    <w:rsid w:val="00B81742"/>
    <w:rsid w:val="00B817B5"/>
    <w:rsid w:val="00B82048"/>
    <w:rsid w:val="00B823A6"/>
    <w:rsid w:val="00B83712"/>
    <w:rsid w:val="00B83E76"/>
    <w:rsid w:val="00B83FA0"/>
    <w:rsid w:val="00B84156"/>
    <w:rsid w:val="00B846E6"/>
    <w:rsid w:val="00B8537B"/>
    <w:rsid w:val="00B85586"/>
    <w:rsid w:val="00B859C3"/>
    <w:rsid w:val="00B85F32"/>
    <w:rsid w:val="00B86289"/>
    <w:rsid w:val="00B863B3"/>
    <w:rsid w:val="00B867F9"/>
    <w:rsid w:val="00B869D3"/>
    <w:rsid w:val="00B86CF8"/>
    <w:rsid w:val="00B86E44"/>
    <w:rsid w:val="00B87359"/>
    <w:rsid w:val="00B87F1C"/>
    <w:rsid w:val="00B90D8D"/>
    <w:rsid w:val="00B91263"/>
    <w:rsid w:val="00B91B61"/>
    <w:rsid w:val="00B91DF7"/>
    <w:rsid w:val="00B92FE0"/>
    <w:rsid w:val="00B93849"/>
    <w:rsid w:val="00B938BD"/>
    <w:rsid w:val="00B939D4"/>
    <w:rsid w:val="00B93CF3"/>
    <w:rsid w:val="00B93DF1"/>
    <w:rsid w:val="00B9407F"/>
    <w:rsid w:val="00B944E9"/>
    <w:rsid w:val="00B945D7"/>
    <w:rsid w:val="00B94896"/>
    <w:rsid w:val="00B94CDD"/>
    <w:rsid w:val="00B94DA7"/>
    <w:rsid w:val="00B94E91"/>
    <w:rsid w:val="00B95163"/>
    <w:rsid w:val="00B95496"/>
    <w:rsid w:val="00B954D0"/>
    <w:rsid w:val="00B96DD9"/>
    <w:rsid w:val="00B96EA6"/>
    <w:rsid w:val="00B9789D"/>
    <w:rsid w:val="00B97A4C"/>
    <w:rsid w:val="00BA050E"/>
    <w:rsid w:val="00BA1289"/>
    <w:rsid w:val="00BA14B2"/>
    <w:rsid w:val="00BA15DC"/>
    <w:rsid w:val="00BA1E2F"/>
    <w:rsid w:val="00BA1EB8"/>
    <w:rsid w:val="00BA2C82"/>
    <w:rsid w:val="00BA3869"/>
    <w:rsid w:val="00BA4147"/>
    <w:rsid w:val="00BA4399"/>
    <w:rsid w:val="00BA4452"/>
    <w:rsid w:val="00BA46C6"/>
    <w:rsid w:val="00BA4A40"/>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6FA"/>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0F0A"/>
    <w:rsid w:val="00BC18B7"/>
    <w:rsid w:val="00BC25D1"/>
    <w:rsid w:val="00BC2DBD"/>
    <w:rsid w:val="00BC3824"/>
    <w:rsid w:val="00BC3ADA"/>
    <w:rsid w:val="00BC3BCB"/>
    <w:rsid w:val="00BC3CF1"/>
    <w:rsid w:val="00BC41A5"/>
    <w:rsid w:val="00BC428A"/>
    <w:rsid w:val="00BC4C40"/>
    <w:rsid w:val="00BC5A29"/>
    <w:rsid w:val="00BC5AE3"/>
    <w:rsid w:val="00BC5BAD"/>
    <w:rsid w:val="00BC692A"/>
    <w:rsid w:val="00BC76C5"/>
    <w:rsid w:val="00BC7F94"/>
    <w:rsid w:val="00BD05AE"/>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E04"/>
    <w:rsid w:val="00BE2FD2"/>
    <w:rsid w:val="00BE377A"/>
    <w:rsid w:val="00BE37AE"/>
    <w:rsid w:val="00BE3B14"/>
    <w:rsid w:val="00BE3C65"/>
    <w:rsid w:val="00BE4222"/>
    <w:rsid w:val="00BE472D"/>
    <w:rsid w:val="00BE4C03"/>
    <w:rsid w:val="00BE6067"/>
    <w:rsid w:val="00BE7F4D"/>
    <w:rsid w:val="00BF03C0"/>
    <w:rsid w:val="00BF0EBF"/>
    <w:rsid w:val="00BF1534"/>
    <w:rsid w:val="00BF194C"/>
    <w:rsid w:val="00BF2021"/>
    <w:rsid w:val="00BF21D4"/>
    <w:rsid w:val="00BF2DDC"/>
    <w:rsid w:val="00BF32DE"/>
    <w:rsid w:val="00BF4A15"/>
    <w:rsid w:val="00BF4E0E"/>
    <w:rsid w:val="00BF4E27"/>
    <w:rsid w:val="00BF4F7C"/>
    <w:rsid w:val="00BF537B"/>
    <w:rsid w:val="00BF5901"/>
    <w:rsid w:val="00BF5E18"/>
    <w:rsid w:val="00BF626A"/>
    <w:rsid w:val="00BF688E"/>
    <w:rsid w:val="00BF68EB"/>
    <w:rsid w:val="00BF6D77"/>
    <w:rsid w:val="00BF739A"/>
    <w:rsid w:val="00BF7EF5"/>
    <w:rsid w:val="00C00BF6"/>
    <w:rsid w:val="00C0234A"/>
    <w:rsid w:val="00C0247B"/>
    <w:rsid w:val="00C0378E"/>
    <w:rsid w:val="00C04314"/>
    <w:rsid w:val="00C04BD0"/>
    <w:rsid w:val="00C0572F"/>
    <w:rsid w:val="00C05730"/>
    <w:rsid w:val="00C05AF4"/>
    <w:rsid w:val="00C05AFD"/>
    <w:rsid w:val="00C0661C"/>
    <w:rsid w:val="00C0675F"/>
    <w:rsid w:val="00C0699E"/>
    <w:rsid w:val="00C0702A"/>
    <w:rsid w:val="00C070D3"/>
    <w:rsid w:val="00C0724C"/>
    <w:rsid w:val="00C07C11"/>
    <w:rsid w:val="00C07E10"/>
    <w:rsid w:val="00C10015"/>
    <w:rsid w:val="00C103F2"/>
    <w:rsid w:val="00C1110A"/>
    <w:rsid w:val="00C11689"/>
    <w:rsid w:val="00C12414"/>
    <w:rsid w:val="00C12C0E"/>
    <w:rsid w:val="00C12ECB"/>
    <w:rsid w:val="00C136BF"/>
    <w:rsid w:val="00C148B2"/>
    <w:rsid w:val="00C14ABD"/>
    <w:rsid w:val="00C1519B"/>
    <w:rsid w:val="00C151E0"/>
    <w:rsid w:val="00C1555A"/>
    <w:rsid w:val="00C155A8"/>
    <w:rsid w:val="00C159FD"/>
    <w:rsid w:val="00C15B31"/>
    <w:rsid w:val="00C15F66"/>
    <w:rsid w:val="00C1604F"/>
    <w:rsid w:val="00C166D4"/>
    <w:rsid w:val="00C168E5"/>
    <w:rsid w:val="00C1696D"/>
    <w:rsid w:val="00C16C90"/>
    <w:rsid w:val="00C170EE"/>
    <w:rsid w:val="00C17AB5"/>
    <w:rsid w:val="00C20051"/>
    <w:rsid w:val="00C20B6C"/>
    <w:rsid w:val="00C20B86"/>
    <w:rsid w:val="00C20FB0"/>
    <w:rsid w:val="00C21145"/>
    <w:rsid w:val="00C215ED"/>
    <w:rsid w:val="00C22350"/>
    <w:rsid w:val="00C235C4"/>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B04"/>
    <w:rsid w:val="00C35CA1"/>
    <w:rsid w:val="00C35EED"/>
    <w:rsid w:val="00C36B2C"/>
    <w:rsid w:val="00C3701A"/>
    <w:rsid w:val="00C3791B"/>
    <w:rsid w:val="00C379EF"/>
    <w:rsid w:val="00C405C8"/>
    <w:rsid w:val="00C40C2F"/>
    <w:rsid w:val="00C413EB"/>
    <w:rsid w:val="00C415AC"/>
    <w:rsid w:val="00C4297A"/>
    <w:rsid w:val="00C43182"/>
    <w:rsid w:val="00C4360C"/>
    <w:rsid w:val="00C439B8"/>
    <w:rsid w:val="00C43A0B"/>
    <w:rsid w:val="00C43EDA"/>
    <w:rsid w:val="00C43FEC"/>
    <w:rsid w:val="00C440D2"/>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B9D"/>
    <w:rsid w:val="00C53CE9"/>
    <w:rsid w:val="00C5531B"/>
    <w:rsid w:val="00C55375"/>
    <w:rsid w:val="00C5570F"/>
    <w:rsid w:val="00C56C98"/>
    <w:rsid w:val="00C56D0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06"/>
    <w:rsid w:val="00C667C3"/>
    <w:rsid w:val="00C6728B"/>
    <w:rsid w:val="00C70718"/>
    <w:rsid w:val="00C70B25"/>
    <w:rsid w:val="00C71528"/>
    <w:rsid w:val="00C717E4"/>
    <w:rsid w:val="00C7191B"/>
    <w:rsid w:val="00C71E5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9F"/>
    <w:rsid w:val="00C832CB"/>
    <w:rsid w:val="00C84085"/>
    <w:rsid w:val="00C849FC"/>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83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A83"/>
    <w:rsid w:val="00CA3463"/>
    <w:rsid w:val="00CA3CAB"/>
    <w:rsid w:val="00CA3FC0"/>
    <w:rsid w:val="00CA4E7C"/>
    <w:rsid w:val="00CA5685"/>
    <w:rsid w:val="00CA6A2E"/>
    <w:rsid w:val="00CA6B56"/>
    <w:rsid w:val="00CA7A48"/>
    <w:rsid w:val="00CA7D3E"/>
    <w:rsid w:val="00CB0231"/>
    <w:rsid w:val="00CB0317"/>
    <w:rsid w:val="00CB0662"/>
    <w:rsid w:val="00CB0A82"/>
    <w:rsid w:val="00CB0F2F"/>
    <w:rsid w:val="00CB12EB"/>
    <w:rsid w:val="00CB1556"/>
    <w:rsid w:val="00CB1E71"/>
    <w:rsid w:val="00CB2913"/>
    <w:rsid w:val="00CB3970"/>
    <w:rsid w:val="00CB42B9"/>
    <w:rsid w:val="00CB4550"/>
    <w:rsid w:val="00CB4F39"/>
    <w:rsid w:val="00CB52A4"/>
    <w:rsid w:val="00CB537C"/>
    <w:rsid w:val="00CB5A26"/>
    <w:rsid w:val="00CB5C43"/>
    <w:rsid w:val="00CB645B"/>
    <w:rsid w:val="00CB6789"/>
    <w:rsid w:val="00CB6A93"/>
    <w:rsid w:val="00CB6C79"/>
    <w:rsid w:val="00CB743C"/>
    <w:rsid w:val="00CB77C3"/>
    <w:rsid w:val="00CB7E9C"/>
    <w:rsid w:val="00CC0072"/>
    <w:rsid w:val="00CC027A"/>
    <w:rsid w:val="00CC0915"/>
    <w:rsid w:val="00CC1398"/>
    <w:rsid w:val="00CC170B"/>
    <w:rsid w:val="00CC1811"/>
    <w:rsid w:val="00CC1AF5"/>
    <w:rsid w:val="00CC1B74"/>
    <w:rsid w:val="00CC291E"/>
    <w:rsid w:val="00CC2D03"/>
    <w:rsid w:val="00CC2EB0"/>
    <w:rsid w:val="00CC2FBA"/>
    <w:rsid w:val="00CC35C7"/>
    <w:rsid w:val="00CC4701"/>
    <w:rsid w:val="00CC56B4"/>
    <w:rsid w:val="00CC5F95"/>
    <w:rsid w:val="00CC642A"/>
    <w:rsid w:val="00CC6AC7"/>
    <w:rsid w:val="00CC6EDE"/>
    <w:rsid w:val="00CC733D"/>
    <w:rsid w:val="00CC7617"/>
    <w:rsid w:val="00CC7BCF"/>
    <w:rsid w:val="00CC7E0D"/>
    <w:rsid w:val="00CC7E97"/>
    <w:rsid w:val="00CD00EB"/>
    <w:rsid w:val="00CD1255"/>
    <w:rsid w:val="00CD1484"/>
    <w:rsid w:val="00CD1892"/>
    <w:rsid w:val="00CD1C01"/>
    <w:rsid w:val="00CD1D00"/>
    <w:rsid w:val="00CD2009"/>
    <w:rsid w:val="00CD27AC"/>
    <w:rsid w:val="00CD2825"/>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D2C"/>
    <w:rsid w:val="00CE2E2E"/>
    <w:rsid w:val="00CE3A51"/>
    <w:rsid w:val="00CE3EFC"/>
    <w:rsid w:val="00CE41F9"/>
    <w:rsid w:val="00CE55C5"/>
    <w:rsid w:val="00CE59F6"/>
    <w:rsid w:val="00CE66CD"/>
    <w:rsid w:val="00CE6BA9"/>
    <w:rsid w:val="00CE71C3"/>
    <w:rsid w:val="00CE727A"/>
    <w:rsid w:val="00CF029C"/>
    <w:rsid w:val="00CF0AF0"/>
    <w:rsid w:val="00CF157E"/>
    <w:rsid w:val="00CF1631"/>
    <w:rsid w:val="00CF1834"/>
    <w:rsid w:val="00CF1AAA"/>
    <w:rsid w:val="00CF1EC2"/>
    <w:rsid w:val="00CF206C"/>
    <w:rsid w:val="00CF2ACF"/>
    <w:rsid w:val="00CF345B"/>
    <w:rsid w:val="00CF475F"/>
    <w:rsid w:val="00CF5008"/>
    <w:rsid w:val="00CF5069"/>
    <w:rsid w:val="00CF5D83"/>
    <w:rsid w:val="00CF5E34"/>
    <w:rsid w:val="00CF6707"/>
    <w:rsid w:val="00CF7101"/>
    <w:rsid w:val="00CF7327"/>
    <w:rsid w:val="00CF7385"/>
    <w:rsid w:val="00CF7539"/>
    <w:rsid w:val="00CF75C6"/>
    <w:rsid w:val="00CF7B77"/>
    <w:rsid w:val="00CF7DF5"/>
    <w:rsid w:val="00D001D2"/>
    <w:rsid w:val="00D003DB"/>
    <w:rsid w:val="00D02A80"/>
    <w:rsid w:val="00D0352D"/>
    <w:rsid w:val="00D04F01"/>
    <w:rsid w:val="00D04F8B"/>
    <w:rsid w:val="00D054EF"/>
    <w:rsid w:val="00D05637"/>
    <w:rsid w:val="00D05BA9"/>
    <w:rsid w:val="00D05EB1"/>
    <w:rsid w:val="00D05F85"/>
    <w:rsid w:val="00D0607D"/>
    <w:rsid w:val="00D06358"/>
    <w:rsid w:val="00D0650B"/>
    <w:rsid w:val="00D068AA"/>
    <w:rsid w:val="00D06E71"/>
    <w:rsid w:val="00D06E9C"/>
    <w:rsid w:val="00D0714B"/>
    <w:rsid w:val="00D0764E"/>
    <w:rsid w:val="00D07D82"/>
    <w:rsid w:val="00D10327"/>
    <w:rsid w:val="00D103C9"/>
    <w:rsid w:val="00D10BE1"/>
    <w:rsid w:val="00D11FE3"/>
    <w:rsid w:val="00D12235"/>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460"/>
    <w:rsid w:val="00D165D8"/>
    <w:rsid w:val="00D1724E"/>
    <w:rsid w:val="00D1730C"/>
    <w:rsid w:val="00D17C26"/>
    <w:rsid w:val="00D17E08"/>
    <w:rsid w:val="00D206F6"/>
    <w:rsid w:val="00D20965"/>
    <w:rsid w:val="00D20FD1"/>
    <w:rsid w:val="00D214D4"/>
    <w:rsid w:val="00D21AAA"/>
    <w:rsid w:val="00D21E6F"/>
    <w:rsid w:val="00D2218A"/>
    <w:rsid w:val="00D22B13"/>
    <w:rsid w:val="00D2371E"/>
    <w:rsid w:val="00D237E0"/>
    <w:rsid w:val="00D23A17"/>
    <w:rsid w:val="00D24B7B"/>
    <w:rsid w:val="00D24EC5"/>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828"/>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D3F"/>
    <w:rsid w:val="00D45C61"/>
    <w:rsid w:val="00D45DDC"/>
    <w:rsid w:val="00D5064C"/>
    <w:rsid w:val="00D506D6"/>
    <w:rsid w:val="00D50C94"/>
    <w:rsid w:val="00D511E7"/>
    <w:rsid w:val="00D517ED"/>
    <w:rsid w:val="00D5251C"/>
    <w:rsid w:val="00D52F56"/>
    <w:rsid w:val="00D539DA"/>
    <w:rsid w:val="00D547B2"/>
    <w:rsid w:val="00D54A50"/>
    <w:rsid w:val="00D54C57"/>
    <w:rsid w:val="00D54FFD"/>
    <w:rsid w:val="00D550CA"/>
    <w:rsid w:val="00D5552C"/>
    <w:rsid w:val="00D5556D"/>
    <w:rsid w:val="00D55817"/>
    <w:rsid w:val="00D55991"/>
    <w:rsid w:val="00D55C34"/>
    <w:rsid w:val="00D55C81"/>
    <w:rsid w:val="00D5674B"/>
    <w:rsid w:val="00D56B56"/>
    <w:rsid w:val="00D56BF5"/>
    <w:rsid w:val="00D56F99"/>
    <w:rsid w:val="00D5743F"/>
    <w:rsid w:val="00D574C2"/>
    <w:rsid w:val="00D57F1F"/>
    <w:rsid w:val="00D60065"/>
    <w:rsid w:val="00D60270"/>
    <w:rsid w:val="00D60342"/>
    <w:rsid w:val="00D605C2"/>
    <w:rsid w:val="00D60733"/>
    <w:rsid w:val="00D60C60"/>
    <w:rsid w:val="00D614C5"/>
    <w:rsid w:val="00D61857"/>
    <w:rsid w:val="00D61E1D"/>
    <w:rsid w:val="00D629A4"/>
    <w:rsid w:val="00D62BDF"/>
    <w:rsid w:val="00D62EEE"/>
    <w:rsid w:val="00D631EA"/>
    <w:rsid w:val="00D64F1C"/>
    <w:rsid w:val="00D6570C"/>
    <w:rsid w:val="00D659EA"/>
    <w:rsid w:val="00D65A89"/>
    <w:rsid w:val="00D65E85"/>
    <w:rsid w:val="00D6611C"/>
    <w:rsid w:val="00D671C7"/>
    <w:rsid w:val="00D6739C"/>
    <w:rsid w:val="00D675B0"/>
    <w:rsid w:val="00D675DE"/>
    <w:rsid w:val="00D677DF"/>
    <w:rsid w:val="00D678BB"/>
    <w:rsid w:val="00D67D81"/>
    <w:rsid w:val="00D70170"/>
    <w:rsid w:val="00D702E8"/>
    <w:rsid w:val="00D70552"/>
    <w:rsid w:val="00D7083C"/>
    <w:rsid w:val="00D70D42"/>
    <w:rsid w:val="00D71285"/>
    <w:rsid w:val="00D71ABC"/>
    <w:rsid w:val="00D72125"/>
    <w:rsid w:val="00D721C5"/>
    <w:rsid w:val="00D72454"/>
    <w:rsid w:val="00D729A7"/>
    <w:rsid w:val="00D72A5B"/>
    <w:rsid w:val="00D73991"/>
    <w:rsid w:val="00D73CD4"/>
    <w:rsid w:val="00D73F06"/>
    <w:rsid w:val="00D740B2"/>
    <w:rsid w:val="00D74247"/>
    <w:rsid w:val="00D743F1"/>
    <w:rsid w:val="00D744CF"/>
    <w:rsid w:val="00D7456E"/>
    <w:rsid w:val="00D753A9"/>
    <w:rsid w:val="00D754C5"/>
    <w:rsid w:val="00D755F7"/>
    <w:rsid w:val="00D75712"/>
    <w:rsid w:val="00D75DDB"/>
    <w:rsid w:val="00D75E4B"/>
    <w:rsid w:val="00D76434"/>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17E"/>
    <w:rsid w:val="00D85FDE"/>
    <w:rsid w:val="00D8665E"/>
    <w:rsid w:val="00D869C1"/>
    <w:rsid w:val="00D86B37"/>
    <w:rsid w:val="00D86EC6"/>
    <w:rsid w:val="00D87418"/>
    <w:rsid w:val="00D87A39"/>
    <w:rsid w:val="00D87FE6"/>
    <w:rsid w:val="00D90BC3"/>
    <w:rsid w:val="00D90C93"/>
    <w:rsid w:val="00D90DB9"/>
    <w:rsid w:val="00D91001"/>
    <w:rsid w:val="00D910FF"/>
    <w:rsid w:val="00D91337"/>
    <w:rsid w:val="00D915C9"/>
    <w:rsid w:val="00D917C3"/>
    <w:rsid w:val="00D918DA"/>
    <w:rsid w:val="00D9198F"/>
    <w:rsid w:val="00D92078"/>
    <w:rsid w:val="00D926F0"/>
    <w:rsid w:val="00D927EF"/>
    <w:rsid w:val="00D92A87"/>
    <w:rsid w:val="00D9384E"/>
    <w:rsid w:val="00D93AEE"/>
    <w:rsid w:val="00D9413E"/>
    <w:rsid w:val="00D94C8D"/>
    <w:rsid w:val="00D95F88"/>
    <w:rsid w:val="00D96698"/>
    <w:rsid w:val="00D96876"/>
    <w:rsid w:val="00D96940"/>
    <w:rsid w:val="00D96B12"/>
    <w:rsid w:val="00D96F59"/>
    <w:rsid w:val="00DA006E"/>
    <w:rsid w:val="00DA0175"/>
    <w:rsid w:val="00DA099C"/>
    <w:rsid w:val="00DA0F18"/>
    <w:rsid w:val="00DA0F6E"/>
    <w:rsid w:val="00DA2125"/>
    <w:rsid w:val="00DA21EC"/>
    <w:rsid w:val="00DA24DE"/>
    <w:rsid w:val="00DA270C"/>
    <w:rsid w:val="00DA281F"/>
    <w:rsid w:val="00DA2A11"/>
    <w:rsid w:val="00DA3125"/>
    <w:rsid w:val="00DA3C5B"/>
    <w:rsid w:val="00DA3D23"/>
    <w:rsid w:val="00DA4A61"/>
    <w:rsid w:val="00DA5AFE"/>
    <w:rsid w:val="00DA61AB"/>
    <w:rsid w:val="00DA61CD"/>
    <w:rsid w:val="00DA6EE2"/>
    <w:rsid w:val="00DA6FD4"/>
    <w:rsid w:val="00DA718A"/>
    <w:rsid w:val="00DA7238"/>
    <w:rsid w:val="00DA78CF"/>
    <w:rsid w:val="00DA78D5"/>
    <w:rsid w:val="00DA7A89"/>
    <w:rsid w:val="00DA7BF4"/>
    <w:rsid w:val="00DB052F"/>
    <w:rsid w:val="00DB0C1A"/>
    <w:rsid w:val="00DB0E84"/>
    <w:rsid w:val="00DB11E5"/>
    <w:rsid w:val="00DB14D3"/>
    <w:rsid w:val="00DB154B"/>
    <w:rsid w:val="00DB1BDC"/>
    <w:rsid w:val="00DB3325"/>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5C"/>
    <w:rsid w:val="00DC1395"/>
    <w:rsid w:val="00DC1981"/>
    <w:rsid w:val="00DC2FC2"/>
    <w:rsid w:val="00DC32FC"/>
    <w:rsid w:val="00DC3D89"/>
    <w:rsid w:val="00DC4445"/>
    <w:rsid w:val="00DC4567"/>
    <w:rsid w:val="00DC4D6C"/>
    <w:rsid w:val="00DC4F47"/>
    <w:rsid w:val="00DC5059"/>
    <w:rsid w:val="00DC5860"/>
    <w:rsid w:val="00DC5BD0"/>
    <w:rsid w:val="00DC5BE2"/>
    <w:rsid w:val="00DC6284"/>
    <w:rsid w:val="00DC628E"/>
    <w:rsid w:val="00DC6747"/>
    <w:rsid w:val="00DC6AF3"/>
    <w:rsid w:val="00DC6C21"/>
    <w:rsid w:val="00DC7608"/>
    <w:rsid w:val="00DC761E"/>
    <w:rsid w:val="00DC76C2"/>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96"/>
    <w:rsid w:val="00DE5D48"/>
    <w:rsid w:val="00DE6E4D"/>
    <w:rsid w:val="00DE7498"/>
    <w:rsid w:val="00DE75EF"/>
    <w:rsid w:val="00DE7611"/>
    <w:rsid w:val="00DE7D19"/>
    <w:rsid w:val="00DF05A0"/>
    <w:rsid w:val="00DF1059"/>
    <w:rsid w:val="00DF1162"/>
    <w:rsid w:val="00DF1BA8"/>
    <w:rsid w:val="00DF1F63"/>
    <w:rsid w:val="00DF28F2"/>
    <w:rsid w:val="00DF2B7A"/>
    <w:rsid w:val="00DF2BFF"/>
    <w:rsid w:val="00DF3798"/>
    <w:rsid w:val="00DF4FF1"/>
    <w:rsid w:val="00DF56A3"/>
    <w:rsid w:val="00DF5B33"/>
    <w:rsid w:val="00DF5ED7"/>
    <w:rsid w:val="00DF6E42"/>
    <w:rsid w:val="00DF6FD2"/>
    <w:rsid w:val="00DF72EF"/>
    <w:rsid w:val="00DF743D"/>
    <w:rsid w:val="00DF7724"/>
    <w:rsid w:val="00E000D8"/>
    <w:rsid w:val="00E00C1E"/>
    <w:rsid w:val="00E00F5F"/>
    <w:rsid w:val="00E010E6"/>
    <w:rsid w:val="00E01377"/>
    <w:rsid w:val="00E014E7"/>
    <w:rsid w:val="00E02004"/>
    <w:rsid w:val="00E0232F"/>
    <w:rsid w:val="00E0255C"/>
    <w:rsid w:val="00E026A9"/>
    <w:rsid w:val="00E0356F"/>
    <w:rsid w:val="00E035C9"/>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07C1F"/>
    <w:rsid w:val="00E10712"/>
    <w:rsid w:val="00E10DD1"/>
    <w:rsid w:val="00E1224C"/>
    <w:rsid w:val="00E1254C"/>
    <w:rsid w:val="00E12BDF"/>
    <w:rsid w:val="00E13326"/>
    <w:rsid w:val="00E13D07"/>
    <w:rsid w:val="00E14139"/>
    <w:rsid w:val="00E14356"/>
    <w:rsid w:val="00E14961"/>
    <w:rsid w:val="00E14D76"/>
    <w:rsid w:val="00E15183"/>
    <w:rsid w:val="00E15D6C"/>
    <w:rsid w:val="00E16061"/>
    <w:rsid w:val="00E164D7"/>
    <w:rsid w:val="00E1720B"/>
    <w:rsid w:val="00E203DE"/>
    <w:rsid w:val="00E20BD8"/>
    <w:rsid w:val="00E20CE7"/>
    <w:rsid w:val="00E217B1"/>
    <w:rsid w:val="00E222FA"/>
    <w:rsid w:val="00E229CE"/>
    <w:rsid w:val="00E22B4A"/>
    <w:rsid w:val="00E22D66"/>
    <w:rsid w:val="00E2323C"/>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BFD"/>
    <w:rsid w:val="00E34662"/>
    <w:rsid w:val="00E34A2F"/>
    <w:rsid w:val="00E35A45"/>
    <w:rsid w:val="00E35F7F"/>
    <w:rsid w:val="00E36392"/>
    <w:rsid w:val="00E36B32"/>
    <w:rsid w:val="00E36EDB"/>
    <w:rsid w:val="00E373CC"/>
    <w:rsid w:val="00E37A6F"/>
    <w:rsid w:val="00E37A9C"/>
    <w:rsid w:val="00E40222"/>
    <w:rsid w:val="00E40406"/>
    <w:rsid w:val="00E40655"/>
    <w:rsid w:val="00E4082B"/>
    <w:rsid w:val="00E40835"/>
    <w:rsid w:val="00E408EC"/>
    <w:rsid w:val="00E409B5"/>
    <w:rsid w:val="00E40BCB"/>
    <w:rsid w:val="00E4208F"/>
    <w:rsid w:val="00E42E94"/>
    <w:rsid w:val="00E43006"/>
    <w:rsid w:val="00E4312A"/>
    <w:rsid w:val="00E4331B"/>
    <w:rsid w:val="00E43551"/>
    <w:rsid w:val="00E436BD"/>
    <w:rsid w:val="00E437FA"/>
    <w:rsid w:val="00E448B0"/>
    <w:rsid w:val="00E45A2C"/>
    <w:rsid w:val="00E46A6B"/>
    <w:rsid w:val="00E46A9C"/>
    <w:rsid w:val="00E47DB1"/>
    <w:rsid w:val="00E50BDD"/>
    <w:rsid w:val="00E510CF"/>
    <w:rsid w:val="00E513D7"/>
    <w:rsid w:val="00E519FE"/>
    <w:rsid w:val="00E5206C"/>
    <w:rsid w:val="00E52AAB"/>
    <w:rsid w:val="00E5448E"/>
    <w:rsid w:val="00E5455F"/>
    <w:rsid w:val="00E54E0D"/>
    <w:rsid w:val="00E55247"/>
    <w:rsid w:val="00E558E5"/>
    <w:rsid w:val="00E55B3C"/>
    <w:rsid w:val="00E55CF7"/>
    <w:rsid w:val="00E56795"/>
    <w:rsid w:val="00E56BCF"/>
    <w:rsid w:val="00E57932"/>
    <w:rsid w:val="00E606C4"/>
    <w:rsid w:val="00E60811"/>
    <w:rsid w:val="00E60AB8"/>
    <w:rsid w:val="00E6103E"/>
    <w:rsid w:val="00E617F7"/>
    <w:rsid w:val="00E6185F"/>
    <w:rsid w:val="00E61D32"/>
    <w:rsid w:val="00E63C60"/>
    <w:rsid w:val="00E64050"/>
    <w:rsid w:val="00E64B7B"/>
    <w:rsid w:val="00E6514D"/>
    <w:rsid w:val="00E65161"/>
    <w:rsid w:val="00E652C9"/>
    <w:rsid w:val="00E6593B"/>
    <w:rsid w:val="00E65A2A"/>
    <w:rsid w:val="00E65D74"/>
    <w:rsid w:val="00E65E4C"/>
    <w:rsid w:val="00E669AF"/>
    <w:rsid w:val="00E66E11"/>
    <w:rsid w:val="00E672C6"/>
    <w:rsid w:val="00E67CD7"/>
    <w:rsid w:val="00E70192"/>
    <w:rsid w:val="00E70BCB"/>
    <w:rsid w:val="00E70C55"/>
    <w:rsid w:val="00E70E34"/>
    <w:rsid w:val="00E71809"/>
    <w:rsid w:val="00E71D1E"/>
    <w:rsid w:val="00E726F2"/>
    <w:rsid w:val="00E728E2"/>
    <w:rsid w:val="00E72DAF"/>
    <w:rsid w:val="00E7323A"/>
    <w:rsid w:val="00E738FA"/>
    <w:rsid w:val="00E739B6"/>
    <w:rsid w:val="00E74A2B"/>
    <w:rsid w:val="00E75667"/>
    <w:rsid w:val="00E756D3"/>
    <w:rsid w:val="00E75A5A"/>
    <w:rsid w:val="00E76004"/>
    <w:rsid w:val="00E7608F"/>
    <w:rsid w:val="00E760D7"/>
    <w:rsid w:val="00E7618F"/>
    <w:rsid w:val="00E769CC"/>
    <w:rsid w:val="00E77124"/>
    <w:rsid w:val="00E77341"/>
    <w:rsid w:val="00E7783E"/>
    <w:rsid w:val="00E778B8"/>
    <w:rsid w:val="00E801C7"/>
    <w:rsid w:val="00E80AF8"/>
    <w:rsid w:val="00E80BED"/>
    <w:rsid w:val="00E816E8"/>
    <w:rsid w:val="00E82418"/>
    <w:rsid w:val="00E82592"/>
    <w:rsid w:val="00E825ED"/>
    <w:rsid w:val="00E827BB"/>
    <w:rsid w:val="00E82D24"/>
    <w:rsid w:val="00E8357D"/>
    <w:rsid w:val="00E83787"/>
    <w:rsid w:val="00E83C4F"/>
    <w:rsid w:val="00E84212"/>
    <w:rsid w:val="00E84C04"/>
    <w:rsid w:val="00E84F72"/>
    <w:rsid w:val="00E856A2"/>
    <w:rsid w:val="00E8572B"/>
    <w:rsid w:val="00E8575B"/>
    <w:rsid w:val="00E85929"/>
    <w:rsid w:val="00E85AD2"/>
    <w:rsid w:val="00E85E4D"/>
    <w:rsid w:val="00E879F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156"/>
    <w:rsid w:val="00EA058C"/>
    <w:rsid w:val="00EA089B"/>
    <w:rsid w:val="00EA0EEA"/>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E48"/>
    <w:rsid w:val="00EB2635"/>
    <w:rsid w:val="00EB2961"/>
    <w:rsid w:val="00EB2E1A"/>
    <w:rsid w:val="00EB2F8A"/>
    <w:rsid w:val="00EB3268"/>
    <w:rsid w:val="00EB3298"/>
    <w:rsid w:val="00EB3422"/>
    <w:rsid w:val="00EB3799"/>
    <w:rsid w:val="00EB3939"/>
    <w:rsid w:val="00EB397E"/>
    <w:rsid w:val="00EB3CE6"/>
    <w:rsid w:val="00EB3E92"/>
    <w:rsid w:val="00EB54AB"/>
    <w:rsid w:val="00EB6009"/>
    <w:rsid w:val="00EB6065"/>
    <w:rsid w:val="00EB6257"/>
    <w:rsid w:val="00EB68E6"/>
    <w:rsid w:val="00EB6AE9"/>
    <w:rsid w:val="00EB6B2D"/>
    <w:rsid w:val="00EB71C9"/>
    <w:rsid w:val="00EB763E"/>
    <w:rsid w:val="00EB7B67"/>
    <w:rsid w:val="00EC07F1"/>
    <w:rsid w:val="00EC1E8A"/>
    <w:rsid w:val="00EC201B"/>
    <w:rsid w:val="00EC328C"/>
    <w:rsid w:val="00EC32F5"/>
    <w:rsid w:val="00EC3443"/>
    <w:rsid w:val="00EC3852"/>
    <w:rsid w:val="00EC40B3"/>
    <w:rsid w:val="00EC42B1"/>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F7"/>
    <w:rsid w:val="00ED4483"/>
    <w:rsid w:val="00ED4A77"/>
    <w:rsid w:val="00ED4B6E"/>
    <w:rsid w:val="00ED5981"/>
    <w:rsid w:val="00ED609C"/>
    <w:rsid w:val="00ED613A"/>
    <w:rsid w:val="00ED6514"/>
    <w:rsid w:val="00ED66B2"/>
    <w:rsid w:val="00ED71BA"/>
    <w:rsid w:val="00ED728F"/>
    <w:rsid w:val="00ED73A1"/>
    <w:rsid w:val="00ED7CA2"/>
    <w:rsid w:val="00EE04F9"/>
    <w:rsid w:val="00EE05E0"/>
    <w:rsid w:val="00EE0676"/>
    <w:rsid w:val="00EE13DA"/>
    <w:rsid w:val="00EE1595"/>
    <w:rsid w:val="00EE1E71"/>
    <w:rsid w:val="00EE2087"/>
    <w:rsid w:val="00EE20C2"/>
    <w:rsid w:val="00EE2A9D"/>
    <w:rsid w:val="00EE3384"/>
    <w:rsid w:val="00EE499F"/>
    <w:rsid w:val="00EE5466"/>
    <w:rsid w:val="00EE56E2"/>
    <w:rsid w:val="00EE5FCD"/>
    <w:rsid w:val="00EE63BF"/>
    <w:rsid w:val="00EE6D45"/>
    <w:rsid w:val="00EE6E89"/>
    <w:rsid w:val="00EF0D4B"/>
    <w:rsid w:val="00EF0FE6"/>
    <w:rsid w:val="00EF1130"/>
    <w:rsid w:val="00EF1432"/>
    <w:rsid w:val="00EF1511"/>
    <w:rsid w:val="00EF1F01"/>
    <w:rsid w:val="00EF25D4"/>
    <w:rsid w:val="00EF261F"/>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75B"/>
    <w:rsid w:val="00EF6BE4"/>
    <w:rsid w:val="00EF6D5A"/>
    <w:rsid w:val="00EF71E6"/>
    <w:rsid w:val="00F0058A"/>
    <w:rsid w:val="00F00630"/>
    <w:rsid w:val="00F00922"/>
    <w:rsid w:val="00F00924"/>
    <w:rsid w:val="00F0187E"/>
    <w:rsid w:val="00F0195A"/>
    <w:rsid w:val="00F01BE6"/>
    <w:rsid w:val="00F01F75"/>
    <w:rsid w:val="00F0217A"/>
    <w:rsid w:val="00F026D3"/>
    <w:rsid w:val="00F027E8"/>
    <w:rsid w:val="00F02B59"/>
    <w:rsid w:val="00F03395"/>
    <w:rsid w:val="00F034E6"/>
    <w:rsid w:val="00F03E4C"/>
    <w:rsid w:val="00F04D19"/>
    <w:rsid w:val="00F050A3"/>
    <w:rsid w:val="00F06340"/>
    <w:rsid w:val="00F0665D"/>
    <w:rsid w:val="00F066E1"/>
    <w:rsid w:val="00F06D42"/>
    <w:rsid w:val="00F06D7C"/>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9A"/>
    <w:rsid w:val="00F31052"/>
    <w:rsid w:val="00F317F7"/>
    <w:rsid w:val="00F318A1"/>
    <w:rsid w:val="00F319E6"/>
    <w:rsid w:val="00F31CF5"/>
    <w:rsid w:val="00F3265C"/>
    <w:rsid w:val="00F32C4A"/>
    <w:rsid w:val="00F33262"/>
    <w:rsid w:val="00F343EE"/>
    <w:rsid w:val="00F345E5"/>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64F"/>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7C"/>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3B4"/>
    <w:rsid w:val="00F8056E"/>
    <w:rsid w:val="00F805B7"/>
    <w:rsid w:val="00F810C1"/>
    <w:rsid w:val="00F81623"/>
    <w:rsid w:val="00F81D25"/>
    <w:rsid w:val="00F8245C"/>
    <w:rsid w:val="00F82928"/>
    <w:rsid w:val="00F829B9"/>
    <w:rsid w:val="00F83045"/>
    <w:rsid w:val="00F831E9"/>
    <w:rsid w:val="00F83615"/>
    <w:rsid w:val="00F83EC7"/>
    <w:rsid w:val="00F8421D"/>
    <w:rsid w:val="00F85329"/>
    <w:rsid w:val="00F85683"/>
    <w:rsid w:val="00F85841"/>
    <w:rsid w:val="00F85D51"/>
    <w:rsid w:val="00F86079"/>
    <w:rsid w:val="00F8610A"/>
    <w:rsid w:val="00F87282"/>
    <w:rsid w:val="00F874DA"/>
    <w:rsid w:val="00F878CD"/>
    <w:rsid w:val="00F878D8"/>
    <w:rsid w:val="00F87905"/>
    <w:rsid w:val="00F87A66"/>
    <w:rsid w:val="00F90C1F"/>
    <w:rsid w:val="00F912D9"/>
    <w:rsid w:val="00F91A44"/>
    <w:rsid w:val="00F91BFA"/>
    <w:rsid w:val="00F91F8F"/>
    <w:rsid w:val="00F9217B"/>
    <w:rsid w:val="00F929E1"/>
    <w:rsid w:val="00F93591"/>
    <w:rsid w:val="00F97A34"/>
    <w:rsid w:val="00F97E4A"/>
    <w:rsid w:val="00F97EA1"/>
    <w:rsid w:val="00FA003A"/>
    <w:rsid w:val="00FA05C8"/>
    <w:rsid w:val="00FA0678"/>
    <w:rsid w:val="00FA0985"/>
    <w:rsid w:val="00FA0DB6"/>
    <w:rsid w:val="00FA23F7"/>
    <w:rsid w:val="00FA27EB"/>
    <w:rsid w:val="00FA2BA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C7D"/>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DC1"/>
    <w:rsid w:val="00FC619B"/>
    <w:rsid w:val="00FC665F"/>
    <w:rsid w:val="00FC6C35"/>
    <w:rsid w:val="00FC6D59"/>
    <w:rsid w:val="00FC7561"/>
    <w:rsid w:val="00FC78F5"/>
    <w:rsid w:val="00FC7ACA"/>
    <w:rsid w:val="00FC7AD2"/>
    <w:rsid w:val="00FD10B3"/>
    <w:rsid w:val="00FD11C3"/>
    <w:rsid w:val="00FD154E"/>
    <w:rsid w:val="00FD24D7"/>
    <w:rsid w:val="00FD29CE"/>
    <w:rsid w:val="00FD2CE7"/>
    <w:rsid w:val="00FD3AE2"/>
    <w:rsid w:val="00FD3E41"/>
    <w:rsid w:val="00FD3EFA"/>
    <w:rsid w:val="00FD4A8C"/>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8D"/>
    <w:rsid w:val="00FE0F57"/>
    <w:rsid w:val="00FE1852"/>
    <w:rsid w:val="00FE1963"/>
    <w:rsid w:val="00FE1981"/>
    <w:rsid w:val="00FE1BF1"/>
    <w:rsid w:val="00FE33DB"/>
    <w:rsid w:val="00FE33F5"/>
    <w:rsid w:val="00FE3406"/>
    <w:rsid w:val="00FE352A"/>
    <w:rsid w:val="00FE37DD"/>
    <w:rsid w:val="00FE3C31"/>
    <w:rsid w:val="00FE3C48"/>
    <w:rsid w:val="00FE4015"/>
    <w:rsid w:val="00FE44F5"/>
    <w:rsid w:val="00FE4783"/>
    <w:rsid w:val="00FE480D"/>
    <w:rsid w:val="00FE4ACC"/>
    <w:rsid w:val="00FE4F80"/>
    <w:rsid w:val="00FE50DE"/>
    <w:rsid w:val="00FE570E"/>
    <w:rsid w:val="00FE6870"/>
    <w:rsid w:val="00FE713E"/>
    <w:rsid w:val="00FE7877"/>
    <w:rsid w:val="00FE7DD1"/>
    <w:rsid w:val="00FF0B4F"/>
    <w:rsid w:val="00FF0F58"/>
    <w:rsid w:val="00FF183C"/>
    <w:rsid w:val="00FF1A06"/>
    <w:rsid w:val="00FF1AD3"/>
    <w:rsid w:val="00FF1B46"/>
    <w:rsid w:val="00FF219D"/>
    <w:rsid w:val="00FF2A7B"/>
    <w:rsid w:val="00FF3882"/>
    <w:rsid w:val="00FF3D2B"/>
    <w:rsid w:val="00FF49B4"/>
    <w:rsid w:val="00FF49F4"/>
    <w:rsid w:val="00FF5C6A"/>
    <w:rsid w:val="00FF651D"/>
    <w:rsid w:val="00FF6843"/>
    <w:rsid w:val="00FF68B0"/>
    <w:rsid w:val="00FF6C25"/>
    <w:rsid w:val="010651D9"/>
    <w:rsid w:val="011F6449"/>
    <w:rsid w:val="01236AFB"/>
    <w:rsid w:val="01526B05"/>
    <w:rsid w:val="019F7441"/>
    <w:rsid w:val="01AA1D63"/>
    <w:rsid w:val="01B374F8"/>
    <w:rsid w:val="01B37585"/>
    <w:rsid w:val="01C3754B"/>
    <w:rsid w:val="01C666AA"/>
    <w:rsid w:val="01C901A1"/>
    <w:rsid w:val="01D03B74"/>
    <w:rsid w:val="01D55165"/>
    <w:rsid w:val="01DF6BF8"/>
    <w:rsid w:val="01E557E7"/>
    <w:rsid w:val="01EC2C57"/>
    <w:rsid w:val="01F55D0E"/>
    <w:rsid w:val="02055D4F"/>
    <w:rsid w:val="020A5DD5"/>
    <w:rsid w:val="02182ED7"/>
    <w:rsid w:val="025267AC"/>
    <w:rsid w:val="02551A35"/>
    <w:rsid w:val="02592A5F"/>
    <w:rsid w:val="025E5E0C"/>
    <w:rsid w:val="026B2E25"/>
    <w:rsid w:val="026C6D7F"/>
    <w:rsid w:val="02824D4D"/>
    <w:rsid w:val="02903CE2"/>
    <w:rsid w:val="02970203"/>
    <w:rsid w:val="02A46519"/>
    <w:rsid w:val="02BB56AA"/>
    <w:rsid w:val="02D432A2"/>
    <w:rsid w:val="02DA63DE"/>
    <w:rsid w:val="02DC4B10"/>
    <w:rsid w:val="02DD76CE"/>
    <w:rsid w:val="02E01C47"/>
    <w:rsid w:val="02E220EA"/>
    <w:rsid w:val="02F32FFC"/>
    <w:rsid w:val="02F36323"/>
    <w:rsid w:val="02F5619C"/>
    <w:rsid w:val="0326446A"/>
    <w:rsid w:val="032946C0"/>
    <w:rsid w:val="032D5555"/>
    <w:rsid w:val="032D69BD"/>
    <w:rsid w:val="03306B96"/>
    <w:rsid w:val="03580ADA"/>
    <w:rsid w:val="035B1188"/>
    <w:rsid w:val="036634D2"/>
    <w:rsid w:val="038C6FFE"/>
    <w:rsid w:val="038D51FF"/>
    <w:rsid w:val="039C6F9C"/>
    <w:rsid w:val="03AF090C"/>
    <w:rsid w:val="03C230FA"/>
    <w:rsid w:val="03CE4D79"/>
    <w:rsid w:val="03DD35E4"/>
    <w:rsid w:val="03DF527F"/>
    <w:rsid w:val="03F74C2A"/>
    <w:rsid w:val="04076900"/>
    <w:rsid w:val="040C7CA3"/>
    <w:rsid w:val="041A5A3B"/>
    <w:rsid w:val="042311BA"/>
    <w:rsid w:val="042B157A"/>
    <w:rsid w:val="04364B40"/>
    <w:rsid w:val="04592A8F"/>
    <w:rsid w:val="0465083F"/>
    <w:rsid w:val="048F763B"/>
    <w:rsid w:val="049F330E"/>
    <w:rsid w:val="04A949E8"/>
    <w:rsid w:val="04AA775C"/>
    <w:rsid w:val="04AF1889"/>
    <w:rsid w:val="04F66F48"/>
    <w:rsid w:val="04F83176"/>
    <w:rsid w:val="05154D59"/>
    <w:rsid w:val="05251E14"/>
    <w:rsid w:val="052B25AB"/>
    <w:rsid w:val="052E280D"/>
    <w:rsid w:val="054A5828"/>
    <w:rsid w:val="05687CD1"/>
    <w:rsid w:val="056E2007"/>
    <w:rsid w:val="057F3776"/>
    <w:rsid w:val="05A16594"/>
    <w:rsid w:val="05A7762D"/>
    <w:rsid w:val="05B34B90"/>
    <w:rsid w:val="05D9297D"/>
    <w:rsid w:val="05F526EE"/>
    <w:rsid w:val="06071298"/>
    <w:rsid w:val="060E5941"/>
    <w:rsid w:val="06110FAF"/>
    <w:rsid w:val="06293014"/>
    <w:rsid w:val="06450326"/>
    <w:rsid w:val="064918B1"/>
    <w:rsid w:val="06493CA7"/>
    <w:rsid w:val="064C13A1"/>
    <w:rsid w:val="06594D7C"/>
    <w:rsid w:val="065A6178"/>
    <w:rsid w:val="066517DD"/>
    <w:rsid w:val="066F1CF3"/>
    <w:rsid w:val="06930BB8"/>
    <w:rsid w:val="06C030AF"/>
    <w:rsid w:val="06CF1CFC"/>
    <w:rsid w:val="06DE1CAD"/>
    <w:rsid w:val="06FC4B75"/>
    <w:rsid w:val="070057A4"/>
    <w:rsid w:val="0720162A"/>
    <w:rsid w:val="07245D42"/>
    <w:rsid w:val="07264C62"/>
    <w:rsid w:val="072A0B4E"/>
    <w:rsid w:val="074E4896"/>
    <w:rsid w:val="075946FD"/>
    <w:rsid w:val="07594A68"/>
    <w:rsid w:val="075D7DCE"/>
    <w:rsid w:val="0779354C"/>
    <w:rsid w:val="077A4B56"/>
    <w:rsid w:val="078C4081"/>
    <w:rsid w:val="07984831"/>
    <w:rsid w:val="07A03C0B"/>
    <w:rsid w:val="07BB620B"/>
    <w:rsid w:val="07D518B9"/>
    <w:rsid w:val="07EC25A4"/>
    <w:rsid w:val="07F27897"/>
    <w:rsid w:val="07FF12FF"/>
    <w:rsid w:val="08061376"/>
    <w:rsid w:val="08301D9C"/>
    <w:rsid w:val="084110F3"/>
    <w:rsid w:val="08443B4F"/>
    <w:rsid w:val="08452D77"/>
    <w:rsid w:val="08602EE2"/>
    <w:rsid w:val="086401F8"/>
    <w:rsid w:val="08722223"/>
    <w:rsid w:val="08751CAA"/>
    <w:rsid w:val="087E4C40"/>
    <w:rsid w:val="08A2799E"/>
    <w:rsid w:val="08AA0601"/>
    <w:rsid w:val="08AB2C1E"/>
    <w:rsid w:val="08B95794"/>
    <w:rsid w:val="08BA334E"/>
    <w:rsid w:val="08D66AD6"/>
    <w:rsid w:val="08DA33A3"/>
    <w:rsid w:val="08E43B03"/>
    <w:rsid w:val="08E80F13"/>
    <w:rsid w:val="090010F1"/>
    <w:rsid w:val="090048DC"/>
    <w:rsid w:val="091A0B90"/>
    <w:rsid w:val="092B34F0"/>
    <w:rsid w:val="09324C16"/>
    <w:rsid w:val="09335624"/>
    <w:rsid w:val="093C74AB"/>
    <w:rsid w:val="093D6009"/>
    <w:rsid w:val="09412D78"/>
    <w:rsid w:val="0944690F"/>
    <w:rsid w:val="09535675"/>
    <w:rsid w:val="095C40C9"/>
    <w:rsid w:val="095F057D"/>
    <w:rsid w:val="09642282"/>
    <w:rsid w:val="097047C2"/>
    <w:rsid w:val="09733572"/>
    <w:rsid w:val="09772C16"/>
    <w:rsid w:val="09776735"/>
    <w:rsid w:val="098353B5"/>
    <w:rsid w:val="098743C3"/>
    <w:rsid w:val="09A84B40"/>
    <w:rsid w:val="09A92330"/>
    <w:rsid w:val="09B06B87"/>
    <w:rsid w:val="09B554AF"/>
    <w:rsid w:val="09C13146"/>
    <w:rsid w:val="09C474A0"/>
    <w:rsid w:val="09CD27F9"/>
    <w:rsid w:val="09E04166"/>
    <w:rsid w:val="09EB2C7F"/>
    <w:rsid w:val="0A015D6A"/>
    <w:rsid w:val="0A1C0718"/>
    <w:rsid w:val="0A3E7710"/>
    <w:rsid w:val="0A3F1BE7"/>
    <w:rsid w:val="0A4B0AD6"/>
    <w:rsid w:val="0A5B7E63"/>
    <w:rsid w:val="0A6A6590"/>
    <w:rsid w:val="0A717628"/>
    <w:rsid w:val="0A873124"/>
    <w:rsid w:val="0AA374A5"/>
    <w:rsid w:val="0AAB7649"/>
    <w:rsid w:val="0AAE0CA9"/>
    <w:rsid w:val="0ABC5606"/>
    <w:rsid w:val="0AD86338"/>
    <w:rsid w:val="0B0E131B"/>
    <w:rsid w:val="0B2C5B19"/>
    <w:rsid w:val="0B30404E"/>
    <w:rsid w:val="0B312440"/>
    <w:rsid w:val="0B3A1DCE"/>
    <w:rsid w:val="0B466FE3"/>
    <w:rsid w:val="0B4704BE"/>
    <w:rsid w:val="0B4C6C14"/>
    <w:rsid w:val="0B556D84"/>
    <w:rsid w:val="0B631A88"/>
    <w:rsid w:val="0B674587"/>
    <w:rsid w:val="0B683D45"/>
    <w:rsid w:val="0B7F3F11"/>
    <w:rsid w:val="0B884417"/>
    <w:rsid w:val="0B960BC6"/>
    <w:rsid w:val="0BA21BB0"/>
    <w:rsid w:val="0BB02781"/>
    <w:rsid w:val="0BB05F2E"/>
    <w:rsid w:val="0BE140C4"/>
    <w:rsid w:val="0BE906EB"/>
    <w:rsid w:val="0BF6188C"/>
    <w:rsid w:val="0BF73C91"/>
    <w:rsid w:val="0C0625A0"/>
    <w:rsid w:val="0C170175"/>
    <w:rsid w:val="0C2B7F2B"/>
    <w:rsid w:val="0C4F369E"/>
    <w:rsid w:val="0C571A41"/>
    <w:rsid w:val="0C5C1171"/>
    <w:rsid w:val="0C5E1CBC"/>
    <w:rsid w:val="0C615B50"/>
    <w:rsid w:val="0C692CAD"/>
    <w:rsid w:val="0C6A767F"/>
    <w:rsid w:val="0C8445DA"/>
    <w:rsid w:val="0C87121B"/>
    <w:rsid w:val="0CC007F7"/>
    <w:rsid w:val="0CC4187C"/>
    <w:rsid w:val="0CCC3B81"/>
    <w:rsid w:val="0CD37C32"/>
    <w:rsid w:val="0CEA36C2"/>
    <w:rsid w:val="0CF60E20"/>
    <w:rsid w:val="0CFE707A"/>
    <w:rsid w:val="0D063BDA"/>
    <w:rsid w:val="0D08375F"/>
    <w:rsid w:val="0D1644B7"/>
    <w:rsid w:val="0D184CFB"/>
    <w:rsid w:val="0D270B38"/>
    <w:rsid w:val="0D350950"/>
    <w:rsid w:val="0D40503E"/>
    <w:rsid w:val="0D4A4AC2"/>
    <w:rsid w:val="0D4A7419"/>
    <w:rsid w:val="0D4F7EE3"/>
    <w:rsid w:val="0D6D3E2C"/>
    <w:rsid w:val="0D7336B7"/>
    <w:rsid w:val="0D827401"/>
    <w:rsid w:val="0D84094E"/>
    <w:rsid w:val="0D8A00E9"/>
    <w:rsid w:val="0D8D589E"/>
    <w:rsid w:val="0DA01C73"/>
    <w:rsid w:val="0DD63300"/>
    <w:rsid w:val="0DDD453B"/>
    <w:rsid w:val="0DF50604"/>
    <w:rsid w:val="0DF702FE"/>
    <w:rsid w:val="0DF72EA7"/>
    <w:rsid w:val="0DFA7935"/>
    <w:rsid w:val="0E060E51"/>
    <w:rsid w:val="0E151F21"/>
    <w:rsid w:val="0E2D738B"/>
    <w:rsid w:val="0E3270CE"/>
    <w:rsid w:val="0E5604B2"/>
    <w:rsid w:val="0E6D5D79"/>
    <w:rsid w:val="0E745939"/>
    <w:rsid w:val="0E8033ED"/>
    <w:rsid w:val="0E9D0089"/>
    <w:rsid w:val="0EAF6844"/>
    <w:rsid w:val="0EB803EE"/>
    <w:rsid w:val="0EC12671"/>
    <w:rsid w:val="0EE53811"/>
    <w:rsid w:val="0EF94D4B"/>
    <w:rsid w:val="0F13514E"/>
    <w:rsid w:val="0F165512"/>
    <w:rsid w:val="0F1E1287"/>
    <w:rsid w:val="0F1E7653"/>
    <w:rsid w:val="0F234936"/>
    <w:rsid w:val="0F461B88"/>
    <w:rsid w:val="0F4958DC"/>
    <w:rsid w:val="0F5016BA"/>
    <w:rsid w:val="0F515DF7"/>
    <w:rsid w:val="0F596BA8"/>
    <w:rsid w:val="0F6062B7"/>
    <w:rsid w:val="0F6248D2"/>
    <w:rsid w:val="0F693536"/>
    <w:rsid w:val="0F782D7E"/>
    <w:rsid w:val="0F7B0511"/>
    <w:rsid w:val="0F7B76D9"/>
    <w:rsid w:val="0F7F39F6"/>
    <w:rsid w:val="0F816ACD"/>
    <w:rsid w:val="0F857E07"/>
    <w:rsid w:val="0F9832DB"/>
    <w:rsid w:val="0FBD20AF"/>
    <w:rsid w:val="0FBF3FD2"/>
    <w:rsid w:val="0FBF7FF3"/>
    <w:rsid w:val="0FD0094D"/>
    <w:rsid w:val="1004012E"/>
    <w:rsid w:val="102A464C"/>
    <w:rsid w:val="10345380"/>
    <w:rsid w:val="103E7A72"/>
    <w:rsid w:val="104B26C9"/>
    <w:rsid w:val="10521CAA"/>
    <w:rsid w:val="10536BBB"/>
    <w:rsid w:val="10646583"/>
    <w:rsid w:val="106964F1"/>
    <w:rsid w:val="106A4624"/>
    <w:rsid w:val="107007A5"/>
    <w:rsid w:val="107D4B15"/>
    <w:rsid w:val="108A3C80"/>
    <w:rsid w:val="10A712B1"/>
    <w:rsid w:val="10B25ED0"/>
    <w:rsid w:val="10B71B0D"/>
    <w:rsid w:val="10C26171"/>
    <w:rsid w:val="10C76AC0"/>
    <w:rsid w:val="10DC3830"/>
    <w:rsid w:val="10DD651F"/>
    <w:rsid w:val="10F33360"/>
    <w:rsid w:val="10FC16EA"/>
    <w:rsid w:val="110F1D40"/>
    <w:rsid w:val="11266F33"/>
    <w:rsid w:val="112C42A9"/>
    <w:rsid w:val="113B511A"/>
    <w:rsid w:val="113F4333"/>
    <w:rsid w:val="118926BF"/>
    <w:rsid w:val="118963A1"/>
    <w:rsid w:val="119836EC"/>
    <w:rsid w:val="11B50DB8"/>
    <w:rsid w:val="11C6025A"/>
    <w:rsid w:val="11C6522A"/>
    <w:rsid w:val="11E104CC"/>
    <w:rsid w:val="11E20309"/>
    <w:rsid w:val="11F80006"/>
    <w:rsid w:val="12245C00"/>
    <w:rsid w:val="12255233"/>
    <w:rsid w:val="12326DC2"/>
    <w:rsid w:val="12395518"/>
    <w:rsid w:val="124A7D00"/>
    <w:rsid w:val="12530213"/>
    <w:rsid w:val="127723A9"/>
    <w:rsid w:val="12862074"/>
    <w:rsid w:val="12883966"/>
    <w:rsid w:val="129E45B4"/>
    <w:rsid w:val="12D81596"/>
    <w:rsid w:val="12DA1AE3"/>
    <w:rsid w:val="13072A44"/>
    <w:rsid w:val="13323EE1"/>
    <w:rsid w:val="13433097"/>
    <w:rsid w:val="135F4BE2"/>
    <w:rsid w:val="13725868"/>
    <w:rsid w:val="1381018F"/>
    <w:rsid w:val="138B4FA4"/>
    <w:rsid w:val="139B1A0A"/>
    <w:rsid w:val="139D25C7"/>
    <w:rsid w:val="13A51DCF"/>
    <w:rsid w:val="13AF29BC"/>
    <w:rsid w:val="13B47A6B"/>
    <w:rsid w:val="13BF3CE4"/>
    <w:rsid w:val="13C94031"/>
    <w:rsid w:val="13CF716E"/>
    <w:rsid w:val="13FF287E"/>
    <w:rsid w:val="14036F77"/>
    <w:rsid w:val="14044A9A"/>
    <w:rsid w:val="140B0945"/>
    <w:rsid w:val="141008D8"/>
    <w:rsid w:val="14125FE6"/>
    <w:rsid w:val="142D2812"/>
    <w:rsid w:val="14354E49"/>
    <w:rsid w:val="14360C51"/>
    <w:rsid w:val="143D1571"/>
    <w:rsid w:val="14506500"/>
    <w:rsid w:val="14554650"/>
    <w:rsid w:val="146D271E"/>
    <w:rsid w:val="147B6340"/>
    <w:rsid w:val="14982588"/>
    <w:rsid w:val="149A5AD9"/>
    <w:rsid w:val="14A7619D"/>
    <w:rsid w:val="14B35D31"/>
    <w:rsid w:val="14BF1DA3"/>
    <w:rsid w:val="14F00380"/>
    <w:rsid w:val="150536C3"/>
    <w:rsid w:val="150C1963"/>
    <w:rsid w:val="151447A0"/>
    <w:rsid w:val="1514752E"/>
    <w:rsid w:val="151A717F"/>
    <w:rsid w:val="152754B3"/>
    <w:rsid w:val="153D24BE"/>
    <w:rsid w:val="154A6454"/>
    <w:rsid w:val="15570E77"/>
    <w:rsid w:val="15762120"/>
    <w:rsid w:val="157F1C29"/>
    <w:rsid w:val="15A563D8"/>
    <w:rsid w:val="15B5254E"/>
    <w:rsid w:val="15BE614F"/>
    <w:rsid w:val="15C72899"/>
    <w:rsid w:val="15E12BB1"/>
    <w:rsid w:val="15EA5FFB"/>
    <w:rsid w:val="15F07F9B"/>
    <w:rsid w:val="15F70061"/>
    <w:rsid w:val="15FF2F44"/>
    <w:rsid w:val="16490368"/>
    <w:rsid w:val="16924BAE"/>
    <w:rsid w:val="16A13043"/>
    <w:rsid w:val="16A8729C"/>
    <w:rsid w:val="16B33777"/>
    <w:rsid w:val="16BC70A7"/>
    <w:rsid w:val="16C6339E"/>
    <w:rsid w:val="16E85228"/>
    <w:rsid w:val="171A4BA4"/>
    <w:rsid w:val="172654C6"/>
    <w:rsid w:val="172F2D79"/>
    <w:rsid w:val="17463BEB"/>
    <w:rsid w:val="17535ED4"/>
    <w:rsid w:val="17557BEF"/>
    <w:rsid w:val="176679F6"/>
    <w:rsid w:val="17872239"/>
    <w:rsid w:val="179D1063"/>
    <w:rsid w:val="17A83E93"/>
    <w:rsid w:val="17BD5C5B"/>
    <w:rsid w:val="17C06A90"/>
    <w:rsid w:val="17D06E08"/>
    <w:rsid w:val="17D349C1"/>
    <w:rsid w:val="17D4404E"/>
    <w:rsid w:val="17EE69C9"/>
    <w:rsid w:val="180A2E6A"/>
    <w:rsid w:val="180B131B"/>
    <w:rsid w:val="181D2B9D"/>
    <w:rsid w:val="1830729E"/>
    <w:rsid w:val="183E4C8A"/>
    <w:rsid w:val="1864565C"/>
    <w:rsid w:val="1870062C"/>
    <w:rsid w:val="18817102"/>
    <w:rsid w:val="18830A15"/>
    <w:rsid w:val="18852B28"/>
    <w:rsid w:val="188B5321"/>
    <w:rsid w:val="189666D9"/>
    <w:rsid w:val="18D45952"/>
    <w:rsid w:val="18ED07C2"/>
    <w:rsid w:val="18FF0432"/>
    <w:rsid w:val="19031F81"/>
    <w:rsid w:val="19251019"/>
    <w:rsid w:val="192B12EA"/>
    <w:rsid w:val="193603ED"/>
    <w:rsid w:val="193D4A58"/>
    <w:rsid w:val="194B30AA"/>
    <w:rsid w:val="196E6B9F"/>
    <w:rsid w:val="19771B7E"/>
    <w:rsid w:val="197B015F"/>
    <w:rsid w:val="19932372"/>
    <w:rsid w:val="199944A6"/>
    <w:rsid w:val="19A20DD5"/>
    <w:rsid w:val="19AE03F1"/>
    <w:rsid w:val="19BA04B7"/>
    <w:rsid w:val="19BD63E6"/>
    <w:rsid w:val="19CE069F"/>
    <w:rsid w:val="19EE083D"/>
    <w:rsid w:val="19F351D1"/>
    <w:rsid w:val="19F60489"/>
    <w:rsid w:val="1A071A03"/>
    <w:rsid w:val="1A123A64"/>
    <w:rsid w:val="1A1B135F"/>
    <w:rsid w:val="1A1F16AE"/>
    <w:rsid w:val="1A3B5C77"/>
    <w:rsid w:val="1A400DC5"/>
    <w:rsid w:val="1A45221E"/>
    <w:rsid w:val="1A530AF8"/>
    <w:rsid w:val="1A622AE9"/>
    <w:rsid w:val="1A823C20"/>
    <w:rsid w:val="1A8765C3"/>
    <w:rsid w:val="1A966FBD"/>
    <w:rsid w:val="1A984BAD"/>
    <w:rsid w:val="1AB8220E"/>
    <w:rsid w:val="1AE4166C"/>
    <w:rsid w:val="1AF06CFB"/>
    <w:rsid w:val="1AF11B8D"/>
    <w:rsid w:val="1B0B5754"/>
    <w:rsid w:val="1B11359C"/>
    <w:rsid w:val="1B2A271F"/>
    <w:rsid w:val="1B4641B9"/>
    <w:rsid w:val="1B530544"/>
    <w:rsid w:val="1B6C1FEA"/>
    <w:rsid w:val="1B713184"/>
    <w:rsid w:val="1B965141"/>
    <w:rsid w:val="1B97283E"/>
    <w:rsid w:val="1BA209CF"/>
    <w:rsid w:val="1BA37589"/>
    <w:rsid w:val="1BA84E74"/>
    <w:rsid w:val="1BB4777D"/>
    <w:rsid w:val="1BCF0D5B"/>
    <w:rsid w:val="1BD75AB8"/>
    <w:rsid w:val="1BD87507"/>
    <w:rsid w:val="1BED296E"/>
    <w:rsid w:val="1BF64C65"/>
    <w:rsid w:val="1C0459C2"/>
    <w:rsid w:val="1C1B3B4A"/>
    <w:rsid w:val="1C4306F9"/>
    <w:rsid w:val="1C496EF9"/>
    <w:rsid w:val="1C4F6411"/>
    <w:rsid w:val="1C593BC9"/>
    <w:rsid w:val="1C6A2129"/>
    <w:rsid w:val="1C716FE3"/>
    <w:rsid w:val="1C7E2917"/>
    <w:rsid w:val="1C8467D0"/>
    <w:rsid w:val="1C88086E"/>
    <w:rsid w:val="1C8C6544"/>
    <w:rsid w:val="1C8D114F"/>
    <w:rsid w:val="1CB405F6"/>
    <w:rsid w:val="1CC4590F"/>
    <w:rsid w:val="1CCB7BB6"/>
    <w:rsid w:val="1CFF4A55"/>
    <w:rsid w:val="1D046999"/>
    <w:rsid w:val="1D0F44B1"/>
    <w:rsid w:val="1D195A00"/>
    <w:rsid w:val="1D266CE1"/>
    <w:rsid w:val="1D3544E5"/>
    <w:rsid w:val="1D3963AF"/>
    <w:rsid w:val="1D507D27"/>
    <w:rsid w:val="1D6A673C"/>
    <w:rsid w:val="1D9247AE"/>
    <w:rsid w:val="1DB567EC"/>
    <w:rsid w:val="1DB860C2"/>
    <w:rsid w:val="1DB9066B"/>
    <w:rsid w:val="1DD12F60"/>
    <w:rsid w:val="1DD51824"/>
    <w:rsid w:val="1DD74343"/>
    <w:rsid w:val="1DE005DE"/>
    <w:rsid w:val="1DF51A98"/>
    <w:rsid w:val="1DFF78AF"/>
    <w:rsid w:val="1E0F2F88"/>
    <w:rsid w:val="1E162569"/>
    <w:rsid w:val="1E1B7404"/>
    <w:rsid w:val="1E262080"/>
    <w:rsid w:val="1E3D060F"/>
    <w:rsid w:val="1E3F7D2E"/>
    <w:rsid w:val="1E4134E4"/>
    <w:rsid w:val="1E430E84"/>
    <w:rsid w:val="1E4F7829"/>
    <w:rsid w:val="1E5056D4"/>
    <w:rsid w:val="1E5062B3"/>
    <w:rsid w:val="1E523514"/>
    <w:rsid w:val="1E6E40F0"/>
    <w:rsid w:val="1E714A66"/>
    <w:rsid w:val="1E802593"/>
    <w:rsid w:val="1E811E17"/>
    <w:rsid w:val="1E967206"/>
    <w:rsid w:val="1EA703CC"/>
    <w:rsid w:val="1EB63404"/>
    <w:rsid w:val="1EB7330C"/>
    <w:rsid w:val="1F001654"/>
    <w:rsid w:val="1F0A0FF3"/>
    <w:rsid w:val="1F1545CE"/>
    <w:rsid w:val="1F203156"/>
    <w:rsid w:val="1F2D1EF2"/>
    <w:rsid w:val="1F35602D"/>
    <w:rsid w:val="1F372797"/>
    <w:rsid w:val="1F382D9D"/>
    <w:rsid w:val="1F3A1B15"/>
    <w:rsid w:val="1F3F789D"/>
    <w:rsid w:val="1F5771FF"/>
    <w:rsid w:val="1F781944"/>
    <w:rsid w:val="1FA130F6"/>
    <w:rsid w:val="1FBC1AE5"/>
    <w:rsid w:val="1FBD2084"/>
    <w:rsid w:val="1FCA53B9"/>
    <w:rsid w:val="1FCF4D3A"/>
    <w:rsid w:val="1FD06747"/>
    <w:rsid w:val="1FD578B7"/>
    <w:rsid w:val="1FE868A9"/>
    <w:rsid w:val="1FED4E93"/>
    <w:rsid w:val="20034907"/>
    <w:rsid w:val="20173E4B"/>
    <w:rsid w:val="202750D0"/>
    <w:rsid w:val="20383D9C"/>
    <w:rsid w:val="203E1903"/>
    <w:rsid w:val="2043624E"/>
    <w:rsid w:val="204E48BC"/>
    <w:rsid w:val="20651ACF"/>
    <w:rsid w:val="20755E88"/>
    <w:rsid w:val="20831A0C"/>
    <w:rsid w:val="208921B3"/>
    <w:rsid w:val="20973DEB"/>
    <w:rsid w:val="209B0B03"/>
    <w:rsid w:val="20B26522"/>
    <w:rsid w:val="20B44310"/>
    <w:rsid w:val="20B77881"/>
    <w:rsid w:val="20C15723"/>
    <w:rsid w:val="20C8677A"/>
    <w:rsid w:val="20CB7863"/>
    <w:rsid w:val="20DB53A4"/>
    <w:rsid w:val="20E24984"/>
    <w:rsid w:val="20EC5803"/>
    <w:rsid w:val="20F546B7"/>
    <w:rsid w:val="211116EB"/>
    <w:rsid w:val="211E3428"/>
    <w:rsid w:val="21276C23"/>
    <w:rsid w:val="214D6B5B"/>
    <w:rsid w:val="215C0D30"/>
    <w:rsid w:val="216058A9"/>
    <w:rsid w:val="216133FC"/>
    <w:rsid w:val="217652AB"/>
    <w:rsid w:val="21796D43"/>
    <w:rsid w:val="21811E7F"/>
    <w:rsid w:val="218C669E"/>
    <w:rsid w:val="21C435D1"/>
    <w:rsid w:val="21C60959"/>
    <w:rsid w:val="21CA5B44"/>
    <w:rsid w:val="21D56769"/>
    <w:rsid w:val="21E52EF3"/>
    <w:rsid w:val="21E8617E"/>
    <w:rsid w:val="21F67DC0"/>
    <w:rsid w:val="21FB5D7B"/>
    <w:rsid w:val="220B1C3D"/>
    <w:rsid w:val="221D1D20"/>
    <w:rsid w:val="22334A87"/>
    <w:rsid w:val="224B518A"/>
    <w:rsid w:val="224C4AF2"/>
    <w:rsid w:val="224F66C7"/>
    <w:rsid w:val="22525F24"/>
    <w:rsid w:val="22682C67"/>
    <w:rsid w:val="228F28EA"/>
    <w:rsid w:val="22B440FE"/>
    <w:rsid w:val="22BE6801"/>
    <w:rsid w:val="22E54EF0"/>
    <w:rsid w:val="22E72888"/>
    <w:rsid w:val="22EF5362"/>
    <w:rsid w:val="22F8048F"/>
    <w:rsid w:val="23055AB5"/>
    <w:rsid w:val="232E3EB1"/>
    <w:rsid w:val="233500BF"/>
    <w:rsid w:val="23377FF7"/>
    <w:rsid w:val="234020F0"/>
    <w:rsid w:val="23437E94"/>
    <w:rsid w:val="236830D0"/>
    <w:rsid w:val="236B425F"/>
    <w:rsid w:val="238241FC"/>
    <w:rsid w:val="23836192"/>
    <w:rsid w:val="238E2BA1"/>
    <w:rsid w:val="23901F29"/>
    <w:rsid w:val="239312F5"/>
    <w:rsid w:val="23940548"/>
    <w:rsid w:val="23947D30"/>
    <w:rsid w:val="23992900"/>
    <w:rsid w:val="239C0061"/>
    <w:rsid w:val="239D2DE4"/>
    <w:rsid w:val="23B908A4"/>
    <w:rsid w:val="23CE18C6"/>
    <w:rsid w:val="23D25AD3"/>
    <w:rsid w:val="23D3465C"/>
    <w:rsid w:val="23E95BEF"/>
    <w:rsid w:val="23FD0064"/>
    <w:rsid w:val="23FE73F7"/>
    <w:rsid w:val="23FF03FB"/>
    <w:rsid w:val="240D73C0"/>
    <w:rsid w:val="241B7813"/>
    <w:rsid w:val="243A0633"/>
    <w:rsid w:val="24407C0C"/>
    <w:rsid w:val="2446522A"/>
    <w:rsid w:val="245375B0"/>
    <w:rsid w:val="24625C51"/>
    <w:rsid w:val="24642C0A"/>
    <w:rsid w:val="246B7EF2"/>
    <w:rsid w:val="246F478D"/>
    <w:rsid w:val="24731075"/>
    <w:rsid w:val="24757848"/>
    <w:rsid w:val="24843087"/>
    <w:rsid w:val="24AD153A"/>
    <w:rsid w:val="24B22173"/>
    <w:rsid w:val="24B95AD9"/>
    <w:rsid w:val="24BE24DA"/>
    <w:rsid w:val="24C3687B"/>
    <w:rsid w:val="24CF5825"/>
    <w:rsid w:val="24CF687B"/>
    <w:rsid w:val="24D663E6"/>
    <w:rsid w:val="24D77F2B"/>
    <w:rsid w:val="24D87CA0"/>
    <w:rsid w:val="24E31DCF"/>
    <w:rsid w:val="25201F1F"/>
    <w:rsid w:val="2531498F"/>
    <w:rsid w:val="25321CC3"/>
    <w:rsid w:val="25331C17"/>
    <w:rsid w:val="25404420"/>
    <w:rsid w:val="255A0170"/>
    <w:rsid w:val="25706A02"/>
    <w:rsid w:val="25746F7F"/>
    <w:rsid w:val="258B00E2"/>
    <w:rsid w:val="25A917A6"/>
    <w:rsid w:val="25AA39E1"/>
    <w:rsid w:val="25B37991"/>
    <w:rsid w:val="25BE27CC"/>
    <w:rsid w:val="25C03857"/>
    <w:rsid w:val="25E26D32"/>
    <w:rsid w:val="25F17508"/>
    <w:rsid w:val="25F74A5C"/>
    <w:rsid w:val="26064C71"/>
    <w:rsid w:val="2628662C"/>
    <w:rsid w:val="26290587"/>
    <w:rsid w:val="262D45DE"/>
    <w:rsid w:val="26471324"/>
    <w:rsid w:val="265C0D35"/>
    <w:rsid w:val="26A43B88"/>
    <w:rsid w:val="26A53EF9"/>
    <w:rsid w:val="26A94201"/>
    <w:rsid w:val="26AC274F"/>
    <w:rsid w:val="26C357B5"/>
    <w:rsid w:val="26CD4AAF"/>
    <w:rsid w:val="26CE6CAB"/>
    <w:rsid w:val="26D865F8"/>
    <w:rsid w:val="26DB7EAB"/>
    <w:rsid w:val="26F45411"/>
    <w:rsid w:val="26F61189"/>
    <w:rsid w:val="27044A29"/>
    <w:rsid w:val="27051147"/>
    <w:rsid w:val="271D34C8"/>
    <w:rsid w:val="27217F7D"/>
    <w:rsid w:val="27260426"/>
    <w:rsid w:val="27277595"/>
    <w:rsid w:val="27304B97"/>
    <w:rsid w:val="274570EF"/>
    <w:rsid w:val="27554A6E"/>
    <w:rsid w:val="27587546"/>
    <w:rsid w:val="275973F8"/>
    <w:rsid w:val="275D12F0"/>
    <w:rsid w:val="276142BF"/>
    <w:rsid w:val="27651E6B"/>
    <w:rsid w:val="276C31F9"/>
    <w:rsid w:val="276E6156"/>
    <w:rsid w:val="276F2180"/>
    <w:rsid w:val="27783712"/>
    <w:rsid w:val="27825DF8"/>
    <w:rsid w:val="27907362"/>
    <w:rsid w:val="27AB76E3"/>
    <w:rsid w:val="27AE62A0"/>
    <w:rsid w:val="27BC1E12"/>
    <w:rsid w:val="27F679B1"/>
    <w:rsid w:val="280903E7"/>
    <w:rsid w:val="280D66D2"/>
    <w:rsid w:val="28333E1D"/>
    <w:rsid w:val="28382820"/>
    <w:rsid w:val="28454BD6"/>
    <w:rsid w:val="28455253"/>
    <w:rsid w:val="28551971"/>
    <w:rsid w:val="285B1C53"/>
    <w:rsid w:val="285C5774"/>
    <w:rsid w:val="286F47E3"/>
    <w:rsid w:val="28710CD1"/>
    <w:rsid w:val="289F7086"/>
    <w:rsid w:val="28C32028"/>
    <w:rsid w:val="28CC20D6"/>
    <w:rsid w:val="28CC490F"/>
    <w:rsid w:val="28DE40AA"/>
    <w:rsid w:val="290D5F1A"/>
    <w:rsid w:val="29123DBD"/>
    <w:rsid w:val="29345E77"/>
    <w:rsid w:val="293D309F"/>
    <w:rsid w:val="29451F54"/>
    <w:rsid w:val="294C65AD"/>
    <w:rsid w:val="29720796"/>
    <w:rsid w:val="29806583"/>
    <w:rsid w:val="298A0528"/>
    <w:rsid w:val="298B2F16"/>
    <w:rsid w:val="298B3C4C"/>
    <w:rsid w:val="298D3A34"/>
    <w:rsid w:val="299261DF"/>
    <w:rsid w:val="29AE665D"/>
    <w:rsid w:val="29F26D24"/>
    <w:rsid w:val="2A15033F"/>
    <w:rsid w:val="2A1662C1"/>
    <w:rsid w:val="2A1C7367"/>
    <w:rsid w:val="2A2815FA"/>
    <w:rsid w:val="2A2C0A1E"/>
    <w:rsid w:val="2A465763"/>
    <w:rsid w:val="2A490E0C"/>
    <w:rsid w:val="2A5D7CE8"/>
    <w:rsid w:val="2A6254EB"/>
    <w:rsid w:val="2A6D6092"/>
    <w:rsid w:val="2A7D76B4"/>
    <w:rsid w:val="2A924D25"/>
    <w:rsid w:val="2A98397C"/>
    <w:rsid w:val="2AAF3B29"/>
    <w:rsid w:val="2ABC2174"/>
    <w:rsid w:val="2ABE71EB"/>
    <w:rsid w:val="2ACD7074"/>
    <w:rsid w:val="2AD91BCC"/>
    <w:rsid w:val="2AF424EE"/>
    <w:rsid w:val="2B0320B2"/>
    <w:rsid w:val="2B067A32"/>
    <w:rsid w:val="2B0A0BD5"/>
    <w:rsid w:val="2B1274C1"/>
    <w:rsid w:val="2B37387D"/>
    <w:rsid w:val="2B437463"/>
    <w:rsid w:val="2B5305D8"/>
    <w:rsid w:val="2B5A3101"/>
    <w:rsid w:val="2B7807EE"/>
    <w:rsid w:val="2B794B7B"/>
    <w:rsid w:val="2B9D027C"/>
    <w:rsid w:val="2BBF00EC"/>
    <w:rsid w:val="2BC37CFD"/>
    <w:rsid w:val="2BCC24B9"/>
    <w:rsid w:val="2BD5237F"/>
    <w:rsid w:val="2BE536CE"/>
    <w:rsid w:val="2BE617CC"/>
    <w:rsid w:val="2BE758D9"/>
    <w:rsid w:val="2BED05CF"/>
    <w:rsid w:val="2C09049E"/>
    <w:rsid w:val="2C0A653C"/>
    <w:rsid w:val="2C191F85"/>
    <w:rsid w:val="2C1F6386"/>
    <w:rsid w:val="2C261412"/>
    <w:rsid w:val="2C44719E"/>
    <w:rsid w:val="2C5D75B5"/>
    <w:rsid w:val="2C6B1CD2"/>
    <w:rsid w:val="2C82701B"/>
    <w:rsid w:val="2CBA67B5"/>
    <w:rsid w:val="2CD51841"/>
    <w:rsid w:val="2CE82D6F"/>
    <w:rsid w:val="2CEE58E5"/>
    <w:rsid w:val="2D0637A8"/>
    <w:rsid w:val="2D270798"/>
    <w:rsid w:val="2D2B320F"/>
    <w:rsid w:val="2D343236"/>
    <w:rsid w:val="2D354301"/>
    <w:rsid w:val="2D4523E9"/>
    <w:rsid w:val="2D492B09"/>
    <w:rsid w:val="2DAF6CA4"/>
    <w:rsid w:val="2DC43CE0"/>
    <w:rsid w:val="2DD15014"/>
    <w:rsid w:val="2DDE582B"/>
    <w:rsid w:val="2DF72DE4"/>
    <w:rsid w:val="2E0220AF"/>
    <w:rsid w:val="2E4A4F85"/>
    <w:rsid w:val="2E4B082A"/>
    <w:rsid w:val="2E550FCB"/>
    <w:rsid w:val="2E5D4E86"/>
    <w:rsid w:val="2E5D790B"/>
    <w:rsid w:val="2E9A3C18"/>
    <w:rsid w:val="2EA80FBB"/>
    <w:rsid w:val="2EB66328"/>
    <w:rsid w:val="2EBB0FEE"/>
    <w:rsid w:val="2EBC2976"/>
    <w:rsid w:val="2EC63002"/>
    <w:rsid w:val="2ED457CC"/>
    <w:rsid w:val="2EDF0755"/>
    <w:rsid w:val="2EEC4152"/>
    <w:rsid w:val="2EFE6E2D"/>
    <w:rsid w:val="2EFF5C5E"/>
    <w:rsid w:val="2F077C8B"/>
    <w:rsid w:val="2F0A6B38"/>
    <w:rsid w:val="2F450658"/>
    <w:rsid w:val="2F656EAC"/>
    <w:rsid w:val="2F946CCB"/>
    <w:rsid w:val="2FA45AF0"/>
    <w:rsid w:val="2FB749F7"/>
    <w:rsid w:val="2FB971F8"/>
    <w:rsid w:val="2FBC180A"/>
    <w:rsid w:val="2FD25781"/>
    <w:rsid w:val="2FE689DC"/>
    <w:rsid w:val="2FFD7934"/>
    <w:rsid w:val="300C109F"/>
    <w:rsid w:val="301D2709"/>
    <w:rsid w:val="3029612C"/>
    <w:rsid w:val="305562B4"/>
    <w:rsid w:val="306E6785"/>
    <w:rsid w:val="30733ACD"/>
    <w:rsid w:val="30874C00"/>
    <w:rsid w:val="308C3862"/>
    <w:rsid w:val="309379D8"/>
    <w:rsid w:val="309E30AE"/>
    <w:rsid w:val="30A270F7"/>
    <w:rsid w:val="30AC4667"/>
    <w:rsid w:val="30B31F80"/>
    <w:rsid w:val="30BD2838"/>
    <w:rsid w:val="30DF1478"/>
    <w:rsid w:val="30EC586F"/>
    <w:rsid w:val="30F1626C"/>
    <w:rsid w:val="30FC114A"/>
    <w:rsid w:val="31056940"/>
    <w:rsid w:val="310E072B"/>
    <w:rsid w:val="31126BC0"/>
    <w:rsid w:val="313E4222"/>
    <w:rsid w:val="313F6C9D"/>
    <w:rsid w:val="3157541A"/>
    <w:rsid w:val="315C11AE"/>
    <w:rsid w:val="31741628"/>
    <w:rsid w:val="319C6071"/>
    <w:rsid w:val="31A71604"/>
    <w:rsid w:val="31A74577"/>
    <w:rsid w:val="31AC537E"/>
    <w:rsid w:val="31D1026A"/>
    <w:rsid w:val="31D10829"/>
    <w:rsid w:val="31E3679B"/>
    <w:rsid w:val="31E732FD"/>
    <w:rsid w:val="31EC1380"/>
    <w:rsid w:val="31ED32D3"/>
    <w:rsid w:val="31FB2F1E"/>
    <w:rsid w:val="320F1351"/>
    <w:rsid w:val="321832AC"/>
    <w:rsid w:val="321C54A6"/>
    <w:rsid w:val="321D4EFD"/>
    <w:rsid w:val="322235E2"/>
    <w:rsid w:val="322249AD"/>
    <w:rsid w:val="32274E55"/>
    <w:rsid w:val="322F3E02"/>
    <w:rsid w:val="32300DF4"/>
    <w:rsid w:val="32517576"/>
    <w:rsid w:val="32532899"/>
    <w:rsid w:val="325539A0"/>
    <w:rsid w:val="327970BC"/>
    <w:rsid w:val="32987847"/>
    <w:rsid w:val="32BE5C2C"/>
    <w:rsid w:val="32C06BE1"/>
    <w:rsid w:val="32C87D7A"/>
    <w:rsid w:val="32CA1ECA"/>
    <w:rsid w:val="32CC35C9"/>
    <w:rsid w:val="32CD0204"/>
    <w:rsid w:val="32D45501"/>
    <w:rsid w:val="32EB591A"/>
    <w:rsid w:val="32FB6478"/>
    <w:rsid w:val="33002386"/>
    <w:rsid w:val="33116FC2"/>
    <w:rsid w:val="331E18C3"/>
    <w:rsid w:val="332130EA"/>
    <w:rsid w:val="33263B3F"/>
    <w:rsid w:val="336963EB"/>
    <w:rsid w:val="336F4B55"/>
    <w:rsid w:val="33816EEB"/>
    <w:rsid w:val="338418CB"/>
    <w:rsid w:val="33920C8E"/>
    <w:rsid w:val="33EB55CD"/>
    <w:rsid w:val="33EC4C02"/>
    <w:rsid w:val="33F64577"/>
    <w:rsid w:val="33F90F1D"/>
    <w:rsid w:val="340D2360"/>
    <w:rsid w:val="3410665D"/>
    <w:rsid w:val="341D7D55"/>
    <w:rsid w:val="34211214"/>
    <w:rsid w:val="342E63AB"/>
    <w:rsid w:val="34372F0D"/>
    <w:rsid w:val="34452E08"/>
    <w:rsid w:val="347869CC"/>
    <w:rsid w:val="34861C85"/>
    <w:rsid w:val="34950E68"/>
    <w:rsid w:val="34986E94"/>
    <w:rsid w:val="34A04CA4"/>
    <w:rsid w:val="34A1032B"/>
    <w:rsid w:val="34AF62C9"/>
    <w:rsid w:val="34CB4388"/>
    <w:rsid w:val="34CC7465"/>
    <w:rsid w:val="34D60B6F"/>
    <w:rsid w:val="34EC7728"/>
    <w:rsid w:val="34FA6E12"/>
    <w:rsid w:val="351849C1"/>
    <w:rsid w:val="352C3FC8"/>
    <w:rsid w:val="3530105E"/>
    <w:rsid w:val="3534120B"/>
    <w:rsid w:val="35421955"/>
    <w:rsid w:val="35584DBD"/>
    <w:rsid w:val="35605EBF"/>
    <w:rsid w:val="356814A4"/>
    <w:rsid w:val="356B4AF0"/>
    <w:rsid w:val="35892F22"/>
    <w:rsid w:val="358D5588"/>
    <w:rsid w:val="35B82254"/>
    <w:rsid w:val="35D430CF"/>
    <w:rsid w:val="35FC6BDB"/>
    <w:rsid w:val="36140CE4"/>
    <w:rsid w:val="36202A7A"/>
    <w:rsid w:val="362F4063"/>
    <w:rsid w:val="363A3B40"/>
    <w:rsid w:val="364D3561"/>
    <w:rsid w:val="3651597E"/>
    <w:rsid w:val="365302AE"/>
    <w:rsid w:val="36607A0A"/>
    <w:rsid w:val="36637EBD"/>
    <w:rsid w:val="366E227C"/>
    <w:rsid w:val="366F2E0D"/>
    <w:rsid w:val="367B6A5C"/>
    <w:rsid w:val="369037B8"/>
    <w:rsid w:val="36A74ADA"/>
    <w:rsid w:val="36AD60D5"/>
    <w:rsid w:val="36B224F9"/>
    <w:rsid w:val="36EC0CC9"/>
    <w:rsid w:val="36F542E6"/>
    <w:rsid w:val="36FF5DA6"/>
    <w:rsid w:val="3708103B"/>
    <w:rsid w:val="371F3DE4"/>
    <w:rsid w:val="372C6501"/>
    <w:rsid w:val="373F410B"/>
    <w:rsid w:val="37860176"/>
    <w:rsid w:val="37937815"/>
    <w:rsid w:val="37AE6F16"/>
    <w:rsid w:val="37B504AC"/>
    <w:rsid w:val="37C2659A"/>
    <w:rsid w:val="37C9553C"/>
    <w:rsid w:val="37CC7C0E"/>
    <w:rsid w:val="37CD13CC"/>
    <w:rsid w:val="37E6445A"/>
    <w:rsid w:val="37EE7094"/>
    <w:rsid w:val="37FF5048"/>
    <w:rsid w:val="380C5081"/>
    <w:rsid w:val="38296C89"/>
    <w:rsid w:val="383002EB"/>
    <w:rsid w:val="38367638"/>
    <w:rsid w:val="38586797"/>
    <w:rsid w:val="38613F89"/>
    <w:rsid w:val="38A5656B"/>
    <w:rsid w:val="38A722E3"/>
    <w:rsid w:val="38BC0149"/>
    <w:rsid w:val="38D649E2"/>
    <w:rsid w:val="38D87D1C"/>
    <w:rsid w:val="38DE1A7D"/>
    <w:rsid w:val="3914724D"/>
    <w:rsid w:val="39423DBA"/>
    <w:rsid w:val="39535394"/>
    <w:rsid w:val="3955445B"/>
    <w:rsid w:val="39555099"/>
    <w:rsid w:val="39636459"/>
    <w:rsid w:val="396501B3"/>
    <w:rsid w:val="396B7F6C"/>
    <w:rsid w:val="39804AD4"/>
    <w:rsid w:val="39A02358"/>
    <w:rsid w:val="39AE1450"/>
    <w:rsid w:val="39B417A9"/>
    <w:rsid w:val="39FC5695"/>
    <w:rsid w:val="39FD39FD"/>
    <w:rsid w:val="3A006D8E"/>
    <w:rsid w:val="3A1125F9"/>
    <w:rsid w:val="3A1C273B"/>
    <w:rsid w:val="3A277F29"/>
    <w:rsid w:val="3A3651E5"/>
    <w:rsid w:val="3A3D7FA2"/>
    <w:rsid w:val="3A4E3D7D"/>
    <w:rsid w:val="3A5151D4"/>
    <w:rsid w:val="3A520F44"/>
    <w:rsid w:val="3A656F28"/>
    <w:rsid w:val="3A744481"/>
    <w:rsid w:val="3A751EF1"/>
    <w:rsid w:val="3A7D68D2"/>
    <w:rsid w:val="3A8C7BEF"/>
    <w:rsid w:val="3A906246"/>
    <w:rsid w:val="3AE72E6B"/>
    <w:rsid w:val="3AF570E7"/>
    <w:rsid w:val="3AF92B9E"/>
    <w:rsid w:val="3B0F5F8C"/>
    <w:rsid w:val="3B2349B7"/>
    <w:rsid w:val="3B3745A3"/>
    <w:rsid w:val="3B616CFF"/>
    <w:rsid w:val="3B6259F6"/>
    <w:rsid w:val="3B766A85"/>
    <w:rsid w:val="3B795F32"/>
    <w:rsid w:val="3B954DA5"/>
    <w:rsid w:val="3B976654"/>
    <w:rsid w:val="3BA6683D"/>
    <w:rsid w:val="3BC01EFC"/>
    <w:rsid w:val="3BC41DC5"/>
    <w:rsid w:val="3BCA786A"/>
    <w:rsid w:val="3BD31E2F"/>
    <w:rsid w:val="3BD75874"/>
    <w:rsid w:val="3BF15831"/>
    <w:rsid w:val="3C015D59"/>
    <w:rsid w:val="3C105946"/>
    <w:rsid w:val="3C207D26"/>
    <w:rsid w:val="3C38549C"/>
    <w:rsid w:val="3C3976F6"/>
    <w:rsid w:val="3C471448"/>
    <w:rsid w:val="3C56216E"/>
    <w:rsid w:val="3C5F759A"/>
    <w:rsid w:val="3C6C525A"/>
    <w:rsid w:val="3C6F3118"/>
    <w:rsid w:val="3C722C08"/>
    <w:rsid w:val="3C7C100C"/>
    <w:rsid w:val="3C9817A8"/>
    <w:rsid w:val="3CB274A9"/>
    <w:rsid w:val="3CCE23CB"/>
    <w:rsid w:val="3CD17D17"/>
    <w:rsid w:val="3CE228C2"/>
    <w:rsid w:val="3CEB2FA8"/>
    <w:rsid w:val="3D087C29"/>
    <w:rsid w:val="3D155CEE"/>
    <w:rsid w:val="3D3C7F39"/>
    <w:rsid w:val="3D440F09"/>
    <w:rsid w:val="3D4504A0"/>
    <w:rsid w:val="3D571A09"/>
    <w:rsid w:val="3D78424E"/>
    <w:rsid w:val="3D8734BB"/>
    <w:rsid w:val="3D877445"/>
    <w:rsid w:val="3D9A11D4"/>
    <w:rsid w:val="3DA16D89"/>
    <w:rsid w:val="3DA364BE"/>
    <w:rsid w:val="3DA44506"/>
    <w:rsid w:val="3DD764CD"/>
    <w:rsid w:val="3DE041CB"/>
    <w:rsid w:val="3E0D48F6"/>
    <w:rsid w:val="3E1868B4"/>
    <w:rsid w:val="3E377251"/>
    <w:rsid w:val="3E42664B"/>
    <w:rsid w:val="3E5A7334"/>
    <w:rsid w:val="3E7B5D6B"/>
    <w:rsid w:val="3E843E66"/>
    <w:rsid w:val="3E8F51FE"/>
    <w:rsid w:val="3E926F87"/>
    <w:rsid w:val="3E946E66"/>
    <w:rsid w:val="3E9A59DE"/>
    <w:rsid w:val="3EA73EAF"/>
    <w:rsid w:val="3EAA333E"/>
    <w:rsid w:val="3EAF4836"/>
    <w:rsid w:val="3EC33DFA"/>
    <w:rsid w:val="3ED56474"/>
    <w:rsid w:val="3ED82DBD"/>
    <w:rsid w:val="3ED92B93"/>
    <w:rsid w:val="3EE25143"/>
    <w:rsid w:val="3EE25492"/>
    <w:rsid w:val="3EE53B65"/>
    <w:rsid w:val="3F060E16"/>
    <w:rsid w:val="3F1D1096"/>
    <w:rsid w:val="3F2F0234"/>
    <w:rsid w:val="3F2F3033"/>
    <w:rsid w:val="3F3348D1"/>
    <w:rsid w:val="3F4946BF"/>
    <w:rsid w:val="3F6363FE"/>
    <w:rsid w:val="3F756B8F"/>
    <w:rsid w:val="3F76BACC"/>
    <w:rsid w:val="3F84061B"/>
    <w:rsid w:val="3F8E6DA3"/>
    <w:rsid w:val="3F95482B"/>
    <w:rsid w:val="3FA97C9E"/>
    <w:rsid w:val="3FFF4C2B"/>
    <w:rsid w:val="4019356B"/>
    <w:rsid w:val="40270B72"/>
    <w:rsid w:val="402D7572"/>
    <w:rsid w:val="40356427"/>
    <w:rsid w:val="404F0725"/>
    <w:rsid w:val="40592157"/>
    <w:rsid w:val="406E1CAE"/>
    <w:rsid w:val="407707ED"/>
    <w:rsid w:val="4086004E"/>
    <w:rsid w:val="40970E8F"/>
    <w:rsid w:val="409941C9"/>
    <w:rsid w:val="40A0133A"/>
    <w:rsid w:val="40C31A53"/>
    <w:rsid w:val="40D94361"/>
    <w:rsid w:val="40E045E4"/>
    <w:rsid w:val="40EB7C06"/>
    <w:rsid w:val="40F80B23"/>
    <w:rsid w:val="40FF545D"/>
    <w:rsid w:val="410067C8"/>
    <w:rsid w:val="410440E3"/>
    <w:rsid w:val="410C28BC"/>
    <w:rsid w:val="410D6D4A"/>
    <w:rsid w:val="41297546"/>
    <w:rsid w:val="4137363C"/>
    <w:rsid w:val="415E19AD"/>
    <w:rsid w:val="41700F39"/>
    <w:rsid w:val="418F0D2A"/>
    <w:rsid w:val="41915F2E"/>
    <w:rsid w:val="41B53241"/>
    <w:rsid w:val="41CF3656"/>
    <w:rsid w:val="41D01505"/>
    <w:rsid w:val="41D76447"/>
    <w:rsid w:val="420460B1"/>
    <w:rsid w:val="42186000"/>
    <w:rsid w:val="422C1F22"/>
    <w:rsid w:val="42335604"/>
    <w:rsid w:val="423D15C3"/>
    <w:rsid w:val="42474939"/>
    <w:rsid w:val="424C3C57"/>
    <w:rsid w:val="42613FF3"/>
    <w:rsid w:val="42660D96"/>
    <w:rsid w:val="427B217E"/>
    <w:rsid w:val="42846AE2"/>
    <w:rsid w:val="428667D2"/>
    <w:rsid w:val="429071F2"/>
    <w:rsid w:val="42BF7BBC"/>
    <w:rsid w:val="42C5318D"/>
    <w:rsid w:val="42CB68B2"/>
    <w:rsid w:val="42CD1CE0"/>
    <w:rsid w:val="42D44BBD"/>
    <w:rsid w:val="42E1381E"/>
    <w:rsid w:val="42E61C5A"/>
    <w:rsid w:val="42E859D2"/>
    <w:rsid w:val="42ED123B"/>
    <w:rsid w:val="42ED6459"/>
    <w:rsid w:val="42FE58DD"/>
    <w:rsid w:val="42FF2D1C"/>
    <w:rsid w:val="43174B3D"/>
    <w:rsid w:val="431F194D"/>
    <w:rsid w:val="43341ED9"/>
    <w:rsid w:val="434B790E"/>
    <w:rsid w:val="435117C9"/>
    <w:rsid w:val="4360274F"/>
    <w:rsid w:val="43663B9B"/>
    <w:rsid w:val="4388593B"/>
    <w:rsid w:val="43977AB6"/>
    <w:rsid w:val="43A3342B"/>
    <w:rsid w:val="43A62286"/>
    <w:rsid w:val="43B568E7"/>
    <w:rsid w:val="43C77C27"/>
    <w:rsid w:val="43CC2BFE"/>
    <w:rsid w:val="43D23F8D"/>
    <w:rsid w:val="43D702E1"/>
    <w:rsid w:val="43DE09EE"/>
    <w:rsid w:val="44002FAD"/>
    <w:rsid w:val="44024872"/>
    <w:rsid w:val="44077BDE"/>
    <w:rsid w:val="4426372F"/>
    <w:rsid w:val="442944F4"/>
    <w:rsid w:val="4436451B"/>
    <w:rsid w:val="44494EFB"/>
    <w:rsid w:val="44511355"/>
    <w:rsid w:val="446948F1"/>
    <w:rsid w:val="446E5065"/>
    <w:rsid w:val="44900E56"/>
    <w:rsid w:val="449101DD"/>
    <w:rsid w:val="44A41DCD"/>
    <w:rsid w:val="44DD478D"/>
    <w:rsid w:val="44DE1391"/>
    <w:rsid w:val="44EE65DA"/>
    <w:rsid w:val="450137F0"/>
    <w:rsid w:val="450A739D"/>
    <w:rsid w:val="451B225C"/>
    <w:rsid w:val="452410C9"/>
    <w:rsid w:val="4530540F"/>
    <w:rsid w:val="45317DFB"/>
    <w:rsid w:val="4542028B"/>
    <w:rsid w:val="45460E2C"/>
    <w:rsid w:val="456414A4"/>
    <w:rsid w:val="456D3CE4"/>
    <w:rsid w:val="4579042C"/>
    <w:rsid w:val="457A6288"/>
    <w:rsid w:val="457F0571"/>
    <w:rsid w:val="457F5B7C"/>
    <w:rsid w:val="45851176"/>
    <w:rsid w:val="45AA1F66"/>
    <w:rsid w:val="45B84D75"/>
    <w:rsid w:val="45C0512D"/>
    <w:rsid w:val="45C63B94"/>
    <w:rsid w:val="45D961AD"/>
    <w:rsid w:val="45E83F3B"/>
    <w:rsid w:val="45EE1AFF"/>
    <w:rsid w:val="46001285"/>
    <w:rsid w:val="460E7DA5"/>
    <w:rsid w:val="46422483"/>
    <w:rsid w:val="465348A0"/>
    <w:rsid w:val="4659254A"/>
    <w:rsid w:val="465B0637"/>
    <w:rsid w:val="465E3F0D"/>
    <w:rsid w:val="466A16E6"/>
    <w:rsid w:val="46841154"/>
    <w:rsid w:val="46893F2B"/>
    <w:rsid w:val="468B1F7E"/>
    <w:rsid w:val="46992A4E"/>
    <w:rsid w:val="46A613B3"/>
    <w:rsid w:val="46B60112"/>
    <w:rsid w:val="46C4686E"/>
    <w:rsid w:val="46E717E1"/>
    <w:rsid w:val="4702556E"/>
    <w:rsid w:val="4707379E"/>
    <w:rsid w:val="472745EF"/>
    <w:rsid w:val="472F66E6"/>
    <w:rsid w:val="474C2DD7"/>
    <w:rsid w:val="475E7316"/>
    <w:rsid w:val="47743271"/>
    <w:rsid w:val="477B778F"/>
    <w:rsid w:val="478203EC"/>
    <w:rsid w:val="47B025FA"/>
    <w:rsid w:val="47B75973"/>
    <w:rsid w:val="47B78B64"/>
    <w:rsid w:val="47DE73B4"/>
    <w:rsid w:val="47EB0D8B"/>
    <w:rsid w:val="47F40EAD"/>
    <w:rsid w:val="47FF3688"/>
    <w:rsid w:val="4809698F"/>
    <w:rsid w:val="4811697D"/>
    <w:rsid w:val="48142CFF"/>
    <w:rsid w:val="482801EF"/>
    <w:rsid w:val="48572DA9"/>
    <w:rsid w:val="485753FE"/>
    <w:rsid w:val="48594D17"/>
    <w:rsid w:val="4866789E"/>
    <w:rsid w:val="48790E7B"/>
    <w:rsid w:val="487A3E25"/>
    <w:rsid w:val="488B5503"/>
    <w:rsid w:val="48937E21"/>
    <w:rsid w:val="489A0361"/>
    <w:rsid w:val="48B94FF3"/>
    <w:rsid w:val="48CE2CB1"/>
    <w:rsid w:val="48CE6518"/>
    <w:rsid w:val="48E37AAB"/>
    <w:rsid w:val="48E93B7F"/>
    <w:rsid w:val="48F50EEE"/>
    <w:rsid w:val="48FA4D72"/>
    <w:rsid w:val="48FD4B4C"/>
    <w:rsid w:val="490A68E0"/>
    <w:rsid w:val="491055FE"/>
    <w:rsid w:val="491C7AC0"/>
    <w:rsid w:val="49594145"/>
    <w:rsid w:val="495F5B3E"/>
    <w:rsid w:val="49624ED0"/>
    <w:rsid w:val="496F77D7"/>
    <w:rsid w:val="497654FD"/>
    <w:rsid w:val="497B4698"/>
    <w:rsid w:val="498B70B7"/>
    <w:rsid w:val="49900624"/>
    <w:rsid w:val="499A3C9B"/>
    <w:rsid w:val="49A0611E"/>
    <w:rsid w:val="49A62FC2"/>
    <w:rsid w:val="49B64211"/>
    <w:rsid w:val="49C01EDD"/>
    <w:rsid w:val="49E86BFF"/>
    <w:rsid w:val="49F6167F"/>
    <w:rsid w:val="4A001853"/>
    <w:rsid w:val="4A064FA0"/>
    <w:rsid w:val="4A161077"/>
    <w:rsid w:val="4A16615C"/>
    <w:rsid w:val="4A1D1CE5"/>
    <w:rsid w:val="4A2117CA"/>
    <w:rsid w:val="4A2C2648"/>
    <w:rsid w:val="4A324559"/>
    <w:rsid w:val="4A3868ED"/>
    <w:rsid w:val="4A4424D7"/>
    <w:rsid w:val="4A4F21CB"/>
    <w:rsid w:val="4A6718D3"/>
    <w:rsid w:val="4A8E3303"/>
    <w:rsid w:val="4A9D3546"/>
    <w:rsid w:val="4AB43C99"/>
    <w:rsid w:val="4AB82D0F"/>
    <w:rsid w:val="4AC62DD1"/>
    <w:rsid w:val="4AD22A51"/>
    <w:rsid w:val="4ADC1B12"/>
    <w:rsid w:val="4AEB7664"/>
    <w:rsid w:val="4AF54FAE"/>
    <w:rsid w:val="4AF722AC"/>
    <w:rsid w:val="4AFD7C19"/>
    <w:rsid w:val="4B026B09"/>
    <w:rsid w:val="4B054C48"/>
    <w:rsid w:val="4B0567D1"/>
    <w:rsid w:val="4B1708E3"/>
    <w:rsid w:val="4B236AAE"/>
    <w:rsid w:val="4B4113C6"/>
    <w:rsid w:val="4B604BF6"/>
    <w:rsid w:val="4B6063E9"/>
    <w:rsid w:val="4B6752DF"/>
    <w:rsid w:val="4B6E1756"/>
    <w:rsid w:val="4B707271"/>
    <w:rsid w:val="4B756271"/>
    <w:rsid w:val="4B7666AB"/>
    <w:rsid w:val="4B9040A2"/>
    <w:rsid w:val="4B9412FA"/>
    <w:rsid w:val="4B9739F7"/>
    <w:rsid w:val="4BDF36EB"/>
    <w:rsid w:val="4BE87CA9"/>
    <w:rsid w:val="4BEE2503"/>
    <w:rsid w:val="4C0D0258"/>
    <w:rsid w:val="4C1515CB"/>
    <w:rsid w:val="4C245A30"/>
    <w:rsid w:val="4C2A5805"/>
    <w:rsid w:val="4C5916EF"/>
    <w:rsid w:val="4C85187E"/>
    <w:rsid w:val="4C963B8C"/>
    <w:rsid w:val="4CA3296A"/>
    <w:rsid w:val="4CAC4A94"/>
    <w:rsid w:val="4CB44B77"/>
    <w:rsid w:val="4CB6685F"/>
    <w:rsid w:val="4CB70475"/>
    <w:rsid w:val="4CC367FE"/>
    <w:rsid w:val="4CD174D7"/>
    <w:rsid w:val="4CE91757"/>
    <w:rsid w:val="4CF3744D"/>
    <w:rsid w:val="4D037EAA"/>
    <w:rsid w:val="4D077F3C"/>
    <w:rsid w:val="4D123355"/>
    <w:rsid w:val="4D155616"/>
    <w:rsid w:val="4D2A3B31"/>
    <w:rsid w:val="4D312C52"/>
    <w:rsid w:val="4D487292"/>
    <w:rsid w:val="4D754306"/>
    <w:rsid w:val="4D7F4A33"/>
    <w:rsid w:val="4D905305"/>
    <w:rsid w:val="4D9522B1"/>
    <w:rsid w:val="4D964A72"/>
    <w:rsid w:val="4D9C1254"/>
    <w:rsid w:val="4D9C7AE5"/>
    <w:rsid w:val="4DA23D41"/>
    <w:rsid w:val="4DCB00EF"/>
    <w:rsid w:val="4DCB168F"/>
    <w:rsid w:val="4DF06083"/>
    <w:rsid w:val="4E0920CE"/>
    <w:rsid w:val="4E330707"/>
    <w:rsid w:val="4E4948FB"/>
    <w:rsid w:val="4E662A22"/>
    <w:rsid w:val="4E793892"/>
    <w:rsid w:val="4E800872"/>
    <w:rsid w:val="4EA049DA"/>
    <w:rsid w:val="4EB856B6"/>
    <w:rsid w:val="4EC569ED"/>
    <w:rsid w:val="4ECE79E6"/>
    <w:rsid w:val="4ED17C62"/>
    <w:rsid w:val="4ED50EA1"/>
    <w:rsid w:val="4EDD6486"/>
    <w:rsid w:val="4EEC050C"/>
    <w:rsid w:val="4F0040A4"/>
    <w:rsid w:val="4F0716E2"/>
    <w:rsid w:val="4F104EC3"/>
    <w:rsid w:val="4F1162B1"/>
    <w:rsid w:val="4F47354A"/>
    <w:rsid w:val="4F524F63"/>
    <w:rsid w:val="4F911C54"/>
    <w:rsid w:val="4FA578EA"/>
    <w:rsid w:val="4FBE372C"/>
    <w:rsid w:val="4FE625E0"/>
    <w:rsid w:val="4FE710E2"/>
    <w:rsid w:val="4FF044FE"/>
    <w:rsid w:val="4FF5731C"/>
    <w:rsid w:val="5006393C"/>
    <w:rsid w:val="500E2419"/>
    <w:rsid w:val="5021480F"/>
    <w:rsid w:val="502F2E92"/>
    <w:rsid w:val="5034551E"/>
    <w:rsid w:val="506B379F"/>
    <w:rsid w:val="50962ECB"/>
    <w:rsid w:val="50A42E38"/>
    <w:rsid w:val="50A4577F"/>
    <w:rsid w:val="50B73D1F"/>
    <w:rsid w:val="50BD5BC9"/>
    <w:rsid w:val="50C11EEE"/>
    <w:rsid w:val="50CD4459"/>
    <w:rsid w:val="50E97CFC"/>
    <w:rsid w:val="50EA2935"/>
    <w:rsid w:val="50ED278D"/>
    <w:rsid w:val="50F13E09"/>
    <w:rsid w:val="50F63F3E"/>
    <w:rsid w:val="50FA4028"/>
    <w:rsid w:val="510D65B7"/>
    <w:rsid w:val="511157AB"/>
    <w:rsid w:val="511701B4"/>
    <w:rsid w:val="512D4CB2"/>
    <w:rsid w:val="513D05E5"/>
    <w:rsid w:val="5142540C"/>
    <w:rsid w:val="516C24A5"/>
    <w:rsid w:val="516F0998"/>
    <w:rsid w:val="51712933"/>
    <w:rsid w:val="5186663A"/>
    <w:rsid w:val="518832C8"/>
    <w:rsid w:val="518E5997"/>
    <w:rsid w:val="51A0432A"/>
    <w:rsid w:val="51A86090"/>
    <w:rsid w:val="51AB52BE"/>
    <w:rsid w:val="51B7396D"/>
    <w:rsid w:val="51BC0756"/>
    <w:rsid w:val="51CA06C8"/>
    <w:rsid w:val="51D50056"/>
    <w:rsid w:val="520B5239"/>
    <w:rsid w:val="521D4B56"/>
    <w:rsid w:val="522679F4"/>
    <w:rsid w:val="522E4CC3"/>
    <w:rsid w:val="5244713B"/>
    <w:rsid w:val="52615633"/>
    <w:rsid w:val="52635035"/>
    <w:rsid w:val="52883995"/>
    <w:rsid w:val="52977FD4"/>
    <w:rsid w:val="52A25790"/>
    <w:rsid w:val="52A96B6F"/>
    <w:rsid w:val="52B45975"/>
    <w:rsid w:val="52C13B4A"/>
    <w:rsid w:val="52C635C9"/>
    <w:rsid w:val="52D94AA4"/>
    <w:rsid w:val="52EA3A62"/>
    <w:rsid w:val="52F50BB8"/>
    <w:rsid w:val="52F81F19"/>
    <w:rsid w:val="53050450"/>
    <w:rsid w:val="53097272"/>
    <w:rsid w:val="530B10AE"/>
    <w:rsid w:val="53165C44"/>
    <w:rsid w:val="531C37C2"/>
    <w:rsid w:val="5340253A"/>
    <w:rsid w:val="53544462"/>
    <w:rsid w:val="53910A34"/>
    <w:rsid w:val="5397158E"/>
    <w:rsid w:val="53A05E55"/>
    <w:rsid w:val="53C51418"/>
    <w:rsid w:val="53D53D51"/>
    <w:rsid w:val="53EE6BC1"/>
    <w:rsid w:val="53F24433"/>
    <w:rsid w:val="54013861"/>
    <w:rsid w:val="54041F40"/>
    <w:rsid w:val="54045A0B"/>
    <w:rsid w:val="54090CDF"/>
    <w:rsid w:val="54487265"/>
    <w:rsid w:val="544C40C6"/>
    <w:rsid w:val="544D6070"/>
    <w:rsid w:val="54554C6F"/>
    <w:rsid w:val="54605E1E"/>
    <w:rsid w:val="5477496A"/>
    <w:rsid w:val="5478181E"/>
    <w:rsid w:val="54A86158"/>
    <w:rsid w:val="54B3506A"/>
    <w:rsid w:val="54BC4BB8"/>
    <w:rsid w:val="54CA0D16"/>
    <w:rsid w:val="54DA4D68"/>
    <w:rsid w:val="54DD4057"/>
    <w:rsid w:val="54E7490F"/>
    <w:rsid w:val="54EF4A06"/>
    <w:rsid w:val="550764A4"/>
    <w:rsid w:val="550B2BF6"/>
    <w:rsid w:val="55214EB5"/>
    <w:rsid w:val="552C5BF2"/>
    <w:rsid w:val="55320D2F"/>
    <w:rsid w:val="55364EFD"/>
    <w:rsid w:val="553C395C"/>
    <w:rsid w:val="555D4828"/>
    <w:rsid w:val="55767585"/>
    <w:rsid w:val="55796E0E"/>
    <w:rsid w:val="557A4C8B"/>
    <w:rsid w:val="558931E1"/>
    <w:rsid w:val="55923347"/>
    <w:rsid w:val="55925180"/>
    <w:rsid w:val="55983B1B"/>
    <w:rsid w:val="55985EE0"/>
    <w:rsid w:val="55A8376B"/>
    <w:rsid w:val="55AA4D69"/>
    <w:rsid w:val="55CE761E"/>
    <w:rsid w:val="55DC29B6"/>
    <w:rsid w:val="55DD4241"/>
    <w:rsid w:val="55F87C24"/>
    <w:rsid w:val="55FE551B"/>
    <w:rsid w:val="56086FB9"/>
    <w:rsid w:val="560934D2"/>
    <w:rsid w:val="560A6C3D"/>
    <w:rsid w:val="560E4288"/>
    <w:rsid w:val="56296367"/>
    <w:rsid w:val="56454FEA"/>
    <w:rsid w:val="565A74E2"/>
    <w:rsid w:val="565D4D50"/>
    <w:rsid w:val="566103D9"/>
    <w:rsid w:val="56695AE7"/>
    <w:rsid w:val="566B6D1E"/>
    <w:rsid w:val="56707467"/>
    <w:rsid w:val="567E1286"/>
    <w:rsid w:val="56821842"/>
    <w:rsid w:val="568A42C6"/>
    <w:rsid w:val="568B487C"/>
    <w:rsid w:val="568E407F"/>
    <w:rsid w:val="56933A4F"/>
    <w:rsid w:val="569E48CE"/>
    <w:rsid w:val="56A10CCD"/>
    <w:rsid w:val="56C63E25"/>
    <w:rsid w:val="56CB31E9"/>
    <w:rsid w:val="56DA2EDE"/>
    <w:rsid w:val="56F75D8C"/>
    <w:rsid w:val="570069C4"/>
    <w:rsid w:val="57007679"/>
    <w:rsid w:val="57026A81"/>
    <w:rsid w:val="57032A2C"/>
    <w:rsid w:val="570F5219"/>
    <w:rsid w:val="57122F34"/>
    <w:rsid w:val="57360A01"/>
    <w:rsid w:val="573624E8"/>
    <w:rsid w:val="575D12B5"/>
    <w:rsid w:val="57610A87"/>
    <w:rsid w:val="576C0528"/>
    <w:rsid w:val="577B1140"/>
    <w:rsid w:val="577B7F21"/>
    <w:rsid w:val="577F181B"/>
    <w:rsid w:val="57921984"/>
    <w:rsid w:val="57942356"/>
    <w:rsid w:val="579737F0"/>
    <w:rsid w:val="57AB7B30"/>
    <w:rsid w:val="57AC396B"/>
    <w:rsid w:val="57AF5251"/>
    <w:rsid w:val="57B26373"/>
    <w:rsid w:val="57B63F04"/>
    <w:rsid w:val="57C31292"/>
    <w:rsid w:val="57CD20C2"/>
    <w:rsid w:val="57D675AB"/>
    <w:rsid w:val="57D95FDD"/>
    <w:rsid w:val="58016D68"/>
    <w:rsid w:val="580B6FC1"/>
    <w:rsid w:val="580D4B64"/>
    <w:rsid w:val="58123023"/>
    <w:rsid w:val="584E2D25"/>
    <w:rsid w:val="585A2DA9"/>
    <w:rsid w:val="58690F0C"/>
    <w:rsid w:val="587C6C83"/>
    <w:rsid w:val="588673C8"/>
    <w:rsid w:val="58917D2F"/>
    <w:rsid w:val="5894085C"/>
    <w:rsid w:val="5896491E"/>
    <w:rsid w:val="58AE4F0C"/>
    <w:rsid w:val="58B85899"/>
    <w:rsid w:val="58E24461"/>
    <w:rsid w:val="58E363A9"/>
    <w:rsid w:val="58F85DEC"/>
    <w:rsid w:val="590E2EE3"/>
    <w:rsid w:val="594554D5"/>
    <w:rsid w:val="594E43C6"/>
    <w:rsid w:val="595705DB"/>
    <w:rsid w:val="595E1678"/>
    <w:rsid w:val="5960230F"/>
    <w:rsid w:val="5968092A"/>
    <w:rsid w:val="596D5BD4"/>
    <w:rsid w:val="597E3DD8"/>
    <w:rsid w:val="597F2F65"/>
    <w:rsid w:val="59883613"/>
    <w:rsid w:val="59B9487E"/>
    <w:rsid w:val="59BC41A8"/>
    <w:rsid w:val="59C0534F"/>
    <w:rsid w:val="59C778E7"/>
    <w:rsid w:val="59CB2A94"/>
    <w:rsid w:val="59D206A6"/>
    <w:rsid w:val="59D35561"/>
    <w:rsid w:val="59F80043"/>
    <w:rsid w:val="5A09252F"/>
    <w:rsid w:val="5A0B2778"/>
    <w:rsid w:val="5A122CB7"/>
    <w:rsid w:val="5A131FEC"/>
    <w:rsid w:val="5A292D7F"/>
    <w:rsid w:val="5A2A7C7B"/>
    <w:rsid w:val="5A3A2B60"/>
    <w:rsid w:val="5A3A50A4"/>
    <w:rsid w:val="5A3E2560"/>
    <w:rsid w:val="5A5D3B6E"/>
    <w:rsid w:val="5A637A76"/>
    <w:rsid w:val="5A690D4F"/>
    <w:rsid w:val="5A6D33BA"/>
    <w:rsid w:val="5A792B1F"/>
    <w:rsid w:val="5A7B4C04"/>
    <w:rsid w:val="5A8042EB"/>
    <w:rsid w:val="5A874767"/>
    <w:rsid w:val="5A985AD8"/>
    <w:rsid w:val="5AAD6F28"/>
    <w:rsid w:val="5AAF3BBC"/>
    <w:rsid w:val="5AB07FD9"/>
    <w:rsid w:val="5AC35F42"/>
    <w:rsid w:val="5AD3266C"/>
    <w:rsid w:val="5AD63A24"/>
    <w:rsid w:val="5AEC4240"/>
    <w:rsid w:val="5B0B08CB"/>
    <w:rsid w:val="5B0B637C"/>
    <w:rsid w:val="5B113672"/>
    <w:rsid w:val="5B1C2265"/>
    <w:rsid w:val="5B2B798A"/>
    <w:rsid w:val="5B2E1A1D"/>
    <w:rsid w:val="5B3C0F26"/>
    <w:rsid w:val="5B3C2E37"/>
    <w:rsid w:val="5B6156E4"/>
    <w:rsid w:val="5B7377AF"/>
    <w:rsid w:val="5B843A1C"/>
    <w:rsid w:val="5B873E3F"/>
    <w:rsid w:val="5BA67D81"/>
    <w:rsid w:val="5BDB2EAF"/>
    <w:rsid w:val="5BED775E"/>
    <w:rsid w:val="5BEE7325"/>
    <w:rsid w:val="5BF52AD4"/>
    <w:rsid w:val="5BFF4FAA"/>
    <w:rsid w:val="5C02690E"/>
    <w:rsid w:val="5C070EB6"/>
    <w:rsid w:val="5C0F0446"/>
    <w:rsid w:val="5C14118E"/>
    <w:rsid w:val="5C167099"/>
    <w:rsid w:val="5C196DA7"/>
    <w:rsid w:val="5C2A048C"/>
    <w:rsid w:val="5C4C5564"/>
    <w:rsid w:val="5C7176CB"/>
    <w:rsid w:val="5C726CB3"/>
    <w:rsid w:val="5C80234E"/>
    <w:rsid w:val="5C8A680C"/>
    <w:rsid w:val="5C8B3188"/>
    <w:rsid w:val="5C9E3955"/>
    <w:rsid w:val="5CAC724A"/>
    <w:rsid w:val="5CAE6ACE"/>
    <w:rsid w:val="5CAE75C8"/>
    <w:rsid w:val="5CCD1C5E"/>
    <w:rsid w:val="5CFA22F8"/>
    <w:rsid w:val="5D0C4701"/>
    <w:rsid w:val="5D0F0395"/>
    <w:rsid w:val="5D1551BE"/>
    <w:rsid w:val="5D221076"/>
    <w:rsid w:val="5D397964"/>
    <w:rsid w:val="5D3F1174"/>
    <w:rsid w:val="5D5A391C"/>
    <w:rsid w:val="5D5F10C0"/>
    <w:rsid w:val="5D5F6439"/>
    <w:rsid w:val="5D891B7B"/>
    <w:rsid w:val="5DA60634"/>
    <w:rsid w:val="5DAD38EE"/>
    <w:rsid w:val="5DB04EE7"/>
    <w:rsid w:val="5DB70D27"/>
    <w:rsid w:val="5DBC0D2E"/>
    <w:rsid w:val="5DC15346"/>
    <w:rsid w:val="5DC95797"/>
    <w:rsid w:val="5DE828D3"/>
    <w:rsid w:val="5DF734B0"/>
    <w:rsid w:val="5E006862"/>
    <w:rsid w:val="5E0207B9"/>
    <w:rsid w:val="5E1834A1"/>
    <w:rsid w:val="5E196F30"/>
    <w:rsid w:val="5E23390B"/>
    <w:rsid w:val="5E261785"/>
    <w:rsid w:val="5E4512ED"/>
    <w:rsid w:val="5E46792A"/>
    <w:rsid w:val="5E4A7017"/>
    <w:rsid w:val="5E552BBA"/>
    <w:rsid w:val="5E611C10"/>
    <w:rsid w:val="5E6A778C"/>
    <w:rsid w:val="5E803E8C"/>
    <w:rsid w:val="5E973C9F"/>
    <w:rsid w:val="5EB40CED"/>
    <w:rsid w:val="5EB558FD"/>
    <w:rsid w:val="5EB57238"/>
    <w:rsid w:val="5ECC478D"/>
    <w:rsid w:val="5ED13367"/>
    <w:rsid w:val="5EF17DB1"/>
    <w:rsid w:val="5EFC7377"/>
    <w:rsid w:val="5F06174D"/>
    <w:rsid w:val="5F0E4271"/>
    <w:rsid w:val="5F122FE2"/>
    <w:rsid w:val="5F2B08A7"/>
    <w:rsid w:val="5F3A0AD5"/>
    <w:rsid w:val="5F3A3602"/>
    <w:rsid w:val="5F3E144F"/>
    <w:rsid w:val="5F5875E4"/>
    <w:rsid w:val="5F6277C6"/>
    <w:rsid w:val="5F6661A5"/>
    <w:rsid w:val="5F6D0B1D"/>
    <w:rsid w:val="5F6D3B9D"/>
    <w:rsid w:val="5F780DFC"/>
    <w:rsid w:val="5F8B5C0B"/>
    <w:rsid w:val="5F8D0B82"/>
    <w:rsid w:val="5F9E27A8"/>
    <w:rsid w:val="5FCC5339"/>
    <w:rsid w:val="5FD7077C"/>
    <w:rsid w:val="5FE34A5B"/>
    <w:rsid w:val="5FF851B0"/>
    <w:rsid w:val="5FFE1E36"/>
    <w:rsid w:val="601F6EE8"/>
    <w:rsid w:val="60232584"/>
    <w:rsid w:val="6051650D"/>
    <w:rsid w:val="607330CE"/>
    <w:rsid w:val="60825176"/>
    <w:rsid w:val="609F2AC4"/>
    <w:rsid w:val="60AA021B"/>
    <w:rsid w:val="60B061EB"/>
    <w:rsid w:val="60B8021A"/>
    <w:rsid w:val="60E908CC"/>
    <w:rsid w:val="60F97DDF"/>
    <w:rsid w:val="60FA2EE8"/>
    <w:rsid w:val="61031871"/>
    <w:rsid w:val="61054A27"/>
    <w:rsid w:val="610A52BC"/>
    <w:rsid w:val="61102149"/>
    <w:rsid w:val="611618F4"/>
    <w:rsid w:val="6117523F"/>
    <w:rsid w:val="611D2366"/>
    <w:rsid w:val="61421856"/>
    <w:rsid w:val="614A4BFD"/>
    <w:rsid w:val="615227C4"/>
    <w:rsid w:val="615C5723"/>
    <w:rsid w:val="61654E3F"/>
    <w:rsid w:val="616A2BB5"/>
    <w:rsid w:val="61705DE8"/>
    <w:rsid w:val="617A051C"/>
    <w:rsid w:val="6182292A"/>
    <w:rsid w:val="618B2E31"/>
    <w:rsid w:val="619F7F92"/>
    <w:rsid w:val="61B56F70"/>
    <w:rsid w:val="61E41603"/>
    <w:rsid w:val="61F94C26"/>
    <w:rsid w:val="62000E56"/>
    <w:rsid w:val="620906C3"/>
    <w:rsid w:val="622F72F8"/>
    <w:rsid w:val="624F3E49"/>
    <w:rsid w:val="62632286"/>
    <w:rsid w:val="626E41B9"/>
    <w:rsid w:val="627462FF"/>
    <w:rsid w:val="627D1D1F"/>
    <w:rsid w:val="62885958"/>
    <w:rsid w:val="629848C7"/>
    <w:rsid w:val="62AD1323"/>
    <w:rsid w:val="62AD7C47"/>
    <w:rsid w:val="62DF7DB4"/>
    <w:rsid w:val="62F40B65"/>
    <w:rsid w:val="62FC2CFE"/>
    <w:rsid w:val="630108C9"/>
    <w:rsid w:val="63024505"/>
    <w:rsid w:val="6305567A"/>
    <w:rsid w:val="63181501"/>
    <w:rsid w:val="631E5E6D"/>
    <w:rsid w:val="633809DF"/>
    <w:rsid w:val="633D4335"/>
    <w:rsid w:val="634E57A7"/>
    <w:rsid w:val="635B1DB5"/>
    <w:rsid w:val="63711FED"/>
    <w:rsid w:val="63880DDC"/>
    <w:rsid w:val="63895781"/>
    <w:rsid w:val="638D750D"/>
    <w:rsid w:val="63AC6CC0"/>
    <w:rsid w:val="63BC11BC"/>
    <w:rsid w:val="63D4363A"/>
    <w:rsid w:val="640344D8"/>
    <w:rsid w:val="64055776"/>
    <w:rsid w:val="640624AF"/>
    <w:rsid w:val="642108EC"/>
    <w:rsid w:val="64240056"/>
    <w:rsid w:val="6424289C"/>
    <w:rsid w:val="642F5D65"/>
    <w:rsid w:val="643E143A"/>
    <w:rsid w:val="64420DBD"/>
    <w:rsid w:val="64465488"/>
    <w:rsid w:val="644E4FAE"/>
    <w:rsid w:val="6459763E"/>
    <w:rsid w:val="64664551"/>
    <w:rsid w:val="646E659C"/>
    <w:rsid w:val="64872E45"/>
    <w:rsid w:val="648B6EEF"/>
    <w:rsid w:val="64A318FC"/>
    <w:rsid w:val="64AB1D46"/>
    <w:rsid w:val="64AC497B"/>
    <w:rsid w:val="64C158BF"/>
    <w:rsid w:val="64C179D9"/>
    <w:rsid w:val="64CE2EAA"/>
    <w:rsid w:val="64E81EBA"/>
    <w:rsid w:val="64E9765C"/>
    <w:rsid w:val="64F66BC1"/>
    <w:rsid w:val="65130235"/>
    <w:rsid w:val="65163A99"/>
    <w:rsid w:val="65270184"/>
    <w:rsid w:val="653C3090"/>
    <w:rsid w:val="65411FA8"/>
    <w:rsid w:val="656B3055"/>
    <w:rsid w:val="656E2F6B"/>
    <w:rsid w:val="65733ED9"/>
    <w:rsid w:val="65854376"/>
    <w:rsid w:val="658767BE"/>
    <w:rsid w:val="65892531"/>
    <w:rsid w:val="65953340"/>
    <w:rsid w:val="65A672FB"/>
    <w:rsid w:val="65BA7FB3"/>
    <w:rsid w:val="65BF2F4C"/>
    <w:rsid w:val="65F154AE"/>
    <w:rsid w:val="66172FBE"/>
    <w:rsid w:val="661804E4"/>
    <w:rsid w:val="66195831"/>
    <w:rsid w:val="662E75B1"/>
    <w:rsid w:val="66342C2E"/>
    <w:rsid w:val="663754B0"/>
    <w:rsid w:val="663E784C"/>
    <w:rsid w:val="66741DC6"/>
    <w:rsid w:val="668B6A45"/>
    <w:rsid w:val="66B37FD1"/>
    <w:rsid w:val="66B87280"/>
    <w:rsid w:val="66CF3BC1"/>
    <w:rsid w:val="66D460EA"/>
    <w:rsid w:val="66D93862"/>
    <w:rsid w:val="66DD5434"/>
    <w:rsid w:val="66E225B5"/>
    <w:rsid w:val="66ED0F5A"/>
    <w:rsid w:val="66F56294"/>
    <w:rsid w:val="672524A2"/>
    <w:rsid w:val="672F3F24"/>
    <w:rsid w:val="673E055F"/>
    <w:rsid w:val="6748516D"/>
    <w:rsid w:val="67551CE3"/>
    <w:rsid w:val="67582877"/>
    <w:rsid w:val="676E5BF7"/>
    <w:rsid w:val="67704459"/>
    <w:rsid w:val="678B4F37"/>
    <w:rsid w:val="679E732F"/>
    <w:rsid w:val="67A22552"/>
    <w:rsid w:val="67B22DCC"/>
    <w:rsid w:val="67BE71AA"/>
    <w:rsid w:val="67C70737"/>
    <w:rsid w:val="67D65CDD"/>
    <w:rsid w:val="67D90273"/>
    <w:rsid w:val="67DE5875"/>
    <w:rsid w:val="67E55852"/>
    <w:rsid w:val="67EB1AB4"/>
    <w:rsid w:val="67F969A0"/>
    <w:rsid w:val="67FA1285"/>
    <w:rsid w:val="67FA5339"/>
    <w:rsid w:val="68036556"/>
    <w:rsid w:val="680F301B"/>
    <w:rsid w:val="68103152"/>
    <w:rsid w:val="681313F6"/>
    <w:rsid w:val="68192CC6"/>
    <w:rsid w:val="68551F4F"/>
    <w:rsid w:val="686E74F3"/>
    <w:rsid w:val="687C10C9"/>
    <w:rsid w:val="68840C16"/>
    <w:rsid w:val="68876EFB"/>
    <w:rsid w:val="68884654"/>
    <w:rsid w:val="689F444F"/>
    <w:rsid w:val="68B96DBB"/>
    <w:rsid w:val="68B97345"/>
    <w:rsid w:val="68CA2805"/>
    <w:rsid w:val="68D93544"/>
    <w:rsid w:val="68E150D9"/>
    <w:rsid w:val="68E32613"/>
    <w:rsid w:val="68E937A3"/>
    <w:rsid w:val="68F12BA5"/>
    <w:rsid w:val="68F4171A"/>
    <w:rsid w:val="68F62767"/>
    <w:rsid w:val="690D5A5A"/>
    <w:rsid w:val="69280027"/>
    <w:rsid w:val="693E15D3"/>
    <w:rsid w:val="694A3D5B"/>
    <w:rsid w:val="69531548"/>
    <w:rsid w:val="695472C9"/>
    <w:rsid w:val="69627681"/>
    <w:rsid w:val="6977531D"/>
    <w:rsid w:val="69783018"/>
    <w:rsid w:val="69820FB9"/>
    <w:rsid w:val="69982EE8"/>
    <w:rsid w:val="69C8165E"/>
    <w:rsid w:val="69CC2BFF"/>
    <w:rsid w:val="69D01A3D"/>
    <w:rsid w:val="69FD55B8"/>
    <w:rsid w:val="6A097E59"/>
    <w:rsid w:val="6A0A50B2"/>
    <w:rsid w:val="6A0B1C62"/>
    <w:rsid w:val="6A130CD7"/>
    <w:rsid w:val="6A16109D"/>
    <w:rsid w:val="6A1879F7"/>
    <w:rsid w:val="6A2406C8"/>
    <w:rsid w:val="6A302D82"/>
    <w:rsid w:val="6A325883"/>
    <w:rsid w:val="6A38073E"/>
    <w:rsid w:val="6A3A44B6"/>
    <w:rsid w:val="6A3C1223"/>
    <w:rsid w:val="6A473630"/>
    <w:rsid w:val="6A4E3897"/>
    <w:rsid w:val="6AB96459"/>
    <w:rsid w:val="6ABC642B"/>
    <w:rsid w:val="6ACD0B79"/>
    <w:rsid w:val="6ADE0BD1"/>
    <w:rsid w:val="6AE96859"/>
    <w:rsid w:val="6B147746"/>
    <w:rsid w:val="6B1F5FA9"/>
    <w:rsid w:val="6B24787C"/>
    <w:rsid w:val="6B301415"/>
    <w:rsid w:val="6B304C33"/>
    <w:rsid w:val="6B453112"/>
    <w:rsid w:val="6B573233"/>
    <w:rsid w:val="6B58732F"/>
    <w:rsid w:val="6B596274"/>
    <w:rsid w:val="6B5B6274"/>
    <w:rsid w:val="6B5D2450"/>
    <w:rsid w:val="6B6D2FB9"/>
    <w:rsid w:val="6B76656C"/>
    <w:rsid w:val="6B935D53"/>
    <w:rsid w:val="6B950B23"/>
    <w:rsid w:val="6B9866CD"/>
    <w:rsid w:val="6BBC6500"/>
    <w:rsid w:val="6BBF3CEB"/>
    <w:rsid w:val="6BC61258"/>
    <w:rsid w:val="6BF95CAB"/>
    <w:rsid w:val="6C0C07C3"/>
    <w:rsid w:val="6C196F71"/>
    <w:rsid w:val="6C1B3E73"/>
    <w:rsid w:val="6C226FCB"/>
    <w:rsid w:val="6C31226F"/>
    <w:rsid w:val="6C552F0B"/>
    <w:rsid w:val="6C8A3532"/>
    <w:rsid w:val="6C8C67B7"/>
    <w:rsid w:val="6C9D744C"/>
    <w:rsid w:val="6CBC7404"/>
    <w:rsid w:val="6CBE31B6"/>
    <w:rsid w:val="6CFC53C1"/>
    <w:rsid w:val="6D03206B"/>
    <w:rsid w:val="6D11347B"/>
    <w:rsid w:val="6D167928"/>
    <w:rsid w:val="6D1E27A6"/>
    <w:rsid w:val="6D26299B"/>
    <w:rsid w:val="6D4772EC"/>
    <w:rsid w:val="6D4B0788"/>
    <w:rsid w:val="6D591F42"/>
    <w:rsid w:val="6D5C2995"/>
    <w:rsid w:val="6D9078AF"/>
    <w:rsid w:val="6D9258E0"/>
    <w:rsid w:val="6DAA3FEF"/>
    <w:rsid w:val="6DC0172B"/>
    <w:rsid w:val="6DCB690C"/>
    <w:rsid w:val="6DD41A5B"/>
    <w:rsid w:val="6DF167FE"/>
    <w:rsid w:val="6DF43C2E"/>
    <w:rsid w:val="6DF51CA3"/>
    <w:rsid w:val="6E020E0C"/>
    <w:rsid w:val="6E0F60BD"/>
    <w:rsid w:val="6E430BB4"/>
    <w:rsid w:val="6E8335BD"/>
    <w:rsid w:val="6E8A7499"/>
    <w:rsid w:val="6E8D6623"/>
    <w:rsid w:val="6E8E12EF"/>
    <w:rsid w:val="6E972936"/>
    <w:rsid w:val="6EA57398"/>
    <w:rsid w:val="6EAC63CA"/>
    <w:rsid w:val="6EB64310"/>
    <w:rsid w:val="6ED446C5"/>
    <w:rsid w:val="6EE70AF4"/>
    <w:rsid w:val="6F2A7D94"/>
    <w:rsid w:val="6F46450C"/>
    <w:rsid w:val="6F476E29"/>
    <w:rsid w:val="6F4F630E"/>
    <w:rsid w:val="6F560FFF"/>
    <w:rsid w:val="6F712834"/>
    <w:rsid w:val="6F8331F1"/>
    <w:rsid w:val="6F9D349E"/>
    <w:rsid w:val="6F9E1166"/>
    <w:rsid w:val="6FAE1A09"/>
    <w:rsid w:val="6FB16FC8"/>
    <w:rsid w:val="6FD75BF8"/>
    <w:rsid w:val="70136A8B"/>
    <w:rsid w:val="701B139D"/>
    <w:rsid w:val="702604C1"/>
    <w:rsid w:val="704C6CF1"/>
    <w:rsid w:val="70614017"/>
    <w:rsid w:val="706E648B"/>
    <w:rsid w:val="707723D0"/>
    <w:rsid w:val="707A0CEA"/>
    <w:rsid w:val="70BE609E"/>
    <w:rsid w:val="70C745CA"/>
    <w:rsid w:val="70CA35FF"/>
    <w:rsid w:val="70DA795D"/>
    <w:rsid w:val="70F27898"/>
    <w:rsid w:val="70F5661B"/>
    <w:rsid w:val="710A128A"/>
    <w:rsid w:val="710F6395"/>
    <w:rsid w:val="712B333F"/>
    <w:rsid w:val="713343ED"/>
    <w:rsid w:val="71360107"/>
    <w:rsid w:val="71381023"/>
    <w:rsid w:val="713B688E"/>
    <w:rsid w:val="71505E4E"/>
    <w:rsid w:val="71A4709A"/>
    <w:rsid w:val="71D43752"/>
    <w:rsid w:val="71E533DB"/>
    <w:rsid w:val="71F1796A"/>
    <w:rsid w:val="71F96491"/>
    <w:rsid w:val="72044D79"/>
    <w:rsid w:val="720D29DE"/>
    <w:rsid w:val="72154626"/>
    <w:rsid w:val="72262B5D"/>
    <w:rsid w:val="72283FF7"/>
    <w:rsid w:val="722E7212"/>
    <w:rsid w:val="723363A1"/>
    <w:rsid w:val="72352F3B"/>
    <w:rsid w:val="723A0474"/>
    <w:rsid w:val="724524A3"/>
    <w:rsid w:val="725923E4"/>
    <w:rsid w:val="72621C35"/>
    <w:rsid w:val="727879B6"/>
    <w:rsid w:val="727B566C"/>
    <w:rsid w:val="727F33AE"/>
    <w:rsid w:val="72864BF7"/>
    <w:rsid w:val="728811CD"/>
    <w:rsid w:val="72897D89"/>
    <w:rsid w:val="729023FC"/>
    <w:rsid w:val="72B47EB3"/>
    <w:rsid w:val="72BE797E"/>
    <w:rsid w:val="72F62F44"/>
    <w:rsid w:val="730323E5"/>
    <w:rsid w:val="731478B4"/>
    <w:rsid w:val="73230B7E"/>
    <w:rsid w:val="732C354E"/>
    <w:rsid w:val="733500C2"/>
    <w:rsid w:val="733B71B2"/>
    <w:rsid w:val="735621CE"/>
    <w:rsid w:val="7361387E"/>
    <w:rsid w:val="73AB3D2F"/>
    <w:rsid w:val="73B61051"/>
    <w:rsid w:val="73BD3F16"/>
    <w:rsid w:val="73C0646E"/>
    <w:rsid w:val="73DF42FF"/>
    <w:rsid w:val="73EB6821"/>
    <w:rsid w:val="73EE500F"/>
    <w:rsid w:val="740E335C"/>
    <w:rsid w:val="74203EA7"/>
    <w:rsid w:val="742222F5"/>
    <w:rsid w:val="74476126"/>
    <w:rsid w:val="745545CC"/>
    <w:rsid w:val="746851DB"/>
    <w:rsid w:val="74706664"/>
    <w:rsid w:val="747F3682"/>
    <w:rsid w:val="748C526A"/>
    <w:rsid w:val="749C4185"/>
    <w:rsid w:val="74B12021"/>
    <w:rsid w:val="74E70F51"/>
    <w:rsid w:val="74F75E16"/>
    <w:rsid w:val="750162FC"/>
    <w:rsid w:val="75067759"/>
    <w:rsid w:val="75241F9B"/>
    <w:rsid w:val="752A0527"/>
    <w:rsid w:val="752E6DCD"/>
    <w:rsid w:val="75383588"/>
    <w:rsid w:val="753955E3"/>
    <w:rsid w:val="75463531"/>
    <w:rsid w:val="75501DCA"/>
    <w:rsid w:val="7551380D"/>
    <w:rsid w:val="75600BE5"/>
    <w:rsid w:val="7564475C"/>
    <w:rsid w:val="75745D3F"/>
    <w:rsid w:val="7583797F"/>
    <w:rsid w:val="75A80B7E"/>
    <w:rsid w:val="75B3424F"/>
    <w:rsid w:val="75D20F1D"/>
    <w:rsid w:val="75DA2C18"/>
    <w:rsid w:val="75E67B42"/>
    <w:rsid w:val="75F2050F"/>
    <w:rsid w:val="75F54412"/>
    <w:rsid w:val="7605446D"/>
    <w:rsid w:val="760F7E52"/>
    <w:rsid w:val="761D08E0"/>
    <w:rsid w:val="762B0E62"/>
    <w:rsid w:val="764125B7"/>
    <w:rsid w:val="76487F5B"/>
    <w:rsid w:val="765D347C"/>
    <w:rsid w:val="76605118"/>
    <w:rsid w:val="766B56C4"/>
    <w:rsid w:val="76826699"/>
    <w:rsid w:val="76852B9B"/>
    <w:rsid w:val="769641FD"/>
    <w:rsid w:val="76981320"/>
    <w:rsid w:val="76A333E3"/>
    <w:rsid w:val="76C87133"/>
    <w:rsid w:val="76CD08D5"/>
    <w:rsid w:val="76DB4B92"/>
    <w:rsid w:val="76E103D5"/>
    <w:rsid w:val="76E67523"/>
    <w:rsid w:val="76E934EC"/>
    <w:rsid w:val="77052AA4"/>
    <w:rsid w:val="77136511"/>
    <w:rsid w:val="77276B4F"/>
    <w:rsid w:val="77340A39"/>
    <w:rsid w:val="77351FD0"/>
    <w:rsid w:val="77472422"/>
    <w:rsid w:val="775D3592"/>
    <w:rsid w:val="776B2153"/>
    <w:rsid w:val="776B3F01"/>
    <w:rsid w:val="776C2193"/>
    <w:rsid w:val="7773786A"/>
    <w:rsid w:val="777C64C1"/>
    <w:rsid w:val="777F31F2"/>
    <w:rsid w:val="77A318EC"/>
    <w:rsid w:val="77B63DB5"/>
    <w:rsid w:val="77C27A21"/>
    <w:rsid w:val="77D1700D"/>
    <w:rsid w:val="77D51494"/>
    <w:rsid w:val="77DF1FFC"/>
    <w:rsid w:val="77EC04CC"/>
    <w:rsid w:val="782F5058"/>
    <w:rsid w:val="783A61F2"/>
    <w:rsid w:val="78436C2C"/>
    <w:rsid w:val="78450BF6"/>
    <w:rsid w:val="784B5004"/>
    <w:rsid w:val="784E2BA5"/>
    <w:rsid w:val="78775729"/>
    <w:rsid w:val="78792E91"/>
    <w:rsid w:val="78A42DB0"/>
    <w:rsid w:val="78A55B5A"/>
    <w:rsid w:val="78A656AB"/>
    <w:rsid w:val="78B2245C"/>
    <w:rsid w:val="78B76C44"/>
    <w:rsid w:val="78BE2A09"/>
    <w:rsid w:val="78DA4EB4"/>
    <w:rsid w:val="78DA7B33"/>
    <w:rsid w:val="78E172CC"/>
    <w:rsid w:val="78E83E7D"/>
    <w:rsid w:val="78EA1D1F"/>
    <w:rsid w:val="7904172F"/>
    <w:rsid w:val="790F7E27"/>
    <w:rsid w:val="79280CDA"/>
    <w:rsid w:val="792A231A"/>
    <w:rsid w:val="79316829"/>
    <w:rsid w:val="79343894"/>
    <w:rsid w:val="79452EB8"/>
    <w:rsid w:val="79515378"/>
    <w:rsid w:val="795B3127"/>
    <w:rsid w:val="79715838"/>
    <w:rsid w:val="797E66A9"/>
    <w:rsid w:val="79886722"/>
    <w:rsid w:val="79A00398"/>
    <w:rsid w:val="79A97383"/>
    <w:rsid w:val="79C65890"/>
    <w:rsid w:val="79C8388C"/>
    <w:rsid w:val="79D374E8"/>
    <w:rsid w:val="79E27E8B"/>
    <w:rsid w:val="79F850CE"/>
    <w:rsid w:val="79FD443C"/>
    <w:rsid w:val="7A191369"/>
    <w:rsid w:val="7A1D1975"/>
    <w:rsid w:val="7A3B22B0"/>
    <w:rsid w:val="7A3E5150"/>
    <w:rsid w:val="7A4670D6"/>
    <w:rsid w:val="7A4D59C1"/>
    <w:rsid w:val="7A4F7AF2"/>
    <w:rsid w:val="7A534B63"/>
    <w:rsid w:val="7A562A62"/>
    <w:rsid w:val="7A615382"/>
    <w:rsid w:val="7A67303B"/>
    <w:rsid w:val="7A72125C"/>
    <w:rsid w:val="7A764BE4"/>
    <w:rsid w:val="7A7A56B8"/>
    <w:rsid w:val="7A901265"/>
    <w:rsid w:val="7A941157"/>
    <w:rsid w:val="7AA86A41"/>
    <w:rsid w:val="7AAB1D04"/>
    <w:rsid w:val="7AB65E56"/>
    <w:rsid w:val="7ABA4368"/>
    <w:rsid w:val="7AD05746"/>
    <w:rsid w:val="7AD92A11"/>
    <w:rsid w:val="7AE36134"/>
    <w:rsid w:val="7AF14882"/>
    <w:rsid w:val="7AFBFE60"/>
    <w:rsid w:val="7B046B46"/>
    <w:rsid w:val="7B213410"/>
    <w:rsid w:val="7B257FFD"/>
    <w:rsid w:val="7B343476"/>
    <w:rsid w:val="7B3C12EC"/>
    <w:rsid w:val="7B41132B"/>
    <w:rsid w:val="7B4A207F"/>
    <w:rsid w:val="7B515B18"/>
    <w:rsid w:val="7B5A2978"/>
    <w:rsid w:val="7B5A7E4C"/>
    <w:rsid w:val="7B667AF9"/>
    <w:rsid w:val="7B7468F8"/>
    <w:rsid w:val="7B89595B"/>
    <w:rsid w:val="7B930F25"/>
    <w:rsid w:val="7B9A57BB"/>
    <w:rsid w:val="7BA23C69"/>
    <w:rsid w:val="7BB25107"/>
    <w:rsid w:val="7BB5401E"/>
    <w:rsid w:val="7BBD3B9C"/>
    <w:rsid w:val="7BC85950"/>
    <w:rsid w:val="7BEE0103"/>
    <w:rsid w:val="7C06069C"/>
    <w:rsid w:val="7C0A0FE4"/>
    <w:rsid w:val="7C241BE4"/>
    <w:rsid w:val="7C254906"/>
    <w:rsid w:val="7C43544C"/>
    <w:rsid w:val="7C460FDB"/>
    <w:rsid w:val="7C590818"/>
    <w:rsid w:val="7C5B3953"/>
    <w:rsid w:val="7C694FAC"/>
    <w:rsid w:val="7C7A7ECB"/>
    <w:rsid w:val="7C7C10F6"/>
    <w:rsid w:val="7C853BEA"/>
    <w:rsid w:val="7C881368"/>
    <w:rsid w:val="7C8B0BA1"/>
    <w:rsid w:val="7CA00232"/>
    <w:rsid w:val="7CBB3234"/>
    <w:rsid w:val="7CDA5BF1"/>
    <w:rsid w:val="7CE27788"/>
    <w:rsid w:val="7D020E63"/>
    <w:rsid w:val="7D0C32F1"/>
    <w:rsid w:val="7D0F408D"/>
    <w:rsid w:val="7D491C6C"/>
    <w:rsid w:val="7D5429C0"/>
    <w:rsid w:val="7D6E6D43"/>
    <w:rsid w:val="7D8442EE"/>
    <w:rsid w:val="7DB352E3"/>
    <w:rsid w:val="7DB57A34"/>
    <w:rsid w:val="7DC634E1"/>
    <w:rsid w:val="7DD7081A"/>
    <w:rsid w:val="7DE60973"/>
    <w:rsid w:val="7DE95B7F"/>
    <w:rsid w:val="7DEF0916"/>
    <w:rsid w:val="7E0B1356"/>
    <w:rsid w:val="7E1471A4"/>
    <w:rsid w:val="7E1C5F55"/>
    <w:rsid w:val="7E1E5218"/>
    <w:rsid w:val="7E223E9B"/>
    <w:rsid w:val="7E2272E3"/>
    <w:rsid w:val="7E244E09"/>
    <w:rsid w:val="7E9A4E1F"/>
    <w:rsid w:val="7EA7723A"/>
    <w:rsid w:val="7EC14D4E"/>
    <w:rsid w:val="7EC51733"/>
    <w:rsid w:val="7ECB1BC4"/>
    <w:rsid w:val="7ED628B4"/>
    <w:rsid w:val="7EDF4BF2"/>
    <w:rsid w:val="7EF56FBB"/>
    <w:rsid w:val="7EFA43CF"/>
    <w:rsid w:val="7EFF7307"/>
    <w:rsid w:val="7F0768EB"/>
    <w:rsid w:val="7F143BEC"/>
    <w:rsid w:val="7F16521A"/>
    <w:rsid w:val="7F1B3F8A"/>
    <w:rsid w:val="7F3128C8"/>
    <w:rsid w:val="7F715AF2"/>
    <w:rsid w:val="7F886E69"/>
    <w:rsid w:val="7F954211"/>
    <w:rsid w:val="7F9942BD"/>
    <w:rsid w:val="7FBC3A68"/>
    <w:rsid w:val="7FC237CA"/>
    <w:rsid w:val="7FC40652"/>
    <w:rsid w:val="7FD02F76"/>
    <w:rsid w:val="98D5CF7A"/>
    <w:rsid w:val="AFBDBFBF"/>
    <w:rsid w:val="BB7FA927"/>
    <w:rsid w:val="BC7E9454"/>
    <w:rsid w:val="BF7F1571"/>
    <w:rsid w:val="CFFFC8B0"/>
    <w:rsid w:val="DEA76C22"/>
    <w:rsid w:val="DF77B0BD"/>
    <w:rsid w:val="EBEDC08D"/>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9"/>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5">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styleId="6">
    <w:name w:val="Body Text Indent"/>
    <w:basedOn w:val="1"/>
    <w:next w:val="7"/>
    <w:link w:val="264"/>
    <w:qFormat/>
    <w:uiPriority w:val="0"/>
    <w:pPr>
      <w:spacing w:line="480" w:lineRule="exact"/>
      <w:ind w:firstLine="480" w:firstLineChars="200"/>
    </w:pPr>
    <w:rPr>
      <w:rFonts w:ascii="宋体" w:hAnsi="宋体"/>
      <w:sz w:val="24"/>
    </w:rPr>
  </w:style>
  <w:style w:type="paragraph" w:styleId="7">
    <w:name w:val="envelope return"/>
    <w:basedOn w:val="1"/>
    <w:unhideWhenUsed/>
    <w:qFormat/>
    <w:uiPriority w:val="0"/>
    <w:pPr>
      <w:snapToGrid w:val="0"/>
    </w:pPr>
    <w:rPr>
      <w:rFonts w:ascii="Arial" w:hAnsi="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97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qFormat/>
    <w:uiPriority w:val="0"/>
    <w:rPr>
      <w:b/>
      <w:bCs/>
    </w:rPr>
  </w:style>
  <w:style w:type="paragraph" w:styleId="62">
    <w:name w:val="Body Text First Indent"/>
    <w:basedOn w:val="26"/>
    <w:link w:val="320"/>
    <w:qFormat/>
    <w:uiPriority w:val="0"/>
    <w:pPr>
      <w:ind w:firstLine="420"/>
    </w:pPr>
    <w:rPr>
      <w:rFonts w:hAnsi="Calibri" w:cs="Times New Roman"/>
      <w:snapToGrid/>
      <w:szCs w:val="20"/>
    </w:rPr>
  </w:style>
  <w:style w:type="paragraph" w:styleId="63">
    <w:name w:val="Body Text First Indent 2"/>
    <w:basedOn w:val="6"/>
    <w:link w:val="974"/>
    <w:qFormat/>
    <w:uiPriority w:val="0"/>
    <w:pPr>
      <w:adjustRightInd/>
      <w:spacing w:after="120" w:line="240" w:lineRule="auto"/>
      <w:ind w:left="420" w:leftChars="200" w:firstLine="210"/>
    </w:pPr>
    <w:rPr>
      <w:sz w:val="21"/>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search_content1"/>
    <w:qFormat/>
    <w:uiPriority w:val="0"/>
    <w:rPr>
      <w:sz w:val="20"/>
      <w:szCs w:val="20"/>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1"/>
    <w:unhideWhenUsed/>
    <w:qFormat/>
    <w:uiPriority w:val="99"/>
    <w:rPr>
      <w:color w:val="605E5C"/>
      <w:shd w:val="clear" w:color="auto" w:fill="E1DFDD"/>
    </w:rPr>
  </w:style>
  <w:style w:type="character" w:customStyle="1" w:styleId="965">
    <w:name w:val="NormalCharacter"/>
    <w:semiHidden/>
    <w:qFormat/>
    <w:uiPriority w:val="0"/>
  </w:style>
  <w:style w:type="paragraph" w:customStyle="1" w:styleId="966">
    <w:name w:val="PlainText"/>
    <w:basedOn w:val="1"/>
    <w:link w:val="967"/>
    <w:qFormat/>
    <w:uiPriority w:val="0"/>
    <w:pPr>
      <w:widowControl/>
      <w:adjustRightInd/>
      <w:spacing w:line="360" w:lineRule="auto"/>
      <w:textAlignment w:val="baseline"/>
    </w:pPr>
    <w:rPr>
      <w:rFonts w:ascii="宋体" w:hAnsi="Courier New"/>
      <w:szCs w:val="20"/>
    </w:rPr>
  </w:style>
  <w:style w:type="character" w:customStyle="1" w:styleId="967">
    <w:name w:val="UserStyle_13"/>
    <w:link w:val="966"/>
    <w:qFormat/>
    <w:locked/>
    <w:uiPriority w:val="0"/>
    <w:rPr>
      <w:rFonts w:ascii="宋体" w:hAnsi="Courier New"/>
      <w:kern w:val="2"/>
      <w:sz w:val="21"/>
    </w:rPr>
  </w:style>
  <w:style w:type="character" w:customStyle="1" w:styleId="968">
    <w:name w:val="纯文本 Char3"/>
    <w:basedOn w:val="71"/>
    <w:qFormat/>
    <w:uiPriority w:val="0"/>
    <w:rPr>
      <w:rFonts w:hint="eastAsia" w:ascii="宋体" w:hAnsi="Courier New" w:eastAsia="宋体" w:cs="Arial"/>
      <w:snapToGrid w:val="0"/>
      <w:kern w:val="2"/>
      <w:sz w:val="21"/>
      <w:szCs w:val="21"/>
    </w:rPr>
  </w:style>
  <w:style w:type="character" w:customStyle="1" w:styleId="969">
    <w:name w:val="标题 3 Char"/>
    <w:basedOn w:val="71"/>
    <w:link w:val="4"/>
    <w:qFormat/>
    <w:uiPriority w:val="0"/>
    <w:rPr>
      <w:rFonts w:hint="eastAsia" w:ascii="黑体" w:hAnsi="宋体" w:eastAsia="黑体" w:cs="黑体"/>
      <w:b/>
      <w:kern w:val="2"/>
      <w:sz w:val="30"/>
      <w:szCs w:val="32"/>
    </w:rPr>
  </w:style>
  <w:style w:type="character" w:customStyle="1" w:styleId="970">
    <w:name w:val="fontstyle01"/>
    <w:qFormat/>
    <w:uiPriority w:val="99"/>
    <w:rPr>
      <w:rFonts w:ascii="宋体" w:hAnsi="宋体" w:eastAsia="宋体"/>
      <w:color w:val="000000"/>
      <w:sz w:val="22"/>
    </w:rPr>
  </w:style>
  <w:style w:type="character" w:customStyle="1" w:styleId="971">
    <w:name w:val="表格内容 Char"/>
    <w:basedOn w:val="71"/>
    <w:link w:val="972"/>
    <w:qFormat/>
    <w:uiPriority w:val="0"/>
    <w:rPr>
      <w:rFonts w:hint="default" w:ascii="Calibri" w:hAnsi="Calibri" w:cs="Calibri"/>
      <w:kern w:val="2"/>
      <w:sz w:val="21"/>
      <w:szCs w:val="22"/>
    </w:rPr>
  </w:style>
  <w:style w:type="paragraph" w:customStyle="1" w:styleId="972">
    <w:name w:val="表格内容"/>
    <w:basedOn w:val="1"/>
    <w:link w:val="971"/>
    <w:qFormat/>
    <w:uiPriority w:val="0"/>
    <w:pPr>
      <w:adjustRightInd/>
      <w:jc w:val="center"/>
    </w:pPr>
    <w:rPr>
      <w:rFonts w:ascii="Calibri" w:hAnsi="Calibri"/>
      <w:szCs w:val="22"/>
    </w:rPr>
  </w:style>
  <w:style w:type="character" w:customStyle="1" w:styleId="973">
    <w:name w:val="纯文本 Char"/>
    <w:basedOn w:val="71"/>
    <w:qFormat/>
    <w:uiPriority w:val="0"/>
    <w:rPr>
      <w:rFonts w:hint="eastAsia" w:ascii="宋体" w:hAnsi="Courier New" w:eastAsia="宋体" w:cs="Arial"/>
      <w:snapToGrid w:val="0"/>
      <w:kern w:val="2"/>
      <w:sz w:val="21"/>
      <w:szCs w:val="21"/>
    </w:rPr>
  </w:style>
  <w:style w:type="character" w:customStyle="1" w:styleId="974">
    <w:name w:val="正文首行缩进 2 Char"/>
    <w:link w:val="63"/>
    <w:qFormat/>
    <w:uiPriority w:val="0"/>
    <w:rPr>
      <w:kern w:val="2"/>
      <w:sz w:val="21"/>
      <w:szCs w:val="24"/>
    </w:rPr>
  </w:style>
  <w:style w:type="character" w:customStyle="1" w:styleId="975">
    <w:name w:val="纯文本 Char4"/>
    <w:basedOn w:val="71"/>
    <w:link w:val="34"/>
    <w:qFormat/>
    <w:uiPriority w:val="0"/>
    <w:rPr>
      <w:rFonts w:hint="eastAsia" w:ascii="宋体" w:hAnsi="Courier New" w:eastAsia="宋体" w:cs="Courier New"/>
      <w:kern w:val="2"/>
      <w:sz w:val="21"/>
      <w:szCs w:val="21"/>
    </w:rPr>
  </w:style>
  <w:style w:type="paragraph" w:styleId="976">
    <w:name w:val="List Paragraph"/>
    <w:basedOn w:val="1"/>
    <w:qFormat/>
    <w:uiPriority w:val="34"/>
    <w:pPr>
      <w:ind w:firstLine="420" w:firstLineChars="200"/>
    </w:pPr>
    <w:rPr>
      <w:rFonts w:ascii="等线" w:hAnsi="等线" w:eastAsia="等线"/>
      <w:szCs w:val="22"/>
    </w:rPr>
  </w:style>
  <w:style w:type="character" w:customStyle="1" w:styleId="977">
    <w:name w:val="translated-span"/>
    <w:basedOn w:val="71"/>
    <w:qFormat/>
    <w:uiPriority w:val="0"/>
  </w:style>
  <w:style w:type="table" w:customStyle="1" w:styleId="978">
    <w:name w:val="网格型11"/>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979">
    <w:name w:val="正文首行缩进 21"/>
    <w:basedOn w:val="6"/>
    <w:unhideWhenUsed/>
    <w:qFormat/>
    <w:uiPriority w:val="0"/>
    <w:pPr>
      <w:ind w:firstLine="42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46964</Words>
  <Characters>49398</Characters>
  <Lines>362</Lines>
  <Paragraphs>102</Paragraphs>
  <TotalTime>21</TotalTime>
  <ScaleCrop>false</ScaleCrop>
  <LinksUpToDate>false</LinksUpToDate>
  <CharactersWithSpaces>50385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2022-01-29T06:00:00Z</dcterms:created>
  <dc:creator>玥</dc:creator>
  <cp:lastModifiedBy>娇</cp:lastModifiedBy>
  <cp:lastPrinted>2022-02-14T22:40:00Z</cp:lastPrinted>
  <dcterms:modified xsi:type="dcterms:W3CDTF">2022-09-30T12:15:36Z</dcterms:modified>
  <dc:title>杭州市市民卡扩大发卡工程</dc:title>
  <cp:revision>554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4DB0E507EBD44F1F9AA2A4F398DF5CC6</vt:lpwstr>
  </property>
</Properties>
</file>